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bookmarkStart w:id="0" w:name="_GoBack"/>
      <w:bookmarkEnd w:id="0"/>
      <w:r w:rsidRPr="00F6308F">
        <w:rPr>
          <w:rFonts w:cs="Arial"/>
          <w:sz w:val="36"/>
        </w:rPr>
        <w:t>Assessment of the</w:t>
      </w:r>
    </w:p>
    <w:p w14:paraId="7CB94214" w14:textId="0F25F275" w:rsidR="00B6012C" w:rsidRPr="00F6308F" w:rsidRDefault="00DD0EB5" w:rsidP="001955CD">
      <w:pPr>
        <w:pStyle w:val="Heading6"/>
        <w:spacing w:after="120"/>
        <w:jc w:val="center"/>
        <w:rPr>
          <w:rFonts w:ascii="Arial" w:hAnsi="Arial" w:cs="Arial"/>
          <w:b w:val="0"/>
          <w:i/>
          <w:sz w:val="36"/>
        </w:rPr>
      </w:pPr>
      <w:r w:rsidRPr="00C74D94">
        <w:rPr>
          <w:rFonts w:ascii="Arial" w:hAnsi="Arial" w:cs="Arial"/>
          <w:sz w:val="36"/>
        </w:rPr>
        <w:t>South Australian Lakes and Coorong Fishery</w:t>
      </w:r>
    </w:p>
    <w:p w14:paraId="6A28F6C5" w14:textId="77777777" w:rsidR="00B6012C" w:rsidRPr="00FF2916" w:rsidRDefault="00B6012C" w:rsidP="001955CD">
      <w:pPr>
        <w:widowControl w:val="0"/>
        <w:tabs>
          <w:tab w:val="left" w:pos="6700"/>
        </w:tabs>
        <w:spacing w:after="120"/>
        <w:jc w:val="center"/>
        <w:rPr>
          <w:rFonts w:cs="Arial"/>
          <w:b/>
          <w:sz w:val="32"/>
          <w:szCs w:val="32"/>
        </w:rPr>
      </w:pPr>
    </w:p>
    <w:p w14:paraId="408FC6FF" w14:textId="77777777" w:rsidR="00B6012C" w:rsidRPr="00FF2916" w:rsidRDefault="00B6012C" w:rsidP="001955CD">
      <w:pPr>
        <w:widowControl w:val="0"/>
        <w:tabs>
          <w:tab w:val="left" w:pos="6700"/>
        </w:tabs>
        <w:spacing w:after="120"/>
        <w:jc w:val="center"/>
        <w:rPr>
          <w:rFonts w:cs="Arial"/>
          <w:b/>
          <w:sz w:val="32"/>
          <w:szCs w:val="32"/>
        </w:rPr>
      </w:pPr>
    </w:p>
    <w:p w14:paraId="66D1FFE6" w14:textId="2775C2C7" w:rsidR="00B6012C" w:rsidRPr="00FF2916" w:rsidRDefault="00B6012C" w:rsidP="001955CD">
      <w:pPr>
        <w:widowControl w:val="0"/>
        <w:tabs>
          <w:tab w:val="left" w:pos="6700"/>
        </w:tabs>
        <w:spacing w:after="120"/>
        <w:jc w:val="center"/>
        <w:rPr>
          <w:rFonts w:cs="Arial"/>
          <w:b/>
          <w:sz w:val="32"/>
          <w:szCs w:val="32"/>
        </w:rPr>
      </w:pPr>
    </w:p>
    <w:p w14:paraId="2152FD8A" w14:textId="131B8564" w:rsidR="00B6012C" w:rsidRPr="00FF2916" w:rsidRDefault="00B6012C" w:rsidP="001955CD">
      <w:pPr>
        <w:widowControl w:val="0"/>
        <w:tabs>
          <w:tab w:val="left" w:pos="6700"/>
        </w:tabs>
        <w:spacing w:after="120"/>
        <w:jc w:val="center"/>
        <w:rPr>
          <w:rFonts w:cs="Arial"/>
          <w:b/>
          <w:sz w:val="32"/>
          <w:szCs w:val="32"/>
        </w:rPr>
      </w:pPr>
    </w:p>
    <w:p w14:paraId="07D54897" w14:textId="2CE2B508" w:rsidR="00B6012C" w:rsidRPr="00FF2916" w:rsidRDefault="00B6012C" w:rsidP="001955CD">
      <w:pPr>
        <w:widowControl w:val="0"/>
        <w:tabs>
          <w:tab w:val="left" w:pos="6700"/>
        </w:tabs>
        <w:spacing w:after="120"/>
        <w:jc w:val="center"/>
        <w:rPr>
          <w:rFonts w:cs="Arial"/>
          <w:b/>
          <w:sz w:val="32"/>
          <w:szCs w:val="32"/>
        </w:rPr>
      </w:pPr>
    </w:p>
    <w:p w14:paraId="1C4E77D7" w14:textId="00860533" w:rsidR="00B6012C" w:rsidRPr="00FF2916" w:rsidRDefault="00B6012C" w:rsidP="001955CD">
      <w:pPr>
        <w:widowControl w:val="0"/>
        <w:tabs>
          <w:tab w:val="left" w:pos="6700"/>
        </w:tabs>
        <w:spacing w:after="120"/>
        <w:jc w:val="center"/>
        <w:rPr>
          <w:rFonts w:cs="Arial"/>
          <w:b/>
          <w:sz w:val="32"/>
          <w:szCs w:val="32"/>
        </w:rPr>
      </w:pPr>
    </w:p>
    <w:p w14:paraId="6C907311" w14:textId="197048C1" w:rsidR="005D1583" w:rsidRPr="00FF2916" w:rsidRDefault="005D1583" w:rsidP="001955CD">
      <w:pPr>
        <w:widowControl w:val="0"/>
        <w:tabs>
          <w:tab w:val="left" w:pos="6700"/>
        </w:tabs>
        <w:spacing w:after="120"/>
        <w:jc w:val="center"/>
        <w:rPr>
          <w:rFonts w:cs="Arial"/>
          <w:b/>
          <w:sz w:val="32"/>
          <w:szCs w:val="32"/>
        </w:rPr>
      </w:pPr>
    </w:p>
    <w:p w14:paraId="09582250" w14:textId="77777777" w:rsidR="00B6012C" w:rsidRPr="00FF2916" w:rsidRDefault="00B6012C" w:rsidP="001955CD">
      <w:pPr>
        <w:widowControl w:val="0"/>
        <w:tabs>
          <w:tab w:val="left" w:pos="6700"/>
        </w:tabs>
        <w:spacing w:after="120"/>
        <w:jc w:val="center"/>
        <w:rPr>
          <w:rFonts w:cs="Arial"/>
          <w:b/>
          <w:sz w:val="32"/>
          <w:szCs w:val="32"/>
        </w:rPr>
      </w:pPr>
    </w:p>
    <w:p w14:paraId="15291B2D" w14:textId="77777777" w:rsidR="00B6012C" w:rsidRPr="00FF2916" w:rsidRDefault="00B6012C" w:rsidP="001955CD">
      <w:pPr>
        <w:widowControl w:val="0"/>
        <w:tabs>
          <w:tab w:val="left" w:pos="6700"/>
        </w:tabs>
        <w:spacing w:after="120"/>
        <w:jc w:val="center"/>
        <w:rPr>
          <w:rFonts w:cs="Arial"/>
          <w:b/>
          <w:sz w:val="32"/>
          <w:szCs w:val="32"/>
        </w:rPr>
      </w:pPr>
    </w:p>
    <w:p w14:paraId="65044518" w14:textId="77777777" w:rsidR="00B6012C" w:rsidRPr="00FF2916" w:rsidRDefault="00B6012C" w:rsidP="001955CD">
      <w:pPr>
        <w:widowControl w:val="0"/>
        <w:tabs>
          <w:tab w:val="left" w:pos="6700"/>
        </w:tabs>
        <w:spacing w:after="120"/>
        <w:jc w:val="center"/>
        <w:rPr>
          <w:rFonts w:cs="Arial"/>
          <w:b/>
          <w:sz w:val="32"/>
          <w:szCs w:val="32"/>
        </w:rPr>
      </w:pPr>
    </w:p>
    <w:p w14:paraId="6FDB88F3" w14:textId="77777777" w:rsidR="00B6012C" w:rsidRPr="00FF2916" w:rsidRDefault="00B6012C" w:rsidP="001955CD">
      <w:pPr>
        <w:widowControl w:val="0"/>
        <w:tabs>
          <w:tab w:val="left" w:pos="6700"/>
        </w:tabs>
        <w:spacing w:after="120"/>
        <w:jc w:val="center"/>
        <w:rPr>
          <w:rFonts w:cs="Arial"/>
          <w:b/>
          <w:sz w:val="32"/>
          <w:szCs w:val="32"/>
        </w:rPr>
      </w:pPr>
    </w:p>
    <w:p w14:paraId="5421CD4F" w14:textId="77777777" w:rsidR="00B6012C" w:rsidRPr="00FF2916" w:rsidRDefault="00B6012C" w:rsidP="001955CD">
      <w:pPr>
        <w:widowControl w:val="0"/>
        <w:tabs>
          <w:tab w:val="left" w:pos="6700"/>
        </w:tabs>
        <w:spacing w:after="120"/>
        <w:jc w:val="center"/>
        <w:rPr>
          <w:rFonts w:cs="Arial"/>
          <w:b/>
          <w:sz w:val="32"/>
          <w:szCs w:val="32"/>
        </w:rPr>
      </w:pPr>
    </w:p>
    <w:p w14:paraId="2FCE336E" w14:textId="77777777" w:rsidR="00B6012C" w:rsidRPr="00FF2916" w:rsidRDefault="00B6012C" w:rsidP="001955CD">
      <w:pPr>
        <w:widowControl w:val="0"/>
        <w:tabs>
          <w:tab w:val="left" w:pos="6700"/>
        </w:tabs>
        <w:spacing w:after="120"/>
        <w:jc w:val="center"/>
        <w:rPr>
          <w:rFonts w:cs="Arial"/>
          <w:b/>
          <w:sz w:val="32"/>
          <w:szCs w:val="32"/>
        </w:rPr>
      </w:pPr>
    </w:p>
    <w:p w14:paraId="1497D3BD" w14:textId="5D91FC29" w:rsidR="00B6012C" w:rsidRPr="00FF2916" w:rsidRDefault="00DD0EB5" w:rsidP="001955CD">
      <w:pPr>
        <w:pStyle w:val="Heading7"/>
        <w:rPr>
          <w:rFonts w:ascii="Arial" w:hAnsi="Arial" w:cs="Arial"/>
          <w:lang w:val="en-AU"/>
        </w:rPr>
      </w:pPr>
      <w:r w:rsidRPr="00FF2916">
        <w:rPr>
          <w:rFonts w:ascii="Arial" w:hAnsi="Arial" w:cs="Arial"/>
          <w:lang w:val="en-AU"/>
        </w:rPr>
        <w:t>February 2018</w:t>
      </w:r>
    </w:p>
    <w:p w14:paraId="1FA2A5CC" w14:textId="77777777" w:rsidR="00B6012C" w:rsidRPr="00FF2916" w:rsidRDefault="00B6012C" w:rsidP="001955CD">
      <w:pPr>
        <w:rPr>
          <w:rFonts w:cs="Arial"/>
        </w:rPr>
      </w:pPr>
    </w:p>
    <w:p w14:paraId="3DBF3610" w14:textId="77777777" w:rsidR="00B6012C" w:rsidRPr="00FF2916" w:rsidRDefault="00B6012C" w:rsidP="001955CD">
      <w:pPr>
        <w:rPr>
          <w:rFonts w:cs="Arial"/>
        </w:rPr>
      </w:pPr>
    </w:p>
    <w:p w14:paraId="6B89CB11" w14:textId="77777777" w:rsidR="00B6012C" w:rsidRPr="00FF2916" w:rsidRDefault="00B6012C" w:rsidP="001955CD">
      <w:pPr>
        <w:rPr>
          <w:rFonts w:cs="Arial"/>
        </w:rPr>
      </w:pPr>
    </w:p>
    <w:p w14:paraId="2040416A" w14:textId="77777777" w:rsidR="00B6012C" w:rsidRPr="00FF2916" w:rsidRDefault="00B6012C" w:rsidP="001955CD">
      <w:pPr>
        <w:rPr>
          <w:rFonts w:cs="Arial"/>
        </w:rPr>
      </w:pPr>
    </w:p>
    <w:p w14:paraId="14A3BEB2" w14:textId="50EC75C3" w:rsidR="008D1527" w:rsidRPr="00FF2916" w:rsidRDefault="008D1527" w:rsidP="00C743A7">
      <w:pPr>
        <w:rPr>
          <w:rFonts w:cs="Arial"/>
        </w:rPr>
      </w:pPr>
    </w:p>
    <w:p w14:paraId="24DA6FA5" w14:textId="77777777" w:rsidR="008D1527" w:rsidRPr="00FF2916" w:rsidRDefault="008D1527" w:rsidP="00C743A7">
      <w:pPr>
        <w:rPr>
          <w:rFonts w:cs="Arial"/>
        </w:rPr>
      </w:pPr>
    </w:p>
    <w:p w14:paraId="53A9D551" w14:textId="77777777" w:rsidR="008D1527" w:rsidRPr="00FF2916" w:rsidRDefault="008D1527" w:rsidP="00C743A7">
      <w:pPr>
        <w:rPr>
          <w:rFonts w:cs="Arial"/>
        </w:rPr>
      </w:pPr>
    </w:p>
    <w:p w14:paraId="2F200DE5" w14:textId="77777777" w:rsidR="008D1527" w:rsidRPr="00FF2916" w:rsidRDefault="008D1527" w:rsidP="00C743A7">
      <w:pPr>
        <w:rPr>
          <w:rFonts w:cs="Arial"/>
        </w:rPr>
      </w:pPr>
    </w:p>
    <w:p w14:paraId="5D8A0E45" w14:textId="77777777" w:rsidR="008D1527" w:rsidRDefault="008D1527" w:rsidP="00C743A7">
      <w:pPr>
        <w:rPr>
          <w:rFonts w:cs="Arial"/>
        </w:rPr>
      </w:pPr>
    </w:p>
    <w:p w14:paraId="5D4D82CF" w14:textId="77777777" w:rsidR="008D1527" w:rsidRDefault="008D1527" w:rsidP="00C743A7">
      <w:pPr>
        <w:rPr>
          <w:rFonts w:cs="Arial"/>
        </w:rPr>
        <w:sectPr w:rsidR="008D1527" w:rsidSect="0002045F">
          <w:headerReference w:type="even" r:id="rId8"/>
          <w:headerReference w:type="default" r:id="rId9"/>
          <w:footerReference w:type="even" r:id="rId10"/>
          <w:footerReference w:type="default" r:id="rId11"/>
          <w:headerReference w:type="first" r:id="rId12"/>
          <w:footerReference w:type="first" r:id="rId13"/>
          <w:pgSz w:w="11906" w:h="16838"/>
          <w:pgMar w:top="1021" w:right="1021" w:bottom="1021" w:left="1021" w:header="709" w:footer="709" w:gutter="0"/>
          <w:pgNumType w:fmt="lowerRoman" w:start="1"/>
          <w:cols w:space="708"/>
          <w:docGrid w:linePitch="360"/>
        </w:sectPr>
      </w:pPr>
    </w:p>
    <w:p w14:paraId="72593CD4" w14:textId="05E27FCD" w:rsidR="008D1527" w:rsidRDefault="008D1527" w:rsidP="00C743A7">
      <w:pPr>
        <w:rPr>
          <w:rFonts w:cs="Arial"/>
        </w:rPr>
      </w:pPr>
    </w:p>
    <w:p w14:paraId="358F8C71" w14:textId="5388AAC3" w:rsidR="00DD0EB5" w:rsidRDefault="00DD0EB5" w:rsidP="00C743A7">
      <w:pPr>
        <w:rPr>
          <w:rFonts w:cs="Arial"/>
        </w:rPr>
      </w:pPr>
    </w:p>
    <w:p w14:paraId="479FABA5" w14:textId="77777777" w:rsidR="00DD0EB5" w:rsidRDefault="00DD0EB5" w:rsidP="00C743A7">
      <w:pPr>
        <w:rPr>
          <w:rFonts w:cs="Arial"/>
        </w:rPr>
      </w:pPr>
    </w:p>
    <w:p w14:paraId="0AA2B780" w14:textId="77777777" w:rsidR="00DD0EB5" w:rsidRDefault="00DD0EB5" w:rsidP="00C743A7">
      <w:pPr>
        <w:rPr>
          <w:rFonts w:cs="Arial"/>
        </w:rPr>
      </w:pPr>
    </w:p>
    <w:p w14:paraId="71BDE976" w14:textId="77777777" w:rsidR="00DD0EB5" w:rsidRDefault="00DD0EB5" w:rsidP="00C743A7">
      <w:pPr>
        <w:rPr>
          <w:rFonts w:cs="Arial"/>
        </w:rPr>
      </w:pPr>
    </w:p>
    <w:p w14:paraId="1A6EAA9C" w14:textId="3B0750AA" w:rsidR="008D1527" w:rsidRDefault="008D1527" w:rsidP="00C743A7">
      <w:pPr>
        <w:rPr>
          <w:rFonts w:cs="Arial"/>
        </w:rPr>
      </w:pPr>
    </w:p>
    <w:p w14:paraId="0F57EC0C" w14:textId="77777777" w:rsidR="008D1527" w:rsidRDefault="008D1527" w:rsidP="00C743A7">
      <w:pPr>
        <w:rPr>
          <w:rFonts w:cs="Arial"/>
        </w:rPr>
      </w:pPr>
    </w:p>
    <w:p w14:paraId="62B922FD" w14:textId="77777777" w:rsidR="008D1527" w:rsidRDefault="008D1527" w:rsidP="00C743A7">
      <w:pPr>
        <w:rPr>
          <w:rFonts w:cs="Arial"/>
        </w:rPr>
      </w:pPr>
    </w:p>
    <w:p w14:paraId="43D61239" w14:textId="77777777" w:rsidR="008D1527" w:rsidRDefault="008D1527" w:rsidP="00C743A7">
      <w:pPr>
        <w:rPr>
          <w:rFonts w:cs="Arial"/>
        </w:rPr>
      </w:pPr>
    </w:p>
    <w:p w14:paraId="645152CA" w14:textId="77777777" w:rsidR="008D1527" w:rsidRDefault="008D1527" w:rsidP="00C743A7">
      <w:pPr>
        <w:rPr>
          <w:rFonts w:cs="Arial"/>
        </w:rPr>
      </w:pPr>
    </w:p>
    <w:p w14:paraId="0A545138" w14:textId="77777777" w:rsidR="008D1527" w:rsidRDefault="008D1527" w:rsidP="00C743A7">
      <w:pPr>
        <w:rPr>
          <w:rFonts w:cs="Arial"/>
        </w:rPr>
      </w:pPr>
    </w:p>
    <w:p w14:paraId="16966D40" w14:textId="77777777" w:rsidR="008D1527" w:rsidRDefault="008D1527" w:rsidP="00C743A7">
      <w:pPr>
        <w:rPr>
          <w:rFonts w:cs="Arial"/>
        </w:rPr>
      </w:pPr>
    </w:p>
    <w:p w14:paraId="2D820B51" w14:textId="77777777" w:rsidR="008D1527" w:rsidRDefault="008D1527" w:rsidP="00C743A7">
      <w:pPr>
        <w:rPr>
          <w:rFonts w:cs="Arial"/>
        </w:rPr>
      </w:pPr>
    </w:p>
    <w:p w14:paraId="59863B78" w14:textId="77777777" w:rsidR="008D1527" w:rsidRDefault="008D1527" w:rsidP="00C743A7">
      <w:pPr>
        <w:rPr>
          <w:rFonts w:cs="Arial"/>
        </w:rPr>
      </w:pPr>
    </w:p>
    <w:p w14:paraId="6734A179" w14:textId="77777777" w:rsidR="008D1527" w:rsidRDefault="008D1527" w:rsidP="00C743A7">
      <w:pPr>
        <w:rPr>
          <w:rFonts w:cs="Arial"/>
        </w:rPr>
      </w:pPr>
    </w:p>
    <w:p w14:paraId="34F1573D" w14:textId="77777777" w:rsidR="008D1527" w:rsidRDefault="008D1527" w:rsidP="00C743A7">
      <w:pPr>
        <w:rPr>
          <w:rFonts w:cs="Arial"/>
        </w:rPr>
      </w:pPr>
    </w:p>
    <w:p w14:paraId="522BA027" w14:textId="77777777" w:rsidR="008D1527" w:rsidRDefault="008D1527" w:rsidP="00C743A7">
      <w:pPr>
        <w:rPr>
          <w:rFonts w:cs="Arial"/>
        </w:rPr>
      </w:pPr>
    </w:p>
    <w:p w14:paraId="1C5E6CAE" w14:textId="77777777" w:rsidR="008D1527" w:rsidRDefault="008D1527" w:rsidP="00C743A7">
      <w:pPr>
        <w:rPr>
          <w:rFonts w:cs="Arial"/>
        </w:rPr>
      </w:pPr>
    </w:p>
    <w:p w14:paraId="03D4CE45" w14:textId="77777777" w:rsidR="008D1527" w:rsidRDefault="008D1527" w:rsidP="00C743A7">
      <w:pPr>
        <w:rPr>
          <w:rFonts w:cs="Arial"/>
        </w:rPr>
      </w:pPr>
    </w:p>
    <w:p w14:paraId="108E0CF2" w14:textId="77777777" w:rsidR="00DD0EB5" w:rsidRDefault="00DD0EB5" w:rsidP="00C743A7">
      <w:pPr>
        <w:rPr>
          <w:rFonts w:cs="Arial"/>
        </w:rPr>
      </w:pPr>
    </w:p>
    <w:p w14:paraId="746C0CC5" w14:textId="77777777" w:rsidR="00DD0EB5" w:rsidRDefault="00DD0EB5" w:rsidP="00C743A7">
      <w:pPr>
        <w:rPr>
          <w:rFonts w:cs="Arial"/>
        </w:rPr>
      </w:pPr>
    </w:p>
    <w:p w14:paraId="1A3F7BBD" w14:textId="77777777" w:rsidR="00DD0EB5" w:rsidRDefault="00DD0EB5" w:rsidP="00C743A7">
      <w:pPr>
        <w:rPr>
          <w:rFonts w:cs="Arial"/>
        </w:rPr>
      </w:pPr>
    </w:p>
    <w:p w14:paraId="2D0ECC9D" w14:textId="77777777" w:rsidR="00DD0EB5" w:rsidRDefault="00DD0EB5" w:rsidP="00C743A7">
      <w:pPr>
        <w:rPr>
          <w:rFonts w:cs="Arial"/>
        </w:rPr>
      </w:pPr>
    </w:p>
    <w:p w14:paraId="0E5E8E06" w14:textId="77777777" w:rsidR="00DD0EB5" w:rsidRDefault="00DD0EB5" w:rsidP="00C743A7">
      <w:pPr>
        <w:rPr>
          <w:rFonts w:cs="Arial"/>
        </w:rPr>
      </w:pPr>
    </w:p>
    <w:p w14:paraId="08E5053E" w14:textId="77777777" w:rsidR="00DD0EB5" w:rsidRDefault="00DD0EB5" w:rsidP="00C743A7">
      <w:pPr>
        <w:rPr>
          <w:rFonts w:cs="Arial"/>
        </w:rPr>
      </w:pPr>
    </w:p>
    <w:p w14:paraId="59F4AE7A" w14:textId="77777777" w:rsidR="00DD0EB5" w:rsidRDefault="00DD0EB5" w:rsidP="00C743A7">
      <w:pPr>
        <w:rPr>
          <w:rFonts w:cs="Arial"/>
        </w:rPr>
      </w:pPr>
    </w:p>
    <w:p w14:paraId="0D164170" w14:textId="05429254" w:rsidR="00A754FF" w:rsidRDefault="00A754FF" w:rsidP="00C743A7">
      <w:pPr>
        <w:rPr>
          <w:rFonts w:cs="Arial"/>
        </w:rPr>
      </w:pPr>
    </w:p>
    <w:p w14:paraId="7D92D6AC" w14:textId="77777777" w:rsidR="00A754FF" w:rsidRDefault="00A754FF" w:rsidP="00C743A7">
      <w:pPr>
        <w:rPr>
          <w:rFonts w:cs="Arial"/>
        </w:rPr>
      </w:pPr>
    </w:p>
    <w:p w14:paraId="56AADFBF" w14:textId="77777777" w:rsidR="00A754FF" w:rsidRPr="00F6308F" w:rsidRDefault="00A754FF" w:rsidP="00C743A7">
      <w:pPr>
        <w:rPr>
          <w:rFonts w:cs="Arial"/>
        </w:rPr>
      </w:pPr>
    </w:p>
    <w:p w14:paraId="7C167C8F" w14:textId="1D4C748C"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0A5D28">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01963B85" w:rsidR="00C743A7" w:rsidRPr="000A5D28" w:rsidRDefault="00C743A7" w:rsidP="00C743A7">
      <w:pPr>
        <w:pStyle w:val="NormalWeb"/>
        <w:rPr>
          <w:rFonts w:ascii="Arial" w:hAnsi="Arial" w:cs="Arial"/>
          <w:sz w:val="16"/>
          <w:szCs w:val="16"/>
        </w:rPr>
      </w:pPr>
      <w:r w:rsidRPr="000A5D28">
        <w:rPr>
          <w:rFonts w:ascii="Arial" w:hAnsi="Arial" w:cs="Arial"/>
          <w:i/>
          <w:sz w:val="16"/>
          <w:szCs w:val="16"/>
        </w:rPr>
        <w:t xml:space="preserve">Assessment of the </w:t>
      </w:r>
      <w:r w:rsidR="000A5D28" w:rsidRPr="000A5D28">
        <w:rPr>
          <w:rFonts w:ascii="Arial" w:hAnsi="Arial" w:cs="Arial"/>
          <w:i/>
          <w:sz w:val="16"/>
          <w:szCs w:val="16"/>
        </w:rPr>
        <w:t xml:space="preserve">South Australian Lakes and Coorong </w:t>
      </w:r>
      <w:r w:rsidRPr="000A5D28">
        <w:rPr>
          <w:rFonts w:ascii="Arial" w:hAnsi="Arial" w:cs="Arial"/>
          <w:i/>
          <w:sz w:val="16"/>
          <w:szCs w:val="16"/>
        </w:rPr>
        <w:t>Fishery</w:t>
      </w:r>
      <w:r w:rsidR="000A5D28" w:rsidRPr="000A5D28">
        <w:rPr>
          <w:rFonts w:ascii="Arial" w:hAnsi="Arial" w:cs="Arial"/>
          <w:i/>
          <w:sz w:val="16"/>
          <w:szCs w:val="16"/>
        </w:rPr>
        <w:t>, February 2018</w:t>
      </w:r>
      <w:r w:rsidRPr="000A5D28">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626BC262" w:rsidR="00C743A7" w:rsidRPr="00480A40" w:rsidRDefault="00C743A7" w:rsidP="00C743A7">
      <w:pPr>
        <w:pStyle w:val="NormalWeb"/>
        <w:rPr>
          <w:rFonts w:ascii="Arial" w:hAnsi="Arial" w:cs="Arial"/>
          <w:sz w:val="16"/>
          <w:szCs w:val="16"/>
        </w:rPr>
      </w:pPr>
      <w:r w:rsidRPr="000A5D28">
        <w:rPr>
          <w:rFonts w:ascii="Arial" w:hAnsi="Arial" w:cs="Arial"/>
          <w:sz w:val="16"/>
          <w:szCs w:val="16"/>
        </w:rPr>
        <w:t>This report should be attributed as ‘</w:t>
      </w:r>
      <w:r w:rsidRPr="000A5D28">
        <w:rPr>
          <w:rFonts w:ascii="Arial" w:hAnsi="Arial" w:cs="Arial"/>
          <w:i/>
          <w:sz w:val="16"/>
          <w:szCs w:val="16"/>
        </w:rPr>
        <w:t xml:space="preserve">Assessment of the </w:t>
      </w:r>
      <w:r w:rsidR="000A5D28" w:rsidRPr="000A5D28">
        <w:rPr>
          <w:rFonts w:ascii="Arial" w:hAnsi="Arial" w:cs="Arial"/>
          <w:i/>
          <w:sz w:val="16"/>
          <w:szCs w:val="16"/>
        </w:rPr>
        <w:t>South Australian Lakes and Coorong Fishery, February 2018</w:t>
      </w:r>
      <w:r w:rsidRPr="000A5D28">
        <w:rPr>
          <w:rFonts w:ascii="Arial" w:hAnsi="Arial" w:cs="Arial"/>
          <w:sz w:val="16"/>
          <w:szCs w:val="16"/>
        </w:rPr>
        <w:t xml:space="preserve">, Commonwealth of Australia </w:t>
      </w:r>
      <w:r w:rsidR="000A5D28" w:rsidRPr="000A5D28">
        <w:rPr>
          <w:rFonts w:ascii="Arial" w:hAnsi="Arial" w:cs="Arial"/>
          <w:sz w:val="16"/>
          <w:szCs w:val="16"/>
        </w:rPr>
        <w:t>2018</w:t>
      </w:r>
      <w:r w:rsidRPr="000A5D28">
        <w:rPr>
          <w:rFonts w:ascii="Arial" w:hAnsi="Arial" w:cs="Arial"/>
          <w:sz w:val="16"/>
          <w:szCs w:val="16"/>
        </w:rPr>
        <w:t>’.</w:t>
      </w:r>
    </w:p>
    <w:p w14:paraId="0D5442F5" w14:textId="77777777"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A14FF4" w:rsidRDefault="00C743A7" w:rsidP="005E2D35">
      <w:pPr>
        <w:pStyle w:val="Heading1"/>
      </w:pPr>
    </w:p>
    <w:p w14:paraId="22892739" w14:textId="77777777" w:rsidR="00DD0EB5" w:rsidRDefault="00DD0EB5">
      <w:pPr>
        <w:spacing w:after="0"/>
        <w:rPr>
          <w:rFonts w:cs="Arial"/>
          <w:b/>
          <w:noProof/>
        </w:rPr>
      </w:pPr>
      <w:r>
        <w:rPr>
          <w:rFonts w:cs="Arial"/>
          <w:b/>
          <w:noProof/>
        </w:rPr>
        <w:br w:type="page"/>
      </w:r>
    </w:p>
    <w:p w14:paraId="02B28223" w14:textId="77777777" w:rsidR="00DD0EB5" w:rsidRDefault="00DD0EB5" w:rsidP="00DD0EB5">
      <w:pPr>
        <w:tabs>
          <w:tab w:val="right" w:leader="dot" w:pos="8302"/>
        </w:tabs>
        <w:ind w:left="1166" w:right="792" w:hanging="1166"/>
        <w:rPr>
          <w:rFonts w:cs="Arial"/>
          <w:b/>
          <w:noProof/>
          <w:webHidden/>
        </w:rPr>
      </w:pPr>
    </w:p>
    <w:sdt>
      <w:sdtPr>
        <w:rPr>
          <w:b w:val="0"/>
          <w:bCs w:val="0"/>
          <w:sz w:val="18"/>
        </w:rPr>
        <w:id w:val="992149566"/>
        <w:docPartObj>
          <w:docPartGallery w:val="Table of Contents"/>
          <w:docPartUnique/>
        </w:docPartObj>
      </w:sdtPr>
      <w:sdtEndPr>
        <w:rPr>
          <w:noProof/>
        </w:rPr>
      </w:sdtEndPr>
      <w:sdtContent>
        <w:p w14:paraId="153736AF" w14:textId="77777777" w:rsidR="00DD0EB5" w:rsidRPr="00E21050" w:rsidRDefault="00DD0EB5" w:rsidP="00E21050">
          <w:pPr>
            <w:pStyle w:val="Heading5"/>
          </w:pPr>
          <w:r w:rsidRPr="00E21050">
            <w:t>CONTENTS</w:t>
          </w:r>
        </w:p>
        <w:p w14:paraId="02399360" w14:textId="60755D67" w:rsidR="00DD0EB5" w:rsidRDefault="00DD0EB5" w:rsidP="00DD0EB5">
          <w:pPr>
            <w:pStyle w:val="TOC1"/>
          </w:pPr>
        </w:p>
        <w:p w14:paraId="087F9E30" w14:textId="77777777" w:rsidR="00E21050" w:rsidRDefault="00DD0EB5">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06553890" w:history="1">
            <w:r w:rsidR="00E21050" w:rsidRPr="00A41A65">
              <w:rPr>
                <w:rStyle w:val="Hyperlink"/>
              </w:rPr>
              <w:t>Executive Summary of the Assessment of the South Australian Lakes and Coorong Fishery</w:t>
            </w:r>
            <w:r w:rsidR="00E21050">
              <w:rPr>
                <w:webHidden/>
              </w:rPr>
              <w:tab/>
            </w:r>
            <w:r w:rsidR="00E21050">
              <w:rPr>
                <w:webHidden/>
              </w:rPr>
              <w:fldChar w:fldCharType="begin"/>
            </w:r>
            <w:r w:rsidR="00E21050">
              <w:rPr>
                <w:webHidden/>
              </w:rPr>
              <w:instrText xml:space="preserve"> PAGEREF _Toc506553890 \h </w:instrText>
            </w:r>
            <w:r w:rsidR="00E21050">
              <w:rPr>
                <w:webHidden/>
              </w:rPr>
            </w:r>
            <w:r w:rsidR="00E21050">
              <w:rPr>
                <w:webHidden/>
              </w:rPr>
              <w:fldChar w:fldCharType="separate"/>
            </w:r>
            <w:r w:rsidR="000F6BD4">
              <w:rPr>
                <w:webHidden/>
              </w:rPr>
              <w:t>1</w:t>
            </w:r>
            <w:r w:rsidR="00E21050">
              <w:rPr>
                <w:webHidden/>
              </w:rPr>
              <w:fldChar w:fldCharType="end"/>
            </w:r>
          </w:hyperlink>
        </w:p>
        <w:p w14:paraId="22E452A2" w14:textId="77777777" w:rsidR="00E21050" w:rsidRDefault="00906B2A">
          <w:pPr>
            <w:pStyle w:val="TOC1"/>
            <w:rPr>
              <w:rFonts w:asciiTheme="minorHAnsi" w:eastAsiaTheme="minorEastAsia" w:hAnsiTheme="minorHAnsi" w:cstheme="minorBidi"/>
              <w:sz w:val="22"/>
              <w:szCs w:val="22"/>
            </w:rPr>
          </w:pPr>
          <w:hyperlink w:anchor="_Toc506553891" w:history="1">
            <w:r w:rsidR="00E21050" w:rsidRPr="00A41A65">
              <w:rPr>
                <w:rStyle w:val="Hyperlink"/>
              </w:rPr>
              <w:t>Section 1: Assessment Summary of the South Australian Lakes and Coorong Fishery Against the Guidelines for the Ecologically Sustainable Management of Fisheries (2nd Edition), Consistent with the EPBC Act.</w:t>
            </w:r>
            <w:r w:rsidR="00E21050">
              <w:rPr>
                <w:webHidden/>
              </w:rPr>
              <w:tab/>
            </w:r>
            <w:r w:rsidR="00E21050">
              <w:rPr>
                <w:webHidden/>
              </w:rPr>
              <w:fldChar w:fldCharType="begin"/>
            </w:r>
            <w:r w:rsidR="00E21050">
              <w:rPr>
                <w:webHidden/>
              </w:rPr>
              <w:instrText xml:space="preserve"> PAGEREF _Toc506553891 \h </w:instrText>
            </w:r>
            <w:r w:rsidR="00E21050">
              <w:rPr>
                <w:webHidden/>
              </w:rPr>
            </w:r>
            <w:r w:rsidR="00E21050">
              <w:rPr>
                <w:webHidden/>
              </w:rPr>
              <w:fldChar w:fldCharType="separate"/>
            </w:r>
            <w:r w:rsidR="000F6BD4">
              <w:rPr>
                <w:webHidden/>
              </w:rPr>
              <w:t>3</w:t>
            </w:r>
            <w:r w:rsidR="00E21050">
              <w:rPr>
                <w:webHidden/>
              </w:rPr>
              <w:fldChar w:fldCharType="end"/>
            </w:r>
          </w:hyperlink>
        </w:p>
        <w:p w14:paraId="2C42D75C" w14:textId="77777777" w:rsidR="00E21050" w:rsidRDefault="00906B2A">
          <w:pPr>
            <w:pStyle w:val="TOC1"/>
            <w:rPr>
              <w:rFonts w:asciiTheme="minorHAnsi" w:eastAsiaTheme="minorEastAsia" w:hAnsiTheme="minorHAnsi" w:cstheme="minorBidi"/>
              <w:sz w:val="22"/>
              <w:szCs w:val="22"/>
            </w:rPr>
          </w:pPr>
          <w:hyperlink w:anchor="_Toc506553892" w:history="1">
            <w:r w:rsidR="00E21050" w:rsidRPr="00A41A65">
              <w:rPr>
                <w:rStyle w:val="Hyperlink"/>
              </w:rPr>
              <w:t>Section 2: Detailed Analysis of the South Australian Lakes and Coorong Fishery Against the Guidelines for the Ecologically Sustainable Management of Fisheries (2nd Edition)</w:t>
            </w:r>
            <w:r w:rsidR="00E21050">
              <w:rPr>
                <w:webHidden/>
              </w:rPr>
              <w:tab/>
            </w:r>
            <w:r w:rsidR="00E21050">
              <w:rPr>
                <w:webHidden/>
              </w:rPr>
              <w:fldChar w:fldCharType="begin"/>
            </w:r>
            <w:r w:rsidR="00E21050">
              <w:rPr>
                <w:webHidden/>
              </w:rPr>
              <w:instrText xml:space="preserve"> PAGEREF _Toc506553892 \h </w:instrText>
            </w:r>
            <w:r w:rsidR="00E21050">
              <w:rPr>
                <w:webHidden/>
              </w:rPr>
            </w:r>
            <w:r w:rsidR="00E21050">
              <w:rPr>
                <w:webHidden/>
              </w:rPr>
              <w:fldChar w:fldCharType="separate"/>
            </w:r>
            <w:r w:rsidR="000F6BD4">
              <w:rPr>
                <w:webHidden/>
              </w:rPr>
              <w:t>6</w:t>
            </w:r>
            <w:r w:rsidR="00E21050">
              <w:rPr>
                <w:webHidden/>
              </w:rPr>
              <w:fldChar w:fldCharType="end"/>
            </w:r>
          </w:hyperlink>
        </w:p>
        <w:p w14:paraId="1B4CBB57" w14:textId="77777777" w:rsidR="00E21050" w:rsidRDefault="00906B2A">
          <w:pPr>
            <w:pStyle w:val="TOC1"/>
            <w:rPr>
              <w:rFonts w:asciiTheme="minorHAnsi" w:eastAsiaTheme="minorEastAsia" w:hAnsiTheme="minorHAnsi" w:cstheme="minorBidi"/>
              <w:sz w:val="22"/>
              <w:szCs w:val="22"/>
            </w:rPr>
          </w:pPr>
          <w:hyperlink w:anchor="_Toc506553893" w:history="1">
            <w:r w:rsidR="00E21050" w:rsidRPr="00A41A65">
              <w:rPr>
                <w:rStyle w:val="Hyperlink"/>
              </w:rPr>
              <w:t>Section 3: Assessment of the South Australian Lakes and Coorong Fishery Against the Requrements of the EPBC Act</w:t>
            </w:r>
            <w:r w:rsidR="00E21050">
              <w:rPr>
                <w:webHidden/>
              </w:rPr>
              <w:tab/>
            </w:r>
            <w:r w:rsidR="00E21050">
              <w:rPr>
                <w:webHidden/>
              </w:rPr>
              <w:fldChar w:fldCharType="begin"/>
            </w:r>
            <w:r w:rsidR="00E21050">
              <w:rPr>
                <w:webHidden/>
              </w:rPr>
              <w:instrText xml:space="preserve"> PAGEREF _Toc506553893 \h </w:instrText>
            </w:r>
            <w:r w:rsidR="00E21050">
              <w:rPr>
                <w:webHidden/>
              </w:rPr>
            </w:r>
            <w:r w:rsidR="00E21050">
              <w:rPr>
                <w:webHidden/>
              </w:rPr>
              <w:fldChar w:fldCharType="separate"/>
            </w:r>
            <w:r w:rsidR="000F6BD4">
              <w:rPr>
                <w:webHidden/>
              </w:rPr>
              <w:t>15</w:t>
            </w:r>
            <w:r w:rsidR="00E21050">
              <w:rPr>
                <w:webHidden/>
              </w:rPr>
              <w:fldChar w:fldCharType="end"/>
            </w:r>
          </w:hyperlink>
        </w:p>
        <w:p w14:paraId="69BBC70E" w14:textId="77777777" w:rsidR="00E21050" w:rsidRDefault="00906B2A">
          <w:pPr>
            <w:pStyle w:val="TOC1"/>
            <w:rPr>
              <w:rFonts w:asciiTheme="minorHAnsi" w:eastAsiaTheme="minorEastAsia" w:hAnsiTheme="minorHAnsi" w:cstheme="minorBidi"/>
              <w:sz w:val="22"/>
              <w:szCs w:val="22"/>
            </w:rPr>
          </w:pPr>
          <w:hyperlink w:anchor="_Toc506553894" w:history="1">
            <w:r w:rsidR="00E21050" w:rsidRPr="00A41A65">
              <w:rPr>
                <w:rStyle w:val="Hyperlink"/>
              </w:rPr>
              <w:t>Section 4: South Australian Lakes and Coorong Fishery – Summary of Issues Requiring Conditions, February 2018</w:t>
            </w:r>
            <w:r w:rsidR="00E21050">
              <w:rPr>
                <w:webHidden/>
              </w:rPr>
              <w:tab/>
            </w:r>
            <w:r w:rsidR="00E21050">
              <w:rPr>
                <w:webHidden/>
              </w:rPr>
              <w:fldChar w:fldCharType="begin"/>
            </w:r>
            <w:r w:rsidR="00E21050">
              <w:rPr>
                <w:webHidden/>
              </w:rPr>
              <w:instrText xml:space="preserve"> PAGEREF _Toc506553894 \h </w:instrText>
            </w:r>
            <w:r w:rsidR="00E21050">
              <w:rPr>
                <w:webHidden/>
              </w:rPr>
            </w:r>
            <w:r w:rsidR="00E21050">
              <w:rPr>
                <w:webHidden/>
              </w:rPr>
              <w:fldChar w:fldCharType="separate"/>
            </w:r>
            <w:r w:rsidR="000F6BD4">
              <w:rPr>
                <w:webHidden/>
              </w:rPr>
              <w:t>19</w:t>
            </w:r>
            <w:r w:rsidR="00E21050">
              <w:rPr>
                <w:webHidden/>
              </w:rPr>
              <w:fldChar w:fldCharType="end"/>
            </w:r>
          </w:hyperlink>
        </w:p>
        <w:p w14:paraId="63D044BE" w14:textId="77777777" w:rsidR="00E21050" w:rsidRDefault="00906B2A">
          <w:pPr>
            <w:pStyle w:val="TOC1"/>
            <w:rPr>
              <w:rFonts w:asciiTheme="minorHAnsi" w:eastAsiaTheme="minorEastAsia" w:hAnsiTheme="minorHAnsi" w:cstheme="minorBidi"/>
              <w:sz w:val="22"/>
              <w:szCs w:val="22"/>
            </w:rPr>
          </w:pPr>
          <w:hyperlink w:anchor="_Toc506553895" w:history="1">
            <w:r w:rsidR="00E21050" w:rsidRPr="00A41A65">
              <w:rPr>
                <w:rStyle w:val="Hyperlink"/>
              </w:rPr>
              <w:t>References</w:t>
            </w:r>
            <w:r w:rsidR="00E21050">
              <w:rPr>
                <w:webHidden/>
              </w:rPr>
              <w:tab/>
            </w:r>
            <w:r w:rsidR="00E21050">
              <w:rPr>
                <w:webHidden/>
              </w:rPr>
              <w:fldChar w:fldCharType="begin"/>
            </w:r>
            <w:r w:rsidR="00E21050">
              <w:rPr>
                <w:webHidden/>
              </w:rPr>
              <w:instrText xml:space="preserve"> PAGEREF _Toc506553895 \h </w:instrText>
            </w:r>
            <w:r w:rsidR="00E21050">
              <w:rPr>
                <w:webHidden/>
              </w:rPr>
            </w:r>
            <w:r w:rsidR="00E21050">
              <w:rPr>
                <w:webHidden/>
              </w:rPr>
              <w:fldChar w:fldCharType="separate"/>
            </w:r>
            <w:r w:rsidR="000F6BD4">
              <w:rPr>
                <w:webHidden/>
              </w:rPr>
              <w:t>22</w:t>
            </w:r>
            <w:r w:rsidR="00E21050">
              <w:rPr>
                <w:webHidden/>
              </w:rPr>
              <w:fldChar w:fldCharType="end"/>
            </w:r>
          </w:hyperlink>
        </w:p>
        <w:p w14:paraId="7EA248A2" w14:textId="77777777" w:rsidR="00DD0EB5" w:rsidRPr="00893305" w:rsidRDefault="00DD0EB5" w:rsidP="00E05879">
          <w:pPr>
            <w:jc w:val="both"/>
            <w:rPr>
              <w:rFonts w:cs="Arial"/>
            </w:rPr>
          </w:pPr>
          <w:r w:rsidRPr="00893305">
            <w:rPr>
              <w:rFonts w:cs="Arial"/>
              <w:b/>
              <w:bCs/>
              <w:noProof/>
            </w:rPr>
            <w:fldChar w:fldCharType="end"/>
          </w:r>
        </w:p>
      </w:sdtContent>
    </w:sdt>
    <w:p w14:paraId="32C96ED5" w14:textId="77777777" w:rsidR="00DD0EB5" w:rsidRDefault="00DD0EB5" w:rsidP="00DD0EB5">
      <w:pPr>
        <w:tabs>
          <w:tab w:val="right" w:leader="dot" w:pos="8302"/>
        </w:tabs>
        <w:ind w:left="1166" w:right="792" w:hanging="1166"/>
        <w:rPr>
          <w:rFonts w:cs="Arial"/>
          <w:b/>
          <w:noProof/>
          <w:webHidden/>
        </w:rPr>
      </w:pPr>
    </w:p>
    <w:p w14:paraId="395D3D9A" w14:textId="24529348" w:rsidR="001F4CAA" w:rsidRDefault="001F4CAA" w:rsidP="001955CD">
      <w:pPr>
        <w:rPr>
          <w:rFonts w:cs="Arial"/>
          <w:b/>
        </w:rPr>
      </w:pPr>
    </w:p>
    <w:p w14:paraId="6ACA7029" w14:textId="77777777" w:rsidR="0002045F" w:rsidRDefault="0002045F" w:rsidP="005E2D35">
      <w:pPr>
        <w:pStyle w:val="Heading1"/>
        <w:sectPr w:rsidR="0002045F" w:rsidSect="0002045F">
          <w:pgSz w:w="11906" w:h="16838"/>
          <w:pgMar w:top="1021" w:right="1021" w:bottom="1021" w:left="1021" w:header="709" w:footer="709" w:gutter="0"/>
          <w:pgNumType w:fmt="lowerRoman" w:start="1"/>
          <w:cols w:space="708"/>
          <w:docGrid w:linePitch="360"/>
        </w:sectPr>
      </w:pPr>
    </w:p>
    <w:p w14:paraId="4911004E" w14:textId="46F61D2F" w:rsidR="00CF1DE5" w:rsidRPr="002D1766" w:rsidRDefault="00CF1DE5" w:rsidP="002D1766">
      <w:pPr>
        <w:pStyle w:val="TOCHeading"/>
      </w:pPr>
      <w:bookmarkStart w:id="1" w:name="_Toc506553890"/>
      <w:r w:rsidRPr="002D1766">
        <w:lastRenderedPageBreak/>
        <w:t xml:space="preserve">Executive Summary of the </w:t>
      </w:r>
      <w:r w:rsidR="00DD0EB5" w:rsidRPr="002D1766">
        <w:t>A</w:t>
      </w:r>
      <w:r w:rsidRPr="002D1766">
        <w:t xml:space="preserve">ssessment of the </w:t>
      </w:r>
      <w:r w:rsidR="00DD0EB5" w:rsidRPr="002D1766">
        <w:t>South Australian Lakes and Coorong Fishery</w:t>
      </w:r>
      <w:bookmarkEnd w:id="1"/>
    </w:p>
    <w:p w14:paraId="4FFCD00D" w14:textId="4A0F1E76" w:rsidR="0085563A" w:rsidRDefault="0085563A" w:rsidP="00C10F4E">
      <w:pPr>
        <w:spacing w:before="0" w:after="200"/>
        <w:rPr>
          <w:rFonts w:cs="Arial"/>
          <w:noProof/>
          <w:sz w:val="22"/>
        </w:rPr>
      </w:pPr>
      <w:r w:rsidRPr="00D833F6">
        <w:rPr>
          <w:rFonts w:cs="Arial"/>
          <w:noProof/>
          <w:sz w:val="22"/>
        </w:rPr>
        <w:t xml:space="preserve">In September 2016, the </w:t>
      </w:r>
      <w:r w:rsidRPr="00D833F6">
        <w:rPr>
          <w:rFonts w:cs="Arial"/>
          <w:sz w:val="22"/>
        </w:rPr>
        <w:t>Department received an application to undertake an assessment of the South Australian</w:t>
      </w:r>
      <w:r w:rsidRPr="00D833F6">
        <w:rPr>
          <w:rFonts w:cs="Arial"/>
          <w:i/>
          <w:sz w:val="22"/>
        </w:rPr>
        <w:t xml:space="preserve"> </w:t>
      </w:r>
      <w:r w:rsidRPr="00D833F6">
        <w:rPr>
          <w:rFonts w:cs="Arial"/>
          <w:snapToGrid w:val="0"/>
          <w:sz w:val="22"/>
        </w:rPr>
        <w:t xml:space="preserve">Lakes and Coorong </w:t>
      </w:r>
      <w:r w:rsidRPr="00D833F6">
        <w:rPr>
          <w:rFonts w:cs="Arial"/>
          <w:sz w:val="22"/>
        </w:rPr>
        <w:t>Fishery</w:t>
      </w:r>
      <w:r w:rsidRPr="00D833F6" w:rsidDel="00A64D3C">
        <w:rPr>
          <w:rFonts w:cs="Arial"/>
          <w:sz w:val="22"/>
        </w:rPr>
        <w:t xml:space="preserve"> </w:t>
      </w:r>
      <w:r w:rsidRPr="00D833F6">
        <w:rPr>
          <w:rFonts w:cs="Arial"/>
          <w:sz w:val="22"/>
        </w:rPr>
        <w:t xml:space="preserve">(the </w:t>
      </w:r>
      <w:r w:rsidR="00DC1D92" w:rsidRPr="00D833F6">
        <w:rPr>
          <w:rFonts w:cs="Arial"/>
          <w:sz w:val="22"/>
        </w:rPr>
        <w:t>fishery</w:t>
      </w:r>
      <w:r w:rsidRPr="00D833F6">
        <w:rPr>
          <w:rFonts w:cs="Arial"/>
          <w:sz w:val="22"/>
        </w:rPr>
        <w:t xml:space="preserve">) under the </w:t>
      </w:r>
      <w:r w:rsidRPr="00D833F6">
        <w:rPr>
          <w:rFonts w:cs="Arial"/>
          <w:noProof/>
          <w:sz w:val="22"/>
        </w:rPr>
        <w:t xml:space="preserve">wildlife trade </w:t>
      </w:r>
      <w:r w:rsidRPr="00D833F6">
        <w:rPr>
          <w:rFonts w:cs="Arial"/>
          <w:sz w:val="22"/>
        </w:rPr>
        <w:t xml:space="preserve">provisions of the Commonwealth </w:t>
      </w:r>
      <w:r w:rsidRPr="00D833F6">
        <w:rPr>
          <w:rFonts w:cs="Arial"/>
          <w:i/>
          <w:sz w:val="22"/>
        </w:rPr>
        <w:t>Environment Protection and Biodiversity Conservation Act 1999</w:t>
      </w:r>
      <w:r w:rsidRPr="00D833F6">
        <w:rPr>
          <w:rFonts w:cs="Arial"/>
          <w:sz w:val="22"/>
        </w:rPr>
        <w:t xml:space="preserve"> (EPBC Act).</w:t>
      </w:r>
      <w:r w:rsidRPr="00D833F6">
        <w:rPr>
          <w:rFonts w:cs="Arial"/>
          <w:noProof/>
          <w:sz w:val="22"/>
        </w:rPr>
        <w:t xml:space="preserve"> The sustainability of the fishery’s management arrangements have also been assessed against the Australian Government</w:t>
      </w:r>
      <w:r w:rsidR="00DC1D92" w:rsidRPr="00D833F6">
        <w:rPr>
          <w:rFonts w:cs="Arial"/>
          <w:noProof/>
          <w:sz w:val="22"/>
        </w:rPr>
        <w:t>’s</w:t>
      </w:r>
      <w:r w:rsidRPr="00D833F6">
        <w:rPr>
          <w:rFonts w:cs="Arial"/>
          <w:noProof/>
          <w:sz w:val="22"/>
        </w:rPr>
        <w:t xml:space="preserve"> ‘Guidelines for the Ecologically Sustainable Management of Fisheries – 2nd Edition’. A public comment period was open from 23 September 2016 until 31 October 2016.</w:t>
      </w:r>
    </w:p>
    <w:p w14:paraId="41AC3A97" w14:textId="1E1F73B9" w:rsidR="0085563A" w:rsidRDefault="0085563A" w:rsidP="00C10F4E">
      <w:pPr>
        <w:spacing w:before="0" w:after="200"/>
        <w:rPr>
          <w:rFonts w:cs="Arial"/>
          <w:snapToGrid w:val="0"/>
          <w:sz w:val="22"/>
        </w:rPr>
      </w:pPr>
      <w:r w:rsidRPr="00D833F6">
        <w:rPr>
          <w:rFonts w:cs="Arial"/>
          <w:sz w:val="22"/>
        </w:rPr>
        <w:t xml:space="preserve">The </w:t>
      </w:r>
      <w:r w:rsidR="00DC1D92" w:rsidRPr="00D833F6">
        <w:rPr>
          <w:rFonts w:cs="Arial"/>
          <w:sz w:val="22"/>
        </w:rPr>
        <w:t>fishery</w:t>
      </w:r>
      <w:r w:rsidRPr="00D833F6">
        <w:rPr>
          <w:rFonts w:cs="Arial"/>
          <w:sz w:val="22"/>
        </w:rPr>
        <w:t xml:space="preserve"> operates under the </w:t>
      </w:r>
      <w:r w:rsidRPr="00D833F6">
        <w:rPr>
          <w:rFonts w:cs="Arial"/>
          <w:i/>
          <w:sz w:val="22"/>
        </w:rPr>
        <w:t>Management Plan for the South Australian Commercial Lakes and Coorong Fishery 2016</w:t>
      </w:r>
      <w:r w:rsidRPr="00D833F6">
        <w:rPr>
          <w:rFonts w:cs="Arial"/>
          <w:sz w:val="22"/>
        </w:rPr>
        <w:t xml:space="preserve">, </w:t>
      </w:r>
      <w:r w:rsidRPr="00D833F6">
        <w:rPr>
          <w:rFonts w:cs="Arial"/>
          <w:snapToGrid w:val="0"/>
          <w:sz w:val="22"/>
        </w:rPr>
        <w:t>the Fisheries Management (Lakes and Coorong Fishery) Regulations 2009 (SA)</w:t>
      </w:r>
      <w:r w:rsidR="00A55311">
        <w:rPr>
          <w:rFonts w:cs="Arial"/>
          <w:snapToGrid w:val="0"/>
          <w:sz w:val="22"/>
        </w:rPr>
        <w:t>, the Fisheries Management Act (2007)</w:t>
      </w:r>
      <w:r w:rsidRPr="00D833F6">
        <w:rPr>
          <w:rFonts w:cs="Arial"/>
          <w:snapToGrid w:val="0"/>
          <w:sz w:val="22"/>
        </w:rPr>
        <w:t xml:space="preserve"> and the Fisheries Management (General) Regulations </w:t>
      </w:r>
      <w:r w:rsidR="00A74176" w:rsidRPr="00D833F6">
        <w:rPr>
          <w:rFonts w:cs="Arial"/>
          <w:snapToGrid w:val="0"/>
          <w:sz w:val="22"/>
        </w:rPr>
        <w:t xml:space="preserve">2017 </w:t>
      </w:r>
      <w:r w:rsidRPr="00D833F6">
        <w:rPr>
          <w:rFonts w:cs="Arial"/>
          <w:snapToGrid w:val="0"/>
          <w:sz w:val="22"/>
        </w:rPr>
        <w:t>(SA)</w:t>
      </w:r>
      <w:r w:rsidR="00A74176" w:rsidRPr="00D833F6">
        <w:rPr>
          <w:rFonts w:cs="Arial"/>
          <w:snapToGrid w:val="0"/>
          <w:sz w:val="22"/>
        </w:rPr>
        <w:t xml:space="preserve"> in force under </w:t>
      </w:r>
      <w:r w:rsidR="00A74176" w:rsidRPr="00D833F6">
        <w:rPr>
          <w:rFonts w:cs="Arial"/>
          <w:sz w:val="22"/>
        </w:rPr>
        <w:t xml:space="preserve">the </w:t>
      </w:r>
      <w:r w:rsidR="00A74176" w:rsidRPr="00D833F6">
        <w:rPr>
          <w:rFonts w:cs="Arial"/>
          <w:i/>
          <w:snapToGrid w:val="0"/>
          <w:sz w:val="22"/>
        </w:rPr>
        <w:t>Fisheries Management Act 2007</w:t>
      </w:r>
      <w:r w:rsidR="00A74176" w:rsidRPr="00D833F6">
        <w:rPr>
          <w:rFonts w:cs="Arial"/>
          <w:snapToGrid w:val="0"/>
          <w:sz w:val="22"/>
        </w:rPr>
        <w:t xml:space="preserve"> (SA)</w:t>
      </w:r>
      <w:r w:rsidRPr="00D833F6">
        <w:rPr>
          <w:rFonts w:cs="Arial"/>
          <w:snapToGrid w:val="0"/>
          <w:sz w:val="22"/>
        </w:rPr>
        <w:t>. In addition, the Draft Management Plan for Recreational Fishing in South Australia 2016 forms the basis of new management arrangements for recreational fishing (excluding Aboriginal traditional fishing). The Fisheries Management Act</w:t>
      </w:r>
      <w:r w:rsidR="00452C1C">
        <w:rPr>
          <w:rFonts w:cs="Arial"/>
          <w:snapToGrid w:val="0"/>
          <w:sz w:val="22"/>
        </w:rPr>
        <w:t xml:space="preserve"> </w:t>
      </w:r>
      <w:r w:rsidRPr="00D833F6">
        <w:rPr>
          <w:rFonts w:cs="Arial"/>
          <w:snapToGrid w:val="0"/>
          <w:sz w:val="22"/>
        </w:rPr>
        <w:t xml:space="preserve">allows PIRSA to develop Aboriginal Traditional Management Plans. </w:t>
      </w:r>
    </w:p>
    <w:p w14:paraId="5310950C" w14:textId="63C8A405" w:rsidR="0085563A" w:rsidRDefault="001F6C8E" w:rsidP="00C10F4E">
      <w:pPr>
        <w:spacing w:before="0" w:after="200"/>
        <w:rPr>
          <w:rFonts w:cs="Arial"/>
          <w:sz w:val="22"/>
        </w:rPr>
      </w:pPr>
      <w:r w:rsidRPr="00D833F6">
        <w:rPr>
          <w:rFonts w:cs="Arial"/>
          <w:sz w:val="22"/>
        </w:rPr>
        <w:t>T</w:t>
      </w:r>
      <w:r w:rsidR="00A74176" w:rsidRPr="00D833F6">
        <w:rPr>
          <w:rFonts w:cs="Arial"/>
          <w:sz w:val="22"/>
        </w:rPr>
        <w:t>he fishing operations</w:t>
      </w:r>
      <w:r w:rsidR="0085563A" w:rsidRPr="00D833F6">
        <w:rPr>
          <w:rFonts w:cs="Arial"/>
          <w:sz w:val="22"/>
        </w:rPr>
        <w:t xml:space="preserve"> are based on three clearly defined habitat and gear sectors – freshwater large-mesh gillnet</w:t>
      </w:r>
      <w:r w:rsidR="00A74176" w:rsidRPr="00D833F6">
        <w:rPr>
          <w:rFonts w:cs="Arial"/>
          <w:sz w:val="22"/>
        </w:rPr>
        <w:t>,</w:t>
      </w:r>
      <w:r w:rsidR="0085563A" w:rsidRPr="00D833F6">
        <w:rPr>
          <w:rFonts w:cs="Arial"/>
          <w:sz w:val="22"/>
        </w:rPr>
        <w:t xml:space="preserve"> estuarine large-mesh gillnet, and estuarine small-net gillnet.</w:t>
      </w:r>
      <w:r w:rsidR="00DE5E0A" w:rsidRPr="00D833F6">
        <w:rPr>
          <w:rFonts w:cs="Arial"/>
          <w:sz w:val="22"/>
        </w:rPr>
        <w:t xml:space="preserve"> Management arrangements include limited entry </w:t>
      </w:r>
      <w:r w:rsidRPr="00D833F6">
        <w:rPr>
          <w:rFonts w:cs="Arial"/>
          <w:sz w:val="22"/>
        </w:rPr>
        <w:t>capped at 36 </w:t>
      </w:r>
      <w:r w:rsidR="00DE5E0A" w:rsidRPr="00D833F6">
        <w:rPr>
          <w:rFonts w:cs="Arial"/>
          <w:sz w:val="22"/>
        </w:rPr>
        <w:t>licences, specific harvest strategies for finfish and pipi, gear restrictions, bag and possession limits</w:t>
      </w:r>
      <w:r w:rsidR="00A74176" w:rsidRPr="00D833F6">
        <w:rPr>
          <w:rFonts w:cs="Arial"/>
          <w:sz w:val="22"/>
        </w:rPr>
        <w:t>,</w:t>
      </w:r>
      <w:r w:rsidR="00DE5E0A" w:rsidRPr="00D833F6">
        <w:rPr>
          <w:rFonts w:cs="Arial"/>
          <w:sz w:val="22"/>
        </w:rPr>
        <w:t xml:space="preserve"> restrictions on the take of Murray cod, and seasonal </w:t>
      </w:r>
      <w:r w:rsidR="003E1F86">
        <w:rPr>
          <w:rFonts w:cs="Arial"/>
          <w:sz w:val="22"/>
        </w:rPr>
        <w:t>a</w:t>
      </w:r>
      <w:r w:rsidR="00DE5E0A" w:rsidRPr="00D833F6">
        <w:rPr>
          <w:rFonts w:cs="Arial"/>
          <w:sz w:val="22"/>
        </w:rPr>
        <w:t>nd area closures.</w:t>
      </w:r>
    </w:p>
    <w:p w14:paraId="3E32D283" w14:textId="52EE7CFC" w:rsidR="0085563A" w:rsidRDefault="002E7D75" w:rsidP="00C10F4E">
      <w:pPr>
        <w:spacing w:before="0" w:after="200"/>
        <w:rPr>
          <w:rFonts w:cs="Arial"/>
          <w:sz w:val="22"/>
        </w:rPr>
      </w:pPr>
      <w:r w:rsidRPr="00D833F6">
        <w:rPr>
          <w:rFonts w:cs="Arial"/>
          <w:sz w:val="22"/>
        </w:rPr>
        <w:t xml:space="preserve">The management arrangements aim to minimise identified risks of fishing on target stocks. </w:t>
      </w:r>
      <w:r w:rsidR="001F6C8E" w:rsidRPr="00D833F6">
        <w:rPr>
          <w:rFonts w:cs="Arial"/>
          <w:sz w:val="22"/>
        </w:rPr>
        <w:t>The fishery</w:t>
      </w:r>
      <w:r w:rsidR="0085563A" w:rsidRPr="00D833F6">
        <w:rPr>
          <w:rFonts w:cs="Arial"/>
          <w:sz w:val="22"/>
        </w:rPr>
        <w:t xml:space="preserve"> target</w:t>
      </w:r>
      <w:r w:rsidR="00452C1C">
        <w:rPr>
          <w:rFonts w:cs="Arial"/>
          <w:sz w:val="22"/>
        </w:rPr>
        <w:t>s</w:t>
      </w:r>
      <w:r w:rsidR="0085563A" w:rsidRPr="00D833F6">
        <w:rPr>
          <w:rFonts w:cs="Arial"/>
          <w:sz w:val="22"/>
        </w:rPr>
        <w:t xml:space="preserve"> black bream, mulloway, greenback flounder, yelloweye mullet, golden perch and pipi</w:t>
      </w:r>
      <w:r w:rsidRPr="00D833F6">
        <w:rPr>
          <w:rFonts w:cs="Arial"/>
          <w:sz w:val="22"/>
        </w:rPr>
        <w:t xml:space="preserve"> as well as the exotic European carp and redfin</w:t>
      </w:r>
      <w:r w:rsidR="001F6C8E" w:rsidRPr="00D833F6">
        <w:rPr>
          <w:rFonts w:cs="Arial"/>
          <w:sz w:val="22"/>
        </w:rPr>
        <w:t xml:space="preserve">. Approximately forty </w:t>
      </w:r>
      <w:r w:rsidR="0085563A" w:rsidRPr="00D833F6">
        <w:rPr>
          <w:rFonts w:cs="Arial"/>
          <w:snapToGrid w:val="0"/>
          <w:sz w:val="22"/>
        </w:rPr>
        <w:t>species are taken as byproduct</w:t>
      </w:r>
      <w:r w:rsidR="0085563A" w:rsidRPr="00D833F6">
        <w:rPr>
          <w:rFonts w:cs="Arial"/>
          <w:sz w:val="22"/>
          <w:lang w:eastAsia="en-AU"/>
        </w:rPr>
        <w:t xml:space="preserve">. </w:t>
      </w:r>
      <w:r w:rsidR="001F6C8E" w:rsidRPr="00D833F6">
        <w:rPr>
          <w:rFonts w:cs="Arial"/>
          <w:sz w:val="22"/>
          <w:lang w:eastAsia="en-AU"/>
        </w:rPr>
        <w:t>Catch and effort for t</w:t>
      </w:r>
      <w:r w:rsidR="009C7C18" w:rsidRPr="00D833F6">
        <w:rPr>
          <w:rFonts w:cs="Arial"/>
          <w:sz w:val="22"/>
          <w:lang w:eastAsia="en-AU"/>
        </w:rPr>
        <w:t xml:space="preserve">arget stocks </w:t>
      </w:r>
      <w:r w:rsidR="001F6C8E" w:rsidRPr="00D833F6">
        <w:rPr>
          <w:rFonts w:cs="Arial"/>
          <w:sz w:val="22"/>
          <w:lang w:eastAsia="en-AU"/>
        </w:rPr>
        <w:t xml:space="preserve">are reviewed and the total allowable catch is set </w:t>
      </w:r>
      <w:r w:rsidR="009C7C18" w:rsidRPr="00D833F6">
        <w:rPr>
          <w:rFonts w:cs="Arial"/>
          <w:sz w:val="22"/>
        </w:rPr>
        <w:t xml:space="preserve">at annual stakeholder forums. </w:t>
      </w:r>
      <w:r w:rsidR="0085563A" w:rsidRPr="00D833F6">
        <w:rPr>
          <w:rFonts w:cs="Arial"/>
          <w:sz w:val="22"/>
        </w:rPr>
        <w:t>The South Australian Research and Development Institute (SARDI)</w:t>
      </w:r>
      <w:r w:rsidR="001F6C8E" w:rsidRPr="00D833F6">
        <w:rPr>
          <w:rFonts w:cs="Arial"/>
          <w:sz w:val="22"/>
        </w:rPr>
        <w:t xml:space="preserve"> conduct regular assessments for stocks of </w:t>
      </w:r>
      <w:r w:rsidR="0085563A" w:rsidRPr="00D833F6">
        <w:rPr>
          <w:rFonts w:cs="Arial"/>
          <w:sz w:val="22"/>
        </w:rPr>
        <w:t xml:space="preserve">key </w:t>
      </w:r>
      <w:r w:rsidRPr="00D833F6">
        <w:rPr>
          <w:rFonts w:cs="Arial"/>
          <w:sz w:val="22"/>
        </w:rPr>
        <w:t xml:space="preserve">native </w:t>
      </w:r>
      <w:r w:rsidR="0085563A" w:rsidRPr="00D833F6">
        <w:rPr>
          <w:rFonts w:cs="Arial"/>
          <w:sz w:val="22"/>
        </w:rPr>
        <w:t>species</w:t>
      </w:r>
      <w:r w:rsidR="00A74176" w:rsidRPr="00D833F6">
        <w:rPr>
          <w:rFonts w:cs="Arial"/>
          <w:sz w:val="22"/>
        </w:rPr>
        <w:t xml:space="preserve">. </w:t>
      </w:r>
      <w:r w:rsidR="001F6C8E" w:rsidRPr="00D833F6">
        <w:rPr>
          <w:rFonts w:cs="Arial"/>
          <w:sz w:val="22"/>
        </w:rPr>
        <w:t>The assessments measure</w:t>
      </w:r>
      <w:r w:rsidR="00A74176" w:rsidRPr="00D833F6">
        <w:rPr>
          <w:rFonts w:cs="Arial"/>
          <w:sz w:val="22"/>
        </w:rPr>
        <w:t xml:space="preserve"> stocks</w:t>
      </w:r>
      <w:r w:rsidRPr="00D833F6">
        <w:rPr>
          <w:rFonts w:cs="Arial"/>
          <w:sz w:val="22"/>
        </w:rPr>
        <w:t xml:space="preserve"> </w:t>
      </w:r>
      <w:r w:rsidR="001F6C8E" w:rsidRPr="00D833F6">
        <w:rPr>
          <w:rFonts w:cs="Arial"/>
          <w:sz w:val="22"/>
        </w:rPr>
        <w:t>aga</w:t>
      </w:r>
      <w:r w:rsidR="0085563A" w:rsidRPr="00D833F6">
        <w:rPr>
          <w:rFonts w:cs="Arial"/>
          <w:sz w:val="22"/>
        </w:rPr>
        <w:t xml:space="preserve">inst performance indicators and limit reference points. </w:t>
      </w:r>
    </w:p>
    <w:p w14:paraId="1EAA9B58" w14:textId="097C5328" w:rsidR="001F1D21" w:rsidRDefault="001F1D21" w:rsidP="00C10F4E">
      <w:pPr>
        <w:spacing w:before="0" w:after="200"/>
        <w:rPr>
          <w:rFonts w:cs="Arial"/>
          <w:sz w:val="22"/>
        </w:rPr>
      </w:pPr>
      <w:r w:rsidRPr="00D833F6">
        <w:rPr>
          <w:rFonts w:cs="Arial"/>
          <w:sz w:val="22"/>
        </w:rPr>
        <w:t>Fishing operators record daily catch (kg) and effort (days, fisher days, number of nets) for target and byproduct species, and interactions with threatened, endangered or protected species (TEPS) in logbooks.</w:t>
      </w:r>
      <w:r w:rsidR="001F6C8E" w:rsidRPr="00D833F6">
        <w:rPr>
          <w:rFonts w:cs="Arial"/>
          <w:sz w:val="22"/>
        </w:rPr>
        <w:t xml:space="preserve"> </w:t>
      </w:r>
      <w:r w:rsidR="00040999" w:rsidRPr="00D833F6">
        <w:rPr>
          <w:rFonts w:cs="Arial"/>
          <w:sz w:val="22"/>
        </w:rPr>
        <w:t>B</w:t>
      </w:r>
      <w:r w:rsidRPr="00D833F6">
        <w:rPr>
          <w:rFonts w:cs="Arial"/>
          <w:sz w:val="22"/>
        </w:rPr>
        <w:t xml:space="preserve">ycatch </w:t>
      </w:r>
      <w:r w:rsidR="001F6C8E" w:rsidRPr="00D833F6">
        <w:rPr>
          <w:rFonts w:cs="Arial"/>
          <w:sz w:val="22"/>
        </w:rPr>
        <w:t>is</w:t>
      </w:r>
      <w:r w:rsidRPr="00D833F6">
        <w:rPr>
          <w:rFonts w:cs="Arial"/>
          <w:sz w:val="22"/>
        </w:rPr>
        <w:t xml:space="preserve"> not recorded unless </w:t>
      </w:r>
      <w:r w:rsidR="00452C1C">
        <w:rPr>
          <w:rFonts w:cs="Arial"/>
          <w:sz w:val="22"/>
        </w:rPr>
        <w:t>the species</w:t>
      </w:r>
      <w:r w:rsidR="00452C1C" w:rsidRPr="00D833F6">
        <w:rPr>
          <w:rFonts w:cs="Arial"/>
          <w:sz w:val="22"/>
        </w:rPr>
        <w:t xml:space="preserve"> </w:t>
      </w:r>
      <w:r w:rsidRPr="00D833F6">
        <w:rPr>
          <w:rFonts w:cs="Arial"/>
          <w:sz w:val="22"/>
        </w:rPr>
        <w:t xml:space="preserve">is </w:t>
      </w:r>
      <w:r w:rsidR="00040999" w:rsidRPr="00D833F6">
        <w:rPr>
          <w:rFonts w:cs="Arial"/>
          <w:sz w:val="22"/>
        </w:rPr>
        <w:t xml:space="preserve">listed as </w:t>
      </w:r>
      <w:r w:rsidRPr="00D833F6">
        <w:rPr>
          <w:rFonts w:cs="Arial"/>
          <w:sz w:val="22"/>
        </w:rPr>
        <w:t xml:space="preserve">a TEPS. </w:t>
      </w:r>
      <w:r w:rsidR="00040999" w:rsidRPr="00D833F6">
        <w:rPr>
          <w:rFonts w:cs="Arial"/>
          <w:sz w:val="22"/>
        </w:rPr>
        <w:t xml:space="preserve">The </w:t>
      </w:r>
      <w:r w:rsidRPr="00D833F6">
        <w:rPr>
          <w:rFonts w:cs="Arial"/>
          <w:sz w:val="22"/>
        </w:rPr>
        <w:t xml:space="preserve">impact on bycatch species </w:t>
      </w:r>
      <w:r w:rsidR="00040999" w:rsidRPr="00D833F6">
        <w:rPr>
          <w:rFonts w:cs="Arial"/>
          <w:sz w:val="22"/>
        </w:rPr>
        <w:t xml:space="preserve">is considered </w:t>
      </w:r>
      <w:r w:rsidRPr="00D833F6">
        <w:rPr>
          <w:rFonts w:cs="Arial"/>
          <w:sz w:val="22"/>
        </w:rPr>
        <w:t>low</w:t>
      </w:r>
      <w:r w:rsidR="00040999" w:rsidRPr="00D833F6">
        <w:rPr>
          <w:rFonts w:cs="Arial"/>
          <w:sz w:val="22"/>
        </w:rPr>
        <w:t>.</w:t>
      </w:r>
      <w:r w:rsidRPr="00D833F6">
        <w:rPr>
          <w:rFonts w:cs="Arial"/>
          <w:sz w:val="22"/>
        </w:rPr>
        <w:t xml:space="preserve"> </w:t>
      </w:r>
      <w:r w:rsidR="00040999" w:rsidRPr="00D833F6">
        <w:rPr>
          <w:rFonts w:cs="Arial"/>
          <w:sz w:val="22"/>
        </w:rPr>
        <w:t xml:space="preserve">Mitigation measures </w:t>
      </w:r>
      <w:r w:rsidRPr="00D833F6">
        <w:rPr>
          <w:rFonts w:cs="Arial"/>
          <w:sz w:val="22"/>
        </w:rPr>
        <w:t xml:space="preserve">such as seal exclusion devices </w:t>
      </w:r>
      <w:r w:rsidR="00040999" w:rsidRPr="00D833F6">
        <w:rPr>
          <w:rFonts w:cs="Arial"/>
          <w:sz w:val="22"/>
        </w:rPr>
        <w:t>are used</w:t>
      </w:r>
      <w:r w:rsidRPr="00D833F6">
        <w:rPr>
          <w:rFonts w:cs="Arial"/>
          <w:sz w:val="22"/>
        </w:rPr>
        <w:t xml:space="preserve"> to minimise the risks.</w:t>
      </w:r>
    </w:p>
    <w:p w14:paraId="050B7AF7" w14:textId="6B0F92F9" w:rsidR="0085563A" w:rsidRDefault="00DE5E0A" w:rsidP="00C10F4E">
      <w:pPr>
        <w:spacing w:before="0" w:after="200"/>
        <w:rPr>
          <w:rFonts w:cs="Arial"/>
          <w:sz w:val="22"/>
        </w:rPr>
      </w:pPr>
      <w:r w:rsidRPr="00D833F6">
        <w:rPr>
          <w:rFonts w:cs="Arial"/>
          <w:sz w:val="22"/>
        </w:rPr>
        <w:t xml:space="preserve">The Department considers that overall the </w:t>
      </w:r>
      <w:r w:rsidR="004041E6" w:rsidRPr="00D833F6">
        <w:rPr>
          <w:rFonts w:cs="Arial"/>
          <w:sz w:val="22"/>
        </w:rPr>
        <w:t xml:space="preserve">fishery’s </w:t>
      </w:r>
      <w:r w:rsidRPr="00D833F6">
        <w:rPr>
          <w:rFonts w:cs="Arial"/>
          <w:sz w:val="22"/>
        </w:rPr>
        <w:t>management arrangements aim to ensure that fishing is conducted in a manner that minimises the likelihood of overfishing, and where overfishing may occur, has the capacity to develop and implement suitable measures</w:t>
      </w:r>
      <w:r w:rsidR="00C10F4E">
        <w:rPr>
          <w:rFonts w:cs="Arial"/>
          <w:sz w:val="22"/>
        </w:rPr>
        <w:t xml:space="preserve"> to recover overfished species stocks</w:t>
      </w:r>
      <w:r w:rsidRPr="00D833F6">
        <w:rPr>
          <w:rFonts w:cs="Arial"/>
          <w:sz w:val="22"/>
        </w:rPr>
        <w:t xml:space="preserve">. </w:t>
      </w:r>
      <w:r w:rsidR="0085563A" w:rsidRPr="00D833F6">
        <w:rPr>
          <w:rFonts w:cs="Arial"/>
          <w:sz w:val="22"/>
        </w:rPr>
        <w:t>The management regime provides for fishing operations to be managed to minimise their impact on the structure, productivity, function and biological diversity of the ecosystem.</w:t>
      </w:r>
      <w:r w:rsidR="00040999" w:rsidRPr="00D833F6">
        <w:rPr>
          <w:rFonts w:cs="Arial"/>
          <w:sz w:val="22"/>
        </w:rPr>
        <w:t xml:space="preserve"> </w:t>
      </w:r>
      <w:r w:rsidR="006549CF" w:rsidRPr="00D833F6">
        <w:rPr>
          <w:rFonts w:cs="Arial"/>
          <w:sz w:val="22"/>
        </w:rPr>
        <w:t>K</w:t>
      </w:r>
      <w:r w:rsidR="0085563A" w:rsidRPr="00D833F6">
        <w:rPr>
          <w:rFonts w:cs="Arial"/>
          <w:sz w:val="22"/>
        </w:rPr>
        <w:t xml:space="preserve">ey challenges for this </w:t>
      </w:r>
      <w:r w:rsidR="006549CF" w:rsidRPr="00D833F6">
        <w:rPr>
          <w:rFonts w:cs="Arial"/>
          <w:sz w:val="22"/>
        </w:rPr>
        <w:t>fishery include</w:t>
      </w:r>
      <w:r w:rsidR="0085563A" w:rsidRPr="00D833F6">
        <w:rPr>
          <w:rFonts w:cs="Arial"/>
          <w:sz w:val="22"/>
        </w:rPr>
        <w:t>:</w:t>
      </w:r>
    </w:p>
    <w:p w14:paraId="247915DF" w14:textId="1F62A1A4" w:rsidR="0085563A" w:rsidRDefault="005B5AC6" w:rsidP="00C10F4E">
      <w:pPr>
        <w:pStyle w:val="ListBullet"/>
        <w:adjustRightInd w:val="0"/>
        <w:spacing w:before="0" w:after="200"/>
        <w:ind w:left="360" w:hanging="360"/>
        <w:rPr>
          <w:rFonts w:cs="Arial"/>
          <w:sz w:val="22"/>
        </w:rPr>
      </w:pPr>
      <w:r w:rsidRPr="00D833F6">
        <w:rPr>
          <w:rFonts w:cs="Arial"/>
          <w:b/>
          <w:i/>
          <w:sz w:val="22"/>
        </w:rPr>
        <w:t>Monitoring, and implementing appropriate management measures, as required, to minimise the impacts of fishing on target species stocks</w:t>
      </w:r>
      <w:r w:rsidRPr="00D833F6">
        <w:rPr>
          <w:rFonts w:cs="Arial"/>
          <w:sz w:val="22"/>
        </w:rPr>
        <w:t xml:space="preserve">: </w:t>
      </w:r>
      <w:r w:rsidR="0061414B" w:rsidRPr="00D833F6">
        <w:rPr>
          <w:rFonts w:cs="Arial"/>
          <w:sz w:val="22"/>
        </w:rPr>
        <w:t xml:space="preserve">Murray cod has historically been a target species in this fishery but </w:t>
      </w:r>
      <w:r w:rsidRPr="00D833F6">
        <w:rPr>
          <w:rFonts w:cs="Arial"/>
          <w:sz w:val="22"/>
        </w:rPr>
        <w:t xml:space="preserve">commercial and recreational </w:t>
      </w:r>
      <w:r w:rsidR="0061414B" w:rsidRPr="00D833F6">
        <w:rPr>
          <w:rFonts w:cs="Arial"/>
          <w:sz w:val="22"/>
        </w:rPr>
        <w:t>take is now subject to strict seasonal and area closures</w:t>
      </w:r>
      <w:r w:rsidR="00D833F6">
        <w:rPr>
          <w:rFonts w:cs="Arial"/>
          <w:sz w:val="22"/>
        </w:rPr>
        <w:t>.</w:t>
      </w:r>
      <w:r w:rsidR="00EB0F48" w:rsidRPr="00D833F6">
        <w:rPr>
          <w:rFonts w:cs="Arial"/>
          <w:sz w:val="22"/>
        </w:rPr>
        <w:t xml:space="preserve"> </w:t>
      </w:r>
      <w:r w:rsidR="0061414B" w:rsidRPr="00D833F6">
        <w:rPr>
          <w:rFonts w:cs="Arial"/>
          <w:sz w:val="22"/>
        </w:rPr>
        <w:t xml:space="preserve">Black bream is </w:t>
      </w:r>
      <w:r w:rsidRPr="00D833F6">
        <w:rPr>
          <w:rFonts w:cs="Arial"/>
          <w:sz w:val="22"/>
        </w:rPr>
        <w:t xml:space="preserve">considered </w:t>
      </w:r>
      <w:r w:rsidR="0061414B" w:rsidRPr="00D833F6">
        <w:rPr>
          <w:rFonts w:cs="Arial"/>
          <w:sz w:val="22"/>
        </w:rPr>
        <w:t>overfished and PIRSA is consulting with the recreational and commercial sectors on a suitable management approach</w:t>
      </w:r>
      <w:r w:rsidR="00D833F6">
        <w:rPr>
          <w:rFonts w:cs="Arial"/>
          <w:sz w:val="22"/>
        </w:rPr>
        <w:t xml:space="preserve">. </w:t>
      </w:r>
      <w:r w:rsidRPr="00D833F6">
        <w:rPr>
          <w:rFonts w:cs="Arial"/>
          <w:sz w:val="22"/>
        </w:rPr>
        <w:t xml:space="preserve">Greenback flounder is known to be environmentally limited by seasonal freshwater flows. PIRSA has given an undertaking to monitor the </w:t>
      </w:r>
      <w:r w:rsidR="007370F1" w:rsidRPr="00D833F6">
        <w:rPr>
          <w:rFonts w:cs="Arial"/>
          <w:sz w:val="22"/>
        </w:rPr>
        <w:t xml:space="preserve">sustainability </w:t>
      </w:r>
      <w:r w:rsidRPr="00D833F6">
        <w:rPr>
          <w:rFonts w:cs="Arial"/>
          <w:sz w:val="22"/>
        </w:rPr>
        <w:t xml:space="preserve">of these </w:t>
      </w:r>
      <w:r w:rsidR="00C551BF">
        <w:rPr>
          <w:rFonts w:cs="Arial"/>
          <w:sz w:val="22"/>
        </w:rPr>
        <w:t xml:space="preserve">and other </w:t>
      </w:r>
      <w:r w:rsidRPr="00D833F6">
        <w:rPr>
          <w:rFonts w:cs="Arial"/>
          <w:sz w:val="22"/>
        </w:rPr>
        <w:t xml:space="preserve">species. </w:t>
      </w:r>
    </w:p>
    <w:p w14:paraId="43D9D1CC" w14:textId="083AE769" w:rsidR="00D833F6" w:rsidRDefault="0061414B" w:rsidP="00C10F4E">
      <w:pPr>
        <w:pStyle w:val="ListBullet"/>
        <w:adjustRightInd w:val="0"/>
        <w:spacing w:before="0" w:after="200"/>
        <w:ind w:left="360" w:hanging="360"/>
        <w:rPr>
          <w:rFonts w:cs="Arial"/>
          <w:sz w:val="22"/>
        </w:rPr>
      </w:pPr>
      <w:r w:rsidRPr="00D833F6">
        <w:rPr>
          <w:rFonts w:cs="Arial"/>
          <w:b/>
          <w:i/>
          <w:sz w:val="22"/>
        </w:rPr>
        <w:t>D</w:t>
      </w:r>
      <w:r w:rsidR="0085563A" w:rsidRPr="00D833F6">
        <w:rPr>
          <w:rFonts w:cs="Arial"/>
          <w:b/>
          <w:i/>
          <w:sz w:val="22"/>
        </w:rPr>
        <w:t xml:space="preserve">eveloping appropriate management arrangements to reduce the </w:t>
      </w:r>
      <w:r w:rsidR="006549CF" w:rsidRPr="00D833F6">
        <w:rPr>
          <w:rFonts w:cs="Arial"/>
          <w:b/>
          <w:i/>
          <w:sz w:val="22"/>
        </w:rPr>
        <w:t xml:space="preserve">high numbers </w:t>
      </w:r>
      <w:r w:rsidR="0085563A" w:rsidRPr="00D833F6">
        <w:rPr>
          <w:rFonts w:cs="Arial"/>
          <w:b/>
          <w:i/>
          <w:sz w:val="22"/>
        </w:rPr>
        <w:t xml:space="preserve">of discards for </w:t>
      </w:r>
      <w:r w:rsidR="00BA0FC6" w:rsidRPr="00D833F6">
        <w:rPr>
          <w:rFonts w:cs="Arial"/>
          <w:b/>
          <w:i/>
          <w:sz w:val="22"/>
        </w:rPr>
        <w:t xml:space="preserve">all target </w:t>
      </w:r>
      <w:r w:rsidR="0085563A" w:rsidRPr="00D833F6">
        <w:rPr>
          <w:rFonts w:cs="Arial"/>
          <w:b/>
          <w:i/>
          <w:sz w:val="22"/>
        </w:rPr>
        <w:t>species</w:t>
      </w:r>
      <w:r w:rsidRPr="00D833F6">
        <w:rPr>
          <w:rFonts w:cs="Arial"/>
          <w:sz w:val="22"/>
        </w:rPr>
        <w:t xml:space="preserve">: </w:t>
      </w:r>
      <w:r w:rsidR="00D833F6">
        <w:rPr>
          <w:rFonts w:cs="Arial"/>
          <w:sz w:val="22"/>
        </w:rPr>
        <w:t>H</w:t>
      </w:r>
      <w:r w:rsidRPr="00D833F6">
        <w:rPr>
          <w:rFonts w:cs="Arial"/>
          <w:sz w:val="22"/>
        </w:rPr>
        <w:t xml:space="preserve">igh numbers of undersized </w:t>
      </w:r>
      <w:r w:rsidR="000613B5">
        <w:rPr>
          <w:rFonts w:cs="Arial"/>
          <w:sz w:val="22"/>
        </w:rPr>
        <w:t xml:space="preserve">primary and secondary target species </w:t>
      </w:r>
      <w:r w:rsidRPr="00D833F6">
        <w:rPr>
          <w:rFonts w:cs="Arial"/>
          <w:sz w:val="22"/>
        </w:rPr>
        <w:t>are discarded annually</w:t>
      </w:r>
      <w:r w:rsidR="000613B5">
        <w:rPr>
          <w:rFonts w:cs="Arial"/>
          <w:sz w:val="22"/>
        </w:rPr>
        <w:t xml:space="preserve">, particularly </w:t>
      </w:r>
      <w:r w:rsidR="000613B5" w:rsidRPr="00D833F6">
        <w:rPr>
          <w:rFonts w:cs="Arial"/>
          <w:sz w:val="22"/>
        </w:rPr>
        <w:t>mulloway</w:t>
      </w:r>
      <w:r w:rsidR="00545419">
        <w:rPr>
          <w:rFonts w:cs="Arial"/>
          <w:sz w:val="22"/>
        </w:rPr>
        <w:t xml:space="preserve"> and yelloweye mullet</w:t>
      </w:r>
      <w:r w:rsidRPr="00D833F6">
        <w:rPr>
          <w:rFonts w:cs="Arial"/>
          <w:sz w:val="22"/>
        </w:rPr>
        <w:t xml:space="preserve">. PIRSA acknowledge the need to monitor and implement appropriate management measures to avoid </w:t>
      </w:r>
      <w:r w:rsidR="005B5AC6" w:rsidRPr="00D833F6">
        <w:rPr>
          <w:rFonts w:cs="Arial"/>
          <w:sz w:val="22"/>
        </w:rPr>
        <w:t xml:space="preserve">target </w:t>
      </w:r>
      <w:r w:rsidRPr="00D833F6">
        <w:rPr>
          <w:rFonts w:cs="Arial"/>
          <w:sz w:val="22"/>
        </w:rPr>
        <w:t xml:space="preserve">species becoming recruitment overfished. </w:t>
      </w:r>
    </w:p>
    <w:p w14:paraId="5BCBC3E7" w14:textId="58B67C03" w:rsidR="0085563A" w:rsidRPr="00D833F6" w:rsidRDefault="0061414B" w:rsidP="00C10F4E">
      <w:pPr>
        <w:pStyle w:val="ListBullet"/>
        <w:adjustRightInd w:val="0"/>
        <w:spacing w:before="0" w:after="200"/>
        <w:ind w:left="360" w:hanging="360"/>
        <w:rPr>
          <w:rFonts w:cs="Arial"/>
          <w:sz w:val="22"/>
        </w:rPr>
      </w:pPr>
      <w:r w:rsidRPr="00D833F6">
        <w:rPr>
          <w:rFonts w:cs="Arial"/>
          <w:b/>
          <w:i/>
          <w:sz w:val="22"/>
        </w:rPr>
        <w:lastRenderedPageBreak/>
        <w:t>R</w:t>
      </w:r>
      <w:r w:rsidR="0085563A" w:rsidRPr="00D833F6">
        <w:rPr>
          <w:rFonts w:cs="Arial"/>
          <w:b/>
          <w:i/>
          <w:sz w:val="22"/>
        </w:rPr>
        <w:t xml:space="preserve">educing the </w:t>
      </w:r>
      <w:r w:rsidR="00BA0FC6" w:rsidRPr="00D833F6">
        <w:rPr>
          <w:rFonts w:cs="Arial"/>
          <w:b/>
          <w:i/>
          <w:sz w:val="22"/>
        </w:rPr>
        <w:t xml:space="preserve">increasing </w:t>
      </w:r>
      <w:r w:rsidR="0085563A" w:rsidRPr="00D833F6">
        <w:rPr>
          <w:rFonts w:cs="Arial"/>
          <w:b/>
          <w:i/>
          <w:sz w:val="22"/>
        </w:rPr>
        <w:t>number</w:t>
      </w:r>
      <w:r w:rsidR="00BA0FC6" w:rsidRPr="00D833F6">
        <w:rPr>
          <w:rFonts w:cs="Arial"/>
          <w:b/>
          <w:i/>
          <w:sz w:val="22"/>
        </w:rPr>
        <w:t>s</w:t>
      </w:r>
      <w:r w:rsidR="0085563A" w:rsidRPr="00D833F6">
        <w:rPr>
          <w:rFonts w:cs="Arial"/>
          <w:b/>
          <w:i/>
          <w:sz w:val="22"/>
        </w:rPr>
        <w:t xml:space="preserve"> of interactions with </w:t>
      </w:r>
      <w:r w:rsidR="00BA0FC6" w:rsidRPr="00D833F6">
        <w:rPr>
          <w:rFonts w:cs="Arial"/>
          <w:b/>
          <w:i/>
          <w:sz w:val="22"/>
        </w:rPr>
        <w:t>TEPS</w:t>
      </w:r>
      <w:r w:rsidRPr="00D833F6">
        <w:rPr>
          <w:rFonts w:cs="Arial"/>
          <w:sz w:val="22"/>
        </w:rPr>
        <w:t xml:space="preserve">: </w:t>
      </w:r>
      <w:r w:rsidR="00B555C2">
        <w:rPr>
          <w:rFonts w:cs="Arial"/>
          <w:sz w:val="22"/>
        </w:rPr>
        <w:t>S</w:t>
      </w:r>
      <w:r w:rsidRPr="00D833F6">
        <w:rPr>
          <w:rFonts w:cs="Arial"/>
          <w:sz w:val="22"/>
        </w:rPr>
        <w:t>ince 2011, there has been a significant increase in the number of interactions with New Zealand fur seals, although no mortalities have been recorded. PIRSA has given an undertaking to continue monitor</w:t>
      </w:r>
      <w:r w:rsidR="00B555C2">
        <w:rPr>
          <w:rFonts w:cs="Arial"/>
          <w:sz w:val="22"/>
        </w:rPr>
        <w:t>ing</w:t>
      </w:r>
      <w:r w:rsidRPr="00D833F6">
        <w:rPr>
          <w:rFonts w:cs="Arial"/>
          <w:sz w:val="22"/>
        </w:rPr>
        <w:t xml:space="preserve"> TEPS interactions</w:t>
      </w:r>
      <w:r w:rsidR="005B5AC6" w:rsidRPr="00D833F6">
        <w:rPr>
          <w:rFonts w:cs="Arial"/>
          <w:sz w:val="22"/>
        </w:rPr>
        <w:t xml:space="preserve"> and implement appropriate management responses. </w:t>
      </w:r>
    </w:p>
    <w:p w14:paraId="0146DFCD" w14:textId="2C2F5799" w:rsidR="003E1F86" w:rsidRDefault="0085563A" w:rsidP="00C10F4E">
      <w:pPr>
        <w:spacing w:before="0" w:after="200"/>
        <w:rPr>
          <w:rFonts w:cs="Arial"/>
          <w:sz w:val="22"/>
        </w:rPr>
      </w:pPr>
      <w:r w:rsidRPr="00D833F6">
        <w:rPr>
          <w:rFonts w:cs="Arial"/>
          <w:sz w:val="22"/>
        </w:rPr>
        <w:t xml:space="preserve">Until it can be demonstrated that the issues </w:t>
      </w:r>
      <w:r w:rsidR="006C3B3F" w:rsidRPr="00D833F6">
        <w:rPr>
          <w:rFonts w:cs="Arial"/>
          <w:sz w:val="22"/>
        </w:rPr>
        <w:t xml:space="preserve">detailed in this report </w:t>
      </w:r>
      <w:r w:rsidRPr="00D833F6">
        <w:rPr>
          <w:rFonts w:cs="Arial"/>
          <w:sz w:val="22"/>
        </w:rPr>
        <w:t xml:space="preserve">have been adequately addressed, the harvest operations of the </w:t>
      </w:r>
      <w:r w:rsidR="006C3B3F" w:rsidRPr="00D833F6">
        <w:rPr>
          <w:rFonts w:cs="Arial"/>
          <w:sz w:val="22"/>
        </w:rPr>
        <w:t xml:space="preserve">fishery </w:t>
      </w:r>
      <w:r w:rsidRPr="00D833F6">
        <w:rPr>
          <w:rFonts w:cs="Arial"/>
          <w:sz w:val="22"/>
        </w:rPr>
        <w:t xml:space="preserve">is declared an approved wildlife trade operation for </w:t>
      </w:r>
      <w:r w:rsidR="00371E8B" w:rsidRPr="00D833F6">
        <w:rPr>
          <w:rFonts w:cs="Arial"/>
          <w:sz w:val="22"/>
        </w:rPr>
        <w:t>one year</w:t>
      </w:r>
      <w:r w:rsidRPr="00D833F6">
        <w:rPr>
          <w:rFonts w:cs="Arial"/>
          <w:sz w:val="22"/>
        </w:rPr>
        <w:t xml:space="preserve">, until </w:t>
      </w:r>
      <w:r w:rsidR="00371E8B" w:rsidRPr="00D833F6">
        <w:rPr>
          <w:rFonts w:cs="Arial"/>
          <w:sz w:val="22"/>
        </w:rPr>
        <w:t>1 March 2019</w:t>
      </w:r>
      <w:r w:rsidRPr="00D833F6">
        <w:rPr>
          <w:rFonts w:cs="Arial"/>
          <w:sz w:val="22"/>
        </w:rPr>
        <w:t xml:space="preserve">, subject to the conditions listed in </w:t>
      </w:r>
      <w:r w:rsidR="00371E8B" w:rsidRPr="00D833F6">
        <w:rPr>
          <w:rFonts w:cs="Arial"/>
          <w:sz w:val="22"/>
        </w:rPr>
        <w:t>Section</w:t>
      </w:r>
      <w:r w:rsidRPr="00D833F6">
        <w:rPr>
          <w:rFonts w:cs="Arial"/>
          <w:sz w:val="22"/>
        </w:rPr>
        <w:t xml:space="preserve"> 4. </w:t>
      </w:r>
    </w:p>
    <w:p w14:paraId="19802E35" w14:textId="77777777" w:rsidR="00C10F4E" w:rsidRDefault="0085563A" w:rsidP="00C10F4E">
      <w:pPr>
        <w:spacing w:before="0" w:after="200"/>
        <w:rPr>
          <w:rFonts w:cs="Arial"/>
          <w:sz w:val="22"/>
        </w:rPr>
      </w:pPr>
      <w:r w:rsidRPr="00D833F6">
        <w:rPr>
          <w:rFonts w:cs="Arial"/>
          <w:sz w:val="22"/>
        </w:rPr>
        <w:t>Unless a specific timeframe is provided, each condition must be addressed within the period of the approved wildlife trade operation declaration for the fishery. Annual reports to the Department must describe progress towards the agreed conditions and any changes to the management arrangements.</w:t>
      </w:r>
      <w:bookmarkStart w:id="2" w:name="_Toc316301050"/>
    </w:p>
    <w:p w14:paraId="0FF68E2D" w14:textId="77777777" w:rsidR="00DF4732" w:rsidRDefault="00DF4732" w:rsidP="00C10F4E">
      <w:pPr>
        <w:spacing w:before="0" w:after="200"/>
        <w:rPr>
          <w:rFonts w:cs="Arial"/>
          <w:sz w:val="22"/>
        </w:rPr>
      </w:pPr>
    </w:p>
    <w:p w14:paraId="2950B31A" w14:textId="77777777" w:rsidR="00C10F4E" w:rsidRPr="00C10F4E" w:rsidRDefault="00C10F4E" w:rsidP="00C10F4E">
      <w:pPr>
        <w:sectPr w:rsidR="00C10F4E" w:rsidRPr="00C10F4E" w:rsidSect="0002045F">
          <w:pgSz w:w="11906" w:h="16838"/>
          <w:pgMar w:top="1021" w:right="1021" w:bottom="1021" w:left="1021" w:header="709" w:footer="709" w:gutter="0"/>
          <w:pgNumType w:start="1"/>
          <w:cols w:space="708"/>
          <w:docGrid w:linePitch="360"/>
        </w:sectPr>
      </w:pPr>
    </w:p>
    <w:p w14:paraId="647FA7A4" w14:textId="58D93B95" w:rsidR="00885298" w:rsidRPr="0027138D" w:rsidRDefault="00DD0EB5" w:rsidP="005E2D35">
      <w:pPr>
        <w:pStyle w:val="Heading1"/>
        <w:rPr>
          <w:u w:val="single"/>
        </w:rPr>
      </w:pPr>
      <w:bookmarkStart w:id="3" w:name="_Toc506553891"/>
      <w:r>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t>A</w:t>
      </w:r>
      <w:r w:rsidRPr="006E4EA3">
        <w:t xml:space="preserve">ssessment </w:t>
      </w:r>
      <w:r>
        <w:t xml:space="preserve">Summary </w:t>
      </w:r>
      <w:r w:rsidRPr="006E4EA3">
        <w:t xml:space="preserve">of the </w:t>
      </w:r>
      <w:r>
        <w:t>South Australian Lakes and Coorong Fishery Against the Guidelines for the Ecologically Sustainable Management of Fisheries (2nd Edition), Consistent with the EPBC Act</w:t>
      </w:r>
      <w:r w:rsidR="0027138D" w:rsidRPr="009D5019">
        <w:rPr>
          <w:rStyle w:val="Emphasis"/>
          <w:i w:val="0"/>
          <w:iCs w:val="0"/>
          <w:caps w:val="0"/>
        </w:rPr>
        <w:t>.</w:t>
      </w:r>
      <w:bookmarkEnd w:id="3"/>
    </w:p>
    <w:p w14:paraId="048F6092" w14:textId="77777777" w:rsidR="00AB194A" w:rsidRPr="00810CFF" w:rsidRDefault="00AB194A" w:rsidP="00AB194A">
      <w:pPr>
        <w:spacing w:after="0"/>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AB194A" w:rsidRPr="005E2D35" w14:paraId="5241E59E" w14:textId="77777777" w:rsidTr="009D5019">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0B78829B" w14:textId="3D0AE2B6" w:rsidR="00AB194A" w:rsidRPr="005E2D35" w:rsidRDefault="00E00C7E" w:rsidP="002A0742">
            <w:pPr>
              <w:spacing w:before="120" w:after="120"/>
              <w:rPr>
                <w:rFonts w:cs="Arial"/>
                <w:b/>
                <w:szCs w:val="18"/>
              </w:rPr>
            </w:pPr>
            <w:r w:rsidRPr="005E2D35">
              <w:rPr>
                <w:rFonts w:cs="Arial"/>
                <w:b/>
                <w:szCs w:val="18"/>
              </w:rPr>
              <w:t>Guidelines</w:t>
            </w:r>
          </w:p>
        </w:tc>
        <w:tc>
          <w:tcPr>
            <w:tcW w:w="1678" w:type="dxa"/>
            <w:shd w:val="clear" w:color="auto" w:fill="92D050"/>
            <w:vAlign w:val="center"/>
          </w:tcPr>
          <w:p w14:paraId="29372550" w14:textId="77777777" w:rsidR="00AB194A" w:rsidRPr="005E2D35" w:rsidRDefault="00AB194A" w:rsidP="002A0742">
            <w:pPr>
              <w:spacing w:before="120" w:after="120"/>
              <w:rPr>
                <w:rFonts w:cs="Arial"/>
                <w:b/>
                <w:szCs w:val="18"/>
              </w:rPr>
            </w:pPr>
            <w:r w:rsidRPr="005E2D35">
              <w:rPr>
                <w:rFonts w:cs="Arial"/>
                <w:b/>
                <w:szCs w:val="18"/>
              </w:rPr>
              <w:t>Meets</w:t>
            </w:r>
          </w:p>
        </w:tc>
        <w:tc>
          <w:tcPr>
            <w:tcW w:w="1822" w:type="dxa"/>
            <w:shd w:val="clear" w:color="auto" w:fill="FFC000"/>
            <w:vAlign w:val="center"/>
          </w:tcPr>
          <w:p w14:paraId="439F3FF6" w14:textId="77777777" w:rsidR="00AB194A" w:rsidRPr="005E2D35" w:rsidRDefault="00AB194A" w:rsidP="002A0742">
            <w:pPr>
              <w:spacing w:before="120" w:after="120"/>
              <w:rPr>
                <w:rFonts w:cs="Arial"/>
                <w:b/>
                <w:szCs w:val="18"/>
              </w:rPr>
            </w:pPr>
            <w:r w:rsidRPr="005E2D35">
              <w:rPr>
                <w:rFonts w:cs="Arial"/>
                <w:b/>
                <w:szCs w:val="18"/>
              </w:rPr>
              <w:t>Partially meets</w:t>
            </w:r>
          </w:p>
        </w:tc>
        <w:tc>
          <w:tcPr>
            <w:tcW w:w="1813" w:type="dxa"/>
            <w:shd w:val="clear" w:color="auto" w:fill="FF0000"/>
            <w:vAlign w:val="center"/>
          </w:tcPr>
          <w:p w14:paraId="4F65884C" w14:textId="77777777" w:rsidR="00AB194A" w:rsidRPr="005E2D35" w:rsidRDefault="00AB194A" w:rsidP="002A0742">
            <w:pPr>
              <w:spacing w:before="120" w:after="120"/>
              <w:rPr>
                <w:rFonts w:cs="Arial"/>
                <w:b/>
                <w:szCs w:val="18"/>
              </w:rPr>
            </w:pPr>
            <w:r w:rsidRPr="005E2D35">
              <w:rPr>
                <w:rFonts w:cs="Arial"/>
                <w:b/>
                <w:szCs w:val="18"/>
              </w:rPr>
              <w:t>Does not meet</w:t>
            </w:r>
          </w:p>
        </w:tc>
        <w:tc>
          <w:tcPr>
            <w:tcW w:w="5330" w:type="dxa"/>
            <w:vAlign w:val="center"/>
          </w:tcPr>
          <w:p w14:paraId="052AB3D7" w14:textId="77777777" w:rsidR="00AB194A" w:rsidRPr="005E2D35" w:rsidRDefault="00AB194A" w:rsidP="002A0742">
            <w:pPr>
              <w:spacing w:before="120" w:after="120"/>
              <w:rPr>
                <w:rFonts w:cs="Arial"/>
                <w:b/>
                <w:szCs w:val="18"/>
              </w:rPr>
            </w:pPr>
            <w:r w:rsidRPr="005E2D35">
              <w:rPr>
                <w:rFonts w:cs="Arial"/>
                <w:b/>
                <w:szCs w:val="18"/>
              </w:rPr>
              <w:t>Details</w:t>
            </w:r>
          </w:p>
        </w:tc>
      </w:tr>
      <w:tr w:rsidR="005803AD" w:rsidRPr="005E2D35" w14:paraId="1B656C43" w14:textId="77777777" w:rsidTr="006C3B3F">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29382D6F" w14:textId="77777777" w:rsidR="005803AD" w:rsidRPr="005E2D35" w:rsidRDefault="005803AD" w:rsidP="005803AD">
            <w:pPr>
              <w:spacing w:before="120" w:after="120"/>
              <w:rPr>
                <w:rFonts w:cs="Arial"/>
                <w:szCs w:val="18"/>
              </w:rPr>
            </w:pPr>
            <w:r w:rsidRPr="005E2D35">
              <w:rPr>
                <w:rFonts w:cs="Arial"/>
                <w:szCs w:val="18"/>
              </w:rPr>
              <w:t>Management regime</w:t>
            </w:r>
          </w:p>
        </w:tc>
        <w:tc>
          <w:tcPr>
            <w:tcW w:w="1678" w:type="dxa"/>
            <w:shd w:val="clear" w:color="auto" w:fill="92D050"/>
            <w:vAlign w:val="center"/>
          </w:tcPr>
          <w:p w14:paraId="6B33C294" w14:textId="40F1A0B7" w:rsidR="005803AD" w:rsidRPr="005E2D35" w:rsidRDefault="005803AD" w:rsidP="009447FE">
            <w:pPr>
              <w:spacing w:before="120" w:after="120"/>
              <w:rPr>
                <w:rFonts w:cs="Arial"/>
                <w:szCs w:val="18"/>
              </w:rPr>
            </w:pPr>
            <w:r w:rsidRPr="005E2D35">
              <w:rPr>
                <w:rFonts w:cs="Arial"/>
                <w:szCs w:val="18"/>
              </w:rPr>
              <w:t xml:space="preserve">9 of 9 </w:t>
            </w:r>
          </w:p>
        </w:tc>
        <w:tc>
          <w:tcPr>
            <w:tcW w:w="1822" w:type="dxa"/>
            <w:shd w:val="clear" w:color="auto" w:fill="auto"/>
            <w:vAlign w:val="center"/>
          </w:tcPr>
          <w:p w14:paraId="3BBC9E01" w14:textId="77777777" w:rsidR="005803AD" w:rsidRPr="005E2D35" w:rsidRDefault="005803AD" w:rsidP="005803AD">
            <w:pPr>
              <w:spacing w:before="120" w:after="120"/>
              <w:rPr>
                <w:rFonts w:cs="Arial"/>
                <w:szCs w:val="18"/>
              </w:rPr>
            </w:pPr>
          </w:p>
        </w:tc>
        <w:tc>
          <w:tcPr>
            <w:tcW w:w="1813" w:type="dxa"/>
            <w:shd w:val="clear" w:color="auto" w:fill="auto"/>
            <w:vAlign w:val="center"/>
          </w:tcPr>
          <w:p w14:paraId="4E06581E" w14:textId="77777777" w:rsidR="005803AD" w:rsidRPr="005E2D35" w:rsidRDefault="005803AD" w:rsidP="005803AD">
            <w:pPr>
              <w:spacing w:before="120" w:after="120"/>
              <w:rPr>
                <w:rFonts w:cs="Arial"/>
                <w:szCs w:val="18"/>
              </w:rPr>
            </w:pPr>
          </w:p>
        </w:tc>
        <w:tc>
          <w:tcPr>
            <w:tcW w:w="5330" w:type="dxa"/>
            <w:shd w:val="clear" w:color="auto" w:fill="auto"/>
          </w:tcPr>
          <w:p w14:paraId="646F42E0" w14:textId="25842904" w:rsidR="005803AD" w:rsidRPr="005E2D35" w:rsidRDefault="005803AD" w:rsidP="00AD4C29">
            <w:pPr>
              <w:spacing w:before="120" w:after="120"/>
              <w:rPr>
                <w:rFonts w:cs="Arial"/>
                <w:szCs w:val="18"/>
              </w:rPr>
            </w:pPr>
            <w:r w:rsidRPr="005E2D35">
              <w:rPr>
                <w:rFonts w:cs="Arial"/>
                <w:szCs w:val="18"/>
              </w:rPr>
              <w:t>The management regime is well developed</w:t>
            </w:r>
            <w:r w:rsidR="00A3142E" w:rsidRPr="005E2D35">
              <w:rPr>
                <w:rFonts w:cs="Arial"/>
                <w:szCs w:val="18"/>
              </w:rPr>
              <w:t xml:space="preserve">, precautionary, and effectively deals with </w:t>
            </w:r>
            <w:r w:rsidR="00E00C7E" w:rsidRPr="005E2D35">
              <w:rPr>
                <w:rFonts w:cs="Arial"/>
                <w:szCs w:val="18"/>
              </w:rPr>
              <w:t xml:space="preserve">the </w:t>
            </w:r>
            <w:r w:rsidR="00A3142E" w:rsidRPr="005E2D35">
              <w:rPr>
                <w:rFonts w:cs="Arial"/>
                <w:szCs w:val="18"/>
              </w:rPr>
              <w:t>uncertaint</w:t>
            </w:r>
            <w:r w:rsidR="00E00C7E" w:rsidRPr="005E2D35">
              <w:rPr>
                <w:rFonts w:cs="Arial"/>
                <w:szCs w:val="18"/>
              </w:rPr>
              <w:t>ies</w:t>
            </w:r>
            <w:r w:rsidR="00A3142E" w:rsidRPr="005E2D35">
              <w:rPr>
                <w:rFonts w:cs="Arial"/>
                <w:szCs w:val="18"/>
              </w:rPr>
              <w:t xml:space="preserve"> and risk</w:t>
            </w:r>
            <w:r w:rsidR="00E00C7E" w:rsidRPr="005E2D35">
              <w:rPr>
                <w:rFonts w:cs="Arial"/>
                <w:szCs w:val="18"/>
              </w:rPr>
              <w:t>s</w:t>
            </w:r>
            <w:r w:rsidR="00A3142E" w:rsidRPr="005E2D35">
              <w:rPr>
                <w:rFonts w:cs="Arial"/>
                <w:szCs w:val="18"/>
              </w:rPr>
              <w:t xml:space="preserve">. The </w:t>
            </w:r>
            <w:r w:rsidR="00C95B43" w:rsidRPr="005E2D35">
              <w:rPr>
                <w:rFonts w:cs="Arial"/>
                <w:szCs w:val="18"/>
              </w:rPr>
              <w:t>F</w:t>
            </w:r>
            <w:r w:rsidR="00A3142E" w:rsidRPr="005E2D35">
              <w:rPr>
                <w:rFonts w:cs="Arial"/>
                <w:szCs w:val="18"/>
              </w:rPr>
              <w:t xml:space="preserve">ishery </w:t>
            </w:r>
            <w:r w:rsidR="00C95B43" w:rsidRPr="005E2D35">
              <w:rPr>
                <w:rFonts w:cs="Arial"/>
                <w:szCs w:val="18"/>
              </w:rPr>
              <w:t>M</w:t>
            </w:r>
            <w:r w:rsidR="00A3142E" w:rsidRPr="005E2D35">
              <w:rPr>
                <w:rFonts w:cs="Arial"/>
                <w:szCs w:val="18"/>
              </w:rPr>
              <w:t xml:space="preserve">anagement </w:t>
            </w:r>
            <w:r w:rsidR="00C95B43" w:rsidRPr="005E2D35">
              <w:rPr>
                <w:rFonts w:cs="Arial"/>
                <w:szCs w:val="18"/>
              </w:rPr>
              <w:t>P</w:t>
            </w:r>
            <w:r w:rsidR="00A3142E" w:rsidRPr="005E2D35">
              <w:rPr>
                <w:rFonts w:cs="Arial"/>
                <w:szCs w:val="18"/>
              </w:rPr>
              <w:t>lan</w:t>
            </w:r>
            <w:r w:rsidR="00C95B43" w:rsidRPr="005E2D35">
              <w:rPr>
                <w:rFonts w:cs="Arial"/>
                <w:szCs w:val="18"/>
              </w:rPr>
              <w:t xml:space="preserve"> </w:t>
            </w:r>
            <w:r w:rsidR="00A3142E" w:rsidRPr="005E2D35">
              <w:rPr>
                <w:rFonts w:cs="Arial"/>
                <w:szCs w:val="18"/>
              </w:rPr>
              <w:t xml:space="preserve">has been reviewed, and is </w:t>
            </w:r>
            <w:r w:rsidRPr="005E2D35">
              <w:rPr>
                <w:rFonts w:cs="Arial"/>
                <w:szCs w:val="18"/>
              </w:rPr>
              <w:t>based on up-to-date research</w:t>
            </w:r>
            <w:r w:rsidR="00A3142E" w:rsidRPr="005E2D35">
              <w:rPr>
                <w:rFonts w:cs="Arial"/>
                <w:szCs w:val="18"/>
              </w:rPr>
              <w:t>.</w:t>
            </w:r>
            <w:r w:rsidR="00E00C7E" w:rsidRPr="005E2D35">
              <w:rPr>
                <w:rFonts w:cs="Arial"/>
                <w:szCs w:val="18"/>
              </w:rPr>
              <w:t xml:space="preserve"> The </w:t>
            </w:r>
            <w:r w:rsidR="00AD4C29">
              <w:rPr>
                <w:rFonts w:cs="Arial"/>
                <w:szCs w:val="18"/>
              </w:rPr>
              <w:t>management regime</w:t>
            </w:r>
            <w:r w:rsidR="00AD4C29" w:rsidRPr="005E2D35">
              <w:rPr>
                <w:rFonts w:cs="Arial"/>
                <w:szCs w:val="18"/>
              </w:rPr>
              <w:t xml:space="preserve"> </w:t>
            </w:r>
            <w:r w:rsidR="00E00C7E" w:rsidRPr="005E2D35">
              <w:rPr>
                <w:rFonts w:cs="Arial"/>
                <w:szCs w:val="18"/>
              </w:rPr>
              <w:t>includes objectives, strategies, and performance measures. The harvest of finfish species is based on gear types and habitat conditions that link to the biology of target species.</w:t>
            </w:r>
            <w:r w:rsidR="00E70183" w:rsidRPr="005E2D35">
              <w:rPr>
                <w:rFonts w:cs="Arial"/>
                <w:szCs w:val="18"/>
              </w:rPr>
              <w:t xml:space="preserve"> In cases where stocks are overfished, such as black bream, PIRSA consult </w:t>
            </w:r>
            <w:r w:rsidR="00960C01">
              <w:rPr>
                <w:rFonts w:cs="Arial"/>
                <w:szCs w:val="18"/>
              </w:rPr>
              <w:t xml:space="preserve">with </w:t>
            </w:r>
            <w:r w:rsidR="00E70183" w:rsidRPr="005E2D35">
              <w:rPr>
                <w:rFonts w:cs="Arial"/>
                <w:szCs w:val="18"/>
              </w:rPr>
              <w:t>key stakeholders, review fishing practices, and develop and implement appropriate management arrangements.</w:t>
            </w:r>
          </w:p>
        </w:tc>
      </w:tr>
      <w:tr w:rsidR="005803AD" w:rsidRPr="005E2D35" w14:paraId="56282922" w14:textId="77777777" w:rsidTr="00A74176">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CF6F480" w14:textId="77777777" w:rsidR="005803AD" w:rsidRPr="005E2D35" w:rsidRDefault="005803AD" w:rsidP="005803AD">
            <w:pPr>
              <w:spacing w:before="120" w:after="120"/>
              <w:rPr>
                <w:rFonts w:cs="Arial"/>
                <w:szCs w:val="18"/>
              </w:rPr>
            </w:pPr>
            <w:r w:rsidRPr="005E2D35">
              <w:rPr>
                <w:rFonts w:cs="Arial"/>
                <w:szCs w:val="18"/>
              </w:rPr>
              <w:t>Principle 1 (target stocks)</w:t>
            </w:r>
          </w:p>
        </w:tc>
        <w:tc>
          <w:tcPr>
            <w:tcW w:w="1678" w:type="dxa"/>
            <w:shd w:val="clear" w:color="auto" w:fill="92D050"/>
            <w:vAlign w:val="center"/>
          </w:tcPr>
          <w:p w14:paraId="490E81C8" w14:textId="22594D7F" w:rsidR="00EF7023" w:rsidRPr="005E2D35" w:rsidRDefault="00D04E7D" w:rsidP="003D4D18">
            <w:pPr>
              <w:spacing w:before="120" w:after="120"/>
              <w:rPr>
                <w:rFonts w:cs="Arial"/>
                <w:szCs w:val="18"/>
              </w:rPr>
            </w:pPr>
            <w:r>
              <w:rPr>
                <w:rFonts w:cs="Arial"/>
                <w:szCs w:val="18"/>
              </w:rPr>
              <w:t>7</w:t>
            </w:r>
            <w:r w:rsidR="005803AD" w:rsidRPr="005E2D35">
              <w:rPr>
                <w:rFonts w:cs="Arial"/>
                <w:szCs w:val="18"/>
              </w:rPr>
              <w:t xml:space="preserve"> of 11 </w:t>
            </w:r>
          </w:p>
        </w:tc>
        <w:tc>
          <w:tcPr>
            <w:tcW w:w="1822" w:type="dxa"/>
            <w:shd w:val="clear" w:color="auto" w:fill="FFC000"/>
            <w:vAlign w:val="center"/>
          </w:tcPr>
          <w:p w14:paraId="4C95A0BC" w14:textId="011E193E" w:rsidR="005803AD" w:rsidRPr="005E2D35" w:rsidRDefault="00D04E7D" w:rsidP="00D04E7D">
            <w:pPr>
              <w:spacing w:before="120" w:after="120"/>
              <w:rPr>
                <w:rFonts w:cs="Arial"/>
                <w:szCs w:val="18"/>
              </w:rPr>
            </w:pPr>
            <w:r>
              <w:rPr>
                <w:rFonts w:cs="Arial"/>
                <w:szCs w:val="18"/>
              </w:rPr>
              <w:t>4</w:t>
            </w:r>
            <w:r w:rsidR="005803AD" w:rsidRPr="005E2D35">
              <w:rPr>
                <w:rFonts w:cs="Arial"/>
                <w:szCs w:val="18"/>
              </w:rPr>
              <w:t xml:space="preserve"> of 11</w:t>
            </w:r>
          </w:p>
        </w:tc>
        <w:tc>
          <w:tcPr>
            <w:tcW w:w="1813" w:type="dxa"/>
            <w:shd w:val="clear" w:color="auto" w:fill="auto"/>
            <w:vAlign w:val="center"/>
          </w:tcPr>
          <w:p w14:paraId="2344264A" w14:textId="77777777" w:rsidR="005803AD" w:rsidRPr="005E2D35" w:rsidRDefault="005803AD" w:rsidP="005803AD">
            <w:pPr>
              <w:spacing w:before="120" w:after="120"/>
              <w:rPr>
                <w:rFonts w:cs="Arial"/>
                <w:szCs w:val="18"/>
              </w:rPr>
            </w:pPr>
          </w:p>
        </w:tc>
        <w:tc>
          <w:tcPr>
            <w:tcW w:w="5330" w:type="dxa"/>
            <w:shd w:val="clear" w:color="auto" w:fill="auto"/>
          </w:tcPr>
          <w:p w14:paraId="087D9E22" w14:textId="085563C4" w:rsidR="005803AD" w:rsidRPr="005E2D35" w:rsidRDefault="00327DE7" w:rsidP="00DF4732">
            <w:pPr>
              <w:spacing w:before="120" w:after="120"/>
              <w:rPr>
                <w:rFonts w:cs="Arial"/>
                <w:szCs w:val="18"/>
              </w:rPr>
            </w:pPr>
            <w:r w:rsidRPr="005E2D35">
              <w:rPr>
                <w:rFonts w:cs="Arial"/>
                <w:szCs w:val="18"/>
              </w:rPr>
              <w:t xml:space="preserve">PIRSA recognise the risks and uncertainties in managing the </w:t>
            </w:r>
            <w:r w:rsidR="00662AD7" w:rsidRPr="005E2D35">
              <w:rPr>
                <w:rFonts w:cs="Arial"/>
                <w:szCs w:val="18"/>
              </w:rPr>
              <w:t xml:space="preserve">target stocks, </w:t>
            </w:r>
            <w:r w:rsidRPr="005E2D35">
              <w:rPr>
                <w:rFonts w:cs="Arial"/>
                <w:szCs w:val="18"/>
              </w:rPr>
              <w:t>and undertake regular reviews of the management arrangements t</w:t>
            </w:r>
            <w:r w:rsidR="00662AD7" w:rsidRPr="005E2D35">
              <w:rPr>
                <w:rFonts w:cs="Arial"/>
                <w:szCs w:val="18"/>
              </w:rPr>
              <w:t xml:space="preserve">o ensure that </w:t>
            </w:r>
            <w:r w:rsidR="00E00C7E" w:rsidRPr="005E2D35">
              <w:rPr>
                <w:rFonts w:cs="Arial"/>
                <w:szCs w:val="18"/>
              </w:rPr>
              <w:t xml:space="preserve">target </w:t>
            </w:r>
            <w:r w:rsidR="00662AD7" w:rsidRPr="005E2D35">
              <w:rPr>
                <w:rFonts w:cs="Arial"/>
                <w:szCs w:val="18"/>
              </w:rPr>
              <w:t xml:space="preserve">stocks </w:t>
            </w:r>
            <w:r w:rsidRPr="005E2D35">
              <w:rPr>
                <w:rFonts w:cs="Arial"/>
                <w:szCs w:val="18"/>
              </w:rPr>
              <w:t>can maintain fishing pressure</w:t>
            </w:r>
            <w:r w:rsidR="00662AD7" w:rsidRPr="005E2D35">
              <w:rPr>
                <w:rFonts w:cs="Arial"/>
                <w:szCs w:val="18"/>
              </w:rPr>
              <w:t>.</w:t>
            </w:r>
            <w:r w:rsidRPr="005E2D35">
              <w:rPr>
                <w:rFonts w:cs="Arial"/>
                <w:szCs w:val="18"/>
              </w:rPr>
              <w:t xml:space="preserve"> </w:t>
            </w:r>
            <w:r w:rsidR="009462B4" w:rsidRPr="005E2D35">
              <w:rPr>
                <w:rFonts w:cs="Arial"/>
                <w:szCs w:val="18"/>
              </w:rPr>
              <w:t>PIRSA has developed management options to recover black bream stocks, and are</w:t>
            </w:r>
            <w:r w:rsidR="005B260E" w:rsidRPr="005E2D35">
              <w:rPr>
                <w:rFonts w:cs="Arial"/>
                <w:szCs w:val="18"/>
              </w:rPr>
              <w:t xml:space="preserve"> </w:t>
            </w:r>
            <w:r w:rsidR="009462B4" w:rsidRPr="005E2D35">
              <w:rPr>
                <w:rFonts w:cs="Arial"/>
                <w:szCs w:val="18"/>
              </w:rPr>
              <w:t>consulting with key stakeholders on the most appropriate action.</w:t>
            </w:r>
            <w:r w:rsidR="00DF4732">
              <w:rPr>
                <w:rFonts w:cs="Arial"/>
                <w:szCs w:val="18"/>
              </w:rPr>
              <w:t xml:space="preserve"> </w:t>
            </w:r>
            <w:r w:rsidR="005B260E" w:rsidRPr="005E2D35">
              <w:rPr>
                <w:rFonts w:cs="Arial"/>
                <w:szCs w:val="18"/>
              </w:rPr>
              <w:t>Yelloweye mullet, pipi, and golden perch stock</w:t>
            </w:r>
            <w:r w:rsidR="007B0347">
              <w:rPr>
                <w:rFonts w:cs="Arial"/>
                <w:szCs w:val="18"/>
              </w:rPr>
              <w:t xml:space="preserve">s are being fished sustainably. However, </w:t>
            </w:r>
            <w:r w:rsidR="007B0347" w:rsidRPr="005E2D35">
              <w:rPr>
                <w:rFonts w:cs="Arial"/>
                <w:szCs w:val="18"/>
              </w:rPr>
              <w:t>greenback flounder stocks are environmentally limited</w:t>
            </w:r>
            <w:r w:rsidR="007B0347">
              <w:rPr>
                <w:rFonts w:cs="Arial"/>
                <w:szCs w:val="18"/>
              </w:rPr>
              <w:t xml:space="preserve"> and there are concerns about </w:t>
            </w:r>
            <w:r w:rsidR="00960C01">
              <w:rPr>
                <w:rFonts w:cs="Arial"/>
                <w:szCs w:val="18"/>
              </w:rPr>
              <w:t xml:space="preserve">high numbers of undersized </w:t>
            </w:r>
            <w:r w:rsidR="007B0347" w:rsidRPr="005E2D35">
              <w:rPr>
                <w:rFonts w:cs="Arial"/>
                <w:szCs w:val="18"/>
              </w:rPr>
              <w:t>mulloway</w:t>
            </w:r>
            <w:r w:rsidR="007B0347">
              <w:rPr>
                <w:rFonts w:cs="Arial"/>
                <w:szCs w:val="18"/>
              </w:rPr>
              <w:t xml:space="preserve"> discards</w:t>
            </w:r>
            <w:r w:rsidR="005B260E" w:rsidRPr="005E2D35">
              <w:rPr>
                <w:rFonts w:cs="Arial"/>
                <w:szCs w:val="18"/>
              </w:rPr>
              <w:t xml:space="preserve">. </w:t>
            </w:r>
            <w:r w:rsidRPr="005E2D35">
              <w:rPr>
                <w:rFonts w:cs="Arial"/>
                <w:szCs w:val="18"/>
              </w:rPr>
              <w:t xml:space="preserve">PIRSA </w:t>
            </w:r>
            <w:r w:rsidR="005B260E" w:rsidRPr="005E2D35">
              <w:rPr>
                <w:rFonts w:cs="Arial"/>
                <w:szCs w:val="18"/>
              </w:rPr>
              <w:t>has</w:t>
            </w:r>
            <w:r w:rsidRPr="005E2D35">
              <w:rPr>
                <w:rFonts w:cs="Arial"/>
                <w:szCs w:val="18"/>
              </w:rPr>
              <w:t xml:space="preserve"> given an undertaking to monitor catches</w:t>
            </w:r>
            <w:r w:rsidR="005B260E" w:rsidRPr="005E2D35">
              <w:rPr>
                <w:rFonts w:cs="Arial"/>
                <w:szCs w:val="18"/>
              </w:rPr>
              <w:t>, including discards,</w:t>
            </w:r>
            <w:r w:rsidRPr="005E2D35">
              <w:rPr>
                <w:rFonts w:cs="Arial"/>
                <w:szCs w:val="18"/>
              </w:rPr>
              <w:t xml:space="preserve"> for </w:t>
            </w:r>
            <w:r w:rsidR="005B260E" w:rsidRPr="005E2D35">
              <w:rPr>
                <w:rFonts w:cs="Arial"/>
                <w:szCs w:val="18"/>
              </w:rPr>
              <w:t>all target species</w:t>
            </w:r>
            <w:r w:rsidRPr="005E2D35">
              <w:rPr>
                <w:rFonts w:cs="Arial"/>
                <w:szCs w:val="18"/>
              </w:rPr>
              <w:t>,</w:t>
            </w:r>
            <w:r w:rsidR="005B260E" w:rsidRPr="005E2D35">
              <w:rPr>
                <w:rFonts w:cs="Arial"/>
                <w:szCs w:val="18"/>
              </w:rPr>
              <w:t xml:space="preserve"> and to</w:t>
            </w:r>
            <w:r w:rsidRPr="005E2D35">
              <w:rPr>
                <w:rFonts w:cs="Arial"/>
                <w:szCs w:val="18"/>
              </w:rPr>
              <w:t xml:space="preserve"> implement measure</w:t>
            </w:r>
            <w:r w:rsidR="00E70183" w:rsidRPr="005E2D35">
              <w:rPr>
                <w:rFonts w:cs="Arial"/>
                <w:szCs w:val="18"/>
              </w:rPr>
              <w:t>s</w:t>
            </w:r>
            <w:r w:rsidRPr="005E2D35">
              <w:rPr>
                <w:rFonts w:cs="Arial"/>
                <w:szCs w:val="18"/>
              </w:rPr>
              <w:t xml:space="preserve"> </w:t>
            </w:r>
            <w:r w:rsidR="005B260E" w:rsidRPr="005E2D35">
              <w:rPr>
                <w:rFonts w:cs="Arial"/>
                <w:szCs w:val="18"/>
              </w:rPr>
              <w:t>to ensure stocks can continue to sustain fishing pressure</w:t>
            </w:r>
            <w:r w:rsidRPr="005E2D35">
              <w:rPr>
                <w:rFonts w:cs="Arial"/>
                <w:szCs w:val="18"/>
              </w:rPr>
              <w:t xml:space="preserve">. </w:t>
            </w:r>
            <w:r w:rsidR="005B260E" w:rsidRPr="005E2D35">
              <w:rPr>
                <w:rFonts w:cs="Arial"/>
                <w:szCs w:val="18"/>
              </w:rPr>
              <w:t xml:space="preserve">Logbooks </w:t>
            </w:r>
            <w:r w:rsidR="00E70183" w:rsidRPr="005E2D35">
              <w:rPr>
                <w:rFonts w:cs="Arial"/>
                <w:szCs w:val="18"/>
              </w:rPr>
              <w:t xml:space="preserve">are used to </w:t>
            </w:r>
            <w:r w:rsidR="005B260E" w:rsidRPr="005E2D35">
              <w:rPr>
                <w:rFonts w:cs="Arial"/>
                <w:szCs w:val="18"/>
              </w:rPr>
              <w:t xml:space="preserve">record catch and effort </w:t>
            </w:r>
            <w:r w:rsidR="00FF2916">
              <w:rPr>
                <w:rFonts w:cs="Arial"/>
                <w:szCs w:val="18"/>
              </w:rPr>
              <w:t>for</w:t>
            </w:r>
            <w:r w:rsidR="005B260E" w:rsidRPr="005E2D35">
              <w:rPr>
                <w:rFonts w:cs="Arial"/>
                <w:szCs w:val="18"/>
              </w:rPr>
              <w:t xml:space="preserve"> target and byproduct species. </w:t>
            </w:r>
            <w:r w:rsidR="005B260E" w:rsidRPr="005E2D35">
              <w:rPr>
                <w:rFonts w:cs="Arial"/>
                <w:szCs w:val="18"/>
                <w:lang w:eastAsia="en-AU"/>
              </w:rPr>
              <w:t>The take</w:t>
            </w:r>
            <w:r w:rsidR="005B260E" w:rsidRPr="005E2D35">
              <w:rPr>
                <w:rFonts w:cs="Arial"/>
                <w:szCs w:val="18"/>
              </w:rPr>
              <w:t xml:space="preserve"> by recreational and traditional fish</w:t>
            </w:r>
            <w:r w:rsidR="00FF2916">
              <w:rPr>
                <w:rFonts w:cs="Arial"/>
                <w:szCs w:val="18"/>
              </w:rPr>
              <w:t>ers</w:t>
            </w:r>
            <w:r w:rsidR="005B260E" w:rsidRPr="005E2D35">
              <w:rPr>
                <w:rFonts w:cs="Arial"/>
                <w:szCs w:val="18"/>
              </w:rPr>
              <w:t xml:space="preserve"> are considered </w:t>
            </w:r>
            <w:r w:rsidR="00E70183" w:rsidRPr="005E2D35">
              <w:rPr>
                <w:rFonts w:cs="Arial"/>
                <w:szCs w:val="18"/>
              </w:rPr>
              <w:t xml:space="preserve">low, </w:t>
            </w:r>
            <w:r w:rsidR="00531B4D">
              <w:rPr>
                <w:rFonts w:cs="Arial"/>
                <w:szCs w:val="18"/>
              </w:rPr>
              <w:t xml:space="preserve">and </w:t>
            </w:r>
            <w:r w:rsidR="00FF2916">
              <w:rPr>
                <w:rFonts w:cs="Arial"/>
                <w:szCs w:val="18"/>
              </w:rPr>
              <w:t>is</w:t>
            </w:r>
            <w:r w:rsidR="00531B4D">
              <w:rPr>
                <w:rFonts w:cs="Arial"/>
                <w:szCs w:val="18"/>
              </w:rPr>
              <w:t xml:space="preserve"> limit</w:t>
            </w:r>
            <w:r w:rsidR="00FF2916">
              <w:rPr>
                <w:rFonts w:cs="Arial"/>
                <w:szCs w:val="18"/>
              </w:rPr>
              <w:t>ed</w:t>
            </w:r>
            <w:r w:rsidR="00531B4D">
              <w:rPr>
                <w:rFonts w:cs="Arial"/>
                <w:szCs w:val="18"/>
              </w:rPr>
              <w:t xml:space="preserve"> </w:t>
            </w:r>
            <w:r w:rsidR="00FF2916">
              <w:rPr>
                <w:rFonts w:cs="Arial"/>
                <w:szCs w:val="18"/>
              </w:rPr>
              <w:t xml:space="preserve">by the </w:t>
            </w:r>
            <w:r w:rsidR="00960C01">
              <w:rPr>
                <w:rFonts w:cs="Arial"/>
                <w:szCs w:val="18"/>
              </w:rPr>
              <w:t xml:space="preserve">resource </w:t>
            </w:r>
            <w:r w:rsidR="00FF2916">
              <w:rPr>
                <w:rFonts w:cs="Arial"/>
                <w:szCs w:val="18"/>
              </w:rPr>
              <w:t>allocation policy</w:t>
            </w:r>
            <w:r w:rsidR="005B260E" w:rsidRPr="005E2D35">
              <w:rPr>
                <w:rFonts w:cs="Arial"/>
                <w:szCs w:val="18"/>
              </w:rPr>
              <w:t>.</w:t>
            </w:r>
          </w:p>
        </w:tc>
      </w:tr>
      <w:tr w:rsidR="005803AD" w:rsidRPr="005E2D35" w14:paraId="4DB69FFC" w14:textId="77777777" w:rsidTr="007500A4">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BEF2B0" w14:textId="7F06F4B0" w:rsidR="005803AD" w:rsidRPr="005E2D35" w:rsidRDefault="005803AD" w:rsidP="005803AD">
            <w:pPr>
              <w:spacing w:before="120" w:after="120"/>
              <w:rPr>
                <w:rFonts w:cs="Arial"/>
                <w:szCs w:val="18"/>
              </w:rPr>
            </w:pPr>
            <w:r w:rsidRPr="005E2D35">
              <w:rPr>
                <w:rFonts w:cs="Arial"/>
                <w:szCs w:val="18"/>
              </w:rPr>
              <w:t>Principle 2 (bycatch and TEPS)</w:t>
            </w:r>
          </w:p>
        </w:tc>
        <w:tc>
          <w:tcPr>
            <w:tcW w:w="1678" w:type="dxa"/>
            <w:shd w:val="clear" w:color="auto" w:fill="92D050"/>
            <w:vAlign w:val="center"/>
          </w:tcPr>
          <w:p w14:paraId="01713504" w14:textId="6611BF16" w:rsidR="00A3142E" w:rsidRPr="005E2D35" w:rsidRDefault="007500A4" w:rsidP="00D04E7D">
            <w:pPr>
              <w:spacing w:before="120" w:after="120"/>
              <w:rPr>
                <w:rFonts w:cs="Arial"/>
                <w:szCs w:val="18"/>
              </w:rPr>
            </w:pPr>
            <w:r>
              <w:rPr>
                <w:rFonts w:cs="Arial"/>
                <w:szCs w:val="18"/>
              </w:rPr>
              <w:t>8</w:t>
            </w:r>
            <w:r w:rsidR="00A3142E" w:rsidRPr="005E2D35">
              <w:rPr>
                <w:rFonts w:cs="Arial"/>
                <w:szCs w:val="18"/>
              </w:rPr>
              <w:t xml:space="preserve"> of 12 </w:t>
            </w:r>
          </w:p>
        </w:tc>
        <w:tc>
          <w:tcPr>
            <w:tcW w:w="1822" w:type="dxa"/>
            <w:shd w:val="clear" w:color="auto" w:fill="FFC000"/>
            <w:vAlign w:val="center"/>
          </w:tcPr>
          <w:p w14:paraId="6F0B7D38" w14:textId="0E423565" w:rsidR="004A6957" w:rsidRPr="005E2D35" w:rsidRDefault="007500A4" w:rsidP="00D04E7D">
            <w:pPr>
              <w:spacing w:before="120" w:after="120"/>
              <w:rPr>
                <w:rFonts w:cs="Arial"/>
                <w:szCs w:val="18"/>
              </w:rPr>
            </w:pPr>
            <w:r>
              <w:rPr>
                <w:rFonts w:cs="Arial"/>
                <w:szCs w:val="18"/>
              </w:rPr>
              <w:t>1 of 12</w:t>
            </w:r>
          </w:p>
        </w:tc>
        <w:tc>
          <w:tcPr>
            <w:tcW w:w="1813" w:type="dxa"/>
            <w:shd w:val="clear" w:color="auto" w:fill="FF0000"/>
            <w:vAlign w:val="center"/>
          </w:tcPr>
          <w:p w14:paraId="26CFB1FA" w14:textId="110136BA" w:rsidR="005803AD" w:rsidRPr="005E2D35" w:rsidRDefault="00D04E7D" w:rsidP="005803AD">
            <w:pPr>
              <w:spacing w:before="120" w:after="120"/>
              <w:rPr>
                <w:rFonts w:cs="Arial"/>
                <w:szCs w:val="18"/>
              </w:rPr>
            </w:pPr>
            <w:r>
              <w:rPr>
                <w:rFonts w:cs="Arial"/>
                <w:szCs w:val="18"/>
              </w:rPr>
              <w:t>3 or 12</w:t>
            </w:r>
          </w:p>
        </w:tc>
        <w:tc>
          <w:tcPr>
            <w:tcW w:w="5330" w:type="dxa"/>
            <w:shd w:val="clear" w:color="auto" w:fill="auto"/>
          </w:tcPr>
          <w:p w14:paraId="08EB80BE" w14:textId="1DC9D6DE" w:rsidR="005803AD" w:rsidRPr="005E2D35" w:rsidRDefault="009A25AB" w:rsidP="00DF4732">
            <w:pPr>
              <w:spacing w:before="120" w:after="120"/>
              <w:rPr>
                <w:rFonts w:cs="Arial"/>
                <w:szCs w:val="18"/>
              </w:rPr>
            </w:pPr>
            <w:r w:rsidRPr="005E2D35">
              <w:rPr>
                <w:rFonts w:cs="Arial"/>
                <w:szCs w:val="18"/>
              </w:rPr>
              <w:t>Bycatch is not recorded unless the species is listed</w:t>
            </w:r>
            <w:r>
              <w:rPr>
                <w:rFonts w:cs="Arial"/>
                <w:szCs w:val="18"/>
              </w:rPr>
              <w:t xml:space="preserve"> as TEPS</w:t>
            </w:r>
            <w:r w:rsidRPr="005E2D35">
              <w:rPr>
                <w:rFonts w:cs="Arial"/>
                <w:szCs w:val="18"/>
              </w:rPr>
              <w:t xml:space="preserve">. </w:t>
            </w:r>
            <w:r w:rsidR="00D92976" w:rsidRPr="005E2D35">
              <w:rPr>
                <w:rFonts w:cs="Arial"/>
                <w:szCs w:val="18"/>
              </w:rPr>
              <w:t>High numbers of undersized and juvenile target species are discarded. PIRSA are monitoring catch trends</w:t>
            </w:r>
            <w:r w:rsidR="00CA043C">
              <w:rPr>
                <w:rFonts w:cs="Arial"/>
                <w:szCs w:val="18"/>
              </w:rPr>
              <w:t xml:space="preserve"> for a number of species</w:t>
            </w:r>
            <w:r w:rsidR="00D92976" w:rsidRPr="005E2D35">
              <w:rPr>
                <w:rFonts w:cs="Arial"/>
                <w:szCs w:val="18"/>
              </w:rPr>
              <w:t xml:space="preserve">, and will manage accordingly. </w:t>
            </w:r>
            <w:r w:rsidR="00CA043C" w:rsidRPr="005E2D35">
              <w:rPr>
                <w:rFonts w:cs="Arial"/>
                <w:szCs w:val="18"/>
              </w:rPr>
              <w:t>PIRSA has facilitated risk assessments for impacts on listed TEPS including marine mammals and bird species.</w:t>
            </w:r>
            <w:r w:rsidR="00960C01">
              <w:rPr>
                <w:rFonts w:cs="Arial"/>
                <w:szCs w:val="18"/>
              </w:rPr>
              <w:t xml:space="preserve"> </w:t>
            </w:r>
            <w:r w:rsidR="00AD4C29">
              <w:rPr>
                <w:rFonts w:cs="Arial"/>
                <w:szCs w:val="18"/>
              </w:rPr>
              <w:t>While i</w:t>
            </w:r>
            <w:r w:rsidR="00D92976" w:rsidRPr="005E2D35">
              <w:rPr>
                <w:rFonts w:cs="Arial"/>
                <w:szCs w:val="18"/>
              </w:rPr>
              <w:t xml:space="preserve">nteractions with </w:t>
            </w:r>
            <w:r w:rsidR="00AD4C29">
              <w:rPr>
                <w:rFonts w:cs="Arial"/>
                <w:szCs w:val="18"/>
              </w:rPr>
              <w:t>long-nosed</w:t>
            </w:r>
            <w:r w:rsidR="00AD4C29" w:rsidRPr="005E2D35">
              <w:rPr>
                <w:rFonts w:cs="Arial"/>
                <w:szCs w:val="18"/>
              </w:rPr>
              <w:t xml:space="preserve"> </w:t>
            </w:r>
            <w:r w:rsidR="00D92976" w:rsidRPr="005E2D35">
              <w:rPr>
                <w:rFonts w:cs="Arial"/>
                <w:szCs w:val="18"/>
              </w:rPr>
              <w:t>fur seals has increased</w:t>
            </w:r>
            <w:r w:rsidR="00960C01">
              <w:rPr>
                <w:rFonts w:cs="Arial"/>
                <w:szCs w:val="18"/>
              </w:rPr>
              <w:t xml:space="preserve">, </w:t>
            </w:r>
            <w:r w:rsidR="00AD4C29">
              <w:rPr>
                <w:rFonts w:cs="Arial"/>
                <w:szCs w:val="18"/>
              </w:rPr>
              <w:t>no mortalities have been reported, and</w:t>
            </w:r>
            <w:r w:rsidR="00960C01">
              <w:rPr>
                <w:rFonts w:cs="Arial"/>
                <w:szCs w:val="18"/>
              </w:rPr>
              <w:t xml:space="preserve"> PIRSA </w:t>
            </w:r>
            <w:r w:rsidR="00AD4C29">
              <w:rPr>
                <w:rFonts w:cs="Arial"/>
                <w:szCs w:val="18"/>
              </w:rPr>
              <w:t>is working with industry to ensure the risk remains low</w:t>
            </w:r>
            <w:r w:rsidR="00D92976" w:rsidRPr="005E2D35">
              <w:rPr>
                <w:rFonts w:cs="Arial"/>
                <w:szCs w:val="18"/>
              </w:rPr>
              <w:t xml:space="preserve">. </w:t>
            </w:r>
            <w:r w:rsidR="00CA043C">
              <w:rPr>
                <w:rFonts w:cs="Arial"/>
                <w:szCs w:val="18"/>
              </w:rPr>
              <w:t>T</w:t>
            </w:r>
            <w:r w:rsidR="001D55C7" w:rsidRPr="005E2D35">
              <w:rPr>
                <w:rFonts w:cs="Arial"/>
                <w:szCs w:val="18"/>
              </w:rPr>
              <w:t xml:space="preserve">he management regime includes measures </w:t>
            </w:r>
            <w:r w:rsidR="00CA043C">
              <w:rPr>
                <w:rFonts w:cs="Arial"/>
                <w:szCs w:val="18"/>
              </w:rPr>
              <w:t>to</w:t>
            </w:r>
            <w:r w:rsidR="00CA043C" w:rsidRPr="005E2D35">
              <w:rPr>
                <w:rFonts w:cs="Arial"/>
                <w:szCs w:val="18"/>
              </w:rPr>
              <w:t xml:space="preserve"> </w:t>
            </w:r>
            <w:r w:rsidR="001D55C7" w:rsidRPr="005E2D35">
              <w:rPr>
                <w:rFonts w:cs="Arial"/>
                <w:szCs w:val="18"/>
              </w:rPr>
              <w:t>help minimise the likelihood of impacts to bycatch</w:t>
            </w:r>
            <w:r>
              <w:rPr>
                <w:rFonts w:cs="Arial"/>
                <w:szCs w:val="18"/>
              </w:rPr>
              <w:t xml:space="preserve"> </w:t>
            </w:r>
            <w:r w:rsidR="001D55C7" w:rsidRPr="005E2D35">
              <w:rPr>
                <w:rFonts w:cs="Arial"/>
                <w:szCs w:val="18"/>
              </w:rPr>
              <w:t xml:space="preserve">species </w:t>
            </w:r>
            <w:r>
              <w:rPr>
                <w:rFonts w:cs="Arial"/>
                <w:szCs w:val="18"/>
              </w:rPr>
              <w:t>and TEPS</w:t>
            </w:r>
            <w:r w:rsidR="001D55C7" w:rsidRPr="005E2D35">
              <w:rPr>
                <w:rFonts w:cs="Arial"/>
                <w:szCs w:val="18"/>
              </w:rPr>
              <w:t>.</w:t>
            </w:r>
            <w:r w:rsidR="004A6957" w:rsidRPr="005E2D35">
              <w:rPr>
                <w:rFonts w:cs="Arial"/>
                <w:szCs w:val="18"/>
              </w:rPr>
              <w:t xml:space="preserve"> </w:t>
            </w:r>
          </w:p>
        </w:tc>
      </w:tr>
      <w:tr w:rsidR="005803AD" w:rsidRPr="005E2D35" w14:paraId="77A7913F" w14:textId="77777777" w:rsidTr="00E00C7E">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22471C4" w14:textId="40DDB761" w:rsidR="005803AD" w:rsidRPr="005E2D35" w:rsidRDefault="005803AD" w:rsidP="005803AD">
            <w:pPr>
              <w:spacing w:before="120" w:after="120"/>
              <w:rPr>
                <w:rFonts w:cs="Arial"/>
                <w:szCs w:val="18"/>
              </w:rPr>
            </w:pPr>
            <w:r w:rsidRPr="005E2D35">
              <w:rPr>
                <w:rFonts w:cs="Arial"/>
                <w:szCs w:val="18"/>
              </w:rPr>
              <w:lastRenderedPageBreak/>
              <w:t>Principle 2 (ecosystem impacts)</w:t>
            </w:r>
          </w:p>
        </w:tc>
        <w:tc>
          <w:tcPr>
            <w:tcW w:w="1678" w:type="dxa"/>
            <w:shd w:val="clear" w:color="auto" w:fill="92D050"/>
            <w:vAlign w:val="center"/>
          </w:tcPr>
          <w:p w14:paraId="7B2D69A1" w14:textId="6F7EA894" w:rsidR="005803AD" w:rsidRPr="005E2D35" w:rsidRDefault="00A3142E" w:rsidP="003D4D18">
            <w:pPr>
              <w:spacing w:before="120" w:after="120"/>
              <w:rPr>
                <w:rFonts w:cs="Arial"/>
                <w:szCs w:val="18"/>
              </w:rPr>
            </w:pPr>
            <w:r w:rsidRPr="005E2D35">
              <w:rPr>
                <w:rFonts w:cs="Arial"/>
                <w:szCs w:val="18"/>
              </w:rPr>
              <w:t xml:space="preserve">5 of 5 </w:t>
            </w:r>
          </w:p>
        </w:tc>
        <w:tc>
          <w:tcPr>
            <w:tcW w:w="1822" w:type="dxa"/>
            <w:shd w:val="clear" w:color="auto" w:fill="auto"/>
            <w:vAlign w:val="center"/>
          </w:tcPr>
          <w:p w14:paraId="183A4864" w14:textId="77777777" w:rsidR="005803AD" w:rsidRPr="005E2D35" w:rsidRDefault="005803AD" w:rsidP="005803AD">
            <w:pPr>
              <w:spacing w:before="120" w:after="120"/>
              <w:rPr>
                <w:rFonts w:cs="Arial"/>
                <w:szCs w:val="18"/>
              </w:rPr>
            </w:pPr>
          </w:p>
        </w:tc>
        <w:tc>
          <w:tcPr>
            <w:tcW w:w="1813" w:type="dxa"/>
            <w:shd w:val="clear" w:color="auto" w:fill="auto"/>
            <w:vAlign w:val="center"/>
          </w:tcPr>
          <w:p w14:paraId="0EF7E465" w14:textId="77777777" w:rsidR="005803AD" w:rsidRPr="005E2D35" w:rsidRDefault="005803AD" w:rsidP="005803AD">
            <w:pPr>
              <w:spacing w:before="120" w:after="120"/>
              <w:rPr>
                <w:rFonts w:cs="Arial"/>
                <w:szCs w:val="18"/>
              </w:rPr>
            </w:pPr>
          </w:p>
        </w:tc>
        <w:tc>
          <w:tcPr>
            <w:tcW w:w="5330" w:type="dxa"/>
            <w:shd w:val="clear" w:color="auto" w:fill="auto"/>
          </w:tcPr>
          <w:p w14:paraId="5701B5C8" w14:textId="5A263EAA" w:rsidR="005803AD" w:rsidRPr="005E2D35" w:rsidRDefault="004A6957" w:rsidP="00AD4C29">
            <w:pPr>
              <w:spacing w:before="120" w:after="120"/>
              <w:rPr>
                <w:rFonts w:cs="Arial"/>
                <w:szCs w:val="18"/>
              </w:rPr>
            </w:pPr>
            <w:r w:rsidRPr="005E2D35">
              <w:rPr>
                <w:rFonts w:cs="Arial"/>
                <w:szCs w:val="18"/>
              </w:rPr>
              <w:t xml:space="preserve">PIRSA facilitated a risk assessment </w:t>
            </w:r>
            <w:r w:rsidR="00514007">
              <w:rPr>
                <w:rFonts w:cs="Arial"/>
                <w:szCs w:val="18"/>
              </w:rPr>
              <w:t>that included the impact of</w:t>
            </w:r>
            <w:r w:rsidR="00514007" w:rsidRPr="005E2D35">
              <w:rPr>
                <w:rFonts w:cs="Arial"/>
                <w:szCs w:val="18"/>
              </w:rPr>
              <w:t xml:space="preserve"> </w:t>
            </w:r>
            <w:r w:rsidRPr="005E2D35">
              <w:rPr>
                <w:rFonts w:cs="Arial"/>
                <w:szCs w:val="18"/>
              </w:rPr>
              <w:t xml:space="preserve">fishing on the marine environment. </w:t>
            </w:r>
            <w:r w:rsidR="00F303B7" w:rsidRPr="005E2D35">
              <w:rPr>
                <w:rFonts w:cs="Arial"/>
                <w:szCs w:val="18"/>
              </w:rPr>
              <w:t xml:space="preserve">The </w:t>
            </w:r>
            <w:r w:rsidR="00AD4C29">
              <w:rPr>
                <w:rFonts w:cs="Arial"/>
                <w:szCs w:val="18"/>
              </w:rPr>
              <w:t>management regime</w:t>
            </w:r>
            <w:r w:rsidR="00AD4C29" w:rsidRPr="005E2D35">
              <w:rPr>
                <w:rFonts w:cs="Arial"/>
                <w:szCs w:val="18"/>
              </w:rPr>
              <w:t xml:space="preserve"> </w:t>
            </w:r>
            <w:r w:rsidR="00F303B7" w:rsidRPr="005E2D35">
              <w:rPr>
                <w:rFonts w:cs="Arial"/>
                <w:szCs w:val="18"/>
              </w:rPr>
              <w:t xml:space="preserve">accounts for </w:t>
            </w:r>
            <w:r w:rsidR="00CD34F1" w:rsidRPr="005E2D35">
              <w:rPr>
                <w:rFonts w:cs="Arial"/>
                <w:szCs w:val="18"/>
              </w:rPr>
              <w:t>risks and impacts</w:t>
            </w:r>
            <w:r w:rsidR="00F303B7" w:rsidRPr="005E2D35">
              <w:rPr>
                <w:rFonts w:cs="Arial"/>
                <w:szCs w:val="18"/>
              </w:rPr>
              <w:t xml:space="preserve"> on the Coorong and Lakes Alexandrina and Albert Ramsar </w:t>
            </w:r>
            <w:r w:rsidR="00CD34F1" w:rsidRPr="005E2D35">
              <w:rPr>
                <w:rFonts w:cs="Arial"/>
                <w:szCs w:val="18"/>
              </w:rPr>
              <w:t>wetland</w:t>
            </w:r>
            <w:r w:rsidR="00F303B7" w:rsidRPr="005E2D35">
              <w:rPr>
                <w:rFonts w:cs="Arial"/>
                <w:szCs w:val="18"/>
              </w:rPr>
              <w:t xml:space="preserve"> in which </w:t>
            </w:r>
            <w:r w:rsidR="00A922CB" w:rsidRPr="005E2D35">
              <w:rPr>
                <w:rFonts w:cs="Arial"/>
                <w:szCs w:val="18"/>
              </w:rPr>
              <w:t xml:space="preserve">the fishery </w:t>
            </w:r>
            <w:r w:rsidR="00F303B7" w:rsidRPr="005E2D35">
              <w:rPr>
                <w:rFonts w:cs="Arial"/>
                <w:szCs w:val="18"/>
              </w:rPr>
              <w:t>operates.</w:t>
            </w:r>
            <w:r w:rsidR="00CD34F1" w:rsidRPr="005E2D35">
              <w:rPr>
                <w:rFonts w:cs="Arial"/>
                <w:szCs w:val="18"/>
              </w:rPr>
              <w:t xml:space="preserve"> The risks to the marine environment, including the Ramsar site, are considered low.</w:t>
            </w:r>
          </w:p>
        </w:tc>
      </w:tr>
      <w:tr w:rsidR="00E00C7E" w:rsidRPr="005E2D35" w14:paraId="1F2AA8E1" w14:textId="77777777" w:rsidTr="00281597">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A1062F8" w14:textId="14D1169F" w:rsidR="00E00C7E" w:rsidRPr="005E2D35" w:rsidRDefault="00E00C7E" w:rsidP="00281597">
            <w:pPr>
              <w:spacing w:before="120" w:after="120"/>
              <w:rPr>
                <w:rFonts w:cs="Arial"/>
                <w:b/>
                <w:szCs w:val="18"/>
              </w:rPr>
            </w:pPr>
            <w:r w:rsidRPr="005E2D35">
              <w:rPr>
                <w:rFonts w:cs="Arial"/>
                <w:b/>
                <w:szCs w:val="18"/>
              </w:rPr>
              <w:t>EPBC requirements</w:t>
            </w:r>
          </w:p>
        </w:tc>
        <w:tc>
          <w:tcPr>
            <w:tcW w:w="1678" w:type="dxa"/>
            <w:shd w:val="clear" w:color="auto" w:fill="92D050"/>
            <w:vAlign w:val="center"/>
          </w:tcPr>
          <w:p w14:paraId="41B19EC2" w14:textId="77777777" w:rsidR="00E00C7E" w:rsidRPr="005E2D35" w:rsidRDefault="00E00C7E" w:rsidP="00281597">
            <w:pPr>
              <w:spacing w:before="120" w:after="120"/>
              <w:rPr>
                <w:rFonts w:cs="Arial"/>
                <w:b/>
                <w:szCs w:val="18"/>
              </w:rPr>
            </w:pPr>
            <w:r w:rsidRPr="005E2D35">
              <w:rPr>
                <w:rFonts w:cs="Arial"/>
                <w:b/>
                <w:szCs w:val="18"/>
              </w:rPr>
              <w:t>Meets</w:t>
            </w:r>
          </w:p>
        </w:tc>
        <w:tc>
          <w:tcPr>
            <w:tcW w:w="1822" w:type="dxa"/>
            <w:shd w:val="clear" w:color="auto" w:fill="FFC000"/>
            <w:vAlign w:val="center"/>
          </w:tcPr>
          <w:p w14:paraId="56244A13" w14:textId="77777777" w:rsidR="00E00C7E" w:rsidRPr="005E2D35" w:rsidRDefault="00E00C7E" w:rsidP="00281597">
            <w:pPr>
              <w:spacing w:before="120" w:after="120"/>
              <w:rPr>
                <w:rFonts w:cs="Arial"/>
                <w:b/>
                <w:szCs w:val="18"/>
              </w:rPr>
            </w:pPr>
            <w:r w:rsidRPr="005E2D35">
              <w:rPr>
                <w:rFonts w:cs="Arial"/>
                <w:b/>
                <w:szCs w:val="18"/>
              </w:rPr>
              <w:t>Partially meets</w:t>
            </w:r>
          </w:p>
        </w:tc>
        <w:tc>
          <w:tcPr>
            <w:tcW w:w="1813" w:type="dxa"/>
            <w:shd w:val="clear" w:color="auto" w:fill="FF0000"/>
            <w:vAlign w:val="center"/>
          </w:tcPr>
          <w:p w14:paraId="493A8D53" w14:textId="77777777" w:rsidR="00E00C7E" w:rsidRPr="005E2D35" w:rsidRDefault="00E00C7E" w:rsidP="00281597">
            <w:pPr>
              <w:spacing w:before="120" w:after="120"/>
              <w:rPr>
                <w:rFonts w:cs="Arial"/>
                <w:b/>
                <w:szCs w:val="18"/>
              </w:rPr>
            </w:pPr>
            <w:r w:rsidRPr="005E2D35">
              <w:rPr>
                <w:rFonts w:cs="Arial"/>
                <w:b/>
                <w:szCs w:val="18"/>
              </w:rPr>
              <w:t>Does not meet</w:t>
            </w:r>
          </w:p>
        </w:tc>
        <w:tc>
          <w:tcPr>
            <w:tcW w:w="5330" w:type="dxa"/>
            <w:vAlign w:val="center"/>
          </w:tcPr>
          <w:p w14:paraId="664C7B7F" w14:textId="77777777" w:rsidR="00E00C7E" w:rsidRPr="005E2D35" w:rsidRDefault="00E00C7E" w:rsidP="00281597">
            <w:pPr>
              <w:spacing w:before="120" w:after="120"/>
              <w:rPr>
                <w:rFonts w:cs="Arial"/>
                <w:b/>
                <w:szCs w:val="18"/>
              </w:rPr>
            </w:pPr>
            <w:r w:rsidRPr="005E2D35">
              <w:rPr>
                <w:rFonts w:cs="Arial"/>
                <w:b/>
                <w:szCs w:val="18"/>
              </w:rPr>
              <w:t>Details</w:t>
            </w:r>
          </w:p>
        </w:tc>
      </w:tr>
      <w:tr w:rsidR="005803AD" w:rsidRPr="005E2D35" w14:paraId="288C0458" w14:textId="77777777" w:rsidTr="005803AD">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A69EF13" w14:textId="20B4D55A" w:rsidR="005803AD" w:rsidRPr="005E2D35" w:rsidRDefault="005803AD" w:rsidP="005803AD">
            <w:pPr>
              <w:spacing w:before="120" w:after="120"/>
              <w:rPr>
                <w:rFonts w:cs="Arial"/>
                <w:szCs w:val="18"/>
              </w:rPr>
            </w:pPr>
            <w:r w:rsidRPr="005E2D35">
              <w:rPr>
                <w:rFonts w:cs="Arial"/>
                <w:szCs w:val="18"/>
              </w:rPr>
              <w:t>Part 12</w:t>
            </w:r>
          </w:p>
        </w:tc>
        <w:tc>
          <w:tcPr>
            <w:tcW w:w="1678" w:type="dxa"/>
            <w:shd w:val="clear" w:color="auto" w:fill="auto"/>
            <w:vAlign w:val="center"/>
          </w:tcPr>
          <w:p w14:paraId="0D057530" w14:textId="0A286F4A" w:rsidR="005803AD" w:rsidRPr="005E2D35" w:rsidRDefault="005803AD" w:rsidP="005803AD">
            <w:pPr>
              <w:spacing w:before="120" w:after="120"/>
              <w:rPr>
                <w:rFonts w:cs="Arial"/>
                <w:szCs w:val="18"/>
              </w:rPr>
            </w:pPr>
          </w:p>
        </w:tc>
        <w:tc>
          <w:tcPr>
            <w:tcW w:w="1822" w:type="dxa"/>
            <w:shd w:val="clear" w:color="auto" w:fill="auto"/>
            <w:vAlign w:val="center"/>
          </w:tcPr>
          <w:p w14:paraId="256D5847" w14:textId="3640E768" w:rsidR="005803AD" w:rsidRPr="005E2D35" w:rsidRDefault="005803AD" w:rsidP="005803AD">
            <w:pPr>
              <w:spacing w:before="120" w:after="120"/>
              <w:rPr>
                <w:rFonts w:cs="Arial"/>
                <w:szCs w:val="18"/>
              </w:rPr>
            </w:pPr>
          </w:p>
        </w:tc>
        <w:tc>
          <w:tcPr>
            <w:tcW w:w="1813" w:type="dxa"/>
            <w:shd w:val="clear" w:color="auto" w:fill="auto"/>
            <w:vAlign w:val="center"/>
          </w:tcPr>
          <w:p w14:paraId="6EE06B37" w14:textId="2542A0F8" w:rsidR="005803AD" w:rsidRPr="005E2D35" w:rsidRDefault="005803AD" w:rsidP="005803AD">
            <w:pPr>
              <w:spacing w:before="120" w:after="120"/>
              <w:rPr>
                <w:rFonts w:cs="Arial"/>
                <w:szCs w:val="18"/>
              </w:rPr>
            </w:pPr>
          </w:p>
        </w:tc>
        <w:tc>
          <w:tcPr>
            <w:tcW w:w="5330" w:type="dxa"/>
            <w:vAlign w:val="center"/>
          </w:tcPr>
          <w:p w14:paraId="327E0B80" w14:textId="341C4750" w:rsidR="005803AD" w:rsidRPr="005E2D35" w:rsidRDefault="005803AD" w:rsidP="00A922CB">
            <w:pPr>
              <w:spacing w:before="120" w:after="120"/>
              <w:rPr>
                <w:rFonts w:cs="Arial"/>
                <w:szCs w:val="18"/>
              </w:rPr>
            </w:pPr>
            <w:r w:rsidRPr="005E2D35">
              <w:rPr>
                <w:rFonts w:cs="Arial"/>
                <w:szCs w:val="18"/>
              </w:rPr>
              <w:t xml:space="preserve">Not </w:t>
            </w:r>
            <w:r w:rsidR="00A922CB" w:rsidRPr="005E2D35">
              <w:rPr>
                <w:rFonts w:cs="Arial"/>
                <w:szCs w:val="18"/>
              </w:rPr>
              <w:t xml:space="preserve">applicable, as the fishery </w:t>
            </w:r>
            <w:r w:rsidR="00CD34F1" w:rsidRPr="005E2D35">
              <w:rPr>
                <w:rFonts w:cs="Arial"/>
                <w:szCs w:val="18"/>
              </w:rPr>
              <w:t>operates within state waters only, and therefore does not impact on a Commonwealth marine area</w:t>
            </w:r>
            <w:r w:rsidRPr="005E2D35">
              <w:rPr>
                <w:rFonts w:cs="Arial"/>
                <w:szCs w:val="18"/>
              </w:rPr>
              <w:t>.</w:t>
            </w:r>
          </w:p>
        </w:tc>
      </w:tr>
      <w:tr w:rsidR="005803AD" w:rsidRPr="005E2D35" w14:paraId="506B6990" w14:textId="77777777" w:rsidTr="00583085">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1E8F6B74" w14:textId="77777777" w:rsidR="005803AD" w:rsidRPr="005E2D35" w:rsidRDefault="005803AD" w:rsidP="005803AD">
            <w:pPr>
              <w:spacing w:before="120" w:after="120"/>
              <w:rPr>
                <w:rFonts w:cs="Arial"/>
                <w:szCs w:val="18"/>
              </w:rPr>
            </w:pPr>
            <w:r w:rsidRPr="005E2D35">
              <w:rPr>
                <w:rFonts w:cs="Arial"/>
                <w:szCs w:val="18"/>
              </w:rPr>
              <w:t>Part 13</w:t>
            </w:r>
          </w:p>
        </w:tc>
        <w:tc>
          <w:tcPr>
            <w:tcW w:w="1678" w:type="dxa"/>
            <w:shd w:val="clear" w:color="auto" w:fill="auto"/>
            <w:vAlign w:val="center"/>
          </w:tcPr>
          <w:p w14:paraId="7F19FF8D" w14:textId="77777777" w:rsidR="005803AD" w:rsidRPr="005E2D35" w:rsidRDefault="005803AD" w:rsidP="005803AD">
            <w:pPr>
              <w:spacing w:before="120" w:after="120"/>
              <w:rPr>
                <w:rFonts w:cs="Arial"/>
                <w:szCs w:val="18"/>
              </w:rPr>
            </w:pPr>
          </w:p>
        </w:tc>
        <w:tc>
          <w:tcPr>
            <w:tcW w:w="1822" w:type="dxa"/>
            <w:shd w:val="clear" w:color="auto" w:fill="auto"/>
            <w:vAlign w:val="center"/>
          </w:tcPr>
          <w:p w14:paraId="236DD031" w14:textId="77777777" w:rsidR="005803AD" w:rsidRPr="005E2D35" w:rsidRDefault="005803AD" w:rsidP="005803AD">
            <w:pPr>
              <w:spacing w:before="120" w:after="120"/>
              <w:rPr>
                <w:rFonts w:cs="Arial"/>
                <w:szCs w:val="18"/>
              </w:rPr>
            </w:pPr>
          </w:p>
        </w:tc>
        <w:tc>
          <w:tcPr>
            <w:tcW w:w="1813" w:type="dxa"/>
            <w:shd w:val="clear" w:color="auto" w:fill="auto"/>
            <w:vAlign w:val="center"/>
          </w:tcPr>
          <w:p w14:paraId="46D8A6F7" w14:textId="77777777" w:rsidR="005803AD" w:rsidRPr="005E2D35" w:rsidRDefault="005803AD" w:rsidP="005803AD">
            <w:pPr>
              <w:spacing w:before="120" w:after="120"/>
              <w:rPr>
                <w:rFonts w:cs="Arial"/>
                <w:szCs w:val="18"/>
              </w:rPr>
            </w:pPr>
          </w:p>
        </w:tc>
        <w:tc>
          <w:tcPr>
            <w:tcW w:w="5330" w:type="dxa"/>
            <w:vAlign w:val="center"/>
          </w:tcPr>
          <w:p w14:paraId="008A304B" w14:textId="54212A12" w:rsidR="005803AD" w:rsidRPr="005E2D35" w:rsidRDefault="00CD34F1" w:rsidP="00CD34F1">
            <w:pPr>
              <w:spacing w:before="120" w:after="120"/>
              <w:rPr>
                <w:rFonts w:cs="Arial"/>
                <w:szCs w:val="18"/>
              </w:rPr>
            </w:pPr>
            <w:r w:rsidRPr="005E2D35">
              <w:rPr>
                <w:rFonts w:cs="Arial"/>
                <w:szCs w:val="18"/>
              </w:rPr>
              <w:t xml:space="preserve">Not </w:t>
            </w:r>
            <w:r w:rsidR="00A922CB" w:rsidRPr="005E2D35">
              <w:rPr>
                <w:rFonts w:cs="Arial"/>
                <w:szCs w:val="18"/>
              </w:rPr>
              <w:t xml:space="preserve">applicable, as the fishery </w:t>
            </w:r>
            <w:r w:rsidRPr="005E2D35">
              <w:rPr>
                <w:rFonts w:cs="Arial"/>
                <w:szCs w:val="18"/>
              </w:rPr>
              <w:t>operates within state waters only, and therefore does not require Part 13 accreditation for managing impacts in Commonwealth waters.</w:t>
            </w:r>
          </w:p>
        </w:tc>
      </w:tr>
      <w:tr w:rsidR="005803AD" w:rsidRPr="005E2D35" w14:paraId="22B413FF" w14:textId="77777777" w:rsidTr="00E67FAE">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43BD9B9F" w14:textId="77777777" w:rsidR="005803AD" w:rsidRPr="005E2D35" w:rsidRDefault="005803AD" w:rsidP="005803AD">
            <w:pPr>
              <w:spacing w:before="120" w:after="120"/>
              <w:rPr>
                <w:rFonts w:cs="Arial"/>
                <w:szCs w:val="18"/>
              </w:rPr>
            </w:pPr>
            <w:r w:rsidRPr="005E2D35">
              <w:rPr>
                <w:rFonts w:cs="Arial"/>
                <w:szCs w:val="18"/>
              </w:rPr>
              <w:t>Part 13A</w:t>
            </w:r>
          </w:p>
        </w:tc>
        <w:tc>
          <w:tcPr>
            <w:tcW w:w="1678" w:type="dxa"/>
            <w:shd w:val="clear" w:color="auto" w:fill="92D050"/>
            <w:vAlign w:val="center"/>
          </w:tcPr>
          <w:p w14:paraId="5C07EDB0" w14:textId="74356960" w:rsidR="005803AD" w:rsidRPr="005E2D35" w:rsidRDefault="005803AD" w:rsidP="005803AD">
            <w:pPr>
              <w:spacing w:before="120" w:after="120"/>
              <w:rPr>
                <w:rFonts w:cs="Arial"/>
                <w:szCs w:val="18"/>
              </w:rPr>
            </w:pPr>
          </w:p>
        </w:tc>
        <w:tc>
          <w:tcPr>
            <w:tcW w:w="1822" w:type="dxa"/>
            <w:shd w:val="clear" w:color="auto" w:fill="FFC000"/>
            <w:vAlign w:val="center"/>
          </w:tcPr>
          <w:p w14:paraId="37366B5B" w14:textId="77777777" w:rsidR="005803AD" w:rsidRPr="005E2D35" w:rsidRDefault="005803AD" w:rsidP="005803AD">
            <w:pPr>
              <w:spacing w:before="120" w:after="120"/>
              <w:rPr>
                <w:rFonts w:cs="Arial"/>
                <w:szCs w:val="18"/>
              </w:rPr>
            </w:pPr>
          </w:p>
        </w:tc>
        <w:tc>
          <w:tcPr>
            <w:tcW w:w="1813" w:type="dxa"/>
            <w:shd w:val="clear" w:color="auto" w:fill="auto"/>
            <w:vAlign w:val="center"/>
          </w:tcPr>
          <w:p w14:paraId="3DC1438C" w14:textId="77777777" w:rsidR="005803AD" w:rsidRPr="005E2D35" w:rsidRDefault="005803AD" w:rsidP="005803AD">
            <w:pPr>
              <w:spacing w:before="120" w:after="120"/>
              <w:rPr>
                <w:rFonts w:cs="Arial"/>
                <w:szCs w:val="18"/>
              </w:rPr>
            </w:pPr>
          </w:p>
        </w:tc>
        <w:tc>
          <w:tcPr>
            <w:tcW w:w="5330" w:type="dxa"/>
            <w:shd w:val="clear" w:color="auto" w:fill="auto"/>
            <w:vAlign w:val="center"/>
          </w:tcPr>
          <w:p w14:paraId="3A492242" w14:textId="083EF327" w:rsidR="005803AD" w:rsidRPr="005E2D35" w:rsidRDefault="00AD4C29" w:rsidP="00AD4C29">
            <w:pPr>
              <w:spacing w:before="120" w:after="120"/>
              <w:rPr>
                <w:rFonts w:cs="Arial"/>
                <w:szCs w:val="18"/>
              </w:rPr>
            </w:pPr>
            <w:r>
              <w:rPr>
                <w:rFonts w:cs="Arial"/>
                <w:szCs w:val="18"/>
              </w:rPr>
              <w:t>T</w:t>
            </w:r>
            <w:r w:rsidR="005803AD" w:rsidRPr="005E2D35">
              <w:rPr>
                <w:rFonts w:cs="Arial"/>
                <w:szCs w:val="18"/>
              </w:rPr>
              <w:t xml:space="preserve">he </w:t>
            </w:r>
            <w:r w:rsidR="00A922CB" w:rsidRPr="005E2D35">
              <w:rPr>
                <w:rFonts w:cs="Arial"/>
                <w:szCs w:val="18"/>
              </w:rPr>
              <w:t xml:space="preserve">fishery </w:t>
            </w:r>
            <w:r w:rsidR="005803AD" w:rsidRPr="005E2D35">
              <w:rPr>
                <w:rFonts w:cs="Arial"/>
                <w:szCs w:val="18"/>
              </w:rPr>
              <w:t>is consistent with the Objects of Part</w:t>
            </w:r>
            <w:r w:rsidR="00A922CB" w:rsidRPr="005E2D35">
              <w:rPr>
                <w:rFonts w:cs="Arial"/>
                <w:szCs w:val="18"/>
              </w:rPr>
              <w:t> </w:t>
            </w:r>
            <w:r w:rsidR="005803AD" w:rsidRPr="005E2D35">
              <w:rPr>
                <w:rFonts w:cs="Arial"/>
                <w:szCs w:val="18"/>
              </w:rPr>
              <w:t>13A</w:t>
            </w:r>
            <w:r w:rsidR="00CA043C">
              <w:rPr>
                <w:rFonts w:cs="Arial"/>
                <w:szCs w:val="18"/>
              </w:rPr>
              <w:t xml:space="preserve">, the </w:t>
            </w:r>
            <w:r w:rsidR="009A25AB">
              <w:rPr>
                <w:rFonts w:cs="Arial"/>
                <w:szCs w:val="18"/>
              </w:rPr>
              <w:t>Department</w:t>
            </w:r>
            <w:r w:rsidR="009D4AC2" w:rsidRPr="005E2D35">
              <w:rPr>
                <w:rFonts w:cs="Arial"/>
                <w:szCs w:val="18"/>
              </w:rPr>
              <w:t xml:space="preserve"> recommends </w:t>
            </w:r>
            <w:r w:rsidR="00DE64CF">
              <w:rPr>
                <w:rFonts w:cs="Arial"/>
                <w:szCs w:val="18"/>
              </w:rPr>
              <w:t xml:space="preserve">approval as </w:t>
            </w:r>
            <w:r w:rsidR="009D4AC2" w:rsidRPr="005E2D35">
              <w:rPr>
                <w:rFonts w:cs="Arial"/>
                <w:szCs w:val="18"/>
              </w:rPr>
              <w:t xml:space="preserve">a </w:t>
            </w:r>
            <w:r w:rsidR="005E2D35">
              <w:rPr>
                <w:rFonts w:cs="Arial"/>
                <w:szCs w:val="18"/>
              </w:rPr>
              <w:t>w</w:t>
            </w:r>
            <w:r w:rsidR="009D4AC2" w:rsidRPr="005E2D35">
              <w:rPr>
                <w:rFonts w:cs="Arial"/>
                <w:szCs w:val="18"/>
              </w:rPr>
              <w:t xml:space="preserve">ildlife </w:t>
            </w:r>
            <w:r w:rsidR="005E2D35">
              <w:rPr>
                <w:rFonts w:cs="Arial"/>
                <w:szCs w:val="18"/>
              </w:rPr>
              <w:t>t</w:t>
            </w:r>
            <w:r w:rsidR="009D4AC2" w:rsidRPr="005E2D35">
              <w:rPr>
                <w:rFonts w:cs="Arial"/>
                <w:szCs w:val="18"/>
              </w:rPr>
              <w:t xml:space="preserve">rade </w:t>
            </w:r>
            <w:r w:rsidR="005E2D35">
              <w:rPr>
                <w:rFonts w:cs="Arial"/>
                <w:szCs w:val="18"/>
              </w:rPr>
              <w:t>o</w:t>
            </w:r>
            <w:r w:rsidR="009D4AC2" w:rsidRPr="005E2D35">
              <w:rPr>
                <w:rFonts w:cs="Arial"/>
                <w:szCs w:val="18"/>
              </w:rPr>
              <w:t>peration for 1</w:t>
            </w:r>
            <w:r w:rsidR="00A922CB" w:rsidRPr="005E2D35">
              <w:rPr>
                <w:rFonts w:cs="Arial"/>
                <w:szCs w:val="18"/>
              </w:rPr>
              <w:t> </w:t>
            </w:r>
            <w:r w:rsidR="009D4AC2" w:rsidRPr="005E2D35">
              <w:rPr>
                <w:rFonts w:cs="Arial"/>
                <w:szCs w:val="18"/>
              </w:rPr>
              <w:t>year</w:t>
            </w:r>
            <w:r w:rsidR="006676E0">
              <w:rPr>
                <w:rFonts w:cs="Arial"/>
                <w:szCs w:val="18"/>
              </w:rPr>
              <w:t>,</w:t>
            </w:r>
            <w:r w:rsidR="009D4AC2" w:rsidRPr="005E2D35">
              <w:rPr>
                <w:rFonts w:cs="Arial"/>
                <w:szCs w:val="18"/>
              </w:rPr>
              <w:t xml:space="preserve"> until 1 March 2019.</w:t>
            </w:r>
            <w:r w:rsidR="00CA043C">
              <w:rPr>
                <w:rFonts w:cs="Arial"/>
                <w:szCs w:val="18"/>
              </w:rPr>
              <w:t xml:space="preserve"> This timeframe is to ensure that management measures are put in place for the recovery of black bream</w:t>
            </w:r>
            <w:r w:rsidR="006676E0">
              <w:rPr>
                <w:rFonts w:cs="Arial"/>
                <w:szCs w:val="18"/>
              </w:rPr>
              <w:t xml:space="preserve"> stocks</w:t>
            </w:r>
            <w:r w:rsidR="00CA043C">
              <w:rPr>
                <w:rFonts w:cs="Arial"/>
                <w:szCs w:val="18"/>
              </w:rPr>
              <w:t xml:space="preserve">.  </w:t>
            </w:r>
          </w:p>
        </w:tc>
      </w:tr>
      <w:tr w:rsidR="005803AD" w:rsidRPr="005E2D35" w14:paraId="3E17CDF2" w14:textId="77777777" w:rsidTr="00A922CB">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716FE531" w14:textId="77777777" w:rsidR="005803AD" w:rsidRPr="005E2D35" w:rsidRDefault="005803AD" w:rsidP="005803AD">
            <w:pPr>
              <w:spacing w:before="120" w:after="120"/>
              <w:rPr>
                <w:rFonts w:cs="Arial"/>
                <w:szCs w:val="18"/>
              </w:rPr>
            </w:pPr>
            <w:r w:rsidRPr="005E2D35">
              <w:rPr>
                <w:rFonts w:cs="Arial"/>
                <w:szCs w:val="18"/>
              </w:rPr>
              <w:t>Part 16</w:t>
            </w:r>
          </w:p>
        </w:tc>
        <w:tc>
          <w:tcPr>
            <w:tcW w:w="1678" w:type="dxa"/>
            <w:shd w:val="clear" w:color="auto" w:fill="92D050"/>
            <w:vAlign w:val="center"/>
          </w:tcPr>
          <w:p w14:paraId="6CB8748C" w14:textId="40188049" w:rsidR="005803AD" w:rsidRPr="005E2D35" w:rsidRDefault="005803AD" w:rsidP="005803AD">
            <w:pPr>
              <w:spacing w:before="120" w:after="120"/>
              <w:rPr>
                <w:rFonts w:cs="Arial"/>
                <w:szCs w:val="18"/>
              </w:rPr>
            </w:pPr>
          </w:p>
        </w:tc>
        <w:tc>
          <w:tcPr>
            <w:tcW w:w="1822" w:type="dxa"/>
            <w:shd w:val="clear" w:color="auto" w:fill="auto"/>
            <w:vAlign w:val="center"/>
          </w:tcPr>
          <w:p w14:paraId="7B5C007D" w14:textId="77777777" w:rsidR="005803AD" w:rsidRPr="005E2D35" w:rsidRDefault="005803AD" w:rsidP="005803AD">
            <w:pPr>
              <w:spacing w:before="120" w:after="120"/>
              <w:rPr>
                <w:rFonts w:cs="Arial"/>
                <w:szCs w:val="18"/>
              </w:rPr>
            </w:pPr>
          </w:p>
        </w:tc>
        <w:tc>
          <w:tcPr>
            <w:tcW w:w="1813" w:type="dxa"/>
            <w:shd w:val="clear" w:color="auto" w:fill="auto"/>
            <w:vAlign w:val="center"/>
          </w:tcPr>
          <w:p w14:paraId="138BAF54" w14:textId="77777777" w:rsidR="005803AD" w:rsidRPr="005E2D35" w:rsidRDefault="005803AD" w:rsidP="005803AD">
            <w:pPr>
              <w:spacing w:before="120" w:after="120"/>
              <w:rPr>
                <w:rFonts w:cs="Arial"/>
                <w:szCs w:val="18"/>
              </w:rPr>
            </w:pPr>
          </w:p>
        </w:tc>
        <w:tc>
          <w:tcPr>
            <w:tcW w:w="5330" w:type="dxa"/>
            <w:shd w:val="clear" w:color="auto" w:fill="auto"/>
            <w:vAlign w:val="center"/>
          </w:tcPr>
          <w:p w14:paraId="70D1DCFD" w14:textId="6C057E7F" w:rsidR="005803AD" w:rsidRPr="005E2D35" w:rsidRDefault="00DE64CF" w:rsidP="00DE64CF">
            <w:pPr>
              <w:spacing w:before="120" w:after="120"/>
              <w:rPr>
                <w:rFonts w:cs="Arial"/>
                <w:szCs w:val="18"/>
              </w:rPr>
            </w:pPr>
            <w:r>
              <w:rPr>
                <w:rFonts w:cs="Arial"/>
                <w:szCs w:val="18"/>
              </w:rPr>
              <w:t xml:space="preserve">The </w:t>
            </w:r>
            <w:r w:rsidR="00285CE3" w:rsidRPr="005E2D35">
              <w:rPr>
                <w:rFonts w:cs="Arial"/>
                <w:szCs w:val="18"/>
              </w:rPr>
              <w:t xml:space="preserve">Department considers that precautionary measures are in place to prevent serious or irreversible environmental damage being caused by this </w:t>
            </w:r>
            <w:r w:rsidR="00A922CB" w:rsidRPr="005E2D35">
              <w:rPr>
                <w:rFonts w:cs="Arial"/>
                <w:szCs w:val="18"/>
              </w:rPr>
              <w:t>fishery</w:t>
            </w:r>
            <w:r w:rsidR="00285CE3" w:rsidRPr="005E2D35">
              <w:rPr>
                <w:rFonts w:cs="Arial"/>
                <w:szCs w:val="18"/>
              </w:rPr>
              <w:t>.</w:t>
            </w:r>
          </w:p>
        </w:tc>
      </w:tr>
    </w:tbl>
    <w:p w14:paraId="32449674" w14:textId="77777777" w:rsidR="00AB194A" w:rsidRPr="00400625" w:rsidRDefault="00AB194A" w:rsidP="00AB194A">
      <w:pPr>
        <w:rPr>
          <w:rStyle w:val="Emphasis"/>
          <w:rFonts w:cs="Arial"/>
          <w:i w:val="0"/>
          <w:iCs w:val="0"/>
        </w:rPr>
      </w:pPr>
    </w:p>
    <w:p w14:paraId="2D92A865" w14:textId="77777777" w:rsidR="00AB194A" w:rsidRDefault="00AB194A" w:rsidP="00AB194A">
      <w:pPr>
        <w:pStyle w:val="Heading6"/>
        <w:spacing w:before="0" w:after="0"/>
        <w:rPr>
          <w:rStyle w:val="Emphasis"/>
          <w:rFonts w:ascii="Arial" w:hAnsi="Arial" w:cs="Arial"/>
          <w:i w:val="0"/>
          <w:iCs w:val="0"/>
          <w:sz w:val="20"/>
          <w:szCs w:val="20"/>
        </w:rPr>
      </w:pPr>
    </w:p>
    <w:p w14:paraId="6E5302E1" w14:textId="77777777" w:rsidR="00AB194A" w:rsidRDefault="00AB194A" w:rsidP="00AB194A">
      <w:pPr>
        <w:spacing w:after="0"/>
        <w:rPr>
          <w:rStyle w:val="Emphasis"/>
          <w:rFonts w:cs="Arial"/>
          <w:b/>
          <w:i w:val="0"/>
          <w:iCs w:val="0"/>
          <w:sz w:val="24"/>
          <w:szCs w:val="24"/>
          <w:u w:val="single"/>
        </w:rPr>
      </w:pPr>
    </w:p>
    <w:p w14:paraId="65DF7D7C" w14:textId="77777777" w:rsidR="00E2611E" w:rsidRDefault="00E2611E" w:rsidP="00AB194A">
      <w:pPr>
        <w:spacing w:after="0"/>
        <w:rPr>
          <w:rStyle w:val="Emphasis"/>
          <w:rFonts w:cs="Arial"/>
          <w:b/>
          <w:i w:val="0"/>
          <w:iCs w:val="0"/>
          <w:sz w:val="24"/>
          <w:szCs w:val="24"/>
          <w:u w:val="single"/>
        </w:rPr>
        <w:sectPr w:rsidR="00E2611E" w:rsidSect="002A0742">
          <w:pgSz w:w="16838" w:h="11906" w:orient="landscape" w:code="9"/>
          <w:pgMar w:top="1021" w:right="1021" w:bottom="1021" w:left="1021" w:header="709" w:footer="709" w:gutter="0"/>
          <w:cols w:space="708"/>
          <w:docGrid w:linePitch="360"/>
        </w:sectPr>
      </w:pPr>
    </w:p>
    <w:p w14:paraId="581EC3C1" w14:textId="5F980408" w:rsidR="00E2611E" w:rsidRPr="00045A1E" w:rsidRDefault="00E2611E" w:rsidP="00045A1E">
      <w:pPr>
        <w:rPr>
          <w:rStyle w:val="Emphasis"/>
          <w:rFonts w:cs="Arial"/>
          <w:b/>
          <w:i w:val="0"/>
          <w:iCs w:val="0"/>
          <w:sz w:val="22"/>
          <w:u w:val="single"/>
        </w:rPr>
      </w:pPr>
      <w:r w:rsidRPr="00045A1E">
        <w:rPr>
          <w:rStyle w:val="Emphasis"/>
          <w:rFonts w:cs="Arial"/>
          <w:b/>
          <w:i w:val="0"/>
          <w:iCs w:val="0"/>
          <w:sz w:val="22"/>
          <w:u w:val="single"/>
        </w:rPr>
        <w:lastRenderedPageBreak/>
        <w:t>Notes:</w:t>
      </w:r>
    </w:p>
    <w:p w14:paraId="15303A50" w14:textId="0FFFB6F4" w:rsidR="00335E89" w:rsidRPr="00045A1E" w:rsidRDefault="00AB194A" w:rsidP="00045A1E">
      <w:pPr>
        <w:rPr>
          <w:rFonts w:cs="Arial"/>
          <w:b/>
          <w:sz w:val="22"/>
        </w:rPr>
      </w:pPr>
      <w:r w:rsidRPr="00045A1E">
        <w:rPr>
          <w:rFonts w:cs="Arial"/>
          <w:b/>
          <w:sz w:val="22"/>
        </w:rPr>
        <w:t xml:space="preserve">Assessment history: </w:t>
      </w:r>
    </w:p>
    <w:p w14:paraId="35989731" w14:textId="65687A66" w:rsidR="00A922CB" w:rsidRPr="00045A1E" w:rsidRDefault="00A922CB" w:rsidP="00045A1E">
      <w:pPr>
        <w:rPr>
          <w:rFonts w:cs="Arial"/>
          <w:sz w:val="22"/>
        </w:rPr>
      </w:pPr>
      <w:r w:rsidRPr="00045A1E">
        <w:rPr>
          <w:rFonts w:cs="Arial"/>
          <w:sz w:val="22"/>
        </w:rPr>
        <w:t xml:space="preserve">Information on previous assessments for the SA Lakes and Coorong Fishery is available on the Department’s website at </w:t>
      </w:r>
      <w:hyperlink r:id="rId15" w:history="1">
        <w:r w:rsidRPr="00045A1E">
          <w:rPr>
            <w:rStyle w:val="Hyperlink"/>
            <w:rFonts w:cs="Arial"/>
            <w:sz w:val="22"/>
          </w:rPr>
          <w:t>http://www.environment.gov.au/marine/fisheries/sa/coorong</w:t>
        </w:r>
      </w:hyperlink>
      <w:r w:rsidRPr="00045A1E">
        <w:rPr>
          <w:rFonts w:cs="Arial"/>
          <w:sz w:val="22"/>
        </w:rPr>
        <w:t xml:space="preserve">. </w:t>
      </w:r>
    </w:p>
    <w:p w14:paraId="4BC6E782" w14:textId="4A1F1BAE" w:rsidR="00335E89" w:rsidRPr="00045A1E" w:rsidRDefault="00AB194A" w:rsidP="00045A1E">
      <w:pPr>
        <w:pStyle w:val="ListBullet3"/>
      </w:pPr>
      <w:r w:rsidRPr="00045A1E">
        <w:t xml:space="preserve">1st assessment finalised </w:t>
      </w:r>
      <w:r w:rsidR="00DE64CF" w:rsidRPr="00045A1E">
        <w:t xml:space="preserve">November </w:t>
      </w:r>
      <w:r w:rsidR="00592C97" w:rsidRPr="00045A1E">
        <w:t xml:space="preserve">2005 </w:t>
      </w:r>
      <w:r w:rsidRPr="00045A1E">
        <w:t>–</w:t>
      </w:r>
      <w:r w:rsidR="00592C97" w:rsidRPr="00045A1E">
        <w:t xml:space="preserve"> </w:t>
      </w:r>
      <w:r w:rsidR="00EF6BFF" w:rsidRPr="00045A1E">
        <w:t xml:space="preserve">wildlife trade operation (WTO) </w:t>
      </w:r>
      <w:r w:rsidR="008B6613" w:rsidRPr="00045A1E">
        <w:t xml:space="preserve">until 25 November 2008 </w:t>
      </w:r>
      <w:r w:rsidR="00EF6BFF" w:rsidRPr="00045A1E">
        <w:t>with 3 conditions and 10 recommendations</w:t>
      </w:r>
      <w:r w:rsidRPr="00045A1E">
        <w:t>.</w:t>
      </w:r>
      <w:r w:rsidR="00592C97" w:rsidRPr="00045A1E">
        <w:t xml:space="preserve"> </w:t>
      </w:r>
      <w:r w:rsidR="008B6613" w:rsidRPr="00045A1E">
        <w:t>The list of exempt native specimens was amended to include product from the fishery while a WTO was in place (</w:t>
      </w:r>
      <w:r w:rsidR="008B6613" w:rsidRPr="00045A1E">
        <w:rPr>
          <w:lang w:val="en"/>
        </w:rPr>
        <w:t>F2005L03826</w:t>
      </w:r>
      <w:r w:rsidR="008B6613" w:rsidRPr="00045A1E">
        <w:t>).</w:t>
      </w:r>
    </w:p>
    <w:p w14:paraId="2A543357" w14:textId="04FFDEF4" w:rsidR="00486062" w:rsidRPr="00045A1E" w:rsidRDefault="00AB194A" w:rsidP="00045A1E">
      <w:pPr>
        <w:pStyle w:val="ListBullet3"/>
      </w:pPr>
      <w:r w:rsidRPr="00045A1E">
        <w:t xml:space="preserve">2nd assessment finalised </w:t>
      </w:r>
      <w:r w:rsidR="00953223" w:rsidRPr="00045A1E">
        <w:t>April</w:t>
      </w:r>
      <w:r w:rsidR="00EF6BFF" w:rsidRPr="00045A1E">
        <w:t xml:space="preserve"> 2009 </w:t>
      </w:r>
      <w:r w:rsidRPr="00045A1E">
        <w:t>–</w:t>
      </w:r>
      <w:r w:rsidR="00335E89" w:rsidRPr="00045A1E">
        <w:t xml:space="preserve"> wildlife trade operation (WTO) </w:t>
      </w:r>
      <w:r w:rsidR="008B6613" w:rsidRPr="00045A1E">
        <w:t xml:space="preserve">until 27 November 2010 </w:t>
      </w:r>
      <w:r w:rsidR="00335E89" w:rsidRPr="00045A1E">
        <w:t xml:space="preserve">with </w:t>
      </w:r>
      <w:r w:rsidR="008B6613" w:rsidRPr="00045A1E">
        <w:t>7</w:t>
      </w:r>
      <w:r w:rsidR="00335E89" w:rsidRPr="00045A1E">
        <w:t xml:space="preserve"> conditions and 2 recommendations. </w:t>
      </w:r>
      <w:r w:rsidR="00F916EE" w:rsidRPr="00045A1E">
        <w:t>The list of exempt native specimens was amended to include product from the fishery while a WTO was in place (</w:t>
      </w:r>
      <w:r w:rsidR="00F916EE" w:rsidRPr="00045A1E">
        <w:rPr>
          <w:lang w:val="en"/>
        </w:rPr>
        <w:t>F2009L02074</w:t>
      </w:r>
      <w:r w:rsidR="00F916EE" w:rsidRPr="00045A1E">
        <w:t>).</w:t>
      </w:r>
    </w:p>
    <w:p w14:paraId="5496249F" w14:textId="1BCACC1B" w:rsidR="00B550D5" w:rsidRPr="00045A1E" w:rsidRDefault="00AB194A" w:rsidP="00045A1E">
      <w:pPr>
        <w:pStyle w:val="ListBullet3"/>
      </w:pPr>
      <w:r w:rsidRPr="00045A1E">
        <w:t xml:space="preserve">3rd assessment finalised </w:t>
      </w:r>
      <w:r w:rsidR="006676E0" w:rsidRPr="00045A1E">
        <w:t xml:space="preserve">May </w:t>
      </w:r>
      <w:r w:rsidR="00335E89" w:rsidRPr="00045A1E">
        <w:t xml:space="preserve">2011 </w:t>
      </w:r>
      <w:r w:rsidRPr="00045A1E">
        <w:t xml:space="preserve">– </w:t>
      </w:r>
      <w:r w:rsidR="00335E89" w:rsidRPr="00045A1E">
        <w:t xml:space="preserve">wildlife trade operation (WTO) </w:t>
      </w:r>
      <w:r w:rsidR="00953223" w:rsidRPr="00045A1E">
        <w:t xml:space="preserve">until 21 May 2014 </w:t>
      </w:r>
      <w:r w:rsidR="00335E89" w:rsidRPr="00045A1E">
        <w:t xml:space="preserve">with </w:t>
      </w:r>
      <w:r w:rsidR="00FA2A73" w:rsidRPr="00045A1E">
        <w:t>4</w:t>
      </w:r>
      <w:r w:rsidR="00335E89" w:rsidRPr="00045A1E">
        <w:t xml:space="preserve"> conditions and </w:t>
      </w:r>
      <w:r w:rsidR="00FA2A73" w:rsidRPr="00045A1E">
        <w:t>2</w:t>
      </w:r>
      <w:r w:rsidR="00335E89" w:rsidRPr="00045A1E">
        <w:t xml:space="preserve"> recommendations. </w:t>
      </w:r>
      <w:r w:rsidR="00F916EE" w:rsidRPr="00045A1E">
        <w:t>The list of exempt native specimens was amended to include product from the fishery while a WTO was in place (</w:t>
      </w:r>
      <w:r w:rsidR="00F916EE" w:rsidRPr="00045A1E">
        <w:rPr>
          <w:lang w:val="en"/>
        </w:rPr>
        <w:t>F2011L00853</w:t>
      </w:r>
      <w:r w:rsidR="00F916EE" w:rsidRPr="00045A1E">
        <w:t>).</w:t>
      </w:r>
      <w:r w:rsidR="00680FA6" w:rsidRPr="00045A1E">
        <w:t xml:space="preserve"> </w:t>
      </w:r>
    </w:p>
    <w:p w14:paraId="29AD1AE3" w14:textId="70A0ABE2" w:rsidR="00680FA6" w:rsidRPr="00045A1E" w:rsidRDefault="00680FA6" w:rsidP="00045A1E">
      <w:pPr>
        <w:pStyle w:val="ListBullet3"/>
      </w:pPr>
      <w:r w:rsidRPr="00045A1E">
        <w:t xml:space="preserve">The Department subsequently granted </w:t>
      </w:r>
      <w:r w:rsidR="00AB179E" w:rsidRPr="00045A1E">
        <w:t xml:space="preserve">short term </w:t>
      </w:r>
      <w:r w:rsidRPr="00045A1E">
        <w:t>ex</w:t>
      </w:r>
      <w:r w:rsidR="00953223" w:rsidRPr="00045A1E">
        <w:t>tension</w:t>
      </w:r>
      <w:r w:rsidRPr="00045A1E">
        <w:t>s</w:t>
      </w:r>
      <w:r w:rsidR="00953223" w:rsidRPr="00045A1E">
        <w:t xml:space="preserve"> </w:t>
      </w:r>
      <w:r w:rsidRPr="00045A1E">
        <w:t xml:space="preserve">to export approval </w:t>
      </w:r>
      <w:r w:rsidR="00B550D5" w:rsidRPr="00045A1E">
        <w:t xml:space="preserve">via the </w:t>
      </w:r>
      <w:r w:rsidR="006E4AAE" w:rsidRPr="00045A1E">
        <w:t xml:space="preserve">list of exempt native specimens </w:t>
      </w:r>
      <w:r w:rsidR="00953223" w:rsidRPr="00045A1E">
        <w:t xml:space="preserve">until </w:t>
      </w:r>
      <w:r w:rsidRPr="00045A1E">
        <w:t>2 March 2018 (F2017L01378).</w:t>
      </w:r>
    </w:p>
    <w:p w14:paraId="0B786931" w14:textId="77777777" w:rsidR="00045A1E" w:rsidRPr="00045A1E" w:rsidRDefault="00045A1E" w:rsidP="00045A1E">
      <w:pPr>
        <w:rPr>
          <w:rStyle w:val="Emphasis"/>
          <w:rFonts w:cs="Arial"/>
          <w:i w:val="0"/>
          <w:iCs w:val="0"/>
          <w:sz w:val="22"/>
        </w:rPr>
      </w:pPr>
    </w:p>
    <w:p w14:paraId="2D7CD428" w14:textId="1D2BEC8E" w:rsidR="00335E89" w:rsidRPr="00045A1E" w:rsidRDefault="00AB194A" w:rsidP="00045A1E">
      <w:pPr>
        <w:rPr>
          <w:rStyle w:val="Emphasis"/>
          <w:rFonts w:cs="Arial"/>
          <w:i w:val="0"/>
          <w:iCs w:val="0"/>
          <w:sz w:val="22"/>
        </w:rPr>
      </w:pPr>
      <w:r w:rsidRPr="00045A1E">
        <w:rPr>
          <w:rStyle w:val="Emphasis"/>
          <w:rFonts w:cs="Arial"/>
          <w:b/>
          <w:i w:val="0"/>
          <w:iCs w:val="0"/>
          <w:sz w:val="22"/>
        </w:rPr>
        <w:t xml:space="preserve">Fishery </w:t>
      </w:r>
      <w:r w:rsidR="00335E89" w:rsidRPr="00045A1E">
        <w:rPr>
          <w:rStyle w:val="Emphasis"/>
          <w:rFonts w:cs="Arial"/>
          <w:b/>
          <w:i w:val="0"/>
          <w:iCs w:val="0"/>
          <w:sz w:val="22"/>
        </w:rPr>
        <w:t>reporting:</w:t>
      </w:r>
      <w:r w:rsidR="00335E89" w:rsidRPr="00045A1E">
        <w:rPr>
          <w:rStyle w:val="Emphasis"/>
          <w:rFonts w:cs="Arial"/>
          <w:i w:val="0"/>
          <w:iCs w:val="0"/>
          <w:sz w:val="22"/>
        </w:rPr>
        <w:t xml:space="preserve"> </w:t>
      </w:r>
    </w:p>
    <w:p w14:paraId="16689748" w14:textId="470F5AAD" w:rsidR="00AB194A" w:rsidRPr="00045A1E" w:rsidRDefault="00335E89" w:rsidP="00045A1E">
      <w:pPr>
        <w:pStyle w:val="ListBullet3"/>
        <w:rPr>
          <w:rStyle w:val="Emphasis"/>
          <w:i w:val="0"/>
          <w:iCs w:val="0"/>
        </w:rPr>
      </w:pPr>
      <w:r w:rsidRPr="00045A1E">
        <w:rPr>
          <w:rStyle w:val="Emphasis"/>
          <w:i w:val="0"/>
          <w:iCs w:val="0"/>
        </w:rPr>
        <w:t xml:space="preserve">The Department has not received any annual reports in relation to this </w:t>
      </w:r>
      <w:r w:rsidR="00016AA6" w:rsidRPr="00045A1E">
        <w:rPr>
          <w:rStyle w:val="Emphasis"/>
          <w:i w:val="0"/>
          <w:iCs w:val="0"/>
        </w:rPr>
        <w:t>f</w:t>
      </w:r>
      <w:r w:rsidR="008C48BF" w:rsidRPr="00045A1E">
        <w:rPr>
          <w:rStyle w:val="Emphasis"/>
          <w:i w:val="0"/>
          <w:iCs w:val="0"/>
        </w:rPr>
        <w:t xml:space="preserve">ishery </w:t>
      </w:r>
      <w:r w:rsidR="00402549" w:rsidRPr="00045A1E">
        <w:rPr>
          <w:rStyle w:val="Emphasis"/>
          <w:i w:val="0"/>
          <w:iCs w:val="0"/>
        </w:rPr>
        <w:t>since the 2011 assessment under the EPBC Act</w:t>
      </w:r>
      <w:r w:rsidRPr="00045A1E">
        <w:rPr>
          <w:rStyle w:val="Emphasis"/>
          <w:i w:val="0"/>
          <w:iCs w:val="0"/>
        </w:rPr>
        <w:t>.</w:t>
      </w:r>
    </w:p>
    <w:p w14:paraId="59D1BFD9" w14:textId="77777777" w:rsidR="00045A1E" w:rsidRPr="00045A1E" w:rsidRDefault="00045A1E" w:rsidP="00045A1E">
      <w:pPr>
        <w:rPr>
          <w:rStyle w:val="Emphasis"/>
          <w:rFonts w:cs="Arial"/>
          <w:i w:val="0"/>
          <w:iCs w:val="0"/>
          <w:sz w:val="22"/>
        </w:rPr>
      </w:pPr>
    </w:p>
    <w:p w14:paraId="25B83F77" w14:textId="70DCE783" w:rsidR="00AB194A" w:rsidRPr="00045A1E" w:rsidRDefault="00AB194A" w:rsidP="00045A1E">
      <w:pPr>
        <w:rPr>
          <w:rStyle w:val="Emphasis"/>
          <w:rFonts w:cs="Arial"/>
          <w:b/>
          <w:i w:val="0"/>
          <w:iCs w:val="0"/>
          <w:sz w:val="22"/>
        </w:rPr>
      </w:pPr>
      <w:r w:rsidRPr="00045A1E">
        <w:rPr>
          <w:rStyle w:val="Emphasis"/>
          <w:rFonts w:cs="Arial"/>
          <w:b/>
          <w:i w:val="0"/>
          <w:iCs w:val="0"/>
          <w:sz w:val="22"/>
        </w:rPr>
        <w:t xml:space="preserve">Key links: </w:t>
      </w:r>
    </w:p>
    <w:p w14:paraId="69C1E249" w14:textId="3514861C" w:rsidR="00045A1E" w:rsidRPr="00045A1E" w:rsidRDefault="006676E0" w:rsidP="00045A1E">
      <w:pPr>
        <w:pStyle w:val="ListBullet3"/>
      </w:pPr>
      <w:r w:rsidRPr="00045A1E">
        <w:t xml:space="preserve">Primary Industries and Regions, </w:t>
      </w:r>
      <w:r w:rsidR="008F5F0C" w:rsidRPr="00045A1E">
        <w:t>South Australia</w:t>
      </w:r>
      <w:r w:rsidR="00045A1E">
        <w:t xml:space="preserve"> </w:t>
      </w:r>
      <w:r w:rsidR="00045A1E" w:rsidRPr="00045A1E">
        <w:t xml:space="preserve">fisheries information – </w:t>
      </w:r>
      <w:hyperlink r:id="rId16" w:history="1">
        <w:r w:rsidR="00045A1E" w:rsidRPr="00045A1E">
          <w:rPr>
            <w:rStyle w:val="Hyperlink"/>
            <w:color w:val="auto"/>
            <w:u w:val="none"/>
          </w:rPr>
          <w:t>http://pir.sa.gov.au/fishing</w:t>
        </w:r>
      </w:hyperlink>
    </w:p>
    <w:p w14:paraId="55416088" w14:textId="77777777" w:rsidR="00045A1E" w:rsidRPr="00045A1E" w:rsidRDefault="00045A1E" w:rsidP="00045A1E">
      <w:pPr>
        <w:pStyle w:val="ListBullet4"/>
        <w:spacing w:before="60" w:after="60"/>
      </w:pPr>
      <w:r w:rsidRPr="00045A1E">
        <w:t xml:space="preserve">Aboriginal traditional fishing – </w:t>
      </w:r>
      <w:hyperlink r:id="rId17" w:history="1">
        <w:r w:rsidRPr="00045A1E">
          <w:rPr>
            <w:rStyle w:val="Hyperlink"/>
          </w:rPr>
          <w:t>http://pir.sa.gov.au/fishing/aboriginal_traditional_fishing</w:t>
        </w:r>
      </w:hyperlink>
      <w:r w:rsidRPr="00045A1E">
        <w:t xml:space="preserve">. </w:t>
      </w:r>
    </w:p>
    <w:p w14:paraId="69DE1279" w14:textId="77777777" w:rsidR="00045A1E" w:rsidRPr="00045A1E" w:rsidRDefault="00045A1E" w:rsidP="00045A1E">
      <w:pPr>
        <w:pStyle w:val="ListBullet4"/>
        <w:spacing w:before="60" w:after="60"/>
      </w:pPr>
      <w:r w:rsidRPr="00045A1E">
        <w:t xml:space="preserve">Recreational fishing information – </w:t>
      </w:r>
      <w:hyperlink r:id="rId18" w:history="1">
        <w:r w:rsidRPr="00045A1E">
          <w:rPr>
            <w:rStyle w:val="Hyperlink"/>
          </w:rPr>
          <w:t>http://pir.sa.gov.au/fishing/recreational_fishing</w:t>
        </w:r>
      </w:hyperlink>
      <w:r w:rsidRPr="00045A1E">
        <w:t xml:space="preserve">. </w:t>
      </w:r>
    </w:p>
    <w:p w14:paraId="27FF925A" w14:textId="410AADEB" w:rsidR="00AB194A" w:rsidRPr="00045A1E" w:rsidRDefault="00A473C9" w:rsidP="00045A1E">
      <w:pPr>
        <w:pStyle w:val="ListBullet3"/>
      </w:pPr>
      <w:r w:rsidRPr="00045A1E">
        <w:t xml:space="preserve">Lakes and Coorong Fishery </w:t>
      </w:r>
      <w:r w:rsidR="00765720" w:rsidRPr="00045A1E">
        <w:t xml:space="preserve">information </w:t>
      </w:r>
      <w:r w:rsidRPr="00045A1E">
        <w:t>includ</w:t>
      </w:r>
      <w:r w:rsidR="008F5F0C" w:rsidRPr="00045A1E">
        <w:t>ing</w:t>
      </w:r>
      <w:r w:rsidRPr="00045A1E">
        <w:t xml:space="preserve"> stock assessments for target species </w:t>
      </w:r>
      <w:r w:rsidR="009C03DD" w:rsidRPr="00045A1E">
        <w:t>–</w:t>
      </w:r>
      <w:r w:rsidR="008F5F0C" w:rsidRPr="00045A1E">
        <w:t xml:space="preserve"> </w:t>
      </w:r>
      <w:hyperlink r:id="rId19" w:history="1">
        <w:r w:rsidRPr="00045A1E">
          <w:rPr>
            <w:rStyle w:val="Hyperlink"/>
            <w:color w:val="auto"/>
            <w:u w:val="none"/>
          </w:rPr>
          <w:t>http://pir.sa.gov.au/fishing/commercial_fishing/fisheries/lakes_and_cooring_fishery</w:t>
        </w:r>
      </w:hyperlink>
      <w:r w:rsidRPr="00045A1E">
        <w:t>.</w:t>
      </w:r>
    </w:p>
    <w:p w14:paraId="129E4A82" w14:textId="6B217B12" w:rsidR="00AB194A" w:rsidRPr="00045A1E" w:rsidRDefault="00A473C9" w:rsidP="00045A1E">
      <w:pPr>
        <w:pStyle w:val="ListBullet3"/>
      </w:pPr>
      <w:r w:rsidRPr="00045A1E">
        <w:t xml:space="preserve">Management </w:t>
      </w:r>
      <w:r w:rsidR="009C03DD" w:rsidRPr="00045A1E">
        <w:t>P</w:t>
      </w:r>
      <w:r w:rsidRPr="00045A1E">
        <w:t xml:space="preserve">lan for the </w:t>
      </w:r>
      <w:r w:rsidR="00045A1E" w:rsidRPr="00045A1E">
        <w:t>SA</w:t>
      </w:r>
      <w:r w:rsidRPr="00045A1E">
        <w:t xml:space="preserve"> Commer</w:t>
      </w:r>
      <w:r w:rsidR="009C03DD" w:rsidRPr="00045A1E">
        <w:t>cial Lakes and Coorong Fishery 201</w:t>
      </w:r>
      <w:r w:rsidR="00045A1E" w:rsidRPr="00045A1E">
        <w:t>6</w:t>
      </w:r>
      <w:r w:rsidRPr="00045A1E">
        <w:t xml:space="preserve">) </w:t>
      </w:r>
      <w:r w:rsidR="009C03DD" w:rsidRPr="00045A1E">
        <w:t xml:space="preserve">– </w:t>
      </w:r>
      <w:hyperlink r:id="rId20" w:history="1">
        <w:r w:rsidRPr="00045A1E">
          <w:rPr>
            <w:rStyle w:val="Hyperlink"/>
          </w:rPr>
          <w:t>http://pir.sa.gov.au/__data/assets/pdf_file/0016/12742/Final_Management_Plan_for_the_South_Australian_Lakes_and_Coorong_Fishery_March_2016.pdf</w:t>
        </w:r>
      </w:hyperlink>
      <w:r w:rsidRPr="00045A1E">
        <w:t>.</w:t>
      </w:r>
    </w:p>
    <w:p w14:paraId="3A5CFE8C" w14:textId="7F214A09" w:rsidR="008F5F0C" w:rsidRPr="00045A1E" w:rsidRDefault="00765720" w:rsidP="00045A1E">
      <w:pPr>
        <w:pStyle w:val="ListBullet3"/>
      </w:pPr>
      <w:r w:rsidRPr="00045A1E">
        <w:t>SA</w:t>
      </w:r>
      <w:r w:rsidR="008F5F0C" w:rsidRPr="00045A1E">
        <w:t xml:space="preserve"> Research and Development Institut</w:t>
      </w:r>
      <w:r w:rsidRPr="00045A1E">
        <w:t>e (SARDI)</w:t>
      </w:r>
      <w:r w:rsidR="00016AA6" w:rsidRPr="00045A1E">
        <w:t xml:space="preserve"> – </w:t>
      </w:r>
      <w:hyperlink r:id="rId21" w:history="1">
        <w:r w:rsidR="008F5F0C" w:rsidRPr="00045A1E">
          <w:rPr>
            <w:rStyle w:val="Hyperlink"/>
          </w:rPr>
          <w:t>http://pir.sa.gov.au/research</w:t>
        </w:r>
      </w:hyperlink>
      <w:r w:rsidR="008F5F0C" w:rsidRPr="00045A1E">
        <w:t xml:space="preserve">. </w:t>
      </w:r>
    </w:p>
    <w:p w14:paraId="4BE8C373" w14:textId="54680314" w:rsidR="00AE098A" w:rsidRPr="00045A1E" w:rsidRDefault="00AE098A" w:rsidP="00045A1E">
      <w:pPr>
        <w:pStyle w:val="ListBullet3"/>
      </w:pPr>
      <w:r w:rsidRPr="00045A1E">
        <w:t xml:space="preserve">Lakes and Coorong Fishery Consultative Committee </w:t>
      </w:r>
      <w:r w:rsidR="00016AA6" w:rsidRPr="00045A1E">
        <w:t xml:space="preserve">– </w:t>
      </w:r>
      <w:hyperlink r:id="rId22" w:history="1">
        <w:r w:rsidRPr="00045A1E">
          <w:rPr>
            <w:rStyle w:val="Hyperlink"/>
          </w:rPr>
          <w:t>http://www.coorongfishery.com/pages/fishery-information/consultative-committee.php</w:t>
        </w:r>
      </w:hyperlink>
      <w:r w:rsidRPr="00045A1E">
        <w:t xml:space="preserve">. </w:t>
      </w:r>
    </w:p>
    <w:p w14:paraId="32410E23" w14:textId="17F6BB77" w:rsidR="00AE098A" w:rsidRPr="00045A1E" w:rsidRDefault="00AE098A" w:rsidP="00045A1E">
      <w:pPr>
        <w:pStyle w:val="ListBullet3"/>
      </w:pPr>
      <w:r w:rsidRPr="00045A1E">
        <w:t xml:space="preserve">Recreational Fishing Advisory Council SA (RecFish SA) </w:t>
      </w:r>
      <w:r w:rsidR="00016AA6" w:rsidRPr="00045A1E">
        <w:t>–</w:t>
      </w:r>
      <w:r w:rsidRPr="00045A1E">
        <w:t xml:space="preserve"> </w:t>
      </w:r>
      <w:hyperlink r:id="rId23" w:history="1">
        <w:r w:rsidRPr="00045A1E">
          <w:rPr>
            <w:rStyle w:val="Hyperlink"/>
          </w:rPr>
          <w:t>https://recfishsa.org.au/</w:t>
        </w:r>
      </w:hyperlink>
      <w:r w:rsidRPr="00045A1E">
        <w:t xml:space="preserve">. </w:t>
      </w:r>
    </w:p>
    <w:p w14:paraId="02E0852C" w14:textId="77777777" w:rsidR="00045A1E" w:rsidRPr="00045A1E" w:rsidRDefault="00045A1E" w:rsidP="00045A1E">
      <w:pPr>
        <w:rPr>
          <w:rFonts w:cs="Arial"/>
          <w:sz w:val="22"/>
        </w:rPr>
      </w:pPr>
    </w:p>
    <w:p w14:paraId="6FCCE195" w14:textId="275526DF" w:rsidR="00AB194A" w:rsidRPr="00045A1E" w:rsidRDefault="00A473C9" w:rsidP="00045A1E">
      <w:pPr>
        <w:rPr>
          <w:rFonts w:cs="Arial"/>
          <w:b/>
          <w:sz w:val="22"/>
        </w:rPr>
      </w:pPr>
      <w:r w:rsidRPr="00045A1E">
        <w:rPr>
          <w:rFonts w:cs="Arial"/>
          <w:b/>
          <w:sz w:val="22"/>
        </w:rPr>
        <w:t>Enforcing legislation</w:t>
      </w:r>
      <w:r w:rsidR="00680FA6" w:rsidRPr="00045A1E">
        <w:rPr>
          <w:rFonts w:cs="Arial"/>
          <w:b/>
          <w:sz w:val="22"/>
        </w:rPr>
        <w:t>:</w:t>
      </w:r>
    </w:p>
    <w:p w14:paraId="4A23DC6F" w14:textId="58EBC30F" w:rsidR="00D54378" w:rsidRPr="00045A1E" w:rsidRDefault="00D54378" w:rsidP="00045A1E">
      <w:pPr>
        <w:pStyle w:val="ListBullet3"/>
      </w:pPr>
      <w:r w:rsidRPr="00045A1E">
        <w:t xml:space="preserve">South Australian legislation </w:t>
      </w:r>
      <w:r w:rsidR="009C03DD" w:rsidRPr="00045A1E">
        <w:t>–</w:t>
      </w:r>
      <w:r w:rsidRPr="00045A1E">
        <w:t xml:space="preserve"> </w:t>
      </w:r>
      <w:hyperlink r:id="rId24" w:history="1">
        <w:r w:rsidRPr="00045A1E">
          <w:rPr>
            <w:rStyle w:val="Hyperlink"/>
          </w:rPr>
          <w:t>https://www.legislation.sa.gov.au/index.aspx</w:t>
        </w:r>
      </w:hyperlink>
      <w:r w:rsidRPr="00045A1E">
        <w:t xml:space="preserve">. </w:t>
      </w:r>
    </w:p>
    <w:p w14:paraId="7941DEF0" w14:textId="5048D496" w:rsidR="00A473C9" w:rsidRPr="00045A1E" w:rsidRDefault="00A473C9" w:rsidP="00045A1E">
      <w:pPr>
        <w:pStyle w:val="ListBullet3"/>
      </w:pPr>
      <w:r w:rsidRPr="00045A1E">
        <w:rPr>
          <w:i/>
        </w:rPr>
        <w:t>Fisheries Management Act 2007</w:t>
      </w:r>
      <w:r w:rsidRPr="00045A1E">
        <w:t xml:space="preserve"> </w:t>
      </w:r>
      <w:r w:rsidR="009C03DD" w:rsidRPr="00045A1E">
        <w:t xml:space="preserve">(SA) – </w:t>
      </w:r>
      <w:hyperlink r:id="rId25" w:history="1">
        <w:r w:rsidRPr="00045A1E">
          <w:rPr>
            <w:rStyle w:val="Hyperlink"/>
          </w:rPr>
          <w:t>https://www.legislation.sa.gov.au/LZ/C/A/FISHERIES%20MANAGEMENT%20ACT%202007.aspx</w:t>
        </w:r>
      </w:hyperlink>
      <w:r w:rsidRPr="00045A1E">
        <w:t xml:space="preserve">. </w:t>
      </w:r>
    </w:p>
    <w:p w14:paraId="2C85C9CF" w14:textId="7550E6F2" w:rsidR="00A473C9" w:rsidRPr="00045A1E" w:rsidRDefault="00A473C9" w:rsidP="00045A1E">
      <w:pPr>
        <w:pStyle w:val="ListBullet3"/>
        <w:rPr>
          <w:rStyle w:val="Emphasis"/>
          <w:i w:val="0"/>
          <w:iCs w:val="0"/>
        </w:rPr>
      </w:pPr>
      <w:r w:rsidRPr="00045A1E">
        <w:rPr>
          <w:rStyle w:val="Emphasis"/>
          <w:i w:val="0"/>
          <w:iCs w:val="0"/>
        </w:rPr>
        <w:t xml:space="preserve">Fisheries Management (Lakes and Coorong Fishery) Regulations 2009 </w:t>
      </w:r>
      <w:r w:rsidR="009C03DD" w:rsidRPr="00045A1E">
        <w:rPr>
          <w:rStyle w:val="Emphasis"/>
          <w:i w:val="0"/>
          <w:iCs w:val="0"/>
        </w:rPr>
        <w:t xml:space="preserve">– </w:t>
      </w:r>
      <w:hyperlink r:id="rId26" w:history="1">
        <w:r w:rsidRPr="00045A1E">
          <w:rPr>
            <w:rStyle w:val="Hyperlink"/>
          </w:rPr>
          <w:t>https://www.legislation.sa.gov.au/LZ/C/R/FISHERIES%20MANAGEMENT%20%28LAKES%20AND%20COORONG%20FISHERY%29%20REGULATIONS%202009.aspx</w:t>
        </w:r>
      </w:hyperlink>
      <w:r w:rsidRPr="00045A1E">
        <w:rPr>
          <w:rStyle w:val="Emphasis"/>
          <w:i w:val="0"/>
          <w:iCs w:val="0"/>
        </w:rPr>
        <w:t xml:space="preserve">. </w:t>
      </w:r>
    </w:p>
    <w:p w14:paraId="34DC5428" w14:textId="68E063A4" w:rsidR="00592C97" w:rsidRPr="00045A1E" w:rsidRDefault="00592C97" w:rsidP="00045A1E">
      <w:pPr>
        <w:pStyle w:val="ListBullet3"/>
        <w:rPr>
          <w:rStyle w:val="Emphasis"/>
          <w:i w:val="0"/>
          <w:iCs w:val="0"/>
        </w:rPr>
      </w:pPr>
      <w:r w:rsidRPr="00045A1E">
        <w:rPr>
          <w:rStyle w:val="Emphasis"/>
          <w:i w:val="0"/>
          <w:iCs w:val="0"/>
        </w:rPr>
        <w:t xml:space="preserve">Fisheries Management (General) Regulations 2017 </w:t>
      </w:r>
      <w:r w:rsidR="009C03DD" w:rsidRPr="00045A1E">
        <w:rPr>
          <w:rStyle w:val="Emphasis"/>
          <w:i w:val="0"/>
          <w:iCs w:val="0"/>
        </w:rPr>
        <w:t xml:space="preserve">– </w:t>
      </w:r>
      <w:hyperlink r:id="rId27" w:history="1">
        <w:r w:rsidR="009C03DD" w:rsidRPr="00045A1E">
          <w:rPr>
            <w:rStyle w:val="Hyperlink"/>
          </w:rPr>
          <w:t>https://www.legislation.sa.gov.au/LZ/C/R/Fisheries%20Management%20(General)%20Regulations%202017.aspx</w:t>
        </w:r>
      </w:hyperlink>
      <w:r w:rsidR="009C03DD" w:rsidRPr="00045A1E">
        <w:rPr>
          <w:rStyle w:val="Emphasis"/>
          <w:i w:val="0"/>
          <w:iCs w:val="0"/>
        </w:rPr>
        <w:t xml:space="preserve">. </w:t>
      </w:r>
    </w:p>
    <w:p w14:paraId="37EFE8ED" w14:textId="77777777" w:rsidR="00045A1E" w:rsidRPr="00045A1E" w:rsidRDefault="00045A1E" w:rsidP="00045A1E">
      <w:pPr>
        <w:rPr>
          <w:rFonts w:cs="Arial"/>
          <w:sz w:val="22"/>
        </w:rPr>
      </w:pPr>
    </w:p>
    <w:p w14:paraId="4DA9BDD1" w14:textId="08C0FF26" w:rsidR="00D54378" w:rsidRPr="00045A1E" w:rsidRDefault="00D54378" w:rsidP="00045A1E">
      <w:pPr>
        <w:rPr>
          <w:rFonts w:cs="Arial"/>
          <w:b/>
          <w:sz w:val="22"/>
        </w:rPr>
      </w:pPr>
      <w:r w:rsidRPr="00045A1E">
        <w:rPr>
          <w:rFonts w:cs="Arial"/>
          <w:b/>
          <w:sz w:val="22"/>
        </w:rPr>
        <w:t>Risk assessments</w:t>
      </w:r>
      <w:r w:rsidR="00680FA6" w:rsidRPr="00045A1E">
        <w:rPr>
          <w:rFonts w:cs="Arial"/>
          <w:b/>
          <w:sz w:val="22"/>
        </w:rPr>
        <w:t>:</w:t>
      </w:r>
    </w:p>
    <w:p w14:paraId="7403D3E9" w14:textId="77777777" w:rsidR="00045A1E" w:rsidRDefault="00AB194A" w:rsidP="00045A1E">
      <w:pPr>
        <w:pStyle w:val="ListBullet3"/>
        <w:rPr>
          <w:rStyle w:val="Emphasis"/>
          <w:i w:val="0"/>
          <w:iCs w:val="0"/>
        </w:rPr>
      </w:pPr>
      <w:r w:rsidRPr="00045A1E">
        <w:rPr>
          <w:rStyle w:val="Emphasis"/>
          <w:i w:val="0"/>
          <w:iCs w:val="0"/>
        </w:rPr>
        <w:t xml:space="preserve">Ecological </w:t>
      </w:r>
      <w:r w:rsidR="00FA2A73" w:rsidRPr="00045A1E">
        <w:rPr>
          <w:rStyle w:val="Emphasis"/>
          <w:i w:val="0"/>
          <w:iCs w:val="0"/>
        </w:rPr>
        <w:t>r</w:t>
      </w:r>
      <w:r w:rsidRPr="00045A1E">
        <w:rPr>
          <w:rStyle w:val="Emphasis"/>
          <w:i w:val="0"/>
          <w:iCs w:val="0"/>
        </w:rPr>
        <w:t xml:space="preserve">isk </w:t>
      </w:r>
      <w:r w:rsidR="00FA2A73" w:rsidRPr="00045A1E">
        <w:rPr>
          <w:rStyle w:val="Emphasis"/>
          <w:i w:val="0"/>
          <w:iCs w:val="0"/>
        </w:rPr>
        <w:t>a</w:t>
      </w:r>
      <w:r w:rsidRPr="00045A1E">
        <w:rPr>
          <w:rStyle w:val="Emphasis"/>
          <w:i w:val="0"/>
          <w:iCs w:val="0"/>
        </w:rPr>
        <w:t xml:space="preserve">ssessment </w:t>
      </w:r>
      <w:r w:rsidR="00592C97" w:rsidRPr="00045A1E">
        <w:rPr>
          <w:rStyle w:val="Emphasis"/>
          <w:i w:val="0"/>
          <w:iCs w:val="0"/>
        </w:rPr>
        <w:t>report</w:t>
      </w:r>
      <w:r w:rsidR="00FA2A73" w:rsidRPr="00045A1E">
        <w:rPr>
          <w:rStyle w:val="Emphasis"/>
          <w:i w:val="0"/>
          <w:iCs w:val="0"/>
        </w:rPr>
        <w:t>s were included in PIRSA’s submission</w:t>
      </w:r>
      <w:r w:rsidR="009C03DD" w:rsidRPr="00045A1E">
        <w:rPr>
          <w:rStyle w:val="Emphasis"/>
          <w:i w:val="0"/>
          <w:iCs w:val="0"/>
        </w:rPr>
        <w:t xml:space="preserve"> – </w:t>
      </w:r>
      <w:hyperlink r:id="rId28" w:history="1">
        <w:r w:rsidR="00D54378" w:rsidRPr="00045A1E">
          <w:rPr>
            <w:rStyle w:val="Hyperlink"/>
          </w:rPr>
          <w:t>http://www.environment.gov.au/marine/fisheries/sa/coorong/agency-application-2016</w:t>
        </w:r>
      </w:hyperlink>
      <w:r w:rsidR="00D54378" w:rsidRPr="00045A1E">
        <w:rPr>
          <w:rStyle w:val="Emphasis"/>
          <w:i w:val="0"/>
          <w:iCs w:val="0"/>
        </w:rPr>
        <w:t>.</w:t>
      </w:r>
    </w:p>
    <w:p w14:paraId="69C9F38F" w14:textId="4206DD1E" w:rsidR="00402549" w:rsidRPr="00045A1E" w:rsidRDefault="00402549" w:rsidP="00045A1E">
      <w:pPr>
        <w:sectPr w:rsidR="00402549" w:rsidRPr="00045A1E" w:rsidSect="00402549">
          <w:pgSz w:w="11906" w:h="16838"/>
          <w:pgMar w:top="1021" w:right="1021" w:bottom="1021" w:left="1021" w:header="709" w:footer="709" w:gutter="0"/>
          <w:cols w:space="708"/>
          <w:docGrid w:linePitch="360"/>
        </w:sectPr>
      </w:pPr>
    </w:p>
    <w:p w14:paraId="104F2B01" w14:textId="75EEEB68" w:rsidR="00885298" w:rsidRPr="00DD0EB5" w:rsidRDefault="00DD0EB5" w:rsidP="005E2D35">
      <w:pPr>
        <w:pStyle w:val="Heading1"/>
      </w:pPr>
      <w:bookmarkStart w:id="4" w:name="_Toc506553892"/>
      <w:r>
        <w:lastRenderedPageBreak/>
        <w:t>Section</w:t>
      </w:r>
      <w:r w:rsidR="0027138D" w:rsidRPr="00127133">
        <w:t xml:space="preserve"> 2: </w:t>
      </w:r>
      <w:r>
        <w:t>Detailed Analysis of the South Australian Lakes and Coorong Fishery</w:t>
      </w:r>
      <w:r w:rsidRPr="00127133">
        <w:t xml:space="preserve"> </w:t>
      </w:r>
      <w:r>
        <w:t>Against 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680FA6" w14:paraId="48EAFFFA" w14:textId="77777777" w:rsidTr="00680FA6">
        <w:tc>
          <w:tcPr>
            <w:tcW w:w="1500" w:type="pct"/>
            <w:shd w:val="clear" w:color="auto" w:fill="auto"/>
          </w:tcPr>
          <w:p w14:paraId="48317278" w14:textId="7CCCCD5C" w:rsidR="00885298" w:rsidRPr="00680FA6" w:rsidRDefault="00885298" w:rsidP="005E2D35">
            <w:pPr>
              <w:rPr>
                <w:rFonts w:cs="Arial"/>
                <w:szCs w:val="18"/>
              </w:rPr>
            </w:pPr>
            <w:r w:rsidRPr="00680FA6">
              <w:rPr>
                <w:rFonts w:cs="Arial"/>
                <w:szCs w:val="18"/>
                <w:lang w:eastAsia="en-AU"/>
              </w:rPr>
              <w:br w:type="page"/>
            </w:r>
            <w:r w:rsidRPr="00680FA6">
              <w:rPr>
                <w:rStyle w:val="FootnoteReference"/>
                <w:rFonts w:cs="Arial"/>
                <w:szCs w:val="18"/>
              </w:rPr>
              <w:t xml:space="preserve"> </w:t>
            </w:r>
          </w:p>
        </w:tc>
        <w:tc>
          <w:tcPr>
            <w:tcW w:w="3500" w:type="pct"/>
            <w:shd w:val="clear" w:color="auto" w:fill="FFFFFF"/>
          </w:tcPr>
          <w:p w14:paraId="2C014CC6" w14:textId="77777777" w:rsidR="00885298" w:rsidRPr="00680FA6" w:rsidRDefault="00885298" w:rsidP="005E2D35">
            <w:pPr>
              <w:rPr>
                <w:rFonts w:cs="Arial"/>
                <w:b/>
                <w:szCs w:val="18"/>
              </w:rPr>
            </w:pPr>
            <w:r w:rsidRPr="00680FA6">
              <w:rPr>
                <w:rFonts w:cs="Arial"/>
                <w:b/>
                <w:szCs w:val="18"/>
              </w:rPr>
              <w:t>Comment</w:t>
            </w:r>
          </w:p>
        </w:tc>
      </w:tr>
      <w:tr w:rsidR="00885298" w:rsidRPr="00680FA6" w14:paraId="734EF4DC" w14:textId="77777777" w:rsidTr="00680FA6">
        <w:tc>
          <w:tcPr>
            <w:tcW w:w="1500" w:type="pct"/>
            <w:gridSpan w:val="2"/>
            <w:shd w:val="clear" w:color="auto" w:fill="FFFF66"/>
          </w:tcPr>
          <w:p w14:paraId="7A6AEE90" w14:textId="77777777" w:rsidR="00885298" w:rsidRPr="00680FA6" w:rsidRDefault="00885298" w:rsidP="005E2D35">
            <w:pPr>
              <w:rPr>
                <w:rFonts w:cs="Arial"/>
                <w:b/>
                <w:szCs w:val="18"/>
              </w:rPr>
            </w:pPr>
            <w:r w:rsidRPr="00680FA6">
              <w:rPr>
                <w:rFonts w:cs="Arial"/>
                <w:b/>
                <w:szCs w:val="18"/>
              </w:rPr>
              <w:t>THE MANAGEMENT REGIME</w:t>
            </w:r>
          </w:p>
        </w:tc>
      </w:tr>
      <w:tr w:rsidR="00885298" w:rsidRPr="00680FA6" w14:paraId="28AB77EE" w14:textId="77777777" w:rsidTr="00680FA6">
        <w:tc>
          <w:tcPr>
            <w:tcW w:w="1500" w:type="pct"/>
            <w:gridSpan w:val="2"/>
            <w:shd w:val="clear" w:color="auto" w:fill="FFFF99"/>
          </w:tcPr>
          <w:p w14:paraId="37148127" w14:textId="77777777" w:rsidR="00885298" w:rsidRPr="00680FA6" w:rsidRDefault="00885298" w:rsidP="005E2D35">
            <w:pPr>
              <w:rPr>
                <w:rFonts w:cs="Arial"/>
                <w:b/>
                <w:szCs w:val="18"/>
              </w:rPr>
            </w:pPr>
            <w:r w:rsidRPr="00680FA6">
              <w:rPr>
                <w:rFonts w:cs="Arial"/>
                <w:szCs w:val="18"/>
              </w:rPr>
              <w:t>The management regime does not have to be a formal statutory fishery management plan as such, and may include non-statutory management arrangements or management policies and programs. The regime should:</w:t>
            </w:r>
          </w:p>
        </w:tc>
      </w:tr>
      <w:tr w:rsidR="00371E8B" w:rsidRPr="00AA7D8E" w14:paraId="72AABFAD" w14:textId="77777777" w:rsidTr="00680FA6">
        <w:tc>
          <w:tcPr>
            <w:tcW w:w="1500" w:type="pct"/>
            <w:shd w:val="clear" w:color="auto" w:fill="auto"/>
          </w:tcPr>
          <w:p w14:paraId="5524B93B" w14:textId="77777777" w:rsidR="00371E8B" w:rsidRPr="00AA7D8E" w:rsidRDefault="00371E8B" w:rsidP="00AA7D8E">
            <w:pPr>
              <w:autoSpaceDE w:val="0"/>
              <w:autoSpaceDN w:val="0"/>
              <w:adjustRightInd w:val="0"/>
              <w:rPr>
                <w:rFonts w:cs="Arial"/>
                <w:szCs w:val="18"/>
              </w:rPr>
            </w:pPr>
            <w:r w:rsidRPr="00AA7D8E">
              <w:rPr>
                <w:rFonts w:cs="Arial"/>
                <w:szCs w:val="18"/>
              </w:rPr>
              <w:t>Be documented, publicly available and transparent</w:t>
            </w:r>
          </w:p>
        </w:tc>
        <w:tc>
          <w:tcPr>
            <w:tcW w:w="3500" w:type="pct"/>
            <w:shd w:val="clear" w:color="auto" w:fill="92D050"/>
          </w:tcPr>
          <w:p w14:paraId="40C8ED38" w14:textId="77777777" w:rsidR="00AA7D8E" w:rsidRDefault="007F7FF3" w:rsidP="00AA7D8E">
            <w:pPr>
              <w:autoSpaceDE w:val="0"/>
              <w:autoSpaceDN w:val="0"/>
              <w:adjustRightInd w:val="0"/>
              <w:rPr>
                <w:rFonts w:cs="Arial"/>
                <w:szCs w:val="18"/>
              </w:rPr>
            </w:pPr>
            <w:r w:rsidRPr="00AA7D8E">
              <w:rPr>
                <w:rFonts w:cs="Arial"/>
                <w:b/>
                <w:szCs w:val="18"/>
              </w:rPr>
              <w:t>Meets</w:t>
            </w:r>
            <w:r w:rsidR="00AA7D8E">
              <w:rPr>
                <w:rFonts w:cs="Arial"/>
                <w:b/>
                <w:szCs w:val="18"/>
              </w:rPr>
              <w:t xml:space="preserve"> </w:t>
            </w:r>
          </w:p>
          <w:p w14:paraId="1709F57B" w14:textId="77777777" w:rsidR="00411185" w:rsidRDefault="00411185" w:rsidP="00411185">
            <w:pPr>
              <w:autoSpaceDE w:val="0"/>
              <w:autoSpaceDN w:val="0"/>
              <w:adjustRightInd w:val="0"/>
              <w:rPr>
                <w:rFonts w:cs="Arial"/>
                <w:szCs w:val="18"/>
              </w:rPr>
            </w:pPr>
            <w:r>
              <w:rPr>
                <w:rFonts w:cs="Arial"/>
                <w:snapToGrid w:val="0"/>
                <w:szCs w:val="18"/>
              </w:rPr>
              <w:t>I</w:t>
            </w:r>
            <w:r w:rsidRPr="00AA7D8E">
              <w:rPr>
                <w:rFonts w:cs="Arial"/>
                <w:snapToGrid w:val="0"/>
                <w:szCs w:val="18"/>
              </w:rPr>
              <w:t xml:space="preserve">nformation </w:t>
            </w:r>
            <w:r>
              <w:rPr>
                <w:rFonts w:cs="Arial"/>
                <w:snapToGrid w:val="0"/>
                <w:szCs w:val="18"/>
              </w:rPr>
              <w:t xml:space="preserve">relating to the fishery’s management regime </w:t>
            </w:r>
            <w:r w:rsidRPr="00AA7D8E">
              <w:rPr>
                <w:rFonts w:cs="Arial"/>
                <w:snapToGrid w:val="0"/>
                <w:szCs w:val="18"/>
              </w:rPr>
              <w:t xml:space="preserve">is publicly available </w:t>
            </w:r>
            <w:r w:rsidRPr="00AA7D8E">
              <w:rPr>
                <w:rFonts w:cs="Arial"/>
                <w:szCs w:val="18"/>
              </w:rPr>
              <w:t>(see website links above under Notes).</w:t>
            </w:r>
          </w:p>
          <w:p w14:paraId="5C875603" w14:textId="77777777" w:rsidR="00411185" w:rsidRDefault="007F7FF3" w:rsidP="00AA7D8E">
            <w:pPr>
              <w:autoSpaceDE w:val="0"/>
              <w:autoSpaceDN w:val="0"/>
              <w:adjustRightInd w:val="0"/>
              <w:rPr>
                <w:rFonts w:cs="Arial"/>
                <w:snapToGrid w:val="0"/>
                <w:szCs w:val="18"/>
              </w:rPr>
            </w:pPr>
            <w:r w:rsidRPr="00AA7D8E">
              <w:rPr>
                <w:rFonts w:cs="Arial"/>
                <w:snapToGrid w:val="0"/>
                <w:szCs w:val="18"/>
              </w:rPr>
              <w:t xml:space="preserve">The </w:t>
            </w:r>
            <w:r w:rsidRPr="00AA7D8E">
              <w:rPr>
                <w:rFonts w:cs="Arial"/>
                <w:i/>
                <w:snapToGrid w:val="0"/>
                <w:szCs w:val="18"/>
              </w:rPr>
              <w:t>Fisheries Management Act 2007</w:t>
            </w:r>
            <w:r w:rsidRPr="00AA7D8E">
              <w:rPr>
                <w:rFonts w:cs="Arial"/>
                <w:snapToGrid w:val="0"/>
                <w:szCs w:val="18"/>
              </w:rPr>
              <w:t xml:space="preserve"> (SA) provides the broad statutory framework for managing the state’s fisheries. Governance arrangements are specified in the Fisheries Management (Lakes and Coorong Fishery) Regulations 2009 (SA) and the Fisheries Management (General) Regulations 2017 (SA). The </w:t>
            </w:r>
            <w:r w:rsidRPr="00AA7D8E">
              <w:rPr>
                <w:rFonts w:cs="Arial"/>
                <w:i/>
                <w:snapToGrid w:val="0"/>
                <w:szCs w:val="18"/>
              </w:rPr>
              <w:t xml:space="preserve">Management Plan for the South Australian Commercial Lakes and Coorong Fishery 2016 </w:t>
            </w:r>
            <w:r w:rsidRPr="00AA7D8E">
              <w:rPr>
                <w:rFonts w:cs="Arial"/>
                <w:snapToGrid w:val="0"/>
                <w:szCs w:val="18"/>
              </w:rPr>
              <w:t>(</w:t>
            </w:r>
            <w:r w:rsidR="00016AA6" w:rsidRPr="00AA7D8E">
              <w:rPr>
                <w:rFonts w:cs="Arial"/>
                <w:snapToGrid w:val="0"/>
                <w:szCs w:val="18"/>
              </w:rPr>
              <w:t>Fishery Management Plan</w:t>
            </w:r>
            <w:r w:rsidRPr="00AA7D8E">
              <w:rPr>
                <w:rFonts w:cs="Arial"/>
                <w:snapToGrid w:val="0"/>
                <w:szCs w:val="18"/>
              </w:rPr>
              <w:t xml:space="preserve">) provides the policy framework. </w:t>
            </w:r>
          </w:p>
          <w:p w14:paraId="28161830" w14:textId="2CEE9E93" w:rsidR="00411185" w:rsidRPr="00AA7D8E" w:rsidRDefault="002D1766" w:rsidP="005268D1">
            <w:pPr>
              <w:autoSpaceDE w:val="0"/>
              <w:autoSpaceDN w:val="0"/>
              <w:adjustRightInd w:val="0"/>
              <w:rPr>
                <w:rFonts w:cs="Arial"/>
                <w:snapToGrid w:val="0"/>
                <w:szCs w:val="18"/>
              </w:rPr>
            </w:pPr>
            <w:r w:rsidRPr="00AA7D8E">
              <w:rPr>
                <w:rFonts w:cs="Arial"/>
                <w:snapToGrid w:val="0"/>
                <w:szCs w:val="18"/>
              </w:rPr>
              <w:t xml:space="preserve">Recreational fishing (excluding Aboriginal traditional fishing) is managed separately under the </w:t>
            </w:r>
            <w:r w:rsidRPr="00AA7D8E">
              <w:rPr>
                <w:rFonts w:cs="Arial"/>
                <w:i/>
                <w:snapToGrid w:val="0"/>
                <w:szCs w:val="18"/>
              </w:rPr>
              <w:t>Draft Management Plan for Recreational Fishing in South Australia</w:t>
            </w:r>
            <w:r w:rsidRPr="00AA7D8E">
              <w:rPr>
                <w:rFonts w:cs="Arial"/>
                <w:snapToGrid w:val="0"/>
                <w:szCs w:val="18"/>
              </w:rPr>
              <w:t xml:space="preserve">. </w:t>
            </w:r>
          </w:p>
        </w:tc>
      </w:tr>
      <w:tr w:rsidR="00371E8B" w:rsidRPr="00AA7D8E" w14:paraId="4513BEBB" w14:textId="77777777" w:rsidTr="00680FA6">
        <w:tc>
          <w:tcPr>
            <w:tcW w:w="1500" w:type="pct"/>
            <w:shd w:val="clear" w:color="auto" w:fill="auto"/>
          </w:tcPr>
          <w:p w14:paraId="1B8852AD" w14:textId="77777777" w:rsidR="00371E8B" w:rsidRPr="00AA7D8E" w:rsidRDefault="00371E8B" w:rsidP="00AA7D8E">
            <w:pPr>
              <w:autoSpaceDE w:val="0"/>
              <w:autoSpaceDN w:val="0"/>
              <w:adjustRightInd w:val="0"/>
              <w:rPr>
                <w:rFonts w:cs="Arial"/>
                <w:szCs w:val="18"/>
              </w:rPr>
            </w:pPr>
            <w:r w:rsidRPr="00AA7D8E">
              <w:rPr>
                <w:rFonts w:cs="Arial"/>
                <w:szCs w:val="18"/>
              </w:rPr>
              <w:t>Be developed through a consultative process providing opportunity to all interested and affected parties, including the general public</w:t>
            </w:r>
          </w:p>
        </w:tc>
        <w:tc>
          <w:tcPr>
            <w:tcW w:w="3500" w:type="pct"/>
            <w:shd w:val="clear" w:color="auto" w:fill="92D050"/>
          </w:tcPr>
          <w:p w14:paraId="50FC60B9" w14:textId="77777777" w:rsidR="00AA7D8E" w:rsidRDefault="007F7FF3" w:rsidP="00AA7D8E">
            <w:pPr>
              <w:autoSpaceDE w:val="0"/>
              <w:autoSpaceDN w:val="0"/>
              <w:adjustRightInd w:val="0"/>
              <w:rPr>
                <w:rFonts w:cs="Arial"/>
                <w:szCs w:val="18"/>
              </w:rPr>
            </w:pPr>
            <w:r w:rsidRPr="00AA7D8E">
              <w:rPr>
                <w:rFonts w:cs="Arial"/>
                <w:b/>
                <w:szCs w:val="18"/>
              </w:rPr>
              <w:t>Meets</w:t>
            </w:r>
            <w:r w:rsidR="00AA7D8E">
              <w:rPr>
                <w:rFonts w:cs="Arial"/>
                <w:b/>
                <w:szCs w:val="18"/>
              </w:rPr>
              <w:t xml:space="preserve"> </w:t>
            </w:r>
          </w:p>
          <w:p w14:paraId="7EE3CC5A" w14:textId="083D23AE" w:rsidR="002D1766" w:rsidRPr="00AA7D8E" w:rsidRDefault="007F7FF3" w:rsidP="00AA7D8E">
            <w:pPr>
              <w:autoSpaceDE w:val="0"/>
              <w:autoSpaceDN w:val="0"/>
              <w:adjustRightInd w:val="0"/>
              <w:rPr>
                <w:rFonts w:cs="Arial"/>
                <w:szCs w:val="18"/>
              </w:rPr>
            </w:pPr>
            <w:r w:rsidRPr="00AA7D8E">
              <w:rPr>
                <w:rFonts w:cs="Arial"/>
                <w:szCs w:val="18"/>
              </w:rPr>
              <w:t xml:space="preserve">A statutory consultative process is described in </w:t>
            </w:r>
            <w:r w:rsidR="00411185">
              <w:rPr>
                <w:rFonts w:cs="Arial"/>
                <w:szCs w:val="18"/>
              </w:rPr>
              <w:t>the Fisheries Act and subordinate</w:t>
            </w:r>
            <w:r w:rsidRPr="00AA7D8E">
              <w:rPr>
                <w:rFonts w:cs="Arial"/>
                <w:szCs w:val="18"/>
              </w:rPr>
              <w:t xml:space="preserve"> legislation including the </w:t>
            </w:r>
            <w:r w:rsidR="002D1766" w:rsidRPr="00AA7D8E">
              <w:rPr>
                <w:rFonts w:cs="Arial"/>
                <w:szCs w:val="18"/>
              </w:rPr>
              <w:t xml:space="preserve">need to </w:t>
            </w:r>
            <w:r w:rsidRPr="00AA7D8E">
              <w:rPr>
                <w:rFonts w:cs="Arial"/>
                <w:szCs w:val="18"/>
              </w:rPr>
              <w:t>prepar</w:t>
            </w:r>
            <w:r w:rsidR="002D1766" w:rsidRPr="00AA7D8E">
              <w:rPr>
                <w:rFonts w:cs="Arial"/>
                <w:szCs w:val="18"/>
              </w:rPr>
              <w:t>e</w:t>
            </w:r>
            <w:r w:rsidRPr="00AA7D8E">
              <w:rPr>
                <w:rFonts w:cs="Arial"/>
                <w:szCs w:val="18"/>
              </w:rPr>
              <w:t xml:space="preserve"> fishery management plans in consultation with the public and</w:t>
            </w:r>
            <w:r w:rsidR="00411185">
              <w:rPr>
                <w:rFonts w:cs="Arial"/>
                <w:szCs w:val="18"/>
              </w:rPr>
              <w:t xml:space="preserve"> the</w:t>
            </w:r>
            <w:r w:rsidRPr="00AA7D8E">
              <w:rPr>
                <w:rFonts w:cs="Arial"/>
                <w:szCs w:val="18"/>
              </w:rPr>
              <w:t xml:space="preserve"> </w:t>
            </w:r>
            <w:r w:rsidR="00016AA6" w:rsidRPr="00AA7D8E">
              <w:rPr>
                <w:rFonts w:cs="Arial"/>
                <w:szCs w:val="18"/>
              </w:rPr>
              <w:t xml:space="preserve">fishery </w:t>
            </w:r>
            <w:r w:rsidRPr="00AA7D8E">
              <w:rPr>
                <w:rFonts w:cs="Arial"/>
                <w:szCs w:val="18"/>
              </w:rPr>
              <w:t xml:space="preserve">advisory committee. </w:t>
            </w:r>
          </w:p>
          <w:p w14:paraId="254E39FF" w14:textId="3E2D0F6C" w:rsidR="00411185" w:rsidRPr="00AA7D8E" w:rsidRDefault="007F7FF3" w:rsidP="005268D1">
            <w:pPr>
              <w:autoSpaceDE w:val="0"/>
              <w:autoSpaceDN w:val="0"/>
              <w:adjustRightInd w:val="0"/>
              <w:rPr>
                <w:rFonts w:cs="Arial"/>
                <w:szCs w:val="18"/>
              </w:rPr>
            </w:pPr>
            <w:r w:rsidRPr="00AA7D8E">
              <w:rPr>
                <w:rFonts w:cs="Arial"/>
                <w:szCs w:val="18"/>
              </w:rPr>
              <w:t xml:space="preserve">PIRSA </w:t>
            </w:r>
            <w:r w:rsidR="002D1766" w:rsidRPr="00AA7D8E">
              <w:rPr>
                <w:rFonts w:cs="Arial"/>
                <w:szCs w:val="18"/>
              </w:rPr>
              <w:t xml:space="preserve">has </w:t>
            </w:r>
            <w:r w:rsidRPr="00AA7D8E">
              <w:rPr>
                <w:rFonts w:cs="Arial"/>
                <w:szCs w:val="18"/>
              </w:rPr>
              <w:t>engaged stakeholders during a review of the annual management arrangements for Murray cod, and is consulting with professional and recreational fishers in relation to proposed management options for overfished black bream stocks.</w:t>
            </w:r>
          </w:p>
        </w:tc>
      </w:tr>
      <w:tr w:rsidR="00371E8B" w:rsidRPr="00AA7D8E" w14:paraId="064DC322" w14:textId="77777777" w:rsidTr="00680FA6">
        <w:tc>
          <w:tcPr>
            <w:tcW w:w="1500" w:type="pct"/>
            <w:shd w:val="clear" w:color="auto" w:fill="auto"/>
          </w:tcPr>
          <w:p w14:paraId="2188F6A2" w14:textId="2E6DF1EA" w:rsidR="00371E8B" w:rsidRPr="00AA7D8E" w:rsidRDefault="00371E8B" w:rsidP="00AA7D8E">
            <w:pPr>
              <w:autoSpaceDE w:val="0"/>
              <w:autoSpaceDN w:val="0"/>
              <w:adjustRightInd w:val="0"/>
              <w:rPr>
                <w:rFonts w:cs="Arial"/>
                <w:szCs w:val="18"/>
              </w:rPr>
            </w:pPr>
            <w:r w:rsidRPr="00AA7D8E">
              <w:rPr>
                <w:rFonts w:cs="Arial"/>
                <w:szCs w:val="18"/>
              </w:rPr>
              <w:t>Ensure that a range of expertise and community interests are involved in individual fishery management committees and during the stock assessment process</w:t>
            </w:r>
          </w:p>
        </w:tc>
        <w:tc>
          <w:tcPr>
            <w:tcW w:w="3500" w:type="pct"/>
            <w:shd w:val="clear" w:color="auto" w:fill="92D050"/>
          </w:tcPr>
          <w:p w14:paraId="37BDD945" w14:textId="77777777" w:rsidR="00AA7D8E" w:rsidRDefault="007F7FF3" w:rsidP="00AA7D8E">
            <w:pPr>
              <w:autoSpaceDE w:val="0"/>
              <w:autoSpaceDN w:val="0"/>
              <w:adjustRightInd w:val="0"/>
              <w:rPr>
                <w:rFonts w:cs="Arial"/>
                <w:szCs w:val="18"/>
              </w:rPr>
            </w:pPr>
            <w:r w:rsidRPr="00AA7D8E">
              <w:rPr>
                <w:rFonts w:cs="Arial"/>
                <w:b/>
                <w:szCs w:val="18"/>
              </w:rPr>
              <w:t>Meets</w:t>
            </w:r>
            <w:r w:rsidR="00AA7D8E">
              <w:rPr>
                <w:rFonts w:cs="Arial"/>
                <w:b/>
                <w:szCs w:val="18"/>
              </w:rPr>
              <w:t xml:space="preserve"> </w:t>
            </w:r>
          </w:p>
          <w:p w14:paraId="14A7D973" w14:textId="33C30321" w:rsidR="00411185" w:rsidRPr="00AA7D8E" w:rsidRDefault="007F7FF3" w:rsidP="005268D1">
            <w:pPr>
              <w:autoSpaceDE w:val="0"/>
              <w:autoSpaceDN w:val="0"/>
              <w:adjustRightInd w:val="0"/>
              <w:rPr>
                <w:rFonts w:cs="Arial"/>
                <w:szCs w:val="18"/>
              </w:rPr>
            </w:pPr>
            <w:r w:rsidRPr="00AA7D8E">
              <w:rPr>
                <w:rFonts w:cs="Arial"/>
                <w:szCs w:val="18"/>
              </w:rPr>
              <w:t>PIRSA engage with a range of expertise and public interest groups to ensure good fishery management and governance. The Lakes and Coorong Fishery (LCF</w:t>
            </w:r>
            <w:r w:rsidR="00411185">
              <w:rPr>
                <w:rFonts w:cs="Arial"/>
                <w:szCs w:val="18"/>
              </w:rPr>
              <w:t>)</w:t>
            </w:r>
            <w:r w:rsidR="00AA7D8E" w:rsidRPr="00AA7D8E">
              <w:rPr>
                <w:rFonts w:cs="Arial"/>
                <w:szCs w:val="18"/>
              </w:rPr>
              <w:t xml:space="preserve"> Consultative Committee</w:t>
            </w:r>
            <w:r w:rsidR="00411185">
              <w:rPr>
                <w:rFonts w:cs="Arial"/>
                <w:szCs w:val="18"/>
              </w:rPr>
              <w:t>,</w:t>
            </w:r>
            <w:r w:rsidR="00411185" w:rsidRPr="00AA7D8E">
              <w:rPr>
                <w:rFonts w:cs="Arial"/>
                <w:szCs w:val="18"/>
              </w:rPr>
              <w:t xml:space="preserve"> </w:t>
            </w:r>
            <w:r w:rsidR="00411185">
              <w:rPr>
                <w:rFonts w:cs="Arial"/>
                <w:szCs w:val="18"/>
              </w:rPr>
              <w:t>LCF</w:t>
            </w:r>
            <w:r w:rsidR="00411185" w:rsidRPr="00AA7D8E">
              <w:rPr>
                <w:rFonts w:cs="Arial"/>
                <w:szCs w:val="18"/>
              </w:rPr>
              <w:t xml:space="preserve"> Management Advisory Committee</w:t>
            </w:r>
            <w:r w:rsidR="00411185">
              <w:rPr>
                <w:rFonts w:cs="Arial"/>
                <w:szCs w:val="18"/>
              </w:rPr>
              <w:t>,</w:t>
            </w:r>
            <w:r w:rsidRPr="00AA7D8E">
              <w:rPr>
                <w:rFonts w:cs="Arial"/>
                <w:szCs w:val="18"/>
              </w:rPr>
              <w:t xml:space="preserve"> and SA Recreational Fishing Advisory Council (RecFish SA) provide input to the management arrangements. The LCF</w:t>
            </w:r>
            <w:r w:rsidR="00AA7D8E" w:rsidRPr="00AA7D8E">
              <w:rPr>
                <w:rFonts w:cs="Arial"/>
                <w:szCs w:val="18"/>
              </w:rPr>
              <w:t xml:space="preserve"> Consultative Committee </w:t>
            </w:r>
            <w:r w:rsidRPr="00AA7D8E">
              <w:rPr>
                <w:rFonts w:cs="Arial"/>
                <w:szCs w:val="18"/>
              </w:rPr>
              <w:t>comprises representatives from professional fishers, Department of Environment and Heritage, Ngarrindjeri traditional owners, local governments and Conservation Council SA.</w:t>
            </w:r>
            <w:r w:rsidR="003A1022" w:rsidRPr="00AA7D8E">
              <w:rPr>
                <w:rFonts w:cs="Arial"/>
                <w:szCs w:val="18"/>
              </w:rPr>
              <w:t xml:space="preserve"> </w:t>
            </w:r>
            <w:r w:rsidRPr="00AA7D8E">
              <w:rPr>
                <w:rFonts w:cs="Arial"/>
                <w:szCs w:val="18"/>
              </w:rPr>
              <w:t xml:space="preserve">The South Australian Research and Development Institute (SARDI) Aquatic Sciences provide scientific evaluation of </w:t>
            </w:r>
            <w:r w:rsidR="00016AA6" w:rsidRPr="00AA7D8E">
              <w:rPr>
                <w:rFonts w:cs="Arial"/>
                <w:szCs w:val="18"/>
              </w:rPr>
              <w:t xml:space="preserve">the </w:t>
            </w:r>
            <w:r w:rsidRPr="00AA7D8E">
              <w:rPr>
                <w:rFonts w:cs="Arial"/>
                <w:szCs w:val="18"/>
              </w:rPr>
              <w:t>status of target species stocks against performance indicators and limit reference points.</w:t>
            </w:r>
          </w:p>
        </w:tc>
      </w:tr>
      <w:tr w:rsidR="00371E8B" w:rsidRPr="00AA7D8E" w14:paraId="434A9161" w14:textId="77777777" w:rsidTr="00680FA6">
        <w:tc>
          <w:tcPr>
            <w:tcW w:w="1500" w:type="pct"/>
            <w:shd w:val="clear" w:color="auto" w:fill="auto"/>
          </w:tcPr>
          <w:p w14:paraId="7043B0B9" w14:textId="77777777" w:rsidR="00371E8B" w:rsidRPr="00AA7D8E" w:rsidRDefault="00371E8B" w:rsidP="00AA7D8E">
            <w:pPr>
              <w:autoSpaceDE w:val="0"/>
              <w:autoSpaceDN w:val="0"/>
              <w:adjustRightInd w:val="0"/>
              <w:rPr>
                <w:rFonts w:cs="Arial"/>
                <w:szCs w:val="18"/>
              </w:rPr>
            </w:pPr>
            <w:r w:rsidRPr="00AA7D8E">
              <w:rPr>
                <w:rFonts w:cs="Arial"/>
                <w:szCs w:val="18"/>
              </w:rPr>
              <w:t>Be strategic, containing objectives and performance criteria by which the effectiveness of the management arrangements are measured</w:t>
            </w:r>
          </w:p>
        </w:tc>
        <w:tc>
          <w:tcPr>
            <w:tcW w:w="3500" w:type="pct"/>
            <w:shd w:val="clear" w:color="auto" w:fill="92D050"/>
          </w:tcPr>
          <w:p w14:paraId="753DD1C4" w14:textId="77777777" w:rsidR="00AA7D8E" w:rsidRDefault="00446F01" w:rsidP="00AA7D8E">
            <w:pPr>
              <w:autoSpaceDE w:val="0"/>
              <w:autoSpaceDN w:val="0"/>
              <w:adjustRightInd w:val="0"/>
              <w:rPr>
                <w:rFonts w:cs="Arial"/>
                <w:szCs w:val="18"/>
              </w:rPr>
            </w:pPr>
            <w:r w:rsidRPr="00AA7D8E">
              <w:rPr>
                <w:rFonts w:cs="Arial"/>
                <w:b/>
                <w:szCs w:val="18"/>
              </w:rPr>
              <w:t>Meets</w:t>
            </w:r>
            <w:r w:rsidR="00AA7D8E">
              <w:rPr>
                <w:rFonts w:cs="Arial"/>
                <w:b/>
                <w:szCs w:val="18"/>
              </w:rPr>
              <w:t xml:space="preserve"> </w:t>
            </w:r>
          </w:p>
          <w:p w14:paraId="74B50238" w14:textId="77777777" w:rsidR="00873630" w:rsidRDefault="00446F01" w:rsidP="00873630">
            <w:pPr>
              <w:autoSpaceDE w:val="0"/>
              <w:autoSpaceDN w:val="0"/>
              <w:adjustRightInd w:val="0"/>
              <w:rPr>
                <w:rFonts w:cs="Arial"/>
                <w:snapToGrid w:val="0"/>
                <w:szCs w:val="18"/>
              </w:rPr>
            </w:pPr>
            <w:r w:rsidRPr="00AA7D8E">
              <w:rPr>
                <w:rFonts w:cs="Arial"/>
                <w:snapToGrid w:val="0"/>
                <w:szCs w:val="18"/>
              </w:rPr>
              <w:t>The Fishery Management Plan</w:t>
            </w:r>
            <w:r w:rsidR="00016AA6" w:rsidRPr="00AA7D8E">
              <w:rPr>
                <w:rFonts w:cs="Arial"/>
                <w:snapToGrid w:val="0"/>
                <w:szCs w:val="18"/>
              </w:rPr>
              <w:t xml:space="preserve"> (PIRSA 2015</w:t>
            </w:r>
            <w:r w:rsidRPr="00AA7D8E">
              <w:rPr>
                <w:rFonts w:cs="Arial"/>
                <w:snapToGrid w:val="0"/>
                <w:szCs w:val="18"/>
              </w:rPr>
              <w:t xml:space="preserve">) includes goals, objectives, co-management arrangements, separate harvest strategies for finfish species and for pipi, resource sharing allocations between </w:t>
            </w:r>
            <w:r w:rsidR="00873630">
              <w:rPr>
                <w:rFonts w:cs="Arial"/>
                <w:snapToGrid w:val="0"/>
                <w:szCs w:val="18"/>
              </w:rPr>
              <w:t xml:space="preserve">the commercial, recreational and Aboriginal </w:t>
            </w:r>
            <w:r w:rsidRPr="00AA7D8E">
              <w:rPr>
                <w:rFonts w:cs="Arial"/>
                <w:snapToGrid w:val="0"/>
                <w:szCs w:val="18"/>
              </w:rPr>
              <w:t xml:space="preserve">sectors, research priorities, compliance and monitoring, and governance arrangements. </w:t>
            </w:r>
          </w:p>
          <w:p w14:paraId="1DAE5048" w14:textId="4F75F3CC" w:rsidR="00873630" w:rsidRPr="00AA7D8E" w:rsidRDefault="00446F01" w:rsidP="005268D1">
            <w:pPr>
              <w:autoSpaceDE w:val="0"/>
              <w:autoSpaceDN w:val="0"/>
              <w:adjustRightInd w:val="0"/>
              <w:rPr>
                <w:rFonts w:cs="Arial"/>
                <w:szCs w:val="18"/>
              </w:rPr>
            </w:pPr>
            <w:r w:rsidRPr="00AA7D8E">
              <w:rPr>
                <w:rFonts w:cs="Arial"/>
                <w:snapToGrid w:val="0"/>
                <w:szCs w:val="18"/>
              </w:rPr>
              <w:t xml:space="preserve">The Regulations specify operational limitations including licencing, gear and catch restrictions, and financial penalties. The finfish and pipi harvest strategies are </w:t>
            </w:r>
            <w:r w:rsidRPr="00AA7D8E">
              <w:rPr>
                <w:rFonts w:cs="Arial"/>
                <w:szCs w:val="18"/>
              </w:rPr>
              <w:t xml:space="preserve">managed by the </w:t>
            </w:r>
            <w:r w:rsidR="00873630">
              <w:rPr>
                <w:rFonts w:cs="Arial"/>
                <w:szCs w:val="18"/>
              </w:rPr>
              <w:t>LCF</w:t>
            </w:r>
            <w:r w:rsidRPr="00AA7D8E">
              <w:rPr>
                <w:rFonts w:cs="Arial"/>
                <w:szCs w:val="18"/>
              </w:rPr>
              <w:t xml:space="preserve"> Management Advisory Committee.</w:t>
            </w:r>
          </w:p>
        </w:tc>
      </w:tr>
      <w:tr w:rsidR="00371E8B" w:rsidRPr="00AA7D8E" w14:paraId="73791D4D" w14:textId="77777777" w:rsidTr="00680FA6">
        <w:tc>
          <w:tcPr>
            <w:tcW w:w="1500" w:type="pct"/>
            <w:shd w:val="clear" w:color="auto" w:fill="auto"/>
          </w:tcPr>
          <w:p w14:paraId="1EB80B0F" w14:textId="28D31ED0" w:rsidR="00371E8B" w:rsidRPr="00AA7D8E" w:rsidRDefault="00371E8B" w:rsidP="00AA7D8E">
            <w:pPr>
              <w:autoSpaceDE w:val="0"/>
              <w:autoSpaceDN w:val="0"/>
              <w:adjustRightInd w:val="0"/>
              <w:rPr>
                <w:rFonts w:cs="Arial"/>
                <w:szCs w:val="18"/>
              </w:rPr>
            </w:pPr>
            <w:r w:rsidRPr="00AA7D8E">
              <w:rPr>
                <w:rFonts w:cs="Arial"/>
                <w:szCs w:val="18"/>
              </w:rPr>
              <w:t>Be capable of controlling the level of harvest in the fishery using input and/or output controls</w:t>
            </w:r>
          </w:p>
        </w:tc>
        <w:tc>
          <w:tcPr>
            <w:tcW w:w="3500" w:type="pct"/>
            <w:shd w:val="clear" w:color="auto" w:fill="92D050"/>
          </w:tcPr>
          <w:p w14:paraId="3DA1E19D" w14:textId="77777777" w:rsidR="00AA7D8E" w:rsidRDefault="00625092" w:rsidP="00AA7D8E">
            <w:pPr>
              <w:autoSpaceDE w:val="0"/>
              <w:autoSpaceDN w:val="0"/>
              <w:adjustRightInd w:val="0"/>
              <w:rPr>
                <w:rFonts w:cs="Arial"/>
                <w:szCs w:val="18"/>
              </w:rPr>
            </w:pPr>
            <w:r w:rsidRPr="00AA7D8E">
              <w:rPr>
                <w:rFonts w:cs="Arial"/>
                <w:b/>
                <w:szCs w:val="18"/>
              </w:rPr>
              <w:t>Meets</w:t>
            </w:r>
            <w:r w:rsidR="00AA7D8E">
              <w:rPr>
                <w:rFonts w:cs="Arial"/>
                <w:b/>
                <w:szCs w:val="18"/>
              </w:rPr>
              <w:t xml:space="preserve"> </w:t>
            </w:r>
          </w:p>
          <w:p w14:paraId="410B76EC" w14:textId="0A7B3E16" w:rsidR="006C2842" w:rsidRPr="00AA7D8E" w:rsidRDefault="00625092" w:rsidP="00AA7D8E">
            <w:pPr>
              <w:autoSpaceDE w:val="0"/>
              <w:autoSpaceDN w:val="0"/>
              <w:adjustRightInd w:val="0"/>
              <w:rPr>
                <w:rFonts w:cs="Arial"/>
                <w:snapToGrid w:val="0"/>
                <w:szCs w:val="18"/>
              </w:rPr>
            </w:pPr>
            <w:r w:rsidRPr="00AA7D8E">
              <w:rPr>
                <w:rFonts w:cs="Arial"/>
                <w:snapToGrid w:val="0"/>
                <w:szCs w:val="18"/>
              </w:rPr>
              <w:t xml:space="preserve">The </w:t>
            </w:r>
            <w:r w:rsidR="00873630">
              <w:rPr>
                <w:rFonts w:cs="Arial"/>
                <w:snapToGrid w:val="0"/>
                <w:szCs w:val="18"/>
              </w:rPr>
              <w:t>level of harvest</w:t>
            </w:r>
            <w:r w:rsidR="00016AA6" w:rsidRPr="00AA7D8E">
              <w:rPr>
                <w:rFonts w:cs="Arial"/>
                <w:snapToGrid w:val="0"/>
                <w:szCs w:val="18"/>
              </w:rPr>
              <w:t xml:space="preserve"> </w:t>
            </w:r>
            <w:r w:rsidRPr="00AA7D8E">
              <w:rPr>
                <w:rFonts w:cs="Arial"/>
                <w:snapToGrid w:val="0"/>
                <w:szCs w:val="18"/>
              </w:rPr>
              <w:t xml:space="preserve">is managed through a complex mix of </w:t>
            </w:r>
            <w:r w:rsidR="00B1330E" w:rsidRPr="00AA7D8E">
              <w:rPr>
                <w:rFonts w:cs="Arial"/>
                <w:snapToGrid w:val="0"/>
                <w:szCs w:val="18"/>
              </w:rPr>
              <w:t xml:space="preserve">output </w:t>
            </w:r>
            <w:r w:rsidRPr="00AA7D8E">
              <w:rPr>
                <w:rFonts w:cs="Arial"/>
                <w:snapToGrid w:val="0"/>
                <w:szCs w:val="18"/>
              </w:rPr>
              <w:t xml:space="preserve">and </w:t>
            </w:r>
            <w:r w:rsidR="00B1330E" w:rsidRPr="00AA7D8E">
              <w:rPr>
                <w:rFonts w:cs="Arial"/>
                <w:snapToGrid w:val="0"/>
                <w:szCs w:val="18"/>
              </w:rPr>
              <w:t xml:space="preserve">input </w:t>
            </w:r>
            <w:r w:rsidRPr="00AA7D8E">
              <w:rPr>
                <w:rFonts w:cs="Arial"/>
                <w:snapToGrid w:val="0"/>
                <w:szCs w:val="18"/>
              </w:rPr>
              <w:t>controls</w:t>
            </w:r>
            <w:r w:rsidR="00DF5D08" w:rsidRPr="00AA7D8E">
              <w:rPr>
                <w:rFonts w:cs="Arial"/>
                <w:snapToGrid w:val="0"/>
                <w:szCs w:val="18"/>
              </w:rPr>
              <w:t xml:space="preserve"> (see Table 2.1)</w:t>
            </w:r>
            <w:r w:rsidRPr="00AA7D8E">
              <w:rPr>
                <w:rFonts w:cs="Arial"/>
                <w:snapToGrid w:val="0"/>
                <w:szCs w:val="18"/>
              </w:rPr>
              <w:t>.</w:t>
            </w:r>
          </w:p>
          <w:p w14:paraId="28497B02" w14:textId="0CF48F67" w:rsidR="00DF5D08" w:rsidRPr="00AA7D8E" w:rsidRDefault="00DF5D08" w:rsidP="00AA7D8E">
            <w:pPr>
              <w:autoSpaceDE w:val="0"/>
              <w:autoSpaceDN w:val="0"/>
              <w:adjustRightInd w:val="0"/>
              <w:rPr>
                <w:rFonts w:cs="Arial"/>
                <w:szCs w:val="18"/>
              </w:rPr>
            </w:pPr>
            <w:r w:rsidRPr="00AA7D8E">
              <w:rPr>
                <w:rFonts w:cs="Arial"/>
                <w:szCs w:val="18"/>
              </w:rPr>
              <w:t>Table 2.1 Harvest control measures for the SA Lakes and Coorong Fishery.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080"/>
              <w:gridCol w:w="5081"/>
            </w:tblGrid>
            <w:tr w:rsidR="00266FD3" w:rsidRPr="00AA7D8E" w14:paraId="594FD481" w14:textId="77777777" w:rsidTr="00736B39">
              <w:trPr>
                <w:cnfStyle w:val="100000000000" w:firstRow="1" w:lastRow="0" w:firstColumn="0" w:lastColumn="0" w:oddVBand="0" w:evenVBand="0" w:oddHBand="0" w:evenHBand="0" w:firstRowFirstColumn="0" w:firstRowLastColumn="0" w:lastRowFirstColumn="0" w:lastRowLastColumn="0"/>
              </w:trPr>
              <w:tc>
                <w:tcPr>
                  <w:tcW w:w="5000" w:type="pct"/>
                  <w:gridSpan w:val="2"/>
                  <w:tcBorders>
                    <w:bottom w:val="nil"/>
                  </w:tcBorders>
                </w:tcPr>
                <w:p w14:paraId="1ACA2DE8" w14:textId="3EAAE30F" w:rsidR="00266FD3" w:rsidRPr="00AA7D8E" w:rsidRDefault="00F726BB" w:rsidP="00AA7D8E">
                  <w:pPr>
                    <w:pStyle w:val="ListBullet"/>
                    <w:numPr>
                      <w:ilvl w:val="0"/>
                      <w:numId w:val="0"/>
                    </w:numPr>
                    <w:autoSpaceDE w:val="0"/>
                    <w:autoSpaceDN w:val="0"/>
                    <w:adjustRightInd w:val="0"/>
                    <w:contextualSpacing/>
                    <w:jc w:val="center"/>
                    <w:rPr>
                      <w:rFonts w:cs="Arial"/>
                      <w:b/>
                      <w:szCs w:val="18"/>
                    </w:rPr>
                  </w:pPr>
                  <w:r w:rsidRPr="00AA7D8E">
                    <w:rPr>
                      <w:rFonts w:cs="Arial"/>
                      <w:b/>
                      <w:szCs w:val="18"/>
                    </w:rPr>
                    <w:t xml:space="preserve">OUTPUT </w:t>
                  </w:r>
                  <w:r w:rsidRPr="00AA7D8E">
                    <w:rPr>
                      <w:rFonts w:cs="Arial"/>
                      <w:b/>
                      <w:snapToGrid w:val="0"/>
                      <w:szCs w:val="18"/>
                    </w:rPr>
                    <w:t xml:space="preserve">(CATCH) </w:t>
                  </w:r>
                  <w:r w:rsidRPr="00AA7D8E">
                    <w:rPr>
                      <w:rFonts w:cs="Arial"/>
                      <w:b/>
                      <w:szCs w:val="18"/>
                    </w:rPr>
                    <w:t>CONTROLS</w:t>
                  </w:r>
                </w:p>
              </w:tc>
            </w:tr>
            <w:tr w:rsidR="00DB3C92" w:rsidRPr="00AA7D8E" w14:paraId="3CA18987" w14:textId="77777777" w:rsidTr="00680FA6">
              <w:trPr>
                <w:cnfStyle w:val="000000100000" w:firstRow="0" w:lastRow="0" w:firstColumn="0" w:lastColumn="0" w:oddVBand="0" w:evenVBand="0" w:oddHBand="1" w:evenHBand="0" w:firstRowFirstColumn="0" w:firstRowLastColumn="0" w:lastRowFirstColumn="0" w:lastRowLastColumn="0"/>
              </w:trPr>
              <w:tc>
                <w:tcPr>
                  <w:tcW w:w="2500" w:type="pct"/>
                  <w:tcBorders>
                    <w:right w:val="nil"/>
                  </w:tcBorders>
                </w:tcPr>
                <w:p w14:paraId="66982DAE" w14:textId="48F81031" w:rsidR="00DB3C92" w:rsidRPr="00AA7D8E" w:rsidRDefault="00873630" w:rsidP="00873630">
                  <w:pPr>
                    <w:pStyle w:val="ListBullet"/>
                    <w:numPr>
                      <w:ilvl w:val="0"/>
                      <w:numId w:val="0"/>
                    </w:numPr>
                    <w:autoSpaceDE w:val="0"/>
                    <w:autoSpaceDN w:val="0"/>
                    <w:adjustRightInd w:val="0"/>
                    <w:contextualSpacing/>
                    <w:jc w:val="center"/>
                    <w:rPr>
                      <w:rFonts w:cs="Arial"/>
                      <w:b/>
                      <w:i/>
                      <w:szCs w:val="18"/>
                    </w:rPr>
                  </w:pPr>
                  <w:r>
                    <w:rPr>
                      <w:rFonts w:cs="Arial"/>
                      <w:b/>
                      <w:i/>
                      <w:szCs w:val="18"/>
                    </w:rPr>
                    <w:t>Net (finfish) Fishery</w:t>
                  </w:r>
                </w:p>
              </w:tc>
              <w:tc>
                <w:tcPr>
                  <w:tcW w:w="2500" w:type="pct"/>
                  <w:tcBorders>
                    <w:left w:val="nil"/>
                  </w:tcBorders>
                </w:tcPr>
                <w:p w14:paraId="771D5DB9" w14:textId="794AEBAE" w:rsidR="00DB3C92" w:rsidRPr="00AA7D8E" w:rsidRDefault="00DB3C92" w:rsidP="00873630">
                  <w:pPr>
                    <w:pStyle w:val="ListBullet"/>
                    <w:numPr>
                      <w:ilvl w:val="0"/>
                      <w:numId w:val="0"/>
                    </w:numPr>
                    <w:autoSpaceDE w:val="0"/>
                    <w:autoSpaceDN w:val="0"/>
                    <w:adjustRightInd w:val="0"/>
                    <w:contextualSpacing/>
                    <w:jc w:val="center"/>
                    <w:rPr>
                      <w:rFonts w:cs="Arial"/>
                      <w:b/>
                      <w:i/>
                      <w:szCs w:val="18"/>
                    </w:rPr>
                  </w:pPr>
                  <w:r w:rsidRPr="00AA7D8E">
                    <w:rPr>
                      <w:rFonts w:cs="Arial"/>
                      <w:b/>
                      <w:i/>
                      <w:szCs w:val="18"/>
                    </w:rPr>
                    <w:t xml:space="preserve">Pipi </w:t>
                  </w:r>
                  <w:r w:rsidR="00873630">
                    <w:rPr>
                      <w:rFonts w:cs="Arial"/>
                      <w:b/>
                      <w:i/>
                      <w:szCs w:val="18"/>
                    </w:rPr>
                    <w:t>Fishery</w:t>
                  </w:r>
                </w:p>
              </w:tc>
            </w:tr>
            <w:tr w:rsidR="00DB3C92" w:rsidRPr="00AA7D8E" w14:paraId="31A066B2" w14:textId="77777777" w:rsidTr="00680FA6">
              <w:trPr>
                <w:cnfStyle w:val="000000010000" w:firstRow="0" w:lastRow="0" w:firstColumn="0" w:lastColumn="0" w:oddVBand="0" w:evenVBand="0" w:oddHBand="0" w:evenHBand="1" w:firstRowFirstColumn="0" w:firstRowLastColumn="0" w:lastRowFirstColumn="0" w:lastRowLastColumn="0"/>
              </w:trPr>
              <w:tc>
                <w:tcPr>
                  <w:tcW w:w="2500" w:type="pct"/>
                  <w:tcBorders>
                    <w:right w:val="nil"/>
                  </w:tcBorders>
                </w:tcPr>
                <w:p w14:paraId="4B82A50C" w14:textId="77777777" w:rsidR="00873630" w:rsidRDefault="00DB3C92" w:rsidP="00AA7D8E">
                  <w:pPr>
                    <w:pStyle w:val="ListBullet5"/>
                    <w:numPr>
                      <w:ilvl w:val="0"/>
                      <w:numId w:val="58"/>
                    </w:numPr>
                    <w:ind w:left="357" w:hanging="357"/>
                    <w:contextualSpacing/>
                    <w:rPr>
                      <w:rFonts w:cs="Arial"/>
                      <w:sz w:val="18"/>
                      <w:szCs w:val="18"/>
                    </w:rPr>
                  </w:pPr>
                  <w:r w:rsidRPr="00AA7D8E">
                    <w:rPr>
                      <w:rFonts w:cs="Arial"/>
                      <w:sz w:val="18"/>
                      <w:szCs w:val="18"/>
                    </w:rPr>
                    <w:lastRenderedPageBreak/>
                    <w:t xml:space="preserve">Total allowable commercial catch (TACC) </w:t>
                  </w:r>
                </w:p>
                <w:p w14:paraId="5D01BCCA" w14:textId="77777777" w:rsidR="00F06665" w:rsidRDefault="00DB3C92" w:rsidP="00F06665">
                  <w:pPr>
                    <w:pStyle w:val="ListBullet5"/>
                    <w:numPr>
                      <w:ilvl w:val="0"/>
                      <w:numId w:val="58"/>
                    </w:numPr>
                    <w:ind w:left="357" w:hanging="357"/>
                    <w:contextualSpacing/>
                    <w:rPr>
                      <w:rFonts w:cs="Arial"/>
                      <w:sz w:val="18"/>
                      <w:szCs w:val="18"/>
                    </w:rPr>
                  </w:pPr>
                  <w:r w:rsidRPr="00AA7D8E">
                    <w:rPr>
                      <w:rFonts w:cs="Arial"/>
                      <w:sz w:val="18"/>
                      <w:szCs w:val="18"/>
                    </w:rPr>
                    <w:t xml:space="preserve">Individual Transferable Quota (ITQ) system </w:t>
                  </w:r>
                </w:p>
                <w:p w14:paraId="1C25DBAF" w14:textId="26B48B98" w:rsidR="005F10BA" w:rsidRPr="00AA7D8E" w:rsidRDefault="005F10BA" w:rsidP="00F06665">
                  <w:pPr>
                    <w:pStyle w:val="ListBullet5"/>
                    <w:numPr>
                      <w:ilvl w:val="0"/>
                      <w:numId w:val="58"/>
                    </w:numPr>
                    <w:ind w:left="357" w:hanging="357"/>
                    <w:contextualSpacing/>
                    <w:rPr>
                      <w:rFonts w:cs="Arial"/>
                      <w:sz w:val="18"/>
                      <w:szCs w:val="18"/>
                    </w:rPr>
                  </w:pPr>
                  <w:r w:rsidRPr="00AA7D8E">
                    <w:rPr>
                      <w:rFonts w:cs="Arial"/>
                      <w:sz w:val="18"/>
                      <w:szCs w:val="18"/>
                    </w:rPr>
                    <w:t>Restrictions on moving catch between Managed Areas.</w:t>
                  </w:r>
                </w:p>
              </w:tc>
              <w:tc>
                <w:tcPr>
                  <w:tcW w:w="2500" w:type="pct"/>
                  <w:tcBorders>
                    <w:left w:val="nil"/>
                  </w:tcBorders>
                </w:tcPr>
                <w:p w14:paraId="7094D4AA" w14:textId="77777777" w:rsidR="00DB3C92" w:rsidRDefault="00DB3C92" w:rsidP="00AA7D8E">
                  <w:pPr>
                    <w:pStyle w:val="ListBullet5"/>
                    <w:numPr>
                      <w:ilvl w:val="0"/>
                      <w:numId w:val="58"/>
                    </w:numPr>
                    <w:ind w:left="357" w:hanging="357"/>
                    <w:contextualSpacing/>
                    <w:rPr>
                      <w:rFonts w:cs="Arial"/>
                      <w:sz w:val="18"/>
                      <w:szCs w:val="18"/>
                    </w:rPr>
                  </w:pPr>
                  <w:r w:rsidRPr="00AA7D8E">
                    <w:rPr>
                      <w:rFonts w:cs="Arial"/>
                      <w:sz w:val="18"/>
                      <w:szCs w:val="18"/>
                    </w:rPr>
                    <w:t>Quota management system</w:t>
                  </w:r>
                  <w:r w:rsidR="002B4561" w:rsidRPr="00AA7D8E">
                    <w:rPr>
                      <w:rFonts w:cs="Arial"/>
                      <w:sz w:val="18"/>
                      <w:szCs w:val="18"/>
                    </w:rPr>
                    <w:t xml:space="preserve"> for all areas.</w:t>
                  </w:r>
                </w:p>
                <w:p w14:paraId="736981AB" w14:textId="2CC10C62" w:rsidR="00B87B6B" w:rsidRPr="00AA7D8E" w:rsidRDefault="00B87B6B" w:rsidP="00522BCD">
                  <w:pPr>
                    <w:pStyle w:val="ListBullet5"/>
                    <w:numPr>
                      <w:ilvl w:val="0"/>
                      <w:numId w:val="58"/>
                    </w:numPr>
                    <w:ind w:left="357" w:hanging="357"/>
                    <w:contextualSpacing/>
                    <w:rPr>
                      <w:rFonts w:cs="Arial"/>
                      <w:sz w:val="18"/>
                      <w:szCs w:val="18"/>
                    </w:rPr>
                  </w:pPr>
                  <w:r>
                    <w:rPr>
                      <w:rFonts w:cs="Arial"/>
                      <w:sz w:val="18"/>
                      <w:szCs w:val="18"/>
                    </w:rPr>
                    <w:t>Limit of 10 kg/day for Marine Scalefish Fishery, Southern Zone Rock Lobster Fishery, and Northern Zone Rock Lobster Fishery licence holders.</w:t>
                  </w:r>
                </w:p>
              </w:tc>
            </w:tr>
            <w:tr w:rsidR="002B4561" w:rsidRPr="00AA7D8E" w14:paraId="711480D5" w14:textId="77777777" w:rsidTr="00736B39">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0CA6ABAB" w14:textId="197F5A38" w:rsidR="002B4561" w:rsidRPr="00AA7D8E" w:rsidRDefault="002B4561" w:rsidP="00AA7D8E">
                  <w:pPr>
                    <w:pStyle w:val="ListBullet5"/>
                    <w:numPr>
                      <w:ilvl w:val="0"/>
                      <w:numId w:val="58"/>
                    </w:numPr>
                    <w:ind w:left="357" w:hanging="357"/>
                    <w:contextualSpacing/>
                    <w:rPr>
                      <w:rFonts w:cs="Arial"/>
                      <w:sz w:val="18"/>
                      <w:szCs w:val="18"/>
                    </w:rPr>
                  </w:pPr>
                  <w:r w:rsidRPr="00AA7D8E">
                    <w:rPr>
                      <w:rFonts w:cs="Arial"/>
                      <w:sz w:val="18"/>
                      <w:szCs w:val="18"/>
                    </w:rPr>
                    <w:t xml:space="preserve">Harvest strategy with specific objectives, strategies, performance measures, and </w:t>
                  </w:r>
                  <w:r w:rsidR="00E417F8" w:rsidRPr="00AA7D8E">
                    <w:rPr>
                      <w:rFonts w:cs="Arial"/>
                      <w:snapToGrid w:val="0"/>
                      <w:sz w:val="18"/>
                      <w:szCs w:val="18"/>
                    </w:rPr>
                    <w:t>decision rules for setting the TACC</w:t>
                  </w:r>
                  <w:r w:rsidRPr="00AA7D8E">
                    <w:rPr>
                      <w:rFonts w:cs="Arial"/>
                      <w:sz w:val="18"/>
                      <w:szCs w:val="18"/>
                    </w:rPr>
                    <w:t>.</w:t>
                  </w:r>
                </w:p>
              </w:tc>
            </w:tr>
            <w:tr w:rsidR="002B4561" w:rsidRPr="00AA7D8E" w14:paraId="2417D707" w14:textId="77777777" w:rsidTr="00680FA6">
              <w:trPr>
                <w:cnfStyle w:val="000000010000" w:firstRow="0" w:lastRow="0" w:firstColumn="0" w:lastColumn="0" w:oddVBand="0" w:evenVBand="0" w:oddHBand="0" w:evenHBand="1" w:firstRowFirstColumn="0" w:firstRowLastColumn="0" w:lastRowFirstColumn="0" w:lastRowLastColumn="0"/>
              </w:trPr>
              <w:tc>
                <w:tcPr>
                  <w:tcW w:w="2500" w:type="pct"/>
                  <w:tcBorders>
                    <w:right w:val="nil"/>
                  </w:tcBorders>
                </w:tcPr>
                <w:p w14:paraId="16752826" w14:textId="4140B135" w:rsidR="002B4561" w:rsidRPr="00AA7D8E" w:rsidRDefault="002B4561" w:rsidP="00AA7D8E">
                  <w:pPr>
                    <w:pStyle w:val="ListBullet"/>
                    <w:numPr>
                      <w:ilvl w:val="0"/>
                      <w:numId w:val="0"/>
                    </w:numPr>
                    <w:autoSpaceDE w:val="0"/>
                    <w:autoSpaceDN w:val="0"/>
                    <w:adjustRightInd w:val="0"/>
                    <w:contextualSpacing/>
                    <w:jc w:val="center"/>
                    <w:rPr>
                      <w:rFonts w:cs="Arial"/>
                      <w:b/>
                      <w:i/>
                      <w:szCs w:val="18"/>
                    </w:rPr>
                  </w:pPr>
                  <w:r w:rsidRPr="00AA7D8E">
                    <w:rPr>
                      <w:rFonts w:cs="Arial"/>
                      <w:b/>
                      <w:i/>
                      <w:szCs w:val="18"/>
                    </w:rPr>
                    <w:t>Recreational sector</w:t>
                  </w:r>
                </w:p>
              </w:tc>
              <w:tc>
                <w:tcPr>
                  <w:tcW w:w="2500" w:type="pct"/>
                  <w:tcBorders>
                    <w:left w:val="nil"/>
                  </w:tcBorders>
                </w:tcPr>
                <w:p w14:paraId="2791EC02" w14:textId="08E27C25" w:rsidR="002B4561" w:rsidRPr="00AA7D8E" w:rsidRDefault="002B4561" w:rsidP="00AA7D8E">
                  <w:pPr>
                    <w:pStyle w:val="ListBullet"/>
                    <w:numPr>
                      <w:ilvl w:val="0"/>
                      <w:numId w:val="0"/>
                    </w:numPr>
                    <w:autoSpaceDE w:val="0"/>
                    <w:autoSpaceDN w:val="0"/>
                    <w:adjustRightInd w:val="0"/>
                    <w:contextualSpacing/>
                    <w:jc w:val="center"/>
                    <w:rPr>
                      <w:rFonts w:cs="Arial"/>
                      <w:b/>
                      <w:i/>
                      <w:szCs w:val="18"/>
                    </w:rPr>
                  </w:pPr>
                </w:p>
              </w:tc>
            </w:tr>
            <w:tr w:rsidR="00786BFE" w:rsidRPr="00AA7D8E" w14:paraId="5E541F01" w14:textId="77777777" w:rsidTr="00736B39">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39913D4D" w14:textId="63094D88" w:rsidR="005F10BA" w:rsidRPr="00AA7D8E" w:rsidRDefault="005F10BA" w:rsidP="00AA7D8E">
                  <w:pPr>
                    <w:pStyle w:val="ListBullet5"/>
                    <w:numPr>
                      <w:ilvl w:val="0"/>
                      <w:numId w:val="60"/>
                    </w:numPr>
                    <w:ind w:left="357" w:hanging="357"/>
                    <w:contextualSpacing/>
                    <w:rPr>
                      <w:rFonts w:cs="Arial"/>
                      <w:sz w:val="18"/>
                      <w:szCs w:val="18"/>
                    </w:rPr>
                  </w:pPr>
                  <w:r w:rsidRPr="00AA7D8E">
                    <w:rPr>
                      <w:rFonts w:cs="Arial"/>
                      <w:sz w:val="18"/>
                      <w:szCs w:val="18"/>
                    </w:rPr>
                    <w:t>B</w:t>
                  </w:r>
                  <w:r w:rsidR="00786BFE" w:rsidRPr="00AA7D8E">
                    <w:rPr>
                      <w:rFonts w:cs="Arial"/>
                      <w:sz w:val="18"/>
                      <w:szCs w:val="18"/>
                    </w:rPr>
                    <w:t>ag</w:t>
                  </w:r>
                  <w:r w:rsidRPr="00AA7D8E">
                    <w:rPr>
                      <w:rFonts w:cs="Arial"/>
                      <w:sz w:val="18"/>
                      <w:szCs w:val="18"/>
                    </w:rPr>
                    <w:t>, boat</w:t>
                  </w:r>
                  <w:r w:rsidR="00786BFE" w:rsidRPr="00AA7D8E">
                    <w:rPr>
                      <w:rFonts w:cs="Arial"/>
                      <w:sz w:val="18"/>
                      <w:szCs w:val="18"/>
                    </w:rPr>
                    <w:t xml:space="preserve"> and possession limits</w:t>
                  </w:r>
                  <w:r w:rsidRPr="00AA7D8E">
                    <w:rPr>
                      <w:rFonts w:cs="Arial"/>
                      <w:sz w:val="18"/>
                      <w:szCs w:val="18"/>
                    </w:rPr>
                    <w:t xml:space="preserve"> for certain species.</w:t>
                  </w:r>
                </w:p>
                <w:p w14:paraId="05F354CF" w14:textId="2E2064C1" w:rsidR="005F10BA" w:rsidRPr="00AA7D8E" w:rsidRDefault="005F10BA" w:rsidP="00AA7D8E">
                  <w:pPr>
                    <w:pStyle w:val="ListBullet5"/>
                    <w:numPr>
                      <w:ilvl w:val="0"/>
                      <w:numId w:val="60"/>
                    </w:numPr>
                    <w:ind w:left="357" w:hanging="357"/>
                    <w:contextualSpacing/>
                    <w:rPr>
                      <w:rFonts w:cs="Arial"/>
                      <w:sz w:val="18"/>
                      <w:szCs w:val="18"/>
                    </w:rPr>
                  </w:pPr>
                  <w:r w:rsidRPr="00AA7D8E">
                    <w:rPr>
                      <w:rFonts w:cs="Arial"/>
                      <w:sz w:val="18"/>
                      <w:szCs w:val="18"/>
                    </w:rPr>
                    <w:t xml:space="preserve">Minimum </w:t>
                  </w:r>
                  <w:r w:rsidR="00445544" w:rsidRPr="00AA7D8E">
                    <w:rPr>
                      <w:rFonts w:cs="Arial"/>
                      <w:sz w:val="18"/>
                      <w:szCs w:val="18"/>
                    </w:rPr>
                    <w:t xml:space="preserve">and maximum </w:t>
                  </w:r>
                  <w:r w:rsidRPr="00AA7D8E">
                    <w:rPr>
                      <w:rFonts w:cs="Arial"/>
                      <w:sz w:val="18"/>
                      <w:szCs w:val="18"/>
                    </w:rPr>
                    <w:t>size limits.</w:t>
                  </w:r>
                </w:p>
                <w:p w14:paraId="385635A0" w14:textId="69F9C17F" w:rsidR="00786BFE" w:rsidRPr="00AA7D8E" w:rsidRDefault="005F10BA" w:rsidP="00AA7D8E">
                  <w:pPr>
                    <w:pStyle w:val="ListBullet5"/>
                    <w:numPr>
                      <w:ilvl w:val="0"/>
                      <w:numId w:val="60"/>
                    </w:numPr>
                    <w:ind w:left="357" w:hanging="357"/>
                    <w:contextualSpacing/>
                    <w:rPr>
                      <w:rFonts w:cs="Arial"/>
                      <w:sz w:val="18"/>
                      <w:szCs w:val="18"/>
                    </w:rPr>
                  </w:pPr>
                  <w:r w:rsidRPr="00AA7D8E">
                    <w:rPr>
                      <w:rFonts w:cs="Arial"/>
                      <w:sz w:val="18"/>
                      <w:szCs w:val="18"/>
                    </w:rPr>
                    <w:t>N</w:t>
                  </w:r>
                  <w:r w:rsidR="00786BFE" w:rsidRPr="00AA7D8E">
                    <w:rPr>
                      <w:rFonts w:cs="Arial"/>
                      <w:sz w:val="18"/>
                      <w:szCs w:val="18"/>
                    </w:rPr>
                    <w:t>o take for egg-bearing female spanner crabs.</w:t>
                  </w:r>
                </w:p>
              </w:tc>
            </w:tr>
            <w:tr w:rsidR="002B4561" w:rsidRPr="00AA7D8E" w14:paraId="31261290" w14:textId="1D731001" w:rsidTr="00736B39">
              <w:trPr>
                <w:cnfStyle w:val="000000010000" w:firstRow="0" w:lastRow="0" w:firstColumn="0" w:lastColumn="0" w:oddVBand="0" w:evenVBand="0" w:oddHBand="0" w:evenHBand="1" w:firstRowFirstColumn="0" w:firstRowLastColumn="0" w:lastRowFirstColumn="0" w:lastRowLastColumn="0"/>
              </w:trPr>
              <w:tc>
                <w:tcPr>
                  <w:tcW w:w="5000" w:type="pct"/>
                  <w:gridSpan w:val="2"/>
                </w:tcPr>
                <w:p w14:paraId="6EB85872" w14:textId="046CCDFE" w:rsidR="002B4561" w:rsidRPr="00AA7D8E" w:rsidRDefault="00F726BB" w:rsidP="00AA7D8E">
                  <w:pPr>
                    <w:pStyle w:val="ListBullet"/>
                    <w:numPr>
                      <w:ilvl w:val="0"/>
                      <w:numId w:val="0"/>
                    </w:numPr>
                    <w:autoSpaceDE w:val="0"/>
                    <w:autoSpaceDN w:val="0"/>
                    <w:adjustRightInd w:val="0"/>
                    <w:contextualSpacing/>
                    <w:jc w:val="center"/>
                    <w:rPr>
                      <w:rFonts w:cs="Arial"/>
                      <w:b/>
                      <w:szCs w:val="18"/>
                    </w:rPr>
                  </w:pPr>
                  <w:r w:rsidRPr="00AA7D8E">
                    <w:rPr>
                      <w:rFonts w:cs="Arial"/>
                      <w:b/>
                      <w:szCs w:val="18"/>
                    </w:rPr>
                    <w:t xml:space="preserve">INPUT </w:t>
                  </w:r>
                  <w:r w:rsidRPr="00AA7D8E">
                    <w:rPr>
                      <w:rFonts w:cs="Arial"/>
                      <w:b/>
                      <w:snapToGrid w:val="0"/>
                      <w:szCs w:val="18"/>
                    </w:rPr>
                    <w:t xml:space="preserve">(EFFORT) </w:t>
                  </w:r>
                  <w:r w:rsidRPr="00AA7D8E">
                    <w:rPr>
                      <w:rFonts w:cs="Arial"/>
                      <w:b/>
                      <w:szCs w:val="18"/>
                    </w:rPr>
                    <w:t>CONTROLS</w:t>
                  </w:r>
                </w:p>
              </w:tc>
            </w:tr>
            <w:tr w:rsidR="00786BFE" w:rsidRPr="00AA7D8E" w14:paraId="595B20F0" w14:textId="55C23CA2" w:rsidTr="00680FA6">
              <w:trPr>
                <w:cnfStyle w:val="000000100000" w:firstRow="0" w:lastRow="0" w:firstColumn="0" w:lastColumn="0" w:oddVBand="0" w:evenVBand="0" w:oddHBand="1" w:evenHBand="0" w:firstRowFirstColumn="0" w:firstRowLastColumn="0" w:lastRowFirstColumn="0" w:lastRowLastColumn="0"/>
              </w:trPr>
              <w:tc>
                <w:tcPr>
                  <w:tcW w:w="2500" w:type="pct"/>
                  <w:tcBorders>
                    <w:right w:val="nil"/>
                  </w:tcBorders>
                </w:tcPr>
                <w:p w14:paraId="25E41B79" w14:textId="5D1DC1C5" w:rsidR="00786BFE" w:rsidRPr="00AA7D8E" w:rsidRDefault="00786BFE" w:rsidP="00AA7D8E">
                  <w:pPr>
                    <w:pStyle w:val="ListBullet"/>
                    <w:numPr>
                      <w:ilvl w:val="0"/>
                      <w:numId w:val="0"/>
                    </w:numPr>
                    <w:autoSpaceDE w:val="0"/>
                    <w:autoSpaceDN w:val="0"/>
                    <w:adjustRightInd w:val="0"/>
                    <w:contextualSpacing/>
                    <w:jc w:val="center"/>
                    <w:rPr>
                      <w:rFonts w:cs="Arial"/>
                      <w:b/>
                      <w:i/>
                      <w:szCs w:val="18"/>
                    </w:rPr>
                  </w:pPr>
                  <w:r w:rsidRPr="00AA7D8E">
                    <w:rPr>
                      <w:rFonts w:cs="Arial"/>
                      <w:b/>
                      <w:i/>
                      <w:szCs w:val="18"/>
                    </w:rPr>
                    <w:t>Commercial sector</w:t>
                  </w:r>
                </w:p>
              </w:tc>
              <w:tc>
                <w:tcPr>
                  <w:tcW w:w="2500" w:type="pct"/>
                  <w:tcBorders>
                    <w:left w:val="nil"/>
                  </w:tcBorders>
                </w:tcPr>
                <w:p w14:paraId="3AFEBB10" w14:textId="59EF8B5C" w:rsidR="00786BFE" w:rsidRPr="00AA7D8E" w:rsidRDefault="00786BFE" w:rsidP="00AA7D8E">
                  <w:pPr>
                    <w:pStyle w:val="ListBullet"/>
                    <w:numPr>
                      <w:ilvl w:val="0"/>
                      <w:numId w:val="0"/>
                    </w:numPr>
                    <w:autoSpaceDE w:val="0"/>
                    <w:autoSpaceDN w:val="0"/>
                    <w:adjustRightInd w:val="0"/>
                    <w:contextualSpacing/>
                    <w:jc w:val="center"/>
                    <w:rPr>
                      <w:rFonts w:cs="Arial"/>
                      <w:b/>
                      <w:i/>
                      <w:szCs w:val="18"/>
                    </w:rPr>
                  </w:pPr>
                  <w:r w:rsidRPr="00AA7D8E">
                    <w:rPr>
                      <w:rFonts w:cs="Arial"/>
                      <w:b/>
                      <w:i/>
                      <w:szCs w:val="18"/>
                    </w:rPr>
                    <w:t>Recreational sector</w:t>
                  </w:r>
                </w:p>
              </w:tc>
            </w:tr>
            <w:tr w:rsidR="00786BFE" w:rsidRPr="00AA7D8E" w14:paraId="09A93993" w14:textId="7185FFD7" w:rsidTr="00680FA6">
              <w:trPr>
                <w:cnfStyle w:val="000000010000" w:firstRow="0" w:lastRow="0" w:firstColumn="0" w:lastColumn="0" w:oddVBand="0" w:evenVBand="0" w:oddHBand="0" w:evenHBand="1" w:firstRowFirstColumn="0" w:firstRowLastColumn="0" w:lastRowFirstColumn="0" w:lastRowLastColumn="0"/>
              </w:trPr>
              <w:tc>
                <w:tcPr>
                  <w:tcW w:w="2500" w:type="pct"/>
                  <w:tcBorders>
                    <w:right w:val="nil"/>
                  </w:tcBorders>
                </w:tcPr>
                <w:p w14:paraId="697280F1" w14:textId="4242340E" w:rsidR="0008351B" w:rsidRPr="00AA7D8E" w:rsidRDefault="00786BFE" w:rsidP="00B87B6B">
                  <w:pPr>
                    <w:pStyle w:val="ListBullet5"/>
                    <w:numPr>
                      <w:ilvl w:val="0"/>
                      <w:numId w:val="59"/>
                    </w:numPr>
                    <w:ind w:left="357" w:hanging="357"/>
                    <w:contextualSpacing/>
                    <w:rPr>
                      <w:rFonts w:cs="Arial"/>
                      <w:sz w:val="18"/>
                      <w:szCs w:val="18"/>
                    </w:rPr>
                  </w:pPr>
                  <w:r w:rsidRPr="00AA7D8E">
                    <w:rPr>
                      <w:rFonts w:cs="Arial"/>
                      <w:sz w:val="18"/>
                      <w:szCs w:val="18"/>
                    </w:rPr>
                    <w:t>Limited entry</w:t>
                  </w:r>
                  <w:r w:rsidR="00081D68" w:rsidRPr="00AA7D8E">
                    <w:rPr>
                      <w:rFonts w:cs="Arial"/>
                      <w:sz w:val="18"/>
                      <w:szCs w:val="18"/>
                    </w:rPr>
                    <w:t xml:space="preserve"> </w:t>
                  </w:r>
                  <w:r w:rsidR="0008351B">
                    <w:rPr>
                      <w:rFonts w:cs="Arial"/>
                      <w:sz w:val="18"/>
                      <w:szCs w:val="18"/>
                    </w:rPr>
                    <w:t xml:space="preserve">– 36 </w:t>
                  </w:r>
                  <w:r w:rsidR="00F06665">
                    <w:rPr>
                      <w:rFonts w:cs="Arial"/>
                      <w:sz w:val="18"/>
                      <w:szCs w:val="18"/>
                    </w:rPr>
                    <w:t xml:space="preserve">net fishery </w:t>
                  </w:r>
                  <w:r w:rsidR="00B87B6B">
                    <w:rPr>
                      <w:rFonts w:cs="Arial"/>
                      <w:sz w:val="18"/>
                      <w:szCs w:val="18"/>
                    </w:rPr>
                    <w:t>licence holders</w:t>
                  </w:r>
                  <w:r w:rsidR="00F06665">
                    <w:rPr>
                      <w:rFonts w:cs="Arial"/>
                      <w:sz w:val="18"/>
                      <w:szCs w:val="18"/>
                    </w:rPr>
                    <w:t xml:space="preserve"> &amp; 23 pipi fishery quota holders</w:t>
                  </w:r>
                  <w:r w:rsidR="00B87B6B">
                    <w:rPr>
                      <w:rFonts w:cs="Arial"/>
                      <w:sz w:val="18"/>
                      <w:szCs w:val="18"/>
                    </w:rPr>
                    <w:t>.</w:t>
                  </w:r>
                </w:p>
                <w:p w14:paraId="562503D3" w14:textId="755F0AD2" w:rsidR="00C85A79" w:rsidRPr="00AA7D8E" w:rsidRDefault="00C85A79" w:rsidP="00AA7D8E">
                  <w:pPr>
                    <w:pStyle w:val="ListBullet5"/>
                    <w:numPr>
                      <w:ilvl w:val="0"/>
                      <w:numId w:val="59"/>
                    </w:numPr>
                    <w:ind w:left="357" w:hanging="357"/>
                    <w:contextualSpacing/>
                    <w:rPr>
                      <w:rFonts w:cs="Arial"/>
                      <w:sz w:val="18"/>
                      <w:szCs w:val="18"/>
                    </w:rPr>
                  </w:pPr>
                  <w:r w:rsidRPr="00AA7D8E">
                    <w:rPr>
                      <w:rFonts w:cs="Arial"/>
                      <w:sz w:val="18"/>
                      <w:szCs w:val="18"/>
                    </w:rPr>
                    <w:t>Licence endorsements such as the</w:t>
                  </w:r>
                  <w:r w:rsidR="00B87B6B">
                    <w:rPr>
                      <w:rFonts w:cs="Arial"/>
                      <w:sz w:val="18"/>
                      <w:szCs w:val="18"/>
                    </w:rPr>
                    <w:t xml:space="preserve"> </w:t>
                  </w:r>
                  <w:r w:rsidRPr="00AA7D8E">
                    <w:rPr>
                      <w:rFonts w:cs="Arial"/>
                      <w:sz w:val="18"/>
                      <w:szCs w:val="18"/>
                    </w:rPr>
                    <w:t>type and number of nets</w:t>
                  </w:r>
                  <w:r w:rsidR="00B87B6B">
                    <w:rPr>
                      <w:rFonts w:cs="Arial"/>
                      <w:sz w:val="18"/>
                      <w:szCs w:val="18"/>
                    </w:rPr>
                    <w:t>, and permitted</w:t>
                  </w:r>
                  <w:r w:rsidR="00B87B6B" w:rsidRPr="00AA7D8E">
                    <w:rPr>
                      <w:rFonts w:cs="Arial"/>
                      <w:sz w:val="18"/>
                      <w:szCs w:val="18"/>
                    </w:rPr>
                    <w:t xml:space="preserve"> </w:t>
                  </w:r>
                  <w:r w:rsidR="00B87B6B">
                    <w:rPr>
                      <w:rFonts w:cs="Arial"/>
                      <w:sz w:val="18"/>
                      <w:szCs w:val="18"/>
                    </w:rPr>
                    <w:t>species</w:t>
                  </w:r>
                  <w:r w:rsidRPr="00AA7D8E">
                    <w:rPr>
                      <w:rFonts w:cs="Arial"/>
                      <w:sz w:val="18"/>
                      <w:szCs w:val="18"/>
                    </w:rPr>
                    <w:t>.</w:t>
                  </w:r>
                </w:p>
                <w:p w14:paraId="7193E17B" w14:textId="0ABF013D" w:rsidR="005F10BA" w:rsidRPr="00AA7D8E" w:rsidRDefault="005F10BA" w:rsidP="00AA7D8E">
                  <w:pPr>
                    <w:pStyle w:val="ListBullet5"/>
                    <w:numPr>
                      <w:ilvl w:val="0"/>
                      <w:numId w:val="59"/>
                    </w:numPr>
                    <w:ind w:left="357" w:hanging="357"/>
                    <w:contextualSpacing/>
                    <w:rPr>
                      <w:rFonts w:cs="Arial"/>
                      <w:sz w:val="18"/>
                      <w:szCs w:val="18"/>
                    </w:rPr>
                  </w:pPr>
                  <w:r w:rsidRPr="00AA7D8E">
                    <w:rPr>
                      <w:rFonts w:cs="Arial"/>
                      <w:sz w:val="18"/>
                      <w:szCs w:val="18"/>
                    </w:rPr>
                    <w:t>Gear and vessel restriction</w:t>
                  </w:r>
                  <w:r w:rsidR="00281597" w:rsidRPr="00AA7D8E">
                    <w:rPr>
                      <w:rFonts w:cs="Arial"/>
                      <w:sz w:val="18"/>
                      <w:szCs w:val="18"/>
                    </w:rPr>
                    <w:t>s</w:t>
                  </w:r>
                  <w:r w:rsidRPr="00AA7D8E">
                    <w:rPr>
                      <w:rFonts w:cs="Arial"/>
                      <w:sz w:val="18"/>
                      <w:szCs w:val="18"/>
                    </w:rPr>
                    <w:t>.</w:t>
                  </w:r>
                </w:p>
                <w:p w14:paraId="513E2092" w14:textId="6E1AB4A3" w:rsidR="005F10BA" w:rsidRPr="00AA7D8E" w:rsidRDefault="005F10BA" w:rsidP="00AA7D8E">
                  <w:pPr>
                    <w:pStyle w:val="ListBullet5"/>
                    <w:numPr>
                      <w:ilvl w:val="0"/>
                      <w:numId w:val="59"/>
                    </w:numPr>
                    <w:ind w:left="357" w:hanging="357"/>
                    <w:contextualSpacing/>
                    <w:rPr>
                      <w:rFonts w:cs="Arial"/>
                      <w:sz w:val="18"/>
                      <w:szCs w:val="18"/>
                    </w:rPr>
                  </w:pPr>
                  <w:r w:rsidRPr="00AA7D8E">
                    <w:rPr>
                      <w:rFonts w:cs="Arial"/>
                      <w:sz w:val="18"/>
                      <w:szCs w:val="18"/>
                    </w:rPr>
                    <w:t>Spatial closures.</w:t>
                  </w:r>
                </w:p>
                <w:p w14:paraId="1C22C479" w14:textId="225081FB" w:rsidR="005F10BA" w:rsidRPr="00AA7D8E" w:rsidRDefault="005F10BA" w:rsidP="00AA7D8E">
                  <w:pPr>
                    <w:pStyle w:val="ListBullet5"/>
                    <w:numPr>
                      <w:ilvl w:val="0"/>
                      <w:numId w:val="59"/>
                    </w:numPr>
                    <w:ind w:left="357" w:hanging="357"/>
                    <w:contextualSpacing/>
                    <w:rPr>
                      <w:rFonts w:cs="Arial"/>
                      <w:sz w:val="18"/>
                      <w:szCs w:val="18"/>
                    </w:rPr>
                  </w:pPr>
                  <w:r w:rsidRPr="00AA7D8E">
                    <w:rPr>
                      <w:rFonts w:cs="Arial"/>
                      <w:sz w:val="18"/>
                      <w:szCs w:val="18"/>
                    </w:rPr>
                    <w:t>Temporal closures including spawning seasons.</w:t>
                  </w:r>
                </w:p>
              </w:tc>
              <w:tc>
                <w:tcPr>
                  <w:tcW w:w="2500" w:type="pct"/>
                  <w:tcBorders>
                    <w:left w:val="nil"/>
                  </w:tcBorders>
                </w:tcPr>
                <w:p w14:paraId="5B511A74" w14:textId="570CA924" w:rsidR="00786BFE" w:rsidRPr="00AA7D8E" w:rsidRDefault="00786BFE" w:rsidP="00AA7D8E">
                  <w:pPr>
                    <w:pStyle w:val="ListBullet5"/>
                    <w:numPr>
                      <w:ilvl w:val="0"/>
                      <w:numId w:val="59"/>
                    </w:numPr>
                    <w:ind w:left="357" w:hanging="357"/>
                    <w:contextualSpacing/>
                    <w:rPr>
                      <w:rFonts w:cs="Arial"/>
                      <w:sz w:val="18"/>
                      <w:szCs w:val="18"/>
                    </w:rPr>
                  </w:pPr>
                  <w:r w:rsidRPr="00AA7D8E">
                    <w:rPr>
                      <w:rFonts w:cs="Arial"/>
                      <w:sz w:val="18"/>
                      <w:szCs w:val="18"/>
                    </w:rPr>
                    <w:t>Unlimited number of SA Recreational Fishing Permit</w:t>
                  </w:r>
                  <w:r w:rsidR="005F10BA" w:rsidRPr="00AA7D8E">
                    <w:rPr>
                      <w:rFonts w:cs="Arial"/>
                      <w:sz w:val="18"/>
                      <w:szCs w:val="18"/>
                    </w:rPr>
                    <w:t>s</w:t>
                  </w:r>
                  <w:r w:rsidRPr="00AA7D8E">
                    <w:rPr>
                      <w:rFonts w:cs="Arial"/>
                      <w:sz w:val="18"/>
                      <w:szCs w:val="18"/>
                    </w:rPr>
                    <w:t xml:space="preserve">. </w:t>
                  </w:r>
                </w:p>
                <w:p w14:paraId="23375087" w14:textId="77777777" w:rsidR="005F10BA" w:rsidRDefault="00F06665" w:rsidP="00F06665">
                  <w:pPr>
                    <w:pStyle w:val="ListBullet5"/>
                    <w:numPr>
                      <w:ilvl w:val="0"/>
                      <w:numId w:val="59"/>
                    </w:numPr>
                    <w:ind w:left="357" w:hanging="357"/>
                    <w:contextualSpacing/>
                    <w:rPr>
                      <w:rFonts w:cs="Arial"/>
                      <w:sz w:val="18"/>
                      <w:szCs w:val="18"/>
                    </w:rPr>
                  </w:pPr>
                  <w:r>
                    <w:rPr>
                      <w:rFonts w:cs="Arial"/>
                      <w:sz w:val="18"/>
                      <w:szCs w:val="18"/>
                    </w:rPr>
                    <w:t xml:space="preserve">Gear </w:t>
                  </w:r>
                  <w:r w:rsidR="005F10BA" w:rsidRPr="00AA7D8E">
                    <w:rPr>
                      <w:rFonts w:cs="Arial"/>
                      <w:sz w:val="18"/>
                      <w:szCs w:val="18"/>
                    </w:rPr>
                    <w:t>restrictions</w:t>
                  </w:r>
                  <w:r>
                    <w:rPr>
                      <w:rFonts w:cs="Arial"/>
                      <w:sz w:val="18"/>
                      <w:szCs w:val="18"/>
                    </w:rPr>
                    <w:t xml:space="preserve"> – type and amount of gear</w:t>
                  </w:r>
                  <w:r w:rsidR="005F10BA" w:rsidRPr="00AA7D8E">
                    <w:rPr>
                      <w:rFonts w:cs="Arial"/>
                      <w:sz w:val="18"/>
                      <w:szCs w:val="18"/>
                    </w:rPr>
                    <w:t>.</w:t>
                  </w:r>
                </w:p>
                <w:p w14:paraId="552FFBFF" w14:textId="77777777" w:rsidR="00F06665" w:rsidRDefault="00F06665" w:rsidP="00F06665">
                  <w:pPr>
                    <w:pStyle w:val="ListBullet5"/>
                    <w:numPr>
                      <w:ilvl w:val="0"/>
                      <w:numId w:val="59"/>
                    </w:numPr>
                    <w:ind w:left="357" w:hanging="357"/>
                    <w:contextualSpacing/>
                    <w:rPr>
                      <w:rFonts w:cs="Arial"/>
                      <w:sz w:val="18"/>
                      <w:szCs w:val="18"/>
                    </w:rPr>
                  </w:pPr>
                  <w:r>
                    <w:rPr>
                      <w:rFonts w:cs="Arial"/>
                      <w:sz w:val="18"/>
                      <w:szCs w:val="18"/>
                    </w:rPr>
                    <w:t>Spatial closures.</w:t>
                  </w:r>
                </w:p>
                <w:p w14:paraId="7CD81BA3" w14:textId="6004D8BE" w:rsidR="00F06665" w:rsidRPr="00AA7D8E" w:rsidRDefault="00F06665" w:rsidP="00F06665">
                  <w:pPr>
                    <w:pStyle w:val="ListBullet5"/>
                    <w:numPr>
                      <w:ilvl w:val="0"/>
                      <w:numId w:val="59"/>
                    </w:numPr>
                    <w:ind w:left="357" w:hanging="357"/>
                    <w:contextualSpacing/>
                    <w:rPr>
                      <w:rFonts w:cs="Arial"/>
                      <w:sz w:val="18"/>
                      <w:szCs w:val="18"/>
                    </w:rPr>
                  </w:pPr>
                  <w:r>
                    <w:rPr>
                      <w:rFonts w:cs="Arial"/>
                      <w:sz w:val="18"/>
                      <w:szCs w:val="18"/>
                    </w:rPr>
                    <w:t xml:space="preserve">Temporal </w:t>
                  </w:r>
                  <w:r w:rsidRPr="00AA7D8E">
                    <w:rPr>
                      <w:rFonts w:cs="Arial"/>
                      <w:sz w:val="18"/>
                      <w:szCs w:val="18"/>
                    </w:rPr>
                    <w:t>closures including spawning seasons</w:t>
                  </w:r>
                  <w:r>
                    <w:rPr>
                      <w:rFonts w:cs="Arial"/>
                      <w:sz w:val="18"/>
                      <w:szCs w:val="18"/>
                    </w:rPr>
                    <w:t>.</w:t>
                  </w:r>
                </w:p>
              </w:tc>
            </w:tr>
          </w:tbl>
          <w:p w14:paraId="0FD82E69" w14:textId="2DF7F096" w:rsidR="00522BCD" w:rsidRPr="005268D1" w:rsidRDefault="006C2842" w:rsidP="00AA7D8E">
            <w:pPr>
              <w:autoSpaceDE w:val="0"/>
              <w:autoSpaceDN w:val="0"/>
              <w:adjustRightInd w:val="0"/>
              <w:rPr>
                <w:rFonts w:cs="Arial"/>
                <w:szCs w:val="18"/>
              </w:rPr>
            </w:pPr>
            <w:r w:rsidRPr="00AA7D8E">
              <w:rPr>
                <w:rFonts w:cs="Arial"/>
                <w:szCs w:val="18"/>
              </w:rPr>
              <w:t xml:space="preserve">Commercial fishing for Murray cod </w:t>
            </w:r>
            <w:r w:rsidR="00F726BB" w:rsidRPr="00AA7D8E">
              <w:rPr>
                <w:rFonts w:cs="Arial"/>
                <w:szCs w:val="18"/>
              </w:rPr>
              <w:t xml:space="preserve">is banned </w:t>
            </w:r>
            <w:r w:rsidRPr="00AA7D8E">
              <w:rPr>
                <w:rFonts w:cs="Arial"/>
                <w:szCs w:val="18"/>
              </w:rPr>
              <w:t>in all state waters</w:t>
            </w:r>
            <w:r w:rsidR="003F2DE6" w:rsidRPr="00AA7D8E">
              <w:rPr>
                <w:rFonts w:cs="Arial"/>
                <w:szCs w:val="18"/>
              </w:rPr>
              <w:t>.</w:t>
            </w:r>
            <w:r w:rsidRPr="00AA7D8E">
              <w:rPr>
                <w:rFonts w:cs="Arial"/>
                <w:szCs w:val="18"/>
              </w:rPr>
              <w:t xml:space="preserve"> </w:t>
            </w:r>
            <w:r w:rsidR="003F2DE6" w:rsidRPr="00AA7D8E">
              <w:rPr>
                <w:rFonts w:cs="Arial"/>
                <w:szCs w:val="18"/>
              </w:rPr>
              <w:t>R</w:t>
            </w:r>
            <w:r w:rsidRPr="00AA7D8E">
              <w:rPr>
                <w:rFonts w:cs="Arial"/>
                <w:szCs w:val="18"/>
              </w:rPr>
              <w:t>ecreational fishing is prohibited from 1 August to 31 December (inclusive). For the River Murray and Lower lakes (excluding waters of the Coorong), recreational fishing for Murray cod is restricted to catch and release from 1 January to 1 July (inclusive).</w:t>
            </w:r>
          </w:p>
        </w:tc>
      </w:tr>
      <w:tr w:rsidR="00371E8B" w:rsidRPr="00680FA6" w14:paraId="1E480671" w14:textId="77777777" w:rsidTr="00680FA6">
        <w:tc>
          <w:tcPr>
            <w:tcW w:w="1500" w:type="pct"/>
            <w:shd w:val="clear" w:color="auto" w:fill="auto"/>
          </w:tcPr>
          <w:p w14:paraId="086604CB" w14:textId="77777777" w:rsidR="00371E8B" w:rsidRPr="00680FA6" w:rsidRDefault="00371E8B" w:rsidP="001F296F">
            <w:pPr>
              <w:autoSpaceDE w:val="0"/>
              <w:autoSpaceDN w:val="0"/>
              <w:adjustRightInd w:val="0"/>
              <w:rPr>
                <w:rFonts w:cs="Arial"/>
                <w:szCs w:val="18"/>
              </w:rPr>
            </w:pPr>
            <w:r w:rsidRPr="00680FA6">
              <w:rPr>
                <w:rFonts w:cs="Arial"/>
                <w:szCs w:val="18"/>
              </w:rPr>
              <w:lastRenderedPageBreak/>
              <w:t>Contain the means of enforcing critical aspects of the management arrangements</w:t>
            </w:r>
          </w:p>
        </w:tc>
        <w:tc>
          <w:tcPr>
            <w:tcW w:w="3500" w:type="pct"/>
            <w:shd w:val="clear" w:color="auto" w:fill="92D050"/>
          </w:tcPr>
          <w:p w14:paraId="402DC014" w14:textId="77777777" w:rsidR="00AA7D8E" w:rsidRDefault="00786BFE" w:rsidP="001F296F">
            <w:pPr>
              <w:autoSpaceDE w:val="0"/>
              <w:autoSpaceDN w:val="0"/>
              <w:adjustRightInd w:val="0"/>
              <w:rPr>
                <w:rFonts w:cs="Arial"/>
                <w:szCs w:val="18"/>
              </w:rPr>
            </w:pPr>
            <w:r w:rsidRPr="00680FA6">
              <w:rPr>
                <w:rFonts w:cs="Arial"/>
                <w:b/>
                <w:szCs w:val="18"/>
              </w:rPr>
              <w:t>Meets</w:t>
            </w:r>
            <w:r w:rsidR="00AA7D8E">
              <w:rPr>
                <w:rFonts w:cs="Arial"/>
                <w:b/>
                <w:szCs w:val="18"/>
              </w:rPr>
              <w:t xml:space="preserve"> </w:t>
            </w:r>
          </w:p>
          <w:p w14:paraId="44E84912" w14:textId="15FEC03D" w:rsidR="00522BCD" w:rsidRPr="00680FA6" w:rsidRDefault="00786BFE" w:rsidP="001F296F">
            <w:pPr>
              <w:autoSpaceDE w:val="0"/>
              <w:autoSpaceDN w:val="0"/>
              <w:adjustRightInd w:val="0"/>
              <w:rPr>
                <w:rFonts w:cs="Arial"/>
                <w:szCs w:val="18"/>
              </w:rPr>
            </w:pPr>
            <w:r w:rsidRPr="00680FA6">
              <w:rPr>
                <w:rFonts w:cs="Arial"/>
                <w:szCs w:val="18"/>
              </w:rPr>
              <w:t xml:space="preserve">Enforcement officers conduct random checks on professional and recreational fishing activities. The </w:t>
            </w:r>
            <w:r w:rsidRPr="00680FA6">
              <w:rPr>
                <w:rFonts w:cs="Arial"/>
                <w:snapToGrid w:val="0"/>
                <w:szCs w:val="18"/>
              </w:rPr>
              <w:t>Fishery Management Plan</w:t>
            </w:r>
            <w:r w:rsidRPr="00680FA6">
              <w:rPr>
                <w:rFonts w:cs="Arial"/>
                <w:i/>
                <w:snapToGrid w:val="0"/>
                <w:szCs w:val="18"/>
              </w:rPr>
              <w:t xml:space="preserve"> </w:t>
            </w:r>
            <w:r w:rsidRPr="00680FA6">
              <w:rPr>
                <w:rFonts w:cs="Arial"/>
                <w:szCs w:val="18"/>
              </w:rPr>
              <w:t xml:space="preserve">includes a compliance and monitoring strategy containing objectives, a three year planning cycle, and </w:t>
            </w:r>
            <w:r w:rsidR="0080693B" w:rsidRPr="00680FA6">
              <w:rPr>
                <w:rFonts w:cs="Arial"/>
                <w:szCs w:val="18"/>
              </w:rPr>
              <w:t xml:space="preserve">a </w:t>
            </w:r>
            <w:r w:rsidRPr="00680FA6">
              <w:rPr>
                <w:rFonts w:cs="Arial"/>
                <w:szCs w:val="18"/>
              </w:rPr>
              <w:t>risk assessment and reporting process</w:t>
            </w:r>
            <w:r w:rsidR="00371E8B" w:rsidRPr="00680FA6">
              <w:rPr>
                <w:rFonts w:cs="Arial"/>
                <w:szCs w:val="18"/>
              </w:rPr>
              <w:t>.</w:t>
            </w:r>
            <w:r w:rsidR="00F726BB">
              <w:rPr>
                <w:rFonts w:cs="Arial"/>
                <w:szCs w:val="18"/>
              </w:rPr>
              <w:t xml:space="preserve"> Penalties </w:t>
            </w:r>
            <w:r w:rsidR="003F2DE6">
              <w:rPr>
                <w:rFonts w:cs="Arial"/>
                <w:szCs w:val="18"/>
              </w:rPr>
              <w:t xml:space="preserve">are </w:t>
            </w:r>
            <w:r w:rsidR="00F726BB">
              <w:rPr>
                <w:rFonts w:cs="Arial"/>
                <w:szCs w:val="18"/>
              </w:rPr>
              <w:t xml:space="preserve">set out in the legislation. </w:t>
            </w:r>
          </w:p>
        </w:tc>
      </w:tr>
      <w:tr w:rsidR="00371E8B" w:rsidRPr="00680FA6" w14:paraId="050DB205" w14:textId="77777777" w:rsidTr="00680FA6">
        <w:tc>
          <w:tcPr>
            <w:tcW w:w="1500" w:type="pct"/>
            <w:shd w:val="clear" w:color="auto" w:fill="auto"/>
          </w:tcPr>
          <w:p w14:paraId="4C2BDACB" w14:textId="3C87220B" w:rsidR="00371E8B" w:rsidRPr="00680FA6" w:rsidRDefault="00371E8B" w:rsidP="001F296F">
            <w:pPr>
              <w:autoSpaceDE w:val="0"/>
              <w:autoSpaceDN w:val="0"/>
              <w:adjustRightInd w:val="0"/>
              <w:rPr>
                <w:rFonts w:cs="Arial"/>
                <w:szCs w:val="18"/>
              </w:rPr>
            </w:pPr>
            <w:r w:rsidRPr="00680FA6">
              <w:rPr>
                <w:rFonts w:cs="Arial"/>
                <w:szCs w:val="18"/>
              </w:rPr>
              <w:t>Provide for the periodic review of the performance of the fishery management arrangements and the management strategies, objectives and criteria</w:t>
            </w:r>
          </w:p>
        </w:tc>
        <w:tc>
          <w:tcPr>
            <w:tcW w:w="3500" w:type="pct"/>
            <w:shd w:val="clear" w:color="auto" w:fill="92D050"/>
          </w:tcPr>
          <w:p w14:paraId="37E4B295" w14:textId="77777777" w:rsidR="00AA7D8E" w:rsidRDefault="00A35CB5" w:rsidP="001F296F">
            <w:pPr>
              <w:autoSpaceDE w:val="0"/>
              <w:autoSpaceDN w:val="0"/>
              <w:adjustRightInd w:val="0"/>
              <w:rPr>
                <w:rFonts w:cs="Arial"/>
                <w:szCs w:val="18"/>
              </w:rPr>
            </w:pPr>
            <w:r w:rsidRPr="00680FA6">
              <w:rPr>
                <w:rFonts w:cs="Arial"/>
                <w:b/>
                <w:szCs w:val="18"/>
              </w:rPr>
              <w:t>Meets</w:t>
            </w:r>
            <w:r w:rsidR="00AA7D8E">
              <w:rPr>
                <w:rFonts w:cs="Arial"/>
                <w:b/>
                <w:szCs w:val="18"/>
              </w:rPr>
              <w:t xml:space="preserve"> </w:t>
            </w:r>
          </w:p>
          <w:p w14:paraId="38969CE4" w14:textId="04CDCAC8" w:rsidR="00522BCD" w:rsidRPr="003A1C2D" w:rsidRDefault="00A35CB5" w:rsidP="001F296F">
            <w:pPr>
              <w:autoSpaceDE w:val="0"/>
              <w:autoSpaceDN w:val="0"/>
              <w:adjustRightInd w:val="0"/>
              <w:rPr>
                <w:rFonts w:cs="Arial"/>
                <w:szCs w:val="18"/>
              </w:rPr>
            </w:pPr>
            <w:r w:rsidRPr="00680FA6">
              <w:rPr>
                <w:rFonts w:cs="Arial"/>
                <w:szCs w:val="18"/>
              </w:rPr>
              <w:t xml:space="preserve">State legislation requires the Fishery Management Plan to be reviewed at five year intervals, although </w:t>
            </w:r>
            <w:r w:rsidRPr="00680FA6">
              <w:rPr>
                <w:rFonts w:cs="Arial"/>
                <w:snapToGrid w:val="0"/>
                <w:szCs w:val="18"/>
              </w:rPr>
              <w:t>its effectiveness may be assessed at any time.</w:t>
            </w:r>
            <w:r w:rsidR="005F10BA" w:rsidRPr="00680FA6">
              <w:rPr>
                <w:rFonts w:cs="Arial"/>
                <w:snapToGrid w:val="0"/>
                <w:szCs w:val="18"/>
              </w:rPr>
              <w:t xml:space="preserve"> </w:t>
            </w:r>
            <w:r w:rsidRPr="00680FA6">
              <w:rPr>
                <w:rFonts w:cs="Arial"/>
                <w:snapToGrid w:val="0"/>
                <w:szCs w:val="18"/>
              </w:rPr>
              <w:t xml:space="preserve">In SA, Regulations are reviewed at ten year intervals. Until January 2018, the </w:t>
            </w:r>
            <w:r w:rsidR="00016AA6" w:rsidRPr="00680FA6">
              <w:rPr>
                <w:rFonts w:cs="Arial"/>
                <w:snapToGrid w:val="0"/>
                <w:szCs w:val="18"/>
              </w:rPr>
              <w:t xml:space="preserve">fishery </w:t>
            </w:r>
            <w:r w:rsidRPr="00680FA6">
              <w:rPr>
                <w:rFonts w:cs="Arial"/>
                <w:snapToGrid w:val="0"/>
                <w:szCs w:val="18"/>
              </w:rPr>
              <w:t>was managed under the Fisheries Manage</w:t>
            </w:r>
            <w:r w:rsidR="00AA7D8E">
              <w:rPr>
                <w:rFonts w:cs="Arial"/>
                <w:snapToGrid w:val="0"/>
                <w:szCs w:val="18"/>
              </w:rPr>
              <w:t>ment (General) Regulations 2007</w:t>
            </w:r>
            <w:r w:rsidRPr="00680FA6">
              <w:rPr>
                <w:rFonts w:cs="Arial"/>
                <w:snapToGrid w:val="0"/>
                <w:szCs w:val="18"/>
              </w:rPr>
              <w:t>.</w:t>
            </w:r>
            <w:r w:rsidR="005F10BA" w:rsidRPr="00680FA6">
              <w:rPr>
                <w:rFonts w:cs="Arial"/>
                <w:snapToGrid w:val="0"/>
                <w:szCs w:val="18"/>
              </w:rPr>
              <w:t xml:space="preserve"> </w:t>
            </w:r>
            <w:r w:rsidRPr="00680FA6">
              <w:rPr>
                <w:rFonts w:cs="Arial"/>
                <w:snapToGrid w:val="0"/>
                <w:szCs w:val="18"/>
              </w:rPr>
              <w:t xml:space="preserve">The </w:t>
            </w:r>
            <w:r w:rsidRPr="00680FA6">
              <w:rPr>
                <w:rFonts w:cs="Arial"/>
                <w:szCs w:val="18"/>
              </w:rPr>
              <w:t>Lakes and Coorong Fishery Management Advisory Committee</w:t>
            </w:r>
            <w:r w:rsidR="00B1330E" w:rsidRPr="00680FA6">
              <w:rPr>
                <w:rFonts w:cs="Arial"/>
                <w:szCs w:val="18"/>
              </w:rPr>
              <w:t xml:space="preserve"> is responsible for managing </w:t>
            </w:r>
            <w:r w:rsidR="00B1330E" w:rsidRPr="00680FA6">
              <w:rPr>
                <w:rFonts w:cs="Arial"/>
                <w:snapToGrid w:val="0"/>
                <w:szCs w:val="18"/>
              </w:rPr>
              <w:t>the finfish and pipi harvest strategies</w:t>
            </w:r>
            <w:r w:rsidR="00AA7D8E">
              <w:rPr>
                <w:rFonts w:cs="Arial"/>
                <w:snapToGrid w:val="0"/>
                <w:szCs w:val="18"/>
              </w:rPr>
              <w:t xml:space="preserve">. </w:t>
            </w:r>
            <w:r w:rsidR="00522BCD">
              <w:rPr>
                <w:rFonts w:cs="Arial"/>
                <w:snapToGrid w:val="0"/>
                <w:szCs w:val="18"/>
              </w:rPr>
              <w:t>These harvest strategies are to be</w:t>
            </w:r>
            <w:r w:rsidR="00AA7D8E">
              <w:rPr>
                <w:rFonts w:cs="Arial"/>
                <w:snapToGrid w:val="0"/>
                <w:szCs w:val="18"/>
              </w:rPr>
              <w:t xml:space="preserve"> review</w:t>
            </w:r>
            <w:r w:rsidR="00522BCD">
              <w:rPr>
                <w:rFonts w:cs="Arial"/>
                <w:snapToGrid w:val="0"/>
                <w:szCs w:val="18"/>
              </w:rPr>
              <w:t xml:space="preserve">ed </w:t>
            </w:r>
            <w:r w:rsidRPr="00680FA6">
              <w:rPr>
                <w:rFonts w:cs="Arial"/>
                <w:snapToGrid w:val="0"/>
                <w:szCs w:val="18"/>
              </w:rPr>
              <w:t>three years after they began</w:t>
            </w:r>
            <w:r w:rsidRPr="00680FA6">
              <w:rPr>
                <w:rFonts w:cs="Arial"/>
                <w:szCs w:val="18"/>
              </w:rPr>
              <w:t>.</w:t>
            </w:r>
            <w:r w:rsidR="00AA7D8E">
              <w:rPr>
                <w:rFonts w:cs="Arial"/>
                <w:szCs w:val="18"/>
              </w:rPr>
              <w:t xml:space="preserve"> </w:t>
            </w:r>
            <w:r w:rsidR="003A1C2D">
              <w:rPr>
                <w:rFonts w:cs="Arial"/>
                <w:szCs w:val="18"/>
              </w:rPr>
              <w:t>The Fishery Management Plan requires that a ‘Fishery and Environmental Performance Report’ and an ‘Ecosystem-based Stock Assessment Report’ be produced annually for the net sector, and a ‘Stock Assessment Report’ be produced every four years for the pipi sector.</w:t>
            </w:r>
          </w:p>
        </w:tc>
      </w:tr>
      <w:tr w:rsidR="00371E8B" w:rsidRPr="00680FA6" w14:paraId="7F16FB15" w14:textId="77777777" w:rsidTr="00680FA6">
        <w:tc>
          <w:tcPr>
            <w:tcW w:w="1500" w:type="pct"/>
            <w:shd w:val="clear" w:color="auto" w:fill="auto"/>
          </w:tcPr>
          <w:p w14:paraId="79731F76" w14:textId="2EAEF456" w:rsidR="00371E8B" w:rsidRPr="00680FA6" w:rsidRDefault="00371E8B" w:rsidP="001F296F">
            <w:pPr>
              <w:autoSpaceDE w:val="0"/>
              <w:autoSpaceDN w:val="0"/>
              <w:adjustRightInd w:val="0"/>
              <w:rPr>
                <w:rFonts w:cs="Arial"/>
                <w:szCs w:val="18"/>
              </w:rPr>
            </w:pPr>
            <w:r w:rsidRPr="00680FA6">
              <w:rPr>
                <w:rFonts w:cs="Arial"/>
                <w:szCs w:val="18"/>
              </w:rPr>
              <w:t>Be capable of assessing, monitoring and avoiding, remedying or mitigating any adverse impacts on the wider marine ecosystem in which the target species lives and the fishery operates</w:t>
            </w:r>
            <w:r w:rsidR="004302F4" w:rsidRPr="00680FA6">
              <w:rPr>
                <w:rFonts w:cs="Arial"/>
                <w:szCs w:val="18"/>
              </w:rPr>
              <w:t>.</w:t>
            </w:r>
          </w:p>
        </w:tc>
        <w:tc>
          <w:tcPr>
            <w:tcW w:w="3500" w:type="pct"/>
            <w:shd w:val="clear" w:color="auto" w:fill="92D050"/>
          </w:tcPr>
          <w:p w14:paraId="05C9FE37" w14:textId="77777777" w:rsidR="00AA7D8E" w:rsidRDefault="005F10BA" w:rsidP="001F296F">
            <w:pPr>
              <w:pStyle w:val="BodyText1"/>
              <w:autoSpaceDE w:val="0"/>
              <w:autoSpaceDN w:val="0"/>
              <w:adjustRightInd w:val="0"/>
              <w:spacing w:after="60" w:line="240" w:lineRule="auto"/>
              <w:jc w:val="left"/>
              <w:rPr>
                <w:rFonts w:cs="Arial"/>
                <w:szCs w:val="18"/>
              </w:rPr>
            </w:pPr>
            <w:r w:rsidRPr="00680FA6">
              <w:rPr>
                <w:rFonts w:cs="Arial"/>
                <w:b/>
                <w:szCs w:val="18"/>
              </w:rPr>
              <w:t>Meets</w:t>
            </w:r>
            <w:r w:rsidR="00AA7D8E">
              <w:rPr>
                <w:rFonts w:cs="Arial"/>
                <w:b/>
                <w:szCs w:val="18"/>
              </w:rPr>
              <w:t xml:space="preserve"> </w:t>
            </w:r>
          </w:p>
          <w:p w14:paraId="4EB133A4" w14:textId="65E8FC72" w:rsidR="00522BCD" w:rsidRPr="005268D1" w:rsidRDefault="005F10BA" w:rsidP="00522BCD">
            <w:pPr>
              <w:pStyle w:val="BodyText1"/>
              <w:autoSpaceDE w:val="0"/>
              <w:autoSpaceDN w:val="0"/>
              <w:adjustRightInd w:val="0"/>
              <w:spacing w:after="60" w:line="240" w:lineRule="auto"/>
              <w:jc w:val="left"/>
              <w:rPr>
                <w:rFonts w:cs="Arial"/>
                <w:szCs w:val="18"/>
              </w:rPr>
            </w:pPr>
            <w:r w:rsidRPr="00680FA6">
              <w:rPr>
                <w:rFonts w:cs="Arial"/>
                <w:szCs w:val="18"/>
              </w:rPr>
              <w:t xml:space="preserve">Management arrangements are capable of effectively identifying and managing the impacts on the wider marine ecosystem. The Fishery Management Plan includes a compliance and monitoring strategy. </w:t>
            </w:r>
            <w:r w:rsidR="00522BCD">
              <w:rPr>
                <w:rFonts w:cs="Arial"/>
                <w:szCs w:val="18"/>
              </w:rPr>
              <w:t xml:space="preserve">PIRSA facilitated </w:t>
            </w:r>
            <w:r w:rsidR="00BE26D4" w:rsidRPr="00680FA6">
              <w:rPr>
                <w:rFonts w:cs="Arial"/>
                <w:szCs w:val="18"/>
              </w:rPr>
              <w:t xml:space="preserve">a risk assessment of the fishery based on the </w:t>
            </w:r>
            <w:r w:rsidR="00BE26D4">
              <w:rPr>
                <w:rFonts w:cs="Arial"/>
              </w:rPr>
              <w:t>national ecological sustainable development reporting framework for Australian fisheries (</w:t>
            </w:r>
            <w:r w:rsidR="00522BCD">
              <w:rPr>
                <w:rFonts w:cs="Arial"/>
              </w:rPr>
              <w:t xml:space="preserve">see </w:t>
            </w:r>
            <w:r w:rsidR="00BE26D4">
              <w:rPr>
                <w:rFonts w:cs="Arial"/>
              </w:rPr>
              <w:t xml:space="preserve">Commonwealth of Australia 1992; Fletcher et al. 2002). </w:t>
            </w:r>
            <w:r w:rsidRPr="00680FA6">
              <w:rPr>
                <w:rFonts w:cs="Arial"/>
                <w:szCs w:val="18"/>
              </w:rPr>
              <w:t xml:space="preserve">Risks </w:t>
            </w:r>
            <w:r w:rsidR="00522BCD">
              <w:rPr>
                <w:rFonts w:cs="Arial"/>
                <w:szCs w:val="18"/>
              </w:rPr>
              <w:t xml:space="preserve">to the marine environment </w:t>
            </w:r>
            <w:r w:rsidRPr="00680FA6">
              <w:rPr>
                <w:rFonts w:cs="Arial"/>
                <w:szCs w:val="18"/>
              </w:rPr>
              <w:t>are regularly monitored and assessed (PIRSA 2011; Stoklosa 2013; PIRSA 2015).</w:t>
            </w:r>
          </w:p>
        </w:tc>
      </w:tr>
      <w:tr w:rsidR="00371E8B" w:rsidRPr="00680FA6" w14:paraId="257A30C9" w14:textId="77777777" w:rsidTr="00680FA6">
        <w:tc>
          <w:tcPr>
            <w:tcW w:w="1500" w:type="pct"/>
            <w:shd w:val="clear" w:color="auto" w:fill="auto"/>
          </w:tcPr>
          <w:p w14:paraId="2FAB5309" w14:textId="072C9D92" w:rsidR="00371E8B" w:rsidRPr="00680FA6" w:rsidRDefault="00371E8B" w:rsidP="001F296F">
            <w:pPr>
              <w:autoSpaceDE w:val="0"/>
              <w:autoSpaceDN w:val="0"/>
              <w:adjustRightInd w:val="0"/>
              <w:rPr>
                <w:rFonts w:cs="Arial"/>
                <w:szCs w:val="18"/>
              </w:rPr>
            </w:pPr>
            <w:r w:rsidRPr="00680FA6">
              <w:rPr>
                <w:rFonts w:cs="Arial"/>
                <w:szCs w:val="18"/>
              </w:rPr>
              <w:lastRenderedPageBreak/>
              <w:t>Requires compliance with relevant threat abatement plans, recovery plans, the National Policy on Fisheries Bycatch, and bycatch action strategies developed under the policy</w:t>
            </w:r>
            <w:r w:rsidR="004302F4" w:rsidRPr="00680FA6">
              <w:rPr>
                <w:rFonts w:cs="Arial"/>
                <w:szCs w:val="18"/>
              </w:rPr>
              <w:t>.</w:t>
            </w:r>
          </w:p>
        </w:tc>
        <w:tc>
          <w:tcPr>
            <w:tcW w:w="3500" w:type="pct"/>
            <w:shd w:val="clear" w:color="auto" w:fill="92D050"/>
          </w:tcPr>
          <w:p w14:paraId="67D35255" w14:textId="77777777" w:rsidR="00AA7D8E" w:rsidRDefault="00371E8B" w:rsidP="001F296F">
            <w:pPr>
              <w:autoSpaceDE w:val="0"/>
              <w:autoSpaceDN w:val="0"/>
              <w:adjustRightInd w:val="0"/>
              <w:rPr>
                <w:rFonts w:cs="Arial"/>
                <w:szCs w:val="18"/>
              </w:rPr>
            </w:pPr>
            <w:r w:rsidRPr="00680FA6">
              <w:rPr>
                <w:rFonts w:cs="Arial"/>
                <w:b/>
                <w:szCs w:val="18"/>
              </w:rPr>
              <w:t>Meets</w:t>
            </w:r>
            <w:r w:rsidR="00AA7D8E">
              <w:rPr>
                <w:rFonts w:cs="Arial"/>
                <w:b/>
                <w:szCs w:val="18"/>
              </w:rPr>
              <w:t xml:space="preserve"> </w:t>
            </w:r>
          </w:p>
          <w:p w14:paraId="5E4F5B9B" w14:textId="5B55548F" w:rsidR="00522BCD" w:rsidRPr="005268D1" w:rsidRDefault="00371E8B" w:rsidP="001F296F">
            <w:pPr>
              <w:autoSpaceDE w:val="0"/>
              <w:autoSpaceDN w:val="0"/>
              <w:adjustRightInd w:val="0"/>
              <w:rPr>
                <w:rFonts w:cs="Arial"/>
                <w:szCs w:val="18"/>
              </w:rPr>
            </w:pPr>
            <w:r w:rsidRPr="00680FA6">
              <w:rPr>
                <w:rFonts w:cs="Arial"/>
                <w:szCs w:val="18"/>
              </w:rPr>
              <w:t xml:space="preserve">The </w:t>
            </w:r>
            <w:r w:rsidR="00016AA6" w:rsidRPr="00680FA6">
              <w:rPr>
                <w:rFonts w:cs="Arial"/>
                <w:szCs w:val="18"/>
              </w:rPr>
              <w:t xml:space="preserve">fishery </w:t>
            </w:r>
            <w:r w:rsidRPr="00680FA6">
              <w:rPr>
                <w:rFonts w:cs="Arial"/>
                <w:szCs w:val="18"/>
              </w:rPr>
              <w:t xml:space="preserve">is compliant with all relevant plans and policies as they apply to state waters, including management of the Coorong and Lakes Alexandrina and Albert Ramsar site. </w:t>
            </w:r>
          </w:p>
        </w:tc>
      </w:tr>
      <w:tr w:rsidR="00371E8B" w:rsidRPr="00680FA6" w14:paraId="4C167BCF" w14:textId="77777777" w:rsidTr="00680FA6">
        <w:tc>
          <w:tcPr>
            <w:tcW w:w="1500" w:type="pct"/>
            <w:gridSpan w:val="2"/>
            <w:shd w:val="clear" w:color="auto" w:fill="92CDDC"/>
          </w:tcPr>
          <w:p w14:paraId="5BAE62F0" w14:textId="769BC213" w:rsidR="00371E8B" w:rsidRPr="00680FA6" w:rsidRDefault="00371E8B" w:rsidP="005E2D35">
            <w:pPr>
              <w:autoSpaceDE w:val="0"/>
              <w:autoSpaceDN w:val="0"/>
              <w:adjustRightInd w:val="0"/>
              <w:rPr>
                <w:rFonts w:cs="Arial"/>
                <w:b/>
                <w:bCs/>
                <w:szCs w:val="18"/>
              </w:rPr>
            </w:pPr>
            <w:r w:rsidRPr="00680FA6">
              <w:rPr>
                <w:rFonts w:cs="Arial"/>
                <w:b/>
                <w:bCs/>
                <w:szCs w:val="18"/>
              </w:rPr>
              <w:t xml:space="preserve">PRINCIPLE 1 - </w:t>
            </w:r>
            <w:r w:rsidRPr="00680FA6">
              <w:rPr>
                <w:rFonts w:cs="Arial"/>
                <w:szCs w:val="18"/>
              </w:rPr>
              <w:t>A fishery must be conducted in a manner that does not lead to over-fishing, or for those stocks that are over-fished, the fishery must be conducted such that there is a high degree of probability the stock(s) will recover</w:t>
            </w:r>
            <w:r w:rsidRPr="00680FA6">
              <w:rPr>
                <w:rFonts w:cs="Arial"/>
                <w:b/>
                <w:bCs/>
                <w:szCs w:val="18"/>
              </w:rPr>
              <w:t xml:space="preserve">. </w:t>
            </w:r>
          </w:p>
        </w:tc>
      </w:tr>
      <w:tr w:rsidR="00371E8B" w:rsidRPr="00680FA6" w14:paraId="1B4867E2" w14:textId="77777777" w:rsidTr="00680FA6">
        <w:tc>
          <w:tcPr>
            <w:tcW w:w="1500" w:type="pct"/>
            <w:gridSpan w:val="2"/>
            <w:shd w:val="clear" w:color="auto" w:fill="B6DDE8"/>
          </w:tcPr>
          <w:p w14:paraId="1598A040" w14:textId="527BDED5" w:rsidR="00371E8B" w:rsidRPr="00680FA6" w:rsidRDefault="00371E8B" w:rsidP="005E2D35">
            <w:pPr>
              <w:autoSpaceDE w:val="0"/>
              <w:autoSpaceDN w:val="0"/>
              <w:adjustRightInd w:val="0"/>
              <w:rPr>
                <w:rFonts w:cs="Arial"/>
                <w:b/>
                <w:bCs/>
                <w:szCs w:val="18"/>
              </w:rPr>
            </w:pPr>
            <w:r w:rsidRPr="00680FA6">
              <w:rPr>
                <w:rFonts w:cs="Arial"/>
                <w:b/>
                <w:bCs/>
                <w:szCs w:val="18"/>
              </w:rPr>
              <w:t xml:space="preserve">Objective 1 - </w:t>
            </w:r>
            <w:r w:rsidRPr="00680FA6">
              <w:rPr>
                <w:rFonts w:cs="Arial"/>
                <w:szCs w:val="18"/>
              </w:rPr>
              <w:t xml:space="preserve">The fishery shall be conducted at catch levels that maintain ecologically viable stock levels at an agreed point or range, with acceptable levels of probability. </w:t>
            </w:r>
          </w:p>
        </w:tc>
      </w:tr>
      <w:tr w:rsidR="00371E8B" w:rsidRPr="00680FA6" w14:paraId="1CCDF312" w14:textId="77777777" w:rsidTr="00680FA6">
        <w:tc>
          <w:tcPr>
            <w:tcW w:w="1500" w:type="pct"/>
            <w:gridSpan w:val="2"/>
            <w:shd w:val="clear" w:color="auto" w:fill="DAEEF3"/>
          </w:tcPr>
          <w:p w14:paraId="43C5F828" w14:textId="15856FBE" w:rsidR="00371E8B" w:rsidRPr="00680FA6" w:rsidRDefault="00371E8B" w:rsidP="005E2D35">
            <w:pPr>
              <w:autoSpaceDE w:val="0"/>
              <w:autoSpaceDN w:val="0"/>
              <w:adjustRightInd w:val="0"/>
              <w:rPr>
                <w:rFonts w:cs="Arial"/>
                <w:b/>
                <w:bCs/>
                <w:i/>
                <w:iCs/>
                <w:szCs w:val="18"/>
              </w:rPr>
            </w:pPr>
            <w:r w:rsidRPr="00680FA6">
              <w:rPr>
                <w:rFonts w:cs="Arial"/>
                <w:b/>
                <w:bCs/>
                <w:i/>
                <w:iCs/>
                <w:szCs w:val="18"/>
              </w:rPr>
              <w:t xml:space="preserve">Information requirements </w:t>
            </w:r>
          </w:p>
        </w:tc>
      </w:tr>
      <w:tr w:rsidR="00371E8B" w:rsidRPr="000613B5" w14:paraId="40E94611" w14:textId="77777777" w:rsidTr="00887258">
        <w:tc>
          <w:tcPr>
            <w:tcW w:w="1500" w:type="pct"/>
          </w:tcPr>
          <w:p w14:paraId="31C44E87" w14:textId="722B018D" w:rsidR="00371E8B" w:rsidRPr="000613B5" w:rsidRDefault="00371E8B" w:rsidP="00EB0BC0">
            <w:pPr>
              <w:autoSpaceDE w:val="0"/>
              <w:autoSpaceDN w:val="0"/>
              <w:adjustRightInd w:val="0"/>
              <w:rPr>
                <w:rFonts w:cs="Arial"/>
                <w:b/>
                <w:bCs/>
                <w:i/>
                <w:iCs/>
                <w:szCs w:val="18"/>
              </w:rPr>
            </w:pPr>
            <w:r w:rsidRPr="000613B5">
              <w:rPr>
                <w:rFonts w:cs="Arial"/>
                <w:b/>
                <w:bCs/>
                <w:i/>
                <w:iCs/>
                <w:szCs w:val="18"/>
              </w:rPr>
              <w:t xml:space="preserve">1.1.1 </w:t>
            </w:r>
            <w:r w:rsidRPr="000613B5">
              <w:rPr>
                <w:rFonts w:cs="Arial"/>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shd w:val="clear" w:color="auto" w:fill="92D050"/>
          </w:tcPr>
          <w:p w14:paraId="66AE4330" w14:textId="77777777" w:rsidR="00AA7D8E" w:rsidRDefault="00887258" w:rsidP="00EB0BC0">
            <w:pPr>
              <w:autoSpaceDE w:val="0"/>
              <w:autoSpaceDN w:val="0"/>
              <w:adjustRightInd w:val="0"/>
              <w:rPr>
                <w:rFonts w:cs="Arial"/>
                <w:szCs w:val="18"/>
              </w:rPr>
            </w:pPr>
            <w:r>
              <w:rPr>
                <w:rFonts w:cs="Arial"/>
                <w:b/>
                <w:szCs w:val="18"/>
              </w:rPr>
              <w:t>M</w:t>
            </w:r>
            <w:r w:rsidR="00445544" w:rsidRPr="000613B5">
              <w:rPr>
                <w:rFonts w:cs="Arial"/>
                <w:b/>
                <w:szCs w:val="18"/>
              </w:rPr>
              <w:t>eets</w:t>
            </w:r>
            <w:r w:rsidR="00AA7D8E">
              <w:rPr>
                <w:rFonts w:cs="Arial"/>
                <w:b/>
                <w:szCs w:val="18"/>
              </w:rPr>
              <w:t xml:space="preserve"> </w:t>
            </w:r>
          </w:p>
          <w:p w14:paraId="3B0FB7E5" w14:textId="6E328B4F" w:rsidR="00AE6F42" w:rsidRPr="000613B5" w:rsidRDefault="00AE6F42" w:rsidP="00EB0BC0">
            <w:pPr>
              <w:autoSpaceDE w:val="0"/>
              <w:autoSpaceDN w:val="0"/>
              <w:adjustRightInd w:val="0"/>
              <w:rPr>
                <w:rFonts w:cs="Arial"/>
                <w:szCs w:val="18"/>
              </w:rPr>
            </w:pPr>
            <w:r w:rsidRPr="000613B5">
              <w:rPr>
                <w:rFonts w:cs="Arial"/>
                <w:szCs w:val="18"/>
              </w:rPr>
              <w:t xml:space="preserve">Commercial operators use logbooks to record information identifying the fisher, location, effort (number of fished days), date, gear, </w:t>
            </w:r>
            <w:r w:rsidR="00D16003">
              <w:rPr>
                <w:rFonts w:cs="Arial"/>
                <w:szCs w:val="18"/>
              </w:rPr>
              <w:t xml:space="preserve">primary and secondary </w:t>
            </w:r>
            <w:r w:rsidRPr="000613B5">
              <w:rPr>
                <w:rFonts w:cs="Arial"/>
                <w:szCs w:val="18"/>
              </w:rPr>
              <w:t xml:space="preserve">species, landed catch and </w:t>
            </w:r>
            <w:r w:rsidR="00522BCD">
              <w:rPr>
                <w:rFonts w:cs="Arial"/>
                <w:szCs w:val="18"/>
              </w:rPr>
              <w:t xml:space="preserve">its </w:t>
            </w:r>
            <w:r w:rsidRPr="000613B5">
              <w:rPr>
                <w:rFonts w:cs="Arial"/>
                <w:szCs w:val="18"/>
              </w:rPr>
              <w:t>condition</w:t>
            </w:r>
            <w:r w:rsidR="00522BCD">
              <w:rPr>
                <w:rFonts w:cs="Arial"/>
                <w:szCs w:val="18"/>
              </w:rPr>
              <w:t>,</w:t>
            </w:r>
            <w:r w:rsidRPr="000613B5">
              <w:rPr>
                <w:rFonts w:cs="Arial"/>
                <w:szCs w:val="18"/>
              </w:rPr>
              <w:t xml:space="preserve"> and interactions with threatened, endangered and protected species (TEPS). </w:t>
            </w:r>
            <w:r w:rsidR="00522BCD">
              <w:rPr>
                <w:rFonts w:cs="Arial"/>
                <w:szCs w:val="18"/>
              </w:rPr>
              <w:t>Operators provide m</w:t>
            </w:r>
            <w:r w:rsidRPr="000613B5">
              <w:rPr>
                <w:rFonts w:cs="Arial"/>
                <w:szCs w:val="18"/>
              </w:rPr>
              <w:t xml:space="preserve">onthly reports </w:t>
            </w:r>
            <w:r w:rsidR="00522BCD">
              <w:rPr>
                <w:rFonts w:cs="Arial"/>
                <w:szCs w:val="18"/>
              </w:rPr>
              <w:t xml:space="preserve">to SARDI </w:t>
            </w:r>
            <w:r w:rsidRPr="000613B5">
              <w:rPr>
                <w:rFonts w:cs="Arial"/>
                <w:szCs w:val="18"/>
              </w:rPr>
              <w:t>for review and monitoring.</w:t>
            </w:r>
            <w:r w:rsidR="00794820">
              <w:rPr>
                <w:rFonts w:cs="Arial"/>
                <w:snapToGrid w:val="0"/>
                <w:szCs w:val="18"/>
              </w:rPr>
              <w:t xml:space="preserve"> This information is included in </w:t>
            </w:r>
            <w:r w:rsidR="00794820">
              <w:rPr>
                <w:rFonts w:cs="Arial"/>
                <w:szCs w:val="18"/>
              </w:rPr>
              <w:t>fishery and environmental performance reports and stock assessment reports for the net and pipi sectors.</w:t>
            </w:r>
          </w:p>
          <w:p w14:paraId="42A2C88D" w14:textId="21ED9107" w:rsidR="00214498" w:rsidRPr="000613B5" w:rsidRDefault="00214498" w:rsidP="00EB0BC0">
            <w:pPr>
              <w:autoSpaceDE w:val="0"/>
              <w:autoSpaceDN w:val="0"/>
              <w:adjustRightInd w:val="0"/>
              <w:rPr>
                <w:rFonts w:cs="Arial"/>
                <w:snapToGrid w:val="0"/>
                <w:szCs w:val="18"/>
              </w:rPr>
            </w:pPr>
            <w:r w:rsidRPr="000613B5">
              <w:rPr>
                <w:rFonts w:cs="Arial"/>
                <w:snapToGrid w:val="0"/>
                <w:szCs w:val="18"/>
              </w:rPr>
              <w:t xml:space="preserve">The primary target species are </w:t>
            </w:r>
            <w:r w:rsidRPr="000613B5">
              <w:rPr>
                <w:rFonts w:cs="Arial"/>
                <w:b/>
                <w:snapToGrid w:val="0"/>
                <w:szCs w:val="18"/>
              </w:rPr>
              <w:t>black bream</w:t>
            </w:r>
            <w:r w:rsidRPr="000613B5">
              <w:rPr>
                <w:rFonts w:cs="Arial"/>
                <w:snapToGrid w:val="0"/>
                <w:szCs w:val="18"/>
              </w:rPr>
              <w:t xml:space="preserve"> (</w:t>
            </w:r>
            <w:r w:rsidRPr="000613B5">
              <w:rPr>
                <w:rFonts w:cs="Arial"/>
                <w:i/>
                <w:snapToGrid w:val="0"/>
                <w:szCs w:val="18"/>
              </w:rPr>
              <w:t>Acanthopagrus butcheri</w:t>
            </w:r>
            <w:r w:rsidRPr="000613B5">
              <w:rPr>
                <w:rFonts w:cs="Arial"/>
                <w:snapToGrid w:val="0"/>
                <w:szCs w:val="18"/>
              </w:rPr>
              <w:t xml:space="preserve">), </w:t>
            </w:r>
            <w:r w:rsidRPr="000613B5">
              <w:rPr>
                <w:rFonts w:cs="Arial"/>
                <w:b/>
                <w:snapToGrid w:val="0"/>
                <w:szCs w:val="18"/>
              </w:rPr>
              <w:t>yelloweye mullet</w:t>
            </w:r>
            <w:r w:rsidRPr="000613B5">
              <w:rPr>
                <w:rFonts w:cs="Arial"/>
                <w:snapToGrid w:val="0"/>
                <w:szCs w:val="18"/>
              </w:rPr>
              <w:t xml:space="preserve"> (</w:t>
            </w:r>
            <w:r w:rsidRPr="000613B5">
              <w:rPr>
                <w:rFonts w:cs="Arial"/>
                <w:i/>
                <w:snapToGrid w:val="0"/>
                <w:szCs w:val="18"/>
              </w:rPr>
              <w:t>Aldrichetta forsteri</w:t>
            </w:r>
            <w:r w:rsidRPr="000613B5">
              <w:rPr>
                <w:rFonts w:cs="Arial"/>
                <w:snapToGrid w:val="0"/>
                <w:szCs w:val="18"/>
              </w:rPr>
              <w:t xml:space="preserve">), </w:t>
            </w:r>
            <w:r w:rsidRPr="000613B5">
              <w:rPr>
                <w:rFonts w:cs="Arial"/>
                <w:b/>
                <w:snapToGrid w:val="0"/>
                <w:szCs w:val="18"/>
              </w:rPr>
              <w:t>mulloway</w:t>
            </w:r>
            <w:r w:rsidRPr="000613B5">
              <w:rPr>
                <w:rFonts w:cs="Arial"/>
                <w:snapToGrid w:val="0"/>
                <w:szCs w:val="18"/>
              </w:rPr>
              <w:t xml:space="preserve"> (</w:t>
            </w:r>
            <w:r w:rsidRPr="000613B5">
              <w:rPr>
                <w:rFonts w:cs="Arial"/>
                <w:i/>
                <w:snapToGrid w:val="0"/>
                <w:szCs w:val="18"/>
              </w:rPr>
              <w:t>Argyrosomus japonicus</w:t>
            </w:r>
            <w:r w:rsidRPr="000613B5">
              <w:rPr>
                <w:rFonts w:cs="Arial"/>
                <w:snapToGrid w:val="0"/>
                <w:szCs w:val="18"/>
              </w:rPr>
              <w:t xml:space="preserve">), </w:t>
            </w:r>
            <w:r w:rsidRPr="000613B5">
              <w:rPr>
                <w:rFonts w:cs="Arial"/>
                <w:b/>
                <w:snapToGrid w:val="0"/>
                <w:szCs w:val="18"/>
              </w:rPr>
              <w:t>pipi</w:t>
            </w:r>
            <w:r w:rsidRPr="000613B5">
              <w:rPr>
                <w:rFonts w:cs="Arial"/>
                <w:snapToGrid w:val="0"/>
                <w:szCs w:val="18"/>
              </w:rPr>
              <w:t xml:space="preserve"> (</w:t>
            </w:r>
            <w:r w:rsidRPr="000613B5">
              <w:rPr>
                <w:rFonts w:cs="Arial"/>
                <w:i/>
                <w:snapToGrid w:val="0"/>
                <w:szCs w:val="18"/>
              </w:rPr>
              <w:t>Donax deltoides</w:t>
            </w:r>
            <w:r w:rsidRPr="000613B5">
              <w:rPr>
                <w:rFonts w:cs="Arial"/>
                <w:snapToGrid w:val="0"/>
                <w:szCs w:val="18"/>
              </w:rPr>
              <w:t xml:space="preserve">), </w:t>
            </w:r>
            <w:r w:rsidRPr="000613B5">
              <w:rPr>
                <w:rFonts w:cs="Arial"/>
                <w:b/>
                <w:snapToGrid w:val="0"/>
                <w:szCs w:val="18"/>
              </w:rPr>
              <w:t>golden perch</w:t>
            </w:r>
            <w:r w:rsidRPr="000613B5">
              <w:rPr>
                <w:rFonts w:cs="Arial"/>
                <w:snapToGrid w:val="0"/>
                <w:szCs w:val="18"/>
              </w:rPr>
              <w:t xml:space="preserve"> (</w:t>
            </w:r>
            <w:r w:rsidRPr="000613B5">
              <w:rPr>
                <w:rFonts w:cs="Arial"/>
                <w:i/>
                <w:snapToGrid w:val="0"/>
                <w:szCs w:val="18"/>
              </w:rPr>
              <w:t>Macquaria ambigua</w:t>
            </w:r>
            <w:r w:rsidRPr="000613B5">
              <w:rPr>
                <w:rFonts w:cs="Arial"/>
                <w:snapToGrid w:val="0"/>
                <w:szCs w:val="18"/>
              </w:rPr>
              <w:t xml:space="preserve">), </w:t>
            </w:r>
            <w:r w:rsidRPr="000613B5">
              <w:rPr>
                <w:rFonts w:cs="Arial"/>
                <w:b/>
                <w:snapToGrid w:val="0"/>
                <w:szCs w:val="18"/>
              </w:rPr>
              <w:t>bony bream</w:t>
            </w:r>
            <w:r w:rsidRPr="000613B5">
              <w:rPr>
                <w:rFonts w:cs="Arial"/>
                <w:snapToGrid w:val="0"/>
                <w:szCs w:val="18"/>
              </w:rPr>
              <w:t xml:space="preserve"> (</w:t>
            </w:r>
            <w:r w:rsidRPr="000613B5">
              <w:rPr>
                <w:rFonts w:cs="Arial"/>
                <w:i/>
                <w:snapToGrid w:val="0"/>
                <w:szCs w:val="18"/>
              </w:rPr>
              <w:t>Nematalosa erebi</w:t>
            </w:r>
            <w:r w:rsidRPr="000613B5">
              <w:rPr>
                <w:rFonts w:cs="Arial"/>
                <w:snapToGrid w:val="0"/>
                <w:szCs w:val="18"/>
              </w:rPr>
              <w:t xml:space="preserve">), and </w:t>
            </w:r>
            <w:r w:rsidRPr="000613B5">
              <w:rPr>
                <w:rFonts w:cs="Arial"/>
                <w:b/>
                <w:snapToGrid w:val="0"/>
                <w:szCs w:val="18"/>
              </w:rPr>
              <w:t>greenback flounder</w:t>
            </w:r>
            <w:r w:rsidRPr="000613B5">
              <w:rPr>
                <w:rFonts w:cs="Arial"/>
                <w:snapToGrid w:val="0"/>
                <w:szCs w:val="18"/>
              </w:rPr>
              <w:t xml:space="preserve"> (</w:t>
            </w:r>
            <w:r w:rsidRPr="000613B5">
              <w:rPr>
                <w:rFonts w:cs="Arial"/>
                <w:i/>
                <w:snapToGrid w:val="0"/>
                <w:szCs w:val="18"/>
              </w:rPr>
              <w:t>Rhombosolea tapirina</w:t>
            </w:r>
            <w:r w:rsidRPr="000613B5">
              <w:rPr>
                <w:rFonts w:cs="Arial"/>
                <w:snapToGrid w:val="0"/>
                <w:szCs w:val="18"/>
              </w:rPr>
              <w:t xml:space="preserve">). </w:t>
            </w:r>
            <w:r w:rsidRPr="000613B5">
              <w:rPr>
                <w:rFonts w:cs="Arial"/>
                <w:szCs w:val="18"/>
                <w:lang w:eastAsia="en-AU"/>
              </w:rPr>
              <w:t xml:space="preserve">The exotic </w:t>
            </w:r>
            <w:r w:rsidRPr="000613B5">
              <w:rPr>
                <w:rFonts w:cs="Arial"/>
                <w:b/>
                <w:szCs w:val="18"/>
                <w:lang w:eastAsia="en-AU"/>
              </w:rPr>
              <w:t xml:space="preserve">European </w:t>
            </w:r>
            <w:r w:rsidR="007C4B85" w:rsidRPr="000613B5">
              <w:rPr>
                <w:rFonts w:cs="Arial"/>
                <w:b/>
                <w:szCs w:val="18"/>
                <w:lang w:eastAsia="en-AU"/>
              </w:rPr>
              <w:t>carp</w:t>
            </w:r>
            <w:r w:rsidR="007C4B85" w:rsidRPr="000613B5">
              <w:rPr>
                <w:rFonts w:cs="Arial"/>
                <w:szCs w:val="18"/>
                <w:lang w:eastAsia="en-AU"/>
              </w:rPr>
              <w:t xml:space="preserve"> (</w:t>
            </w:r>
            <w:r w:rsidR="00583085" w:rsidRPr="000613B5">
              <w:rPr>
                <w:rFonts w:cs="Arial"/>
                <w:szCs w:val="18"/>
                <w:lang w:eastAsia="en-AU"/>
              </w:rPr>
              <w:t xml:space="preserve">Cyprinus carpio) </w:t>
            </w:r>
            <w:r w:rsidRPr="000613B5">
              <w:rPr>
                <w:rFonts w:cs="Arial"/>
                <w:szCs w:val="18"/>
                <w:lang w:eastAsia="en-AU"/>
              </w:rPr>
              <w:t xml:space="preserve">and </w:t>
            </w:r>
            <w:r w:rsidRPr="000613B5">
              <w:rPr>
                <w:rFonts w:cs="Arial"/>
                <w:b/>
                <w:szCs w:val="18"/>
                <w:lang w:eastAsia="en-AU"/>
              </w:rPr>
              <w:t>redfin</w:t>
            </w:r>
            <w:r w:rsidRPr="000613B5">
              <w:rPr>
                <w:rFonts w:cs="Arial"/>
                <w:szCs w:val="18"/>
                <w:lang w:eastAsia="en-AU"/>
              </w:rPr>
              <w:t xml:space="preserve"> (</w:t>
            </w:r>
            <w:r w:rsidRPr="000613B5">
              <w:rPr>
                <w:rFonts w:cs="Arial"/>
                <w:i/>
                <w:szCs w:val="18"/>
                <w:lang w:eastAsia="en-AU"/>
              </w:rPr>
              <w:t>Perca fluviatilis</w:t>
            </w:r>
            <w:r w:rsidRPr="000613B5">
              <w:rPr>
                <w:rFonts w:cs="Arial"/>
                <w:szCs w:val="18"/>
                <w:lang w:eastAsia="en-AU"/>
              </w:rPr>
              <w:t>) are also target</w:t>
            </w:r>
            <w:r w:rsidR="00AF4796" w:rsidRPr="000613B5">
              <w:rPr>
                <w:rFonts w:cs="Arial"/>
                <w:szCs w:val="18"/>
                <w:lang w:eastAsia="en-AU"/>
              </w:rPr>
              <w:t>ed</w:t>
            </w:r>
            <w:r w:rsidRPr="000613B5">
              <w:rPr>
                <w:rFonts w:cs="Arial"/>
                <w:szCs w:val="18"/>
                <w:lang w:eastAsia="en-AU"/>
              </w:rPr>
              <w:t xml:space="preserve">. </w:t>
            </w:r>
            <w:r w:rsidRPr="000613B5">
              <w:rPr>
                <w:rFonts w:cs="Arial"/>
                <w:b/>
                <w:snapToGrid w:val="0"/>
                <w:szCs w:val="18"/>
              </w:rPr>
              <w:t>Murray cod</w:t>
            </w:r>
            <w:r w:rsidRPr="000613B5">
              <w:rPr>
                <w:rFonts w:cs="Arial"/>
                <w:snapToGrid w:val="0"/>
                <w:szCs w:val="18"/>
              </w:rPr>
              <w:t xml:space="preserve"> </w:t>
            </w:r>
            <w:r w:rsidRPr="000613B5">
              <w:rPr>
                <w:rFonts w:cs="Arial"/>
                <w:iCs/>
                <w:szCs w:val="18"/>
              </w:rPr>
              <w:t>(</w:t>
            </w:r>
            <w:r w:rsidRPr="000613B5">
              <w:rPr>
                <w:rFonts w:cs="Arial"/>
                <w:i/>
                <w:iCs/>
                <w:szCs w:val="18"/>
              </w:rPr>
              <w:t>Maccullochella peelii peelii</w:t>
            </w:r>
            <w:r w:rsidRPr="000613B5">
              <w:rPr>
                <w:rFonts w:cs="Arial"/>
                <w:iCs/>
                <w:szCs w:val="18"/>
              </w:rPr>
              <w:t>)</w:t>
            </w:r>
            <w:r w:rsidRPr="000613B5">
              <w:rPr>
                <w:rFonts w:cs="Arial"/>
                <w:szCs w:val="18"/>
              </w:rPr>
              <w:t xml:space="preserve"> </w:t>
            </w:r>
            <w:r w:rsidRPr="000613B5">
              <w:rPr>
                <w:rFonts w:cs="Arial"/>
                <w:snapToGrid w:val="0"/>
                <w:szCs w:val="18"/>
              </w:rPr>
              <w:t xml:space="preserve">is a key species but an ongoing state-wide ban is in place for this species. </w:t>
            </w:r>
            <w:r w:rsidRPr="000613B5">
              <w:rPr>
                <w:rFonts w:cs="Arial"/>
                <w:b/>
                <w:snapToGrid w:val="0"/>
                <w:szCs w:val="18"/>
              </w:rPr>
              <w:t>Yabbies</w:t>
            </w:r>
            <w:r w:rsidRPr="000613B5">
              <w:rPr>
                <w:rFonts w:cs="Arial"/>
                <w:snapToGrid w:val="0"/>
                <w:szCs w:val="18"/>
              </w:rPr>
              <w:t xml:space="preserve"> (</w:t>
            </w:r>
            <w:r w:rsidRPr="000613B5">
              <w:rPr>
                <w:rFonts w:cs="Arial"/>
                <w:i/>
                <w:snapToGrid w:val="0"/>
                <w:szCs w:val="18"/>
              </w:rPr>
              <w:t>Cherax</w:t>
            </w:r>
            <w:r w:rsidRPr="000613B5">
              <w:rPr>
                <w:rFonts w:cs="Arial"/>
                <w:snapToGrid w:val="0"/>
                <w:szCs w:val="18"/>
              </w:rPr>
              <w:t xml:space="preserve"> spp.) are taken primarily as bait by the recreational sector. Over 40 species are permitted to be taken as byproduct. </w:t>
            </w:r>
            <w:r w:rsidR="00D16003">
              <w:rPr>
                <w:rFonts w:cs="Arial"/>
                <w:snapToGrid w:val="0"/>
                <w:szCs w:val="18"/>
              </w:rPr>
              <w:t>The amount of b</w:t>
            </w:r>
            <w:r w:rsidRPr="000613B5">
              <w:rPr>
                <w:rFonts w:cs="Arial"/>
                <w:snapToGrid w:val="0"/>
                <w:szCs w:val="18"/>
              </w:rPr>
              <w:t xml:space="preserve">iological information </w:t>
            </w:r>
            <w:r w:rsidR="00AF4796" w:rsidRPr="000613B5">
              <w:rPr>
                <w:rFonts w:cs="Arial"/>
                <w:snapToGrid w:val="0"/>
                <w:szCs w:val="18"/>
              </w:rPr>
              <w:t xml:space="preserve">on byproduct species </w:t>
            </w:r>
            <w:r w:rsidRPr="000613B5">
              <w:rPr>
                <w:rFonts w:cs="Arial"/>
                <w:snapToGrid w:val="0"/>
                <w:szCs w:val="18"/>
              </w:rPr>
              <w:t>varies.</w:t>
            </w:r>
          </w:p>
          <w:p w14:paraId="4D7948C3" w14:textId="7F71226C" w:rsidR="00D16003" w:rsidRPr="001F296F" w:rsidRDefault="00AE6F42" w:rsidP="005268D1">
            <w:pPr>
              <w:autoSpaceDE w:val="0"/>
              <w:autoSpaceDN w:val="0"/>
              <w:adjustRightInd w:val="0"/>
              <w:rPr>
                <w:rFonts w:cs="Arial"/>
              </w:rPr>
            </w:pPr>
            <w:r w:rsidRPr="000613B5">
              <w:rPr>
                <w:rFonts w:cs="Arial"/>
                <w:szCs w:val="18"/>
              </w:rPr>
              <w:t>SARDI conduct regular research on target species</w:t>
            </w:r>
            <w:r w:rsidR="000D6103" w:rsidRPr="000613B5">
              <w:rPr>
                <w:rFonts w:cs="Arial"/>
                <w:szCs w:val="18"/>
              </w:rPr>
              <w:t xml:space="preserve">, </w:t>
            </w:r>
            <w:r w:rsidR="00D16003">
              <w:rPr>
                <w:rFonts w:cs="Arial"/>
                <w:szCs w:val="18"/>
              </w:rPr>
              <w:t xml:space="preserve">which </w:t>
            </w:r>
            <w:r w:rsidRPr="000613B5">
              <w:rPr>
                <w:rFonts w:cs="Arial"/>
                <w:szCs w:val="18"/>
              </w:rPr>
              <w:t>includes a process to identify any reduction in biological diversity and/or reproductive capacity</w:t>
            </w:r>
            <w:r w:rsidR="000D6103" w:rsidRPr="000613B5">
              <w:rPr>
                <w:rFonts w:cs="Arial"/>
                <w:szCs w:val="18"/>
              </w:rPr>
              <w:t xml:space="preserve">, and other aspects of commercial fishing including </w:t>
            </w:r>
            <w:r w:rsidR="00D16003">
              <w:rPr>
                <w:rFonts w:cs="Arial"/>
                <w:szCs w:val="18"/>
              </w:rPr>
              <w:t xml:space="preserve">the effectiveness of </w:t>
            </w:r>
            <w:r w:rsidR="000D6103" w:rsidRPr="000613B5">
              <w:rPr>
                <w:rFonts w:cs="Arial"/>
                <w:szCs w:val="18"/>
              </w:rPr>
              <w:t>gear and methods</w:t>
            </w:r>
            <w:r w:rsidRPr="000613B5">
              <w:rPr>
                <w:rFonts w:cs="Arial"/>
                <w:szCs w:val="18"/>
              </w:rPr>
              <w:t>.</w:t>
            </w:r>
            <w:r w:rsidRPr="000613B5" w:rsidDel="00C1320F">
              <w:rPr>
                <w:rFonts w:cs="Arial"/>
                <w:szCs w:val="18"/>
              </w:rPr>
              <w:t xml:space="preserve"> </w:t>
            </w:r>
            <w:r w:rsidRPr="000613B5">
              <w:rPr>
                <w:rFonts w:cs="Arial"/>
                <w:szCs w:val="18"/>
              </w:rPr>
              <w:t xml:space="preserve">SARDI has </w:t>
            </w:r>
            <w:r w:rsidR="00D16003">
              <w:rPr>
                <w:rFonts w:cs="Arial"/>
                <w:szCs w:val="18"/>
              </w:rPr>
              <w:t>facilitated</w:t>
            </w:r>
            <w:r w:rsidRPr="000613B5">
              <w:rPr>
                <w:rFonts w:cs="Arial"/>
                <w:szCs w:val="18"/>
              </w:rPr>
              <w:t xml:space="preserve"> stock surveys for golden perch (Ferguson and Ye 2012), yelloweye mullet (Earl and Ferguson 2013), pipi (Ferguson 2013), mulloway (Earl and Ward 2014), greenback flounder (Earl and Ye 2016), and black bream (Earl, Ward &amp; Ye 2016). </w:t>
            </w:r>
            <w:r w:rsidR="00794820">
              <w:rPr>
                <w:rFonts w:cs="Arial"/>
                <w:szCs w:val="18"/>
              </w:rPr>
              <w:t xml:space="preserve">These assessment reports were based on the following </w:t>
            </w:r>
            <w:r w:rsidR="00794820" w:rsidRPr="00691D03">
              <w:rPr>
                <w:rFonts w:cs="Arial"/>
              </w:rPr>
              <w:t>performance indicators</w:t>
            </w:r>
            <w:r w:rsidR="00794820">
              <w:rPr>
                <w:rFonts w:cs="Arial"/>
              </w:rPr>
              <w:t xml:space="preserve"> (see Sloan 2005)</w:t>
            </w:r>
            <w:r w:rsidR="00794820" w:rsidRPr="00691D03">
              <w:rPr>
                <w:rFonts w:cs="Arial"/>
              </w:rPr>
              <w:t xml:space="preserve"> </w:t>
            </w:r>
            <w:r w:rsidR="00D16003">
              <w:rPr>
                <w:rFonts w:cs="Arial"/>
                <w:szCs w:val="18"/>
              </w:rPr>
              <w:t xml:space="preserve">for the net sector – </w:t>
            </w:r>
            <w:r w:rsidR="00D16003">
              <w:rPr>
                <w:rFonts w:cs="Arial"/>
              </w:rPr>
              <w:t>i) </w:t>
            </w:r>
            <w:r w:rsidR="00794820" w:rsidRPr="00691D03">
              <w:rPr>
                <w:rFonts w:cs="Arial"/>
              </w:rPr>
              <w:t>total catch, ii) 4-year total catch trend, iii) mean annual catch per unit effort (CPUE) for large mesh gill nets, iv) mean annual CPUE trend for large mesh gillnets, v) mean annual CPUE for swinger nets, and vi) mean annual CPUE trend for swinger nets</w:t>
            </w:r>
            <w:r w:rsidR="00794820">
              <w:rPr>
                <w:rFonts w:cs="Arial"/>
              </w:rPr>
              <w:t>. The</w:t>
            </w:r>
            <w:r w:rsidR="00D16003">
              <w:rPr>
                <w:rFonts w:cs="Arial"/>
                <w:szCs w:val="18"/>
              </w:rPr>
              <w:t xml:space="preserve"> following </w:t>
            </w:r>
            <w:r w:rsidR="00D16003" w:rsidRPr="00691D03">
              <w:rPr>
                <w:rFonts w:cs="Arial"/>
              </w:rPr>
              <w:t>performance indicators</w:t>
            </w:r>
            <w:r w:rsidR="00D16003">
              <w:rPr>
                <w:rFonts w:cs="Arial"/>
              </w:rPr>
              <w:t xml:space="preserve"> were used to assess the </w:t>
            </w:r>
            <w:r w:rsidR="00794820">
              <w:rPr>
                <w:rFonts w:cs="Arial"/>
              </w:rPr>
              <w:t xml:space="preserve">pipi </w:t>
            </w:r>
            <w:r w:rsidR="00D16003">
              <w:rPr>
                <w:rFonts w:cs="Arial"/>
              </w:rPr>
              <w:t>stocks –</w:t>
            </w:r>
            <w:r w:rsidR="00794820" w:rsidRPr="00691D03">
              <w:rPr>
                <w:rFonts w:cs="Arial"/>
              </w:rPr>
              <w:t xml:space="preserve"> i) relative biomass, and ii) presence/absence of pre-recruits</w:t>
            </w:r>
            <w:r w:rsidR="00794820">
              <w:rPr>
                <w:rFonts w:cs="Arial"/>
              </w:rPr>
              <w:t xml:space="preserve"> (PIRSA 2015)</w:t>
            </w:r>
            <w:r w:rsidR="00794820" w:rsidRPr="00691D03">
              <w:rPr>
                <w:rFonts w:cs="Arial"/>
              </w:rPr>
              <w:t>.</w:t>
            </w:r>
            <w:r w:rsidR="00794820">
              <w:rPr>
                <w:rFonts w:cs="Arial"/>
              </w:rPr>
              <w:t xml:space="preserve"> </w:t>
            </w:r>
          </w:p>
        </w:tc>
      </w:tr>
      <w:tr w:rsidR="00371E8B" w:rsidRPr="00680FA6" w14:paraId="24E6F4E0" w14:textId="77777777" w:rsidTr="00680FA6">
        <w:tc>
          <w:tcPr>
            <w:tcW w:w="1500" w:type="pct"/>
            <w:gridSpan w:val="2"/>
            <w:shd w:val="clear" w:color="auto" w:fill="DAEEF3"/>
          </w:tcPr>
          <w:p w14:paraId="5031E339" w14:textId="7D341E2E" w:rsidR="00371E8B" w:rsidRPr="00680FA6" w:rsidRDefault="00371E8B" w:rsidP="005E2D35">
            <w:pPr>
              <w:rPr>
                <w:rFonts w:cs="Arial"/>
                <w:b/>
                <w:bCs/>
                <w:i/>
                <w:iCs/>
                <w:szCs w:val="18"/>
              </w:rPr>
            </w:pPr>
            <w:r w:rsidRPr="00680FA6">
              <w:rPr>
                <w:rFonts w:cs="Arial"/>
                <w:b/>
                <w:bCs/>
                <w:i/>
                <w:iCs/>
                <w:szCs w:val="18"/>
              </w:rPr>
              <w:t xml:space="preserve">Assessment </w:t>
            </w:r>
          </w:p>
        </w:tc>
      </w:tr>
      <w:tr w:rsidR="00371E8B" w:rsidRPr="00680FA6" w14:paraId="4FB3EA8F" w14:textId="77777777" w:rsidTr="00680FA6">
        <w:tc>
          <w:tcPr>
            <w:tcW w:w="1500" w:type="pct"/>
          </w:tcPr>
          <w:p w14:paraId="619918D7" w14:textId="06BABF85" w:rsidR="00371E8B" w:rsidRPr="00680FA6" w:rsidRDefault="00371E8B" w:rsidP="00EB0BC0">
            <w:pPr>
              <w:autoSpaceDE w:val="0"/>
              <w:autoSpaceDN w:val="0"/>
              <w:adjustRightInd w:val="0"/>
              <w:rPr>
                <w:rFonts w:cs="Arial"/>
                <w:b/>
                <w:bCs/>
                <w:i/>
                <w:iCs/>
                <w:szCs w:val="18"/>
              </w:rPr>
            </w:pPr>
            <w:r w:rsidRPr="00680FA6">
              <w:rPr>
                <w:rFonts w:cs="Arial"/>
                <w:b/>
                <w:bCs/>
                <w:i/>
                <w:iCs/>
                <w:szCs w:val="18"/>
              </w:rPr>
              <w:t xml:space="preserve">1.1.2 </w:t>
            </w:r>
            <w:r w:rsidRPr="00680FA6">
              <w:rPr>
                <w:rFonts w:cs="Arial"/>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shd w:val="clear" w:color="auto" w:fill="92D050"/>
          </w:tcPr>
          <w:p w14:paraId="75B1AF1F" w14:textId="77777777" w:rsidR="00AA7D8E" w:rsidRDefault="00C1320F" w:rsidP="00EB0BC0">
            <w:pPr>
              <w:autoSpaceDE w:val="0"/>
              <w:autoSpaceDN w:val="0"/>
              <w:adjustRightInd w:val="0"/>
              <w:rPr>
                <w:rFonts w:cs="Arial"/>
                <w:b/>
                <w:szCs w:val="18"/>
              </w:rPr>
            </w:pPr>
            <w:r w:rsidRPr="000613B5">
              <w:rPr>
                <w:rFonts w:cs="Arial"/>
                <w:b/>
                <w:szCs w:val="18"/>
              </w:rPr>
              <w:t>Meets</w:t>
            </w:r>
            <w:r w:rsidR="00AA7D8E">
              <w:rPr>
                <w:rFonts w:cs="Arial"/>
                <w:b/>
                <w:szCs w:val="18"/>
              </w:rPr>
              <w:t xml:space="preserve"> </w:t>
            </w:r>
          </w:p>
          <w:p w14:paraId="37DF50FB" w14:textId="2A0DA664" w:rsidR="0050565C" w:rsidRDefault="0050565C" w:rsidP="0050565C">
            <w:pPr>
              <w:autoSpaceDE w:val="0"/>
              <w:autoSpaceDN w:val="0"/>
              <w:adjustRightInd w:val="0"/>
              <w:rPr>
                <w:rFonts w:cs="Arial"/>
                <w:szCs w:val="18"/>
              </w:rPr>
            </w:pPr>
            <w:r w:rsidRPr="000613B5">
              <w:rPr>
                <w:rFonts w:cs="Arial"/>
                <w:szCs w:val="18"/>
              </w:rPr>
              <w:t xml:space="preserve">Annual catch and effort data for key species is reviewed annually during stakeholder forums. Key species stocks are assessed regularly (3 to 5 years) against performance measures and reference points. </w:t>
            </w:r>
            <w:r>
              <w:rPr>
                <w:rFonts w:cs="Arial"/>
                <w:szCs w:val="18"/>
              </w:rPr>
              <w:t xml:space="preserve">The 2011 ERA identified a number of risks associated with all target species stocks (PIRSA 2011). Subsequent stock assessments have classified some </w:t>
            </w:r>
            <w:r w:rsidR="00D1063D">
              <w:rPr>
                <w:rFonts w:cs="Arial"/>
                <w:szCs w:val="18"/>
              </w:rPr>
              <w:t xml:space="preserve">species </w:t>
            </w:r>
            <w:r>
              <w:rPr>
                <w:rFonts w:cs="Arial"/>
                <w:szCs w:val="18"/>
              </w:rPr>
              <w:t>stocks as sustainable including yelloweye mullet, mulloway,</w:t>
            </w:r>
            <w:r w:rsidRPr="000613B5">
              <w:rPr>
                <w:rFonts w:cs="Arial"/>
                <w:szCs w:val="18"/>
              </w:rPr>
              <w:t xml:space="preserve"> </w:t>
            </w:r>
            <w:r>
              <w:rPr>
                <w:rFonts w:cs="Arial"/>
                <w:szCs w:val="18"/>
              </w:rPr>
              <w:t>golden perch and pipi. However, the risks and uncertainties identified in the 2011 ERA are still present, and require ongoing monitoring and appropriate management to ensure that for all target species</w:t>
            </w:r>
            <w:r w:rsidRPr="003457FB">
              <w:rPr>
                <w:rFonts w:cs="Arial"/>
                <w:szCs w:val="18"/>
              </w:rPr>
              <w:t xml:space="preserve"> </w:t>
            </w:r>
            <w:r>
              <w:rPr>
                <w:rFonts w:cs="Arial"/>
                <w:szCs w:val="18"/>
              </w:rPr>
              <w:t>stocks remain sustainable. Environmental conditions, particularly freshwater inflows have an impact on recruitment strength and spawning success for a number of key species including black bream, yelloweye mullet, and greenback flounder.</w:t>
            </w:r>
          </w:p>
          <w:p w14:paraId="5ECF3F15" w14:textId="494F91BC" w:rsidR="000D6103" w:rsidRPr="00680FA6" w:rsidRDefault="00D1063D" w:rsidP="00DF4732">
            <w:pPr>
              <w:autoSpaceDE w:val="0"/>
              <w:autoSpaceDN w:val="0"/>
              <w:adjustRightInd w:val="0"/>
              <w:rPr>
                <w:rFonts w:cs="Arial"/>
                <w:szCs w:val="18"/>
              </w:rPr>
            </w:pPr>
            <w:r>
              <w:rPr>
                <w:rFonts w:cs="Arial"/>
                <w:b/>
                <w:szCs w:val="18"/>
              </w:rPr>
              <w:t>B</w:t>
            </w:r>
            <w:r w:rsidR="0050565C" w:rsidRPr="000613B5">
              <w:rPr>
                <w:rFonts w:cs="Arial"/>
                <w:b/>
                <w:szCs w:val="18"/>
              </w:rPr>
              <w:t xml:space="preserve">lack bream </w:t>
            </w:r>
            <w:r w:rsidR="0050565C" w:rsidRPr="0050565C">
              <w:rPr>
                <w:rFonts w:cs="Arial"/>
                <w:szCs w:val="18"/>
              </w:rPr>
              <w:t>stocks are</w:t>
            </w:r>
            <w:r w:rsidR="0050565C" w:rsidRPr="000613B5">
              <w:rPr>
                <w:rFonts w:cs="Arial"/>
                <w:b/>
                <w:szCs w:val="18"/>
              </w:rPr>
              <w:t xml:space="preserve"> overfished</w:t>
            </w:r>
            <w:r w:rsidR="0050565C" w:rsidRPr="000613B5">
              <w:rPr>
                <w:rFonts w:cs="Arial"/>
                <w:szCs w:val="18"/>
              </w:rPr>
              <w:t xml:space="preserve">, and fishing mortality is </w:t>
            </w:r>
            <w:r>
              <w:rPr>
                <w:rFonts w:cs="Arial"/>
                <w:szCs w:val="18"/>
              </w:rPr>
              <w:t xml:space="preserve">considered </w:t>
            </w:r>
            <w:r w:rsidR="0050565C" w:rsidRPr="000613B5">
              <w:rPr>
                <w:rFonts w:cs="Arial"/>
                <w:szCs w:val="18"/>
              </w:rPr>
              <w:t xml:space="preserve">too high to allow </w:t>
            </w:r>
            <w:r w:rsidR="0050565C">
              <w:rPr>
                <w:rFonts w:cs="Arial"/>
                <w:szCs w:val="18"/>
              </w:rPr>
              <w:t>this species</w:t>
            </w:r>
            <w:r w:rsidR="0050565C" w:rsidRPr="000613B5">
              <w:rPr>
                <w:rFonts w:cs="Arial"/>
                <w:szCs w:val="18"/>
              </w:rPr>
              <w:t xml:space="preserve"> stocks to </w:t>
            </w:r>
            <w:r w:rsidR="007C4B85" w:rsidRPr="000613B5">
              <w:rPr>
                <w:rFonts w:cs="Arial"/>
                <w:szCs w:val="18"/>
              </w:rPr>
              <w:t>recover</w:t>
            </w:r>
            <w:r w:rsidR="007C4B85">
              <w:rPr>
                <w:rFonts w:cs="Arial"/>
                <w:szCs w:val="18"/>
              </w:rPr>
              <w:t xml:space="preserve"> </w:t>
            </w:r>
            <w:r w:rsidR="007C4B85" w:rsidRPr="000613B5">
              <w:rPr>
                <w:rFonts w:cs="Arial"/>
                <w:szCs w:val="18"/>
              </w:rPr>
              <w:t>(</w:t>
            </w:r>
            <w:r w:rsidRPr="000613B5">
              <w:rPr>
                <w:rFonts w:cs="Arial"/>
                <w:szCs w:val="18"/>
              </w:rPr>
              <w:t xml:space="preserve">Earl et al. </w:t>
            </w:r>
            <w:r>
              <w:rPr>
                <w:rFonts w:cs="Arial"/>
                <w:szCs w:val="18"/>
              </w:rPr>
              <w:t>2016).</w:t>
            </w:r>
            <w:r w:rsidR="0050565C" w:rsidRPr="000613B5">
              <w:rPr>
                <w:rFonts w:cs="Arial"/>
                <w:szCs w:val="18"/>
              </w:rPr>
              <w:t xml:space="preserve"> Ferguson and Ye (2008) reported a decline in annual catches, and that stocks were in a weakened state</w:t>
            </w:r>
            <w:r>
              <w:rPr>
                <w:rFonts w:cs="Arial"/>
                <w:szCs w:val="18"/>
              </w:rPr>
              <w:t xml:space="preserve"> f</w:t>
            </w:r>
            <w:r w:rsidRPr="000613B5">
              <w:rPr>
                <w:rFonts w:cs="Arial"/>
                <w:szCs w:val="18"/>
              </w:rPr>
              <w:t>ollowing the 2006–07 black bream stock assessment</w:t>
            </w:r>
            <w:r w:rsidR="0050565C" w:rsidRPr="000613B5">
              <w:rPr>
                <w:rFonts w:cs="Arial"/>
                <w:szCs w:val="18"/>
              </w:rPr>
              <w:t xml:space="preserve">. </w:t>
            </w:r>
            <w:r w:rsidR="0050565C">
              <w:rPr>
                <w:rFonts w:cs="Arial"/>
                <w:szCs w:val="18"/>
              </w:rPr>
              <w:t>While freshwater inflows are important for recruitment, l</w:t>
            </w:r>
            <w:r w:rsidR="0050565C" w:rsidRPr="000613B5">
              <w:rPr>
                <w:rFonts w:cs="Arial"/>
                <w:szCs w:val="18"/>
              </w:rPr>
              <w:t xml:space="preserve">ow spawning biomass is considered the most likely cause of low recruitment levels rather than environmental conditions. </w:t>
            </w:r>
            <w:r w:rsidRPr="00D1063D">
              <w:rPr>
                <w:rFonts w:cs="Arial"/>
                <w:b/>
                <w:szCs w:val="18"/>
              </w:rPr>
              <w:t>Y</w:t>
            </w:r>
            <w:r w:rsidR="0050565C" w:rsidRPr="00D1063D">
              <w:rPr>
                <w:rFonts w:cs="Arial"/>
                <w:b/>
                <w:szCs w:val="18"/>
              </w:rPr>
              <w:t>elloweye</w:t>
            </w:r>
            <w:r w:rsidR="0050565C" w:rsidRPr="000613B5">
              <w:rPr>
                <w:rFonts w:cs="Arial"/>
                <w:b/>
                <w:szCs w:val="18"/>
              </w:rPr>
              <w:t xml:space="preserve"> mullet </w:t>
            </w:r>
            <w:r w:rsidR="0050565C" w:rsidRPr="00F53EBE">
              <w:rPr>
                <w:rFonts w:cs="Arial"/>
                <w:szCs w:val="18"/>
              </w:rPr>
              <w:t>stocks are</w:t>
            </w:r>
            <w:r w:rsidR="0050565C">
              <w:rPr>
                <w:rFonts w:cs="Arial"/>
                <w:b/>
                <w:szCs w:val="18"/>
              </w:rPr>
              <w:t xml:space="preserve"> sustainable</w:t>
            </w:r>
            <w:r w:rsidR="0050565C" w:rsidRPr="00F53EBE">
              <w:rPr>
                <w:rFonts w:cs="Arial"/>
                <w:szCs w:val="18"/>
              </w:rPr>
              <w:t xml:space="preserve">, however </w:t>
            </w:r>
            <w:r w:rsidR="0050565C">
              <w:rPr>
                <w:rFonts w:cs="Arial"/>
                <w:szCs w:val="18"/>
              </w:rPr>
              <w:t>they</w:t>
            </w:r>
            <w:r w:rsidR="0050565C" w:rsidRPr="00F53EBE">
              <w:rPr>
                <w:rFonts w:cs="Arial"/>
                <w:szCs w:val="18"/>
              </w:rPr>
              <w:t xml:space="preserve"> are at risk of becoming recruitment overfished if landings of juvenile (two and three year old)</w:t>
            </w:r>
            <w:r w:rsidR="0050565C" w:rsidRPr="000613B5">
              <w:rPr>
                <w:rFonts w:cs="Arial"/>
                <w:szCs w:val="18"/>
              </w:rPr>
              <w:t xml:space="preserve"> </w:t>
            </w:r>
            <w:r w:rsidR="0050565C">
              <w:rPr>
                <w:rFonts w:cs="Arial"/>
                <w:szCs w:val="18"/>
              </w:rPr>
              <w:t>fish</w:t>
            </w:r>
            <w:r w:rsidR="0050565C" w:rsidRPr="000613B5">
              <w:rPr>
                <w:rFonts w:cs="Arial"/>
                <w:szCs w:val="18"/>
              </w:rPr>
              <w:t xml:space="preserve"> </w:t>
            </w:r>
            <w:r w:rsidR="0050565C" w:rsidRPr="000613B5">
              <w:rPr>
                <w:rFonts w:cs="Arial"/>
                <w:szCs w:val="18"/>
              </w:rPr>
              <w:lastRenderedPageBreak/>
              <w:t xml:space="preserve">continue to increase. The legal minimum size </w:t>
            </w:r>
            <w:r w:rsidR="0050565C" w:rsidRPr="00F53EBE">
              <w:rPr>
                <w:rFonts w:cs="Arial"/>
                <w:szCs w:val="18"/>
              </w:rPr>
              <w:t>for yelloweye mullet (~210 mm TL) is below the size at which females reach sexual maturity (~226 mm–256 mm total length</w:t>
            </w:r>
            <w:r w:rsidR="0050565C" w:rsidRPr="000613B5">
              <w:rPr>
                <w:rFonts w:cs="Arial"/>
                <w:szCs w:val="18"/>
              </w:rPr>
              <w:t xml:space="preserve"> (TL)), which increases the risk of females being removed from the fishery before they reach their first spawning </w:t>
            </w:r>
            <w:r w:rsidR="0050565C" w:rsidRPr="00F53EBE">
              <w:rPr>
                <w:rFonts w:cs="Arial"/>
                <w:szCs w:val="18"/>
              </w:rPr>
              <w:t>event</w:t>
            </w:r>
            <w:r>
              <w:rPr>
                <w:rFonts w:cs="Arial"/>
                <w:szCs w:val="18"/>
              </w:rPr>
              <w:t xml:space="preserve"> </w:t>
            </w:r>
            <w:r w:rsidRPr="000613B5">
              <w:rPr>
                <w:rFonts w:cs="Arial"/>
                <w:szCs w:val="18"/>
              </w:rPr>
              <w:t xml:space="preserve">(Earl and Ferguson </w:t>
            </w:r>
            <w:r>
              <w:rPr>
                <w:rFonts w:cs="Arial"/>
                <w:szCs w:val="18"/>
              </w:rPr>
              <w:t>2013)</w:t>
            </w:r>
            <w:r w:rsidR="0050565C" w:rsidRPr="00F53EBE">
              <w:rPr>
                <w:rFonts w:cs="Arial"/>
                <w:szCs w:val="18"/>
              </w:rPr>
              <w:t>.</w:t>
            </w:r>
            <w:r w:rsidR="0050565C" w:rsidRPr="00F53EBE">
              <w:rPr>
                <w:rFonts w:cs="Arial"/>
                <w:snapToGrid w:val="0"/>
                <w:szCs w:val="18"/>
              </w:rPr>
              <w:t xml:space="preserve"> </w:t>
            </w:r>
            <w:r w:rsidRPr="00D1063D">
              <w:rPr>
                <w:rFonts w:cs="Arial"/>
                <w:b/>
                <w:szCs w:val="18"/>
              </w:rPr>
              <w:t>M</w:t>
            </w:r>
            <w:r w:rsidR="0050565C" w:rsidRPr="00D1063D">
              <w:rPr>
                <w:rFonts w:cs="Arial"/>
                <w:b/>
                <w:szCs w:val="18"/>
              </w:rPr>
              <w:t>ulloway</w:t>
            </w:r>
            <w:r w:rsidR="0050565C" w:rsidRPr="000613B5">
              <w:rPr>
                <w:rFonts w:cs="Arial"/>
                <w:b/>
                <w:szCs w:val="18"/>
              </w:rPr>
              <w:t xml:space="preserve"> </w:t>
            </w:r>
            <w:r w:rsidR="0050565C" w:rsidRPr="000613B5">
              <w:rPr>
                <w:rFonts w:cs="Arial"/>
                <w:szCs w:val="18"/>
              </w:rPr>
              <w:t xml:space="preserve">stocks are </w:t>
            </w:r>
            <w:r w:rsidR="0050565C" w:rsidRPr="000613B5">
              <w:rPr>
                <w:rFonts w:cs="Arial"/>
                <w:b/>
                <w:szCs w:val="18"/>
              </w:rPr>
              <w:t>sustainable</w:t>
            </w:r>
            <w:r w:rsidR="0050565C" w:rsidRPr="000613B5">
              <w:rPr>
                <w:rFonts w:cs="Arial"/>
                <w:szCs w:val="18"/>
              </w:rPr>
              <w:t xml:space="preserve">, and are not likely to be recruitment overfished under existing fishing pressures. </w:t>
            </w:r>
            <w:r w:rsidR="0050565C">
              <w:rPr>
                <w:rFonts w:cs="Arial"/>
                <w:szCs w:val="18"/>
              </w:rPr>
              <w:t xml:space="preserve">However, </w:t>
            </w:r>
            <w:r>
              <w:rPr>
                <w:rFonts w:cs="Arial"/>
                <w:szCs w:val="18"/>
              </w:rPr>
              <w:t>there are</w:t>
            </w:r>
            <w:r w:rsidR="0050565C" w:rsidRPr="000613B5">
              <w:rPr>
                <w:rFonts w:cs="Arial"/>
                <w:szCs w:val="18"/>
              </w:rPr>
              <w:t xml:space="preserve"> concerns that high numbers of individuals are being discarded before they reach the size at maturity. If this trend continues there is an increased risk that stocks may become recruitment overfished without appropriate management</w:t>
            </w:r>
            <w:r>
              <w:rPr>
                <w:rFonts w:cs="Arial"/>
                <w:szCs w:val="18"/>
              </w:rPr>
              <w:t xml:space="preserve"> </w:t>
            </w:r>
            <w:r w:rsidRPr="000613B5">
              <w:rPr>
                <w:rFonts w:cs="Arial"/>
                <w:szCs w:val="18"/>
              </w:rPr>
              <w:t>(Earl and Ward 2014)</w:t>
            </w:r>
            <w:r w:rsidR="0050565C" w:rsidRPr="000613B5">
              <w:rPr>
                <w:rFonts w:cs="Arial"/>
                <w:szCs w:val="18"/>
              </w:rPr>
              <w:t xml:space="preserve">. </w:t>
            </w:r>
            <w:r w:rsidRPr="00D1063D">
              <w:rPr>
                <w:rFonts w:cs="Arial"/>
                <w:b/>
                <w:szCs w:val="18"/>
              </w:rPr>
              <w:t>G</w:t>
            </w:r>
            <w:r w:rsidR="0050565C" w:rsidRPr="00D1063D">
              <w:rPr>
                <w:rFonts w:cs="Arial"/>
                <w:b/>
                <w:szCs w:val="18"/>
              </w:rPr>
              <w:t>reenback</w:t>
            </w:r>
            <w:r w:rsidR="0050565C" w:rsidRPr="000613B5">
              <w:rPr>
                <w:rFonts w:cs="Arial"/>
                <w:b/>
                <w:szCs w:val="18"/>
              </w:rPr>
              <w:t xml:space="preserve"> flounder </w:t>
            </w:r>
            <w:r w:rsidR="0050565C" w:rsidRPr="000613B5">
              <w:rPr>
                <w:rFonts w:cs="Arial"/>
                <w:szCs w:val="18"/>
              </w:rPr>
              <w:t xml:space="preserve">stocks are </w:t>
            </w:r>
            <w:r w:rsidR="0050565C" w:rsidRPr="000613B5">
              <w:rPr>
                <w:rFonts w:cs="Arial"/>
                <w:b/>
                <w:szCs w:val="18"/>
              </w:rPr>
              <w:t>environmentally limited</w:t>
            </w:r>
            <w:r w:rsidR="006308C2">
              <w:rPr>
                <w:rFonts w:cs="Arial"/>
                <w:szCs w:val="18"/>
              </w:rPr>
              <w:t>, ho</w:t>
            </w:r>
            <w:r>
              <w:rPr>
                <w:rFonts w:cs="Arial"/>
                <w:szCs w:val="18"/>
              </w:rPr>
              <w:t>wever</w:t>
            </w:r>
            <w:r w:rsidR="006308C2">
              <w:rPr>
                <w:rFonts w:cs="Arial"/>
                <w:szCs w:val="18"/>
              </w:rPr>
              <w:t xml:space="preserve"> the</w:t>
            </w:r>
            <w:r>
              <w:rPr>
                <w:rFonts w:cs="Arial"/>
                <w:szCs w:val="18"/>
              </w:rPr>
              <w:t xml:space="preserve"> </w:t>
            </w:r>
            <w:r w:rsidRPr="000613B5">
              <w:rPr>
                <w:rFonts w:cs="Arial"/>
                <w:szCs w:val="18"/>
              </w:rPr>
              <w:t xml:space="preserve">current level of fishing mortality is considered not likely to cause the stock to become recruitment overfished. </w:t>
            </w:r>
            <w:r>
              <w:rPr>
                <w:rFonts w:cs="Arial"/>
                <w:szCs w:val="18"/>
              </w:rPr>
              <w:t>L</w:t>
            </w:r>
            <w:r w:rsidRPr="000613B5">
              <w:rPr>
                <w:rFonts w:cs="Arial"/>
                <w:szCs w:val="18"/>
              </w:rPr>
              <w:t xml:space="preserve">ow catches </w:t>
            </w:r>
            <w:r>
              <w:rPr>
                <w:rFonts w:cs="Arial"/>
                <w:szCs w:val="18"/>
              </w:rPr>
              <w:t>in recent years has</w:t>
            </w:r>
            <w:r w:rsidRPr="000613B5">
              <w:rPr>
                <w:rFonts w:cs="Arial"/>
                <w:szCs w:val="18"/>
              </w:rPr>
              <w:t xml:space="preserve"> been attributed to low targeted fishing effort rather than abundance</w:t>
            </w:r>
            <w:r w:rsidR="006308C2">
              <w:rPr>
                <w:rFonts w:cs="Arial"/>
                <w:szCs w:val="18"/>
              </w:rPr>
              <w:t xml:space="preserve"> </w:t>
            </w:r>
            <w:r w:rsidR="006308C2" w:rsidRPr="000613B5">
              <w:rPr>
                <w:rFonts w:cs="Arial"/>
                <w:szCs w:val="18"/>
              </w:rPr>
              <w:t>(Earl and Ye 2016)</w:t>
            </w:r>
            <w:r>
              <w:rPr>
                <w:rFonts w:cs="Arial"/>
                <w:szCs w:val="18"/>
              </w:rPr>
              <w:t xml:space="preserve">. </w:t>
            </w:r>
            <w:r w:rsidRPr="000613B5">
              <w:rPr>
                <w:rFonts w:cs="Arial"/>
                <w:szCs w:val="18"/>
              </w:rPr>
              <w:t xml:space="preserve">It is important that </w:t>
            </w:r>
            <w:r>
              <w:rPr>
                <w:rFonts w:cs="Arial"/>
                <w:szCs w:val="18"/>
              </w:rPr>
              <w:t xml:space="preserve">PIRSA continue to </w:t>
            </w:r>
            <w:r w:rsidR="006308C2">
              <w:rPr>
                <w:rFonts w:cs="Arial"/>
                <w:szCs w:val="18"/>
              </w:rPr>
              <w:t xml:space="preserve">actively </w:t>
            </w:r>
            <w:r>
              <w:rPr>
                <w:rFonts w:cs="Arial"/>
                <w:szCs w:val="18"/>
              </w:rPr>
              <w:t xml:space="preserve">monitor </w:t>
            </w:r>
            <w:r w:rsidRPr="000613B5">
              <w:rPr>
                <w:rFonts w:cs="Arial"/>
                <w:szCs w:val="18"/>
              </w:rPr>
              <w:t>catch trends</w:t>
            </w:r>
            <w:r w:rsidR="006308C2">
              <w:rPr>
                <w:rFonts w:cs="Arial"/>
                <w:szCs w:val="18"/>
              </w:rPr>
              <w:t xml:space="preserve"> for all target stocks, and implement appropriate management actions as required</w:t>
            </w:r>
            <w:r w:rsidRPr="000613B5">
              <w:rPr>
                <w:rFonts w:cs="Arial"/>
                <w:szCs w:val="18"/>
              </w:rPr>
              <w:t xml:space="preserve"> to ensure that stocks remain sustainable</w:t>
            </w:r>
            <w:r w:rsidR="006308C2">
              <w:rPr>
                <w:rFonts w:cs="Arial"/>
                <w:szCs w:val="18"/>
              </w:rPr>
              <w:t xml:space="preserve"> (see Condition 6)</w:t>
            </w:r>
            <w:r w:rsidRPr="000613B5">
              <w:rPr>
                <w:rFonts w:cs="Arial"/>
                <w:szCs w:val="18"/>
              </w:rPr>
              <w:t>.</w:t>
            </w:r>
            <w:r w:rsidR="00DF4732">
              <w:rPr>
                <w:rFonts w:cs="Arial"/>
                <w:szCs w:val="18"/>
              </w:rPr>
              <w:t xml:space="preserve"> </w:t>
            </w:r>
            <w:r w:rsidR="0050565C">
              <w:rPr>
                <w:rFonts w:cs="Arial"/>
                <w:szCs w:val="18"/>
              </w:rPr>
              <w:t>I</w:t>
            </w:r>
            <w:r w:rsidR="0050565C" w:rsidRPr="000613B5">
              <w:rPr>
                <w:rFonts w:cs="Arial"/>
                <w:szCs w:val="18"/>
              </w:rPr>
              <w:t xml:space="preserve">nformation </w:t>
            </w:r>
            <w:r w:rsidR="0050565C">
              <w:rPr>
                <w:rFonts w:cs="Arial"/>
                <w:szCs w:val="18"/>
              </w:rPr>
              <w:t xml:space="preserve">is available </w:t>
            </w:r>
            <w:r w:rsidR="0050565C" w:rsidRPr="000613B5">
              <w:rPr>
                <w:rFonts w:cs="Arial"/>
                <w:szCs w:val="18"/>
              </w:rPr>
              <w:t>on the dynamics and status for Murray cod stocks (National Murray Cod Recovery Team 2010).</w:t>
            </w:r>
            <w:r w:rsidR="006308C2">
              <w:rPr>
                <w:rFonts w:cs="Arial"/>
                <w:szCs w:val="18"/>
              </w:rPr>
              <w:t xml:space="preserve"> </w:t>
            </w:r>
            <w:r w:rsidR="0050565C" w:rsidRPr="000613B5">
              <w:rPr>
                <w:rFonts w:cs="Arial"/>
                <w:snapToGrid w:val="0"/>
                <w:szCs w:val="18"/>
              </w:rPr>
              <w:t xml:space="preserve">There is no assessment reports for </w:t>
            </w:r>
            <w:r w:rsidR="0050565C" w:rsidRPr="000613B5">
              <w:rPr>
                <w:rFonts w:cs="Arial"/>
                <w:szCs w:val="18"/>
                <w:lang w:eastAsia="en-AU"/>
              </w:rPr>
              <w:t>exotic European carp and redfin.</w:t>
            </w:r>
          </w:p>
        </w:tc>
      </w:tr>
      <w:tr w:rsidR="00371E8B" w:rsidRPr="00680FA6" w14:paraId="554D6C9D" w14:textId="77777777" w:rsidTr="00680FA6">
        <w:tc>
          <w:tcPr>
            <w:tcW w:w="1500" w:type="pct"/>
          </w:tcPr>
          <w:p w14:paraId="0D80A14A" w14:textId="62D3DEE0" w:rsidR="00371E8B" w:rsidRPr="00680FA6" w:rsidRDefault="00371E8B" w:rsidP="00EB0BC0">
            <w:pPr>
              <w:autoSpaceDE w:val="0"/>
              <w:autoSpaceDN w:val="0"/>
              <w:adjustRightInd w:val="0"/>
              <w:rPr>
                <w:rFonts w:cs="Arial"/>
                <w:b/>
                <w:bCs/>
                <w:i/>
                <w:iCs/>
                <w:szCs w:val="18"/>
              </w:rPr>
            </w:pPr>
            <w:r w:rsidRPr="00680FA6">
              <w:rPr>
                <w:rFonts w:cs="Arial"/>
                <w:b/>
                <w:bCs/>
                <w:i/>
                <w:iCs/>
                <w:szCs w:val="18"/>
              </w:rPr>
              <w:lastRenderedPageBreak/>
              <w:t xml:space="preserve">1.1.3 </w:t>
            </w:r>
            <w:r w:rsidRPr="00680FA6">
              <w:rPr>
                <w:rFonts w:cs="Arial"/>
                <w:szCs w:val="18"/>
              </w:rPr>
              <w:t>The distribution and spatial structure of the stock(s) has been established and factored into management responses</w:t>
            </w:r>
            <w:r w:rsidRPr="00680FA6">
              <w:rPr>
                <w:rFonts w:cs="Arial"/>
                <w:i/>
                <w:iCs/>
                <w:szCs w:val="18"/>
              </w:rPr>
              <w:t>.</w:t>
            </w:r>
          </w:p>
        </w:tc>
        <w:tc>
          <w:tcPr>
            <w:tcW w:w="3500" w:type="pct"/>
            <w:shd w:val="clear" w:color="auto" w:fill="92D050"/>
          </w:tcPr>
          <w:p w14:paraId="14D2F197" w14:textId="77777777" w:rsidR="00AA7D8E" w:rsidRDefault="00C1320F" w:rsidP="00EB0BC0">
            <w:pPr>
              <w:autoSpaceDE w:val="0"/>
              <w:autoSpaceDN w:val="0"/>
              <w:adjustRightInd w:val="0"/>
              <w:rPr>
                <w:rFonts w:cs="Arial"/>
                <w:szCs w:val="18"/>
              </w:rPr>
            </w:pPr>
            <w:r w:rsidRPr="00680FA6">
              <w:rPr>
                <w:rFonts w:cs="Arial"/>
                <w:b/>
                <w:szCs w:val="18"/>
              </w:rPr>
              <w:t>Meets</w:t>
            </w:r>
            <w:r w:rsidR="00AA7D8E">
              <w:rPr>
                <w:rFonts w:cs="Arial"/>
                <w:b/>
                <w:szCs w:val="18"/>
              </w:rPr>
              <w:t xml:space="preserve"> </w:t>
            </w:r>
          </w:p>
          <w:p w14:paraId="602A640F" w14:textId="7149CB68" w:rsidR="006308C2" w:rsidRPr="00680FA6" w:rsidRDefault="00E91232" w:rsidP="006308C2">
            <w:pPr>
              <w:autoSpaceDE w:val="0"/>
              <w:autoSpaceDN w:val="0"/>
              <w:adjustRightInd w:val="0"/>
              <w:rPr>
                <w:rFonts w:cs="Arial"/>
                <w:szCs w:val="18"/>
              </w:rPr>
            </w:pPr>
            <w:r>
              <w:rPr>
                <w:rFonts w:cs="Arial"/>
                <w:szCs w:val="18"/>
              </w:rPr>
              <w:t>Information relating to the</w:t>
            </w:r>
            <w:r w:rsidRPr="00680FA6">
              <w:rPr>
                <w:rFonts w:cs="Arial"/>
                <w:szCs w:val="18"/>
              </w:rPr>
              <w:t xml:space="preserve"> </w:t>
            </w:r>
            <w:r w:rsidR="00C1320F" w:rsidRPr="00680FA6">
              <w:rPr>
                <w:rFonts w:cs="Arial"/>
                <w:szCs w:val="18"/>
              </w:rPr>
              <w:t xml:space="preserve">distribution and spatial structure </w:t>
            </w:r>
            <w:r>
              <w:rPr>
                <w:rFonts w:cs="Arial"/>
                <w:szCs w:val="18"/>
              </w:rPr>
              <w:t xml:space="preserve">is included in the Fishery Management Plan, and </w:t>
            </w:r>
            <w:r w:rsidR="00C1320F" w:rsidRPr="00680FA6">
              <w:rPr>
                <w:rFonts w:cs="Arial"/>
                <w:szCs w:val="18"/>
              </w:rPr>
              <w:t xml:space="preserve">forms part of stock assessments for </w:t>
            </w:r>
            <w:r>
              <w:rPr>
                <w:rFonts w:cs="Arial"/>
                <w:szCs w:val="18"/>
              </w:rPr>
              <w:t>target</w:t>
            </w:r>
            <w:r w:rsidRPr="00680FA6">
              <w:rPr>
                <w:rFonts w:cs="Arial"/>
                <w:szCs w:val="18"/>
              </w:rPr>
              <w:t xml:space="preserve"> </w:t>
            </w:r>
            <w:r w:rsidR="00C1320F" w:rsidRPr="00680FA6">
              <w:rPr>
                <w:rFonts w:cs="Arial"/>
                <w:szCs w:val="18"/>
              </w:rPr>
              <w:t>species</w:t>
            </w:r>
            <w:r>
              <w:rPr>
                <w:rFonts w:cs="Arial"/>
                <w:szCs w:val="18"/>
              </w:rPr>
              <w:t>. This information</w:t>
            </w:r>
            <w:r w:rsidR="00C1320F" w:rsidRPr="00680FA6">
              <w:rPr>
                <w:rFonts w:cs="Arial"/>
                <w:szCs w:val="18"/>
              </w:rPr>
              <w:t xml:space="preserve"> is factored into the management arrangements.</w:t>
            </w:r>
            <w:r w:rsidR="001F296F">
              <w:rPr>
                <w:rFonts w:cs="Arial"/>
                <w:szCs w:val="18"/>
              </w:rPr>
              <w:t xml:space="preserve"> I</w:t>
            </w:r>
            <w:r w:rsidR="001F296F" w:rsidRPr="000613B5">
              <w:rPr>
                <w:rFonts w:cs="Arial"/>
                <w:szCs w:val="18"/>
              </w:rPr>
              <w:t xml:space="preserve">nformation </w:t>
            </w:r>
            <w:r w:rsidR="001F296F">
              <w:rPr>
                <w:rFonts w:cs="Arial"/>
                <w:szCs w:val="18"/>
              </w:rPr>
              <w:t xml:space="preserve">is available </w:t>
            </w:r>
            <w:r w:rsidR="001F296F" w:rsidRPr="000613B5">
              <w:rPr>
                <w:rFonts w:cs="Arial"/>
                <w:szCs w:val="18"/>
              </w:rPr>
              <w:t xml:space="preserve">on </w:t>
            </w:r>
            <w:r w:rsidR="000D6103">
              <w:rPr>
                <w:rFonts w:cs="Arial"/>
                <w:szCs w:val="18"/>
              </w:rPr>
              <w:t xml:space="preserve">the </w:t>
            </w:r>
            <w:r w:rsidR="001F296F" w:rsidRPr="00680FA6">
              <w:rPr>
                <w:rFonts w:cs="Arial"/>
                <w:szCs w:val="18"/>
              </w:rPr>
              <w:t xml:space="preserve">distribution and spatial structure </w:t>
            </w:r>
            <w:r w:rsidR="001F296F">
              <w:rPr>
                <w:rFonts w:cs="Arial"/>
                <w:szCs w:val="18"/>
              </w:rPr>
              <w:t xml:space="preserve">for Murray cod stocks </w:t>
            </w:r>
            <w:r w:rsidR="000D6103">
              <w:rPr>
                <w:rFonts w:cs="Arial"/>
                <w:szCs w:val="18"/>
              </w:rPr>
              <w:t>(National Murray Cod Recovery Team 2010).</w:t>
            </w:r>
          </w:p>
        </w:tc>
      </w:tr>
      <w:tr w:rsidR="00371E8B" w:rsidRPr="00680FA6" w14:paraId="3F52708C" w14:textId="77777777" w:rsidTr="00680FA6">
        <w:tc>
          <w:tcPr>
            <w:tcW w:w="1500" w:type="pct"/>
          </w:tcPr>
          <w:p w14:paraId="150B44F6" w14:textId="7E7B43C2" w:rsidR="00371E8B" w:rsidRPr="00680FA6" w:rsidRDefault="00371E8B" w:rsidP="00EB0BC0">
            <w:pPr>
              <w:autoSpaceDE w:val="0"/>
              <w:autoSpaceDN w:val="0"/>
              <w:adjustRightInd w:val="0"/>
              <w:rPr>
                <w:rFonts w:cs="Arial"/>
                <w:b/>
                <w:bCs/>
                <w:i/>
                <w:iCs/>
                <w:szCs w:val="18"/>
              </w:rPr>
            </w:pPr>
            <w:r w:rsidRPr="00680FA6">
              <w:rPr>
                <w:rFonts w:cs="Arial"/>
                <w:b/>
                <w:bCs/>
                <w:i/>
                <w:iCs/>
                <w:szCs w:val="18"/>
              </w:rPr>
              <w:t xml:space="preserve">1.1.4 </w:t>
            </w:r>
            <w:r w:rsidRPr="00680FA6">
              <w:rPr>
                <w:rFonts w:cs="Arial"/>
                <w:szCs w:val="18"/>
              </w:rPr>
              <w:t>There are reliable estimates of all removals, including commercial (landings and discards), recreational and indigenous, from the fished stock. These estimates have been factored into stock assessments and target species catch levels.</w:t>
            </w:r>
          </w:p>
        </w:tc>
        <w:tc>
          <w:tcPr>
            <w:tcW w:w="3500" w:type="pct"/>
            <w:shd w:val="clear" w:color="auto" w:fill="FFC000"/>
          </w:tcPr>
          <w:p w14:paraId="49FD792A" w14:textId="77777777" w:rsidR="00AA7D8E" w:rsidRDefault="00445544" w:rsidP="00EB0BC0">
            <w:pPr>
              <w:autoSpaceDE w:val="0"/>
              <w:autoSpaceDN w:val="0"/>
              <w:adjustRightInd w:val="0"/>
              <w:rPr>
                <w:rFonts w:cs="Arial"/>
                <w:szCs w:val="18"/>
              </w:rPr>
            </w:pPr>
            <w:r w:rsidRPr="00680FA6">
              <w:rPr>
                <w:rFonts w:cs="Arial"/>
                <w:b/>
                <w:szCs w:val="18"/>
              </w:rPr>
              <w:t>Partially meets</w:t>
            </w:r>
            <w:r w:rsidR="00AA7D8E">
              <w:rPr>
                <w:rFonts w:cs="Arial"/>
                <w:b/>
                <w:szCs w:val="18"/>
              </w:rPr>
              <w:t xml:space="preserve"> </w:t>
            </w:r>
          </w:p>
          <w:p w14:paraId="2D5AE70B" w14:textId="77777777" w:rsidR="006308C2" w:rsidRDefault="000D6103" w:rsidP="006308C2">
            <w:pPr>
              <w:autoSpaceDE w:val="0"/>
              <w:autoSpaceDN w:val="0"/>
              <w:adjustRightInd w:val="0"/>
              <w:rPr>
                <w:rFonts w:cs="Arial"/>
                <w:szCs w:val="18"/>
              </w:rPr>
            </w:pPr>
            <w:r>
              <w:rPr>
                <w:rFonts w:cs="Arial"/>
                <w:szCs w:val="18"/>
              </w:rPr>
              <w:t>L</w:t>
            </w:r>
            <w:r w:rsidRPr="00FF52BD">
              <w:rPr>
                <w:rFonts w:cs="Arial"/>
                <w:szCs w:val="18"/>
              </w:rPr>
              <w:t xml:space="preserve">ogbooks </w:t>
            </w:r>
            <w:r>
              <w:rPr>
                <w:rFonts w:cs="Arial"/>
                <w:szCs w:val="18"/>
              </w:rPr>
              <w:t xml:space="preserve">are used </w:t>
            </w:r>
            <w:r w:rsidRPr="00FF52BD">
              <w:rPr>
                <w:rFonts w:cs="Arial"/>
                <w:szCs w:val="18"/>
              </w:rPr>
              <w:t>to record daily catch and effort data</w:t>
            </w:r>
            <w:r w:rsidR="00D16003">
              <w:rPr>
                <w:rFonts w:cs="Arial"/>
                <w:szCs w:val="18"/>
              </w:rPr>
              <w:t xml:space="preserve"> for primary and secondary target species</w:t>
            </w:r>
            <w:r w:rsidRPr="00FF52BD">
              <w:rPr>
                <w:rFonts w:cs="Arial"/>
                <w:szCs w:val="18"/>
              </w:rPr>
              <w:t xml:space="preserve">. </w:t>
            </w:r>
            <w:r w:rsidR="006308C2">
              <w:rPr>
                <w:rFonts w:cs="Arial"/>
                <w:szCs w:val="18"/>
              </w:rPr>
              <w:t>However, d</w:t>
            </w:r>
            <w:r w:rsidR="006308C2">
              <w:rPr>
                <w:rFonts w:cs="Arial"/>
                <w:szCs w:val="18"/>
                <w:lang w:eastAsia="en-AU"/>
              </w:rPr>
              <w:t>iscard</w:t>
            </w:r>
            <w:r w:rsidR="001F296F" w:rsidRPr="00FF52BD">
              <w:rPr>
                <w:rFonts w:cs="Arial"/>
                <w:szCs w:val="18"/>
                <w:lang w:eastAsia="en-AU"/>
              </w:rPr>
              <w:t xml:space="preserve"> data is not recorded </w:t>
            </w:r>
            <w:r w:rsidR="001F296F">
              <w:rPr>
                <w:rFonts w:cs="Arial"/>
                <w:szCs w:val="18"/>
                <w:lang w:eastAsia="en-AU"/>
              </w:rPr>
              <w:t xml:space="preserve">for the </w:t>
            </w:r>
            <w:r w:rsidR="006308C2">
              <w:rPr>
                <w:rFonts w:cs="Arial"/>
                <w:szCs w:val="18"/>
                <w:lang w:eastAsia="en-AU"/>
              </w:rPr>
              <w:t>net fishery</w:t>
            </w:r>
            <w:r w:rsidR="001F296F">
              <w:rPr>
                <w:rFonts w:cs="Arial"/>
                <w:szCs w:val="18"/>
                <w:lang w:eastAsia="en-AU"/>
              </w:rPr>
              <w:t xml:space="preserve"> </w:t>
            </w:r>
            <w:r w:rsidR="001F296F" w:rsidRPr="00FF52BD">
              <w:rPr>
                <w:rFonts w:cs="Arial"/>
                <w:szCs w:val="18"/>
                <w:lang w:eastAsia="en-AU"/>
              </w:rPr>
              <w:t xml:space="preserve">unless the species is listed as threatened, endangered or protected. </w:t>
            </w:r>
            <w:r w:rsidR="001F296F">
              <w:rPr>
                <w:rFonts w:cs="Arial"/>
                <w:szCs w:val="18"/>
                <w:lang w:eastAsia="en-AU"/>
              </w:rPr>
              <w:t xml:space="preserve">The number and species of bycatch is recorded in daily catch </w:t>
            </w:r>
            <w:r w:rsidR="001F296F" w:rsidRPr="00FF52BD">
              <w:rPr>
                <w:rFonts w:cs="Arial"/>
                <w:szCs w:val="18"/>
                <w:lang w:eastAsia="en-AU"/>
              </w:rPr>
              <w:t xml:space="preserve">logs </w:t>
            </w:r>
            <w:r w:rsidR="001F296F">
              <w:rPr>
                <w:rFonts w:cs="Arial"/>
                <w:szCs w:val="18"/>
                <w:lang w:eastAsia="en-AU"/>
              </w:rPr>
              <w:t xml:space="preserve">for the pipi sector only. </w:t>
            </w:r>
            <w:r>
              <w:rPr>
                <w:rFonts w:cs="Arial"/>
                <w:szCs w:val="18"/>
              </w:rPr>
              <w:t>This information is reported to PIRSA monthly. C</w:t>
            </w:r>
            <w:r w:rsidRPr="00FF52BD">
              <w:rPr>
                <w:rFonts w:cs="Arial"/>
                <w:szCs w:val="18"/>
              </w:rPr>
              <w:t xml:space="preserve">ommercial catch data is cross referenced </w:t>
            </w:r>
            <w:r>
              <w:rPr>
                <w:rFonts w:cs="Arial"/>
                <w:szCs w:val="18"/>
              </w:rPr>
              <w:t>with</w:t>
            </w:r>
            <w:r w:rsidRPr="00FF52BD">
              <w:rPr>
                <w:rFonts w:cs="Arial"/>
                <w:szCs w:val="18"/>
              </w:rPr>
              <w:t xml:space="preserve"> </w:t>
            </w:r>
            <w:r>
              <w:rPr>
                <w:rFonts w:cs="Arial"/>
                <w:szCs w:val="18"/>
              </w:rPr>
              <w:t xml:space="preserve">fishing </w:t>
            </w:r>
            <w:r w:rsidRPr="00FF52BD">
              <w:rPr>
                <w:rFonts w:cs="Arial"/>
                <w:szCs w:val="18"/>
              </w:rPr>
              <w:t xml:space="preserve">processor records, and supported by annual reviews of the TACC and regular stock assessments. </w:t>
            </w:r>
            <w:r>
              <w:rPr>
                <w:rFonts w:cs="Arial"/>
                <w:szCs w:val="18"/>
              </w:rPr>
              <w:t>SARDI publish regular reports in relation to the fishery’s statistics and performance indicators (Earl 2017; Ferguson and Hooper 2017).</w:t>
            </w:r>
            <w:r w:rsidR="00445544" w:rsidRPr="00680FA6">
              <w:rPr>
                <w:rFonts w:cs="Arial"/>
                <w:szCs w:val="18"/>
              </w:rPr>
              <w:t xml:space="preserve"> PIRSA consider the data to be reliable. </w:t>
            </w:r>
          </w:p>
          <w:p w14:paraId="7647E613" w14:textId="370D56DC" w:rsidR="006308C2" w:rsidRPr="00680FA6" w:rsidRDefault="000D6103" w:rsidP="006308C2">
            <w:pPr>
              <w:autoSpaceDE w:val="0"/>
              <w:autoSpaceDN w:val="0"/>
              <w:adjustRightInd w:val="0"/>
              <w:rPr>
                <w:rFonts w:cs="Arial"/>
                <w:szCs w:val="18"/>
                <w:lang w:eastAsia="en-AU"/>
              </w:rPr>
            </w:pPr>
            <w:r w:rsidRPr="00FF52BD">
              <w:rPr>
                <w:rFonts w:cs="Arial"/>
                <w:szCs w:val="18"/>
                <w:lang w:eastAsia="en-AU"/>
              </w:rPr>
              <w:t xml:space="preserve">The estimated removals by recreational and traditional fishers </w:t>
            </w:r>
            <w:r w:rsidRPr="00FF52BD">
              <w:rPr>
                <w:rFonts w:cs="Arial"/>
                <w:szCs w:val="18"/>
              </w:rPr>
              <w:t xml:space="preserve">is unknown, however the resource allocation policy </w:t>
            </w:r>
            <w:r>
              <w:rPr>
                <w:rFonts w:cs="Arial"/>
                <w:szCs w:val="18"/>
              </w:rPr>
              <w:t xml:space="preserve">limits each </w:t>
            </w:r>
            <w:r w:rsidRPr="00FF52BD">
              <w:rPr>
                <w:rFonts w:cs="Arial"/>
                <w:szCs w:val="18"/>
              </w:rPr>
              <w:t xml:space="preserve">sector to a maximum percentage of the TACC </w:t>
            </w:r>
            <w:r>
              <w:rPr>
                <w:rFonts w:cs="Arial"/>
                <w:szCs w:val="18"/>
              </w:rPr>
              <w:t>for each species</w:t>
            </w:r>
            <w:r w:rsidRPr="00FF52BD">
              <w:rPr>
                <w:rFonts w:cs="Arial"/>
                <w:szCs w:val="18"/>
              </w:rPr>
              <w:t xml:space="preserve">. The allocation for recreational fishers is informed by past surveys in 2000–01 (Jones and Doonan 2005), 2007–08 (Jones 2009) and 2013–14 (Giri and Hall 2015). The 2000–01 survey included </w:t>
            </w:r>
            <w:r w:rsidRPr="00FF52BD">
              <w:rPr>
                <w:rFonts w:cs="Arial"/>
                <w:szCs w:val="18"/>
                <w:lang w:eastAsia="en-AU"/>
              </w:rPr>
              <w:t>traditional fishing.</w:t>
            </w:r>
          </w:p>
        </w:tc>
      </w:tr>
      <w:tr w:rsidR="00371E8B" w:rsidRPr="00680FA6" w14:paraId="4048E040" w14:textId="77777777" w:rsidTr="00680FA6">
        <w:tc>
          <w:tcPr>
            <w:tcW w:w="1500" w:type="pct"/>
          </w:tcPr>
          <w:p w14:paraId="1E766E2B" w14:textId="2684796D" w:rsidR="00371E8B" w:rsidRPr="0035636F" w:rsidRDefault="00371E8B" w:rsidP="00EB0BC0">
            <w:pPr>
              <w:autoSpaceDE w:val="0"/>
              <w:autoSpaceDN w:val="0"/>
              <w:adjustRightInd w:val="0"/>
              <w:rPr>
                <w:rFonts w:cs="Arial"/>
                <w:szCs w:val="18"/>
              </w:rPr>
            </w:pPr>
            <w:r w:rsidRPr="00680FA6">
              <w:rPr>
                <w:rFonts w:cs="Arial"/>
                <w:b/>
                <w:bCs/>
                <w:i/>
                <w:iCs/>
                <w:szCs w:val="18"/>
              </w:rPr>
              <w:t xml:space="preserve">1.1.5 </w:t>
            </w:r>
            <w:r w:rsidRPr="00680FA6">
              <w:rPr>
                <w:rFonts w:cs="Arial"/>
                <w:szCs w:val="18"/>
              </w:rPr>
              <w:t>There is a sound estimate of the potential productivity of the fished stock/s and the propo</w:t>
            </w:r>
            <w:r w:rsidR="0035636F">
              <w:rPr>
                <w:rFonts w:cs="Arial"/>
                <w:szCs w:val="18"/>
              </w:rPr>
              <w:t xml:space="preserve">rtion that could be harvested. </w:t>
            </w:r>
          </w:p>
        </w:tc>
        <w:tc>
          <w:tcPr>
            <w:tcW w:w="3500" w:type="pct"/>
            <w:shd w:val="clear" w:color="auto" w:fill="92D050"/>
          </w:tcPr>
          <w:p w14:paraId="749480AD" w14:textId="16A265A4" w:rsidR="00851986" w:rsidRPr="00680FA6" w:rsidRDefault="00E70D14" w:rsidP="00EB0BC0">
            <w:pPr>
              <w:autoSpaceDE w:val="0"/>
              <w:autoSpaceDN w:val="0"/>
              <w:adjustRightInd w:val="0"/>
              <w:rPr>
                <w:rFonts w:cs="Arial"/>
                <w:szCs w:val="18"/>
              </w:rPr>
            </w:pPr>
            <w:r w:rsidRPr="00680FA6">
              <w:rPr>
                <w:rFonts w:cs="Arial"/>
                <w:b/>
                <w:szCs w:val="18"/>
              </w:rPr>
              <w:t>Meets</w:t>
            </w:r>
          </w:p>
          <w:p w14:paraId="18AD0295" w14:textId="15C9F5FD" w:rsidR="006308C2" w:rsidRPr="00680FA6" w:rsidRDefault="002943BB" w:rsidP="006308C2">
            <w:pPr>
              <w:autoSpaceDE w:val="0"/>
              <w:autoSpaceDN w:val="0"/>
              <w:adjustRightInd w:val="0"/>
              <w:rPr>
                <w:rFonts w:cs="Arial"/>
                <w:szCs w:val="18"/>
              </w:rPr>
            </w:pPr>
            <w:r w:rsidRPr="00680FA6">
              <w:rPr>
                <w:rFonts w:cs="Arial"/>
                <w:szCs w:val="18"/>
              </w:rPr>
              <w:t>The estimated productivity is informed by m</w:t>
            </w:r>
            <w:r w:rsidR="00E70D14" w:rsidRPr="00680FA6">
              <w:rPr>
                <w:rFonts w:cs="Arial"/>
                <w:szCs w:val="18"/>
              </w:rPr>
              <w:t xml:space="preserve">andatory logbook records, regular stock assessments and annual </w:t>
            </w:r>
            <w:r w:rsidRPr="00680FA6">
              <w:rPr>
                <w:rFonts w:cs="Arial"/>
                <w:szCs w:val="18"/>
              </w:rPr>
              <w:t xml:space="preserve">review of the </w:t>
            </w:r>
            <w:r w:rsidR="00E70D14" w:rsidRPr="00680FA6">
              <w:rPr>
                <w:rFonts w:cs="Arial"/>
                <w:szCs w:val="18"/>
              </w:rPr>
              <w:t xml:space="preserve">TACC. The Coorong hydrodynamic model provides </w:t>
            </w:r>
            <w:r w:rsidRPr="00680FA6">
              <w:rPr>
                <w:rFonts w:cs="Arial"/>
                <w:szCs w:val="18"/>
              </w:rPr>
              <w:t xml:space="preserve">regular </w:t>
            </w:r>
            <w:r w:rsidR="00E70D14" w:rsidRPr="00680FA6">
              <w:rPr>
                <w:rFonts w:cs="Arial"/>
                <w:szCs w:val="18"/>
              </w:rPr>
              <w:t xml:space="preserve">water quality </w:t>
            </w:r>
            <w:r w:rsidRPr="00680FA6">
              <w:rPr>
                <w:rFonts w:cs="Arial"/>
                <w:szCs w:val="18"/>
              </w:rPr>
              <w:t>data</w:t>
            </w:r>
            <w:r w:rsidR="006308C2">
              <w:rPr>
                <w:rFonts w:cs="Arial"/>
                <w:szCs w:val="18"/>
              </w:rPr>
              <w:t xml:space="preserve"> including sal</w:t>
            </w:r>
            <w:r w:rsidR="00E70D14" w:rsidRPr="00680FA6">
              <w:rPr>
                <w:rFonts w:cs="Arial"/>
                <w:szCs w:val="18"/>
              </w:rPr>
              <w:t>inity</w:t>
            </w:r>
            <w:r w:rsidRPr="00680FA6">
              <w:rPr>
                <w:rFonts w:cs="Arial"/>
                <w:szCs w:val="18"/>
              </w:rPr>
              <w:t>, which is used to</w:t>
            </w:r>
            <w:r w:rsidR="00E70D14" w:rsidRPr="00680FA6">
              <w:rPr>
                <w:rFonts w:cs="Arial"/>
                <w:szCs w:val="18"/>
              </w:rPr>
              <w:t xml:space="preserve"> determine the fishable area based on the biology of key species. In SA, the professional, recreational and traditional fishing sectors are allocated a share of the aquatic resources. This allocation policy is separate to individual transferable quota entitlements within the fishery.</w:t>
            </w:r>
          </w:p>
        </w:tc>
      </w:tr>
      <w:tr w:rsidR="00371E8B" w:rsidRPr="00680FA6" w14:paraId="56D2C7E4" w14:textId="77777777" w:rsidTr="00680FA6">
        <w:tc>
          <w:tcPr>
            <w:tcW w:w="1500" w:type="pct"/>
            <w:gridSpan w:val="2"/>
            <w:shd w:val="clear" w:color="auto" w:fill="DAEEF3"/>
          </w:tcPr>
          <w:p w14:paraId="7D91A0CD" w14:textId="0DEF2114" w:rsidR="00371E8B" w:rsidRPr="00680FA6" w:rsidRDefault="00371E8B" w:rsidP="005E2D35">
            <w:pPr>
              <w:rPr>
                <w:rFonts w:cs="Arial"/>
                <w:b/>
                <w:bCs/>
                <w:i/>
                <w:iCs/>
                <w:szCs w:val="18"/>
              </w:rPr>
            </w:pPr>
            <w:r w:rsidRPr="00680FA6">
              <w:rPr>
                <w:rFonts w:cs="Arial"/>
                <w:b/>
                <w:bCs/>
                <w:i/>
                <w:iCs/>
                <w:szCs w:val="18"/>
              </w:rPr>
              <w:t xml:space="preserve">Management responses </w:t>
            </w:r>
          </w:p>
        </w:tc>
      </w:tr>
      <w:tr w:rsidR="008731A5" w:rsidRPr="00680FA6" w14:paraId="51F6B96C" w14:textId="77777777" w:rsidTr="00680FA6">
        <w:tc>
          <w:tcPr>
            <w:tcW w:w="1500" w:type="pct"/>
          </w:tcPr>
          <w:p w14:paraId="37D19E12" w14:textId="222E8695" w:rsidR="008731A5" w:rsidRPr="00680FA6" w:rsidRDefault="008731A5" w:rsidP="00EB0BC0">
            <w:pPr>
              <w:autoSpaceDE w:val="0"/>
              <w:autoSpaceDN w:val="0"/>
              <w:adjustRightInd w:val="0"/>
              <w:rPr>
                <w:rFonts w:cs="Arial"/>
                <w:b/>
                <w:bCs/>
                <w:i/>
                <w:iCs/>
                <w:szCs w:val="18"/>
              </w:rPr>
            </w:pPr>
            <w:r w:rsidRPr="00680FA6">
              <w:rPr>
                <w:rFonts w:cs="Arial"/>
                <w:b/>
                <w:bCs/>
                <w:i/>
                <w:iCs/>
                <w:szCs w:val="18"/>
              </w:rPr>
              <w:t xml:space="preserve">1.1.6 </w:t>
            </w:r>
            <w:r w:rsidRPr="00680FA6">
              <w:rPr>
                <w:rFonts w:cs="Arial"/>
                <w:szCs w:val="18"/>
              </w:rPr>
              <w:t>There are reference points (target and/or limit), that trigger management actions including a biological bottom line and/or a catch or effort upper limit beyond which the stock should not be taken.</w:t>
            </w:r>
          </w:p>
        </w:tc>
        <w:tc>
          <w:tcPr>
            <w:tcW w:w="3500" w:type="pct"/>
            <w:shd w:val="clear" w:color="auto" w:fill="92D050"/>
          </w:tcPr>
          <w:p w14:paraId="0EE9CA34" w14:textId="02EC0F23" w:rsidR="00851986" w:rsidRPr="00680FA6" w:rsidRDefault="008731A5" w:rsidP="00EB0BC0">
            <w:pPr>
              <w:rPr>
                <w:rFonts w:cs="Arial"/>
                <w:szCs w:val="18"/>
              </w:rPr>
            </w:pPr>
            <w:r w:rsidRPr="00680FA6">
              <w:rPr>
                <w:rFonts w:cs="Arial"/>
                <w:b/>
                <w:szCs w:val="18"/>
              </w:rPr>
              <w:t>Meets</w:t>
            </w:r>
          </w:p>
          <w:p w14:paraId="325A6C3A" w14:textId="7FEEA9FF" w:rsidR="005268D1" w:rsidRPr="00680FA6" w:rsidRDefault="00FF3721" w:rsidP="005268D1">
            <w:pPr>
              <w:rPr>
                <w:rFonts w:cs="Arial"/>
                <w:szCs w:val="18"/>
              </w:rPr>
            </w:pPr>
            <w:r w:rsidRPr="00680FA6">
              <w:rPr>
                <w:rFonts w:cs="Arial"/>
                <w:szCs w:val="18"/>
              </w:rPr>
              <w:t xml:space="preserve">The Fishery </w:t>
            </w:r>
            <w:r w:rsidR="008731A5" w:rsidRPr="00680FA6">
              <w:rPr>
                <w:rFonts w:cs="Arial"/>
                <w:szCs w:val="18"/>
              </w:rPr>
              <w:t xml:space="preserve">Management </w:t>
            </w:r>
            <w:r w:rsidRPr="00680FA6">
              <w:rPr>
                <w:rFonts w:cs="Arial"/>
                <w:szCs w:val="18"/>
              </w:rPr>
              <w:t>Plan</w:t>
            </w:r>
            <w:r w:rsidR="008731A5" w:rsidRPr="00680FA6">
              <w:rPr>
                <w:rFonts w:cs="Arial"/>
                <w:szCs w:val="18"/>
              </w:rPr>
              <w:t xml:space="preserve"> </w:t>
            </w:r>
            <w:r w:rsidR="00A95D2C">
              <w:rPr>
                <w:rFonts w:cs="Arial"/>
                <w:szCs w:val="18"/>
              </w:rPr>
              <w:t>(see PIRSA 2016)</w:t>
            </w:r>
            <w:r w:rsidR="00A95D2C" w:rsidRPr="00680FA6">
              <w:rPr>
                <w:rFonts w:cs="Arial"/>
                <w:szCs w:val="18"/>
              </w:rPr>
              <w:t xml:space="preserve"> </w:t>
            </w:r>
            <w:r w:rsidRPr="00680FA6">
              <w:rPr>
                <w:rFonts w:cs="Arial"/>
                <w:szCs w:val="18"/>
              </w:rPr>
              <w:t>includes</w:t>
            </w:r>
            <w:r w:rsidR="001028CF">
              <w:rPr>
                <w:rFonts w:cs="Arial"/>
                <w:szCs w:val="18"/>
              </w:rPr>
              <w:t xml:space="preserve"> separate harvest strategies for the pipi </w:t>
            </w:r>
            <w:r w:rsidR="00A95D2C">
              <w:rPr>
                <w:rFonts w:cs="Arial"/>
                <w:szCs w:val="18"/>
              </w:rPr>
              <w:t xml:space="preserve">(p. 85) and net (p. 95) </w:t>
            </w:r>
            <w:r w:rsidR="006308C2">
              <w:rPr>
                <w:rFonts w:cs="Arial"/>
                <w:szCs w:val="18"/>
              </w:rPr>
              <w:t>fisheries</w:t>
            </w:r>
            <w:r w:rsidR="001028CF">
              <w:rPr>
                <w:rFonts w:cs="Arial"/>
                <w:szCs w:val="18"/>
              </w:rPr>
              <w:t>.</w:t>
            </w:r>
            <w:r w:rsidRPr="00680FA6">
              <w:rPr>
                <w:rFonts w:cs="Arial"/>
                <w:szCs w:val="18"/>
              </w:rPr>
              <w:t xml:space="preserve"> </w:t>
            </w:r>
            <w:r w:rsidR="00A95D2C">
              <w:rPr>
                <w:rFonts w:cs="Arial"/>
                <w:szCs w:val="18"/>
              </w:rPr>
              <w:t>The pipi harvest strategy</w:t>
            </w:r>
            <w:r w:rsidR="00653723">
              <w:rPr>
                <w:rFonts w:cs="Arial"/>
                <w:szCs w:val="18"/>
              </w:rPr>
              <w:t xml:space="preserve"> </w:t>
            </w:r>
            <w:r w:rsidR="00BE26D4">
              <w:rPr>
                <w:rFonts w:cs="Arial"/>
                <w:szCs w:val="18"/>
              </w:rPr>
              <w:t>includes</w:t>
            </w:r>
            <w:r w:rsidR="00B92639">
              <w:rPr>
                <w:rFonts w:cs="Arial"/>
                <w:szCs w:val="18"/>
              </w:rPr>
              <w:t xml:space="preserve"> objectives</w:t>
            </w:r>
            <w:r w:rsidR="00BE26D4">
              <w:rPr>
                <w:rFonts w:cs="Arial"/>
                <w:szCs w:val="18"/>
              </w:rPr>
              <w:t>,</w:t>
            </w:r>
            <w:r w:rsidR="00B92639">
              <w:rPr>
                <w:rFonts w:cs="Arial"/>
                <w:szCs w:val="18"/>
              </w:rPr>
              <w:t xml:space="preserve"> strategies</w:t>
            </w:r>
            <w:r w:rsidR="00BE26D4">
              <w:rPr>
                <w:rFonts w:cs="Arial"/>
                <w:szCs w:val="18"/>
              </w:rPr>
              <w:t>, and performance measures</w:t>
            </w:r>
            <w:r w:rsidR="00653723">
              <w:rPr>
                <w:rFonts w:cs="Arial"/>
                <w:szCs w:val="18"/>
              </w:rPr>
              <w:t xml:space="preserve"> based</w:t>
            </w:r>
            <w:r w:rsidR="006308C2">
              <w:rPr>
                <w:rFonts w:cs="Arial"/>
                <w:szCs w:val="18"/>
              </w:rPr>
              <w:t xml:space="preserve"> on</w:t>
            </w:r>
            <w:r w:rsidR="00A95D2C">
              <w:rPr>
                <w:rFonts w:cs="Arial"/>
                <w:szCs w:val="18"/>
              </w:rPr>
              <w:t xml:space="preserve"> biological performance indicators, economic performance indicators, and reference points and decision rules </w:t>
            </w:r>
            <w:r w:rsidR="00E91232">
              <w:rPr>
                <w:rFonts w:cs="Arial"/>
                <w:szCs w:val="18"/>
              </w:rPr>
              <w:t>that</w:t>
            </w:r>
            <w:r w:rsidR="00A95D2C">
              <w:rPr>
                <w:rFonts w:cs="Arial"/>
                <w:szCs w:val="18"/>
              </w:rPr>
              <w:t xml:space="preserve"> guide the TACC setting process. The net </w:t>
            </w:r>
            <w:r w:rsidR="005268D1">
              <w:rPr>
                <w:rFonts w:cs="Arial"/>
                <w:szCs w:val="18"/>
              </w:rPr>
              <w:t>fishery</w:t>
            </w:r>
            <w:r w:rsidR="00A95D2C">
              <w:rPr>
                <w:rFonts w:cs="Arial"/>
                <w:szCs w:val="18"/>
              </w:rPr>
              <w:t xml:space="preserve"> harvest strategy</w:t>
            </w:r>
            <w:r w:rsidR="0052179B">
              <w:rPr>
                <w:rFonts w:cs="Arial"/>
                <w:szCs w:val="18"/>
              </w:rPr>
              <w:t xml:space="preserve"> </w:t>
            </w:r>
            <w:r w:rsidR="00BE26D4">
              <w:rPr>
                <w:rFonts w:cs="Arial"/>
                <w:szCs w:val="18"/>
              </w:rPr>
              <w:t xml:space="preserve">includes </w:t>
            </w:r>
            <w:r w:rsidR="0052179B">
              <w:rPr>
                <w:rFonts w:cs="Arial"/>
                <w:szCs w:val="18"/>
              </w:rPr>
              <w:t>objectives</w:t>
            </w:r>
            <w:r w:rsidR="00BE26D4">
              <w:rPr>
                <w:rFonts w:cs="Arial"/>
                <w:szCs w:val="18"/>
              </w:rPr>
              <w:t>, and</w:t>
            </w:r>
            <w:r w:rsidR="0052179B">
              <w:rPr>
                <w:rFonts w:cs="Arial"/>
                <w:szCs w:val="18"/>
              </w:rPr>
              <w:t xml:space="preserve"> </w:t>
            </w:r>
            <w:r w:rsidR="00BE26D4">
              <w:rPr>
                <w:rFonts w:cs="Arial"/>
                <w:szCs w:val="18"/>
              </w:rPr>
              <w:t>performance measures</w:t>
            </w:r>
            <w:r w:rsidR="002E74B7">
              <w:rPr>
                <w:rFonts w:cs="Arial"/>
                <w:szCs w:val="18"/>
              </w:rPr>
              <w:t>. The decision rules are</w:t>
            </w:r>
            <w:r w:rsidR="00BE26D4">
              <w:rPr>
                <w:rFonts w:cs="Arial"/>
                <w:szCs w:val="18"/>
              </w:rPr>
              <w:t xml:space="preserve"> </w:t>
            </w:r>
            <w:r w:rsidR="002E74B7">
              <w:rPr>
                <w:rFonts w:cs="Arial"/>
                <w:szCs w:val="18"/>
              </w:rPr>
              <w:t>based on</w:t>
            </w:r>
            <w:r w:rsidR="00653723">
              <w:rPr>
                <w:rFonts w:cs="Arial"/>
                <w:szCs w:val="18"/>
              </w:rPr>
              <w:t xml:space="preserve"> </w:t>
            </w:r>
            <w:r w:rsidR="00B92639">
              <w:rPr>
                <w:rFonts w:cs="Arial"/>
                <w:szCs w:val="18"/>
              </w:rPr>
              <w:t xml:space="preserve">environmental performance indicators </w:t>
            </w:r>
            <w:r w:rsidR="005268D1">
              <w:rPr>
                <w:rFonts w:cs="Arial"/>
                <w:szCs w:val="18"/>
              </w:rPr>
              <w:t xml:space="preserve">– the </w:t>
            </w:r>
            <w:r w:rsidR="00B92639">
              <w:rPr>
                <w:rFonts w:cs="Arial"/>
                <w:szCs w:val="18"/>
              </w:rPr>
              <w:t xml:space="preserve">mean annual water level for freshwater, and </w:t>
            </w:r>
            <w:r w:rsidR="0052179B">
              <w:rPr>
                <w:rFonts w:cs="Arial"/>
                <w:szCs w:val="18"/>
              </w:rPr>
              <w:t xml:space="preserve">the amount of </w:t>
            </w:r>
            <w:r w:rsidR="00B92639">
              <w:rPr>
                <w:rFonts w:cs="Arial"/>
                <w:szCs w:val="18"/>
              </w:rPr>
              <w:t xml:space="preserve">fishable </w:t>
            </w:r>
            <w:r w:rsidR="0052179B">
              <w:rPr>
                <w:rFonts w:cs="Arial"/>
                <w:szCs w:val="18"/>
              </w:rPr>
              <w:t>area</w:t>
            </w:r>
            <w:r w:rsidR="00B92639">
              <w:rPr>
                <w:rFonts w:cs="Arial"/>
                <w:szCs w:val="18"/>
              </w:rPr>
              <w:t xml:space="preserve"> and salinity tolerance of key species for estuarine </w:t>
            </w:r>
            <w:r w:rsidR="0052179B">
              <w:rPr>
                <w:rFonts w:cs="Arial"/>
                <w:szCs w:val="18"/>
              </w:rPr>
              <w:t>habitats.</w:t>
            </w:r>
            <w:r w:rsidR="00332040">
              <w:rPr>
                <w:rFonts w:cs="Arial"/>
                <w:szCs w:val="18"/>
              </w:rPr>
              <w:t xml:space="preserve"> There are no primary biological decision rules proposed</w:t>
            </w:r>
            <w:r w:rsidR="002E74B7">
              <w:rPr>
                <w:rFonts w:cs="Arial"/>
                <w:szCs w:val="18"/>
              </w:rPr>
              <w:t>, h</w:t>
            </w:r>
            <w:r w:rsidR="00332040">
              <w:rPr>
                <w:rFonts w:cs="Arial"/>
                <w:szCs w:val="18"/>
              </w:rPr>
              <w:t xml:space="preserve">owever environmental </w:t>
            </w:r>
            <w:r w:rsidR="00332040">
              <w:rPr>
                <w:rFonts w:cs="Arial"/>
                <w:szCs w:val="18"/>
              </w:rPr>
              <w:lastRenderedPageBreak/>
              <w:t xml:space="preserve">performance indicators </w:t>
            </w:r>
            <w:r w:rsidR="002E74B7">
              <w:rPr>
                <w:rFonts w:cs="Arial"/>
                <w:szCs w:val="18"/>
              </w:rPr>
              <w:t xml:space="preserve">have been </w:t>
            </w:r>
            <w:r w:rsidR="00BE26D4">
              <w:rPr>
                <w:rFonts w:cs="Arial"/>
                <w:szCs w:val="18"/>
              </w:rPr>
              <w:t xml:space="preserve">developed </w:t>
            </w:r>
            <w:r w:rsidR="002E74B7">
              <w:rPr>
                <w:rFonts w:cs="Arial"/>
                <w:szCs w:val="18"/>
              </w:rPr>
              <w:t xml:space="preserve">as surrogate metrics for population abundance (Ferguson and Ward 2014; </w:t>
            </w:r>
            <w:r w:rsidR="00885C56">
              <w:rPr>
                <w:rFonts w:cs="Arial"/>
                <w:szCs w:val="18"/>
              </w:rPr>
              <w:t>Knuckey et al. 2015).</w:t>
            </w:r>
          </w:p>
        </w:tc>
      </w:tr>
      <w:tr w:rsidR="008731A5" w:rsidRPr="00680FA6" w14:paraId="31A6BE89" w14:textId="77777777" w:rsidTr="00680FA6">
        <w:tc>
          <w:tcPr>
            <w:tcW w:w="1500" w:type="pct"/>
          </w:tcPr>
          <w:p w14:paraId="4CC54A7F" w14:textId="1ECFA5FC" w:rsidR="008731A5" w:rsidRPr="00680FA6" w:rsidRDefault="008731A5" w:rsidP="00EB0BC0">
            <w:pPr>
              <w:autoSpaceDE w:val="0"/>
              <w:autoSpaceDN w:val="0"/>
              <w:adjustRightInd w:val="0"/>
              <w:rPr>
                <w:rFonts w:cs="Arial"/>
                <w:b/>
                <w:bCs/>
                <w:i/>
                <w:iCs/>
                <w:szCs w:val="18"/>
              </w:rPr>
            </w:pPr>
            <w:r w:rsidRPr="00680FA6">
              <w:rPr>
                <w:rFonts w:cs="Arial"/>
                <w:b/>
                <w:bCs/>
                <w:i/>
                <w:iCs/>
                <w:szCs w:val="18"/>
              </w:rPr>
              <w:lastRenderedPageBreak/>
              <w:t xml:space="preserve">1.1.7 </w:t>
            </w:r>
            <w:r w:rsidRPr="00680FA6">
              <w:rPr>
                <w:rFonts w:cs="Arial"/>
                <w:szCs w:val="18"/>
              </w:rPr>
              <w:t>There are management strategies in place capable of controlling the level of take.</w:t>
            </w:r>
          </w:p>
        </w:tc>
        <w:tc>
          <w:tcPr>
            <w:tcW w:w="3500" w:type="pct"/>
            <w:shd w:val="clear" w:color="auto" w:fill="92D050"/>
          </w:tcPr>
          <w:p w14:paraId="7760E14A" w14:textId="58121916" w:rsidR="00851986" w:rsidRPr="00680FA6" w:rsidRDefault="008731A5" w:rsidP="00EB0BC0">
            <w:pPr>
              <w:rPr>
                <w:rFonts w:cs="Arial"/>
                <w:szCs w:val="18"/>
              </w:rPr>
            </w:pPr>
            <w:r w:rsidRPr="00680FA6">
              <w:rPr>
                <w:rFonts w:cs="Arial"/>
                <w:b/>
                <w:szCs w:val="18"/>
              </w:rPr>
              <w:t>Meets</w:t>
            </w:r>
          </w:p>
          <w:p w14:paraId="0F14F279" w14:textId="70641AD5" w:rsidR="005268D1" w:rsidRPr="00680FA6" w:rsidRDefault="00FF3721" w:rsidP="00EB0BC0">
            <w:pPr>
              <w:rPr>
                <w:rFonts w:cs="Arial"/>
                <w:szCs w:val="18"/>
                <w:lang w:eastAsia="en-AU"/>
              </w:rPr>
            </w:pPr>
            <w:r w:rsidRPr="00680FA6">
              <w:rPr>
                <w:rFonts w:cs="Arial"/>
                <w:szCs w:val="18"/>
              </w:rPr>
              <w:t xml:space="preserve">The Fishery Management Plan includes </w:t>
            </w:r>
            <w:r w:rsidR="008731A5" w:rsidRPr="00680FA6">
              <w:rPr>
                <w:rFonts w:cs="Arial"/>
                <w:szCs w:val="18"/>
              </w:rPr>
              <w:t xml:space="preserve">strategies </w:t>
            </w:r>
            <w:r w:rsidRPr="00680FA6">
              <w:rPr>
                <w:rFonts w:cs="Arial"/>
                <w:szCs w:val="18"/>
              </w:rPr>
              <w:t>that aim to control</w:t>
            </w:r>
            <w:r w:rsidR="008731A5" w:rsidRPr="00680FA6">
              <w:rPr>
                <w:rFonts w:cs="Arial"/>
                <w:szCs w:val="18"/>
              </w:rPr>
              <w:t xml:space="preserve"> the level of take </w:t>
            </w:r>
            <w:r w:rsidRPr="00680FA6">
              <w:rPr>
                <w:rFonts w:cs="Arial"/>
                <w:szCs w:val="18"/>
              </w:rPr>
              <w:t>such as</w:t>
            </w:r>
            <w:r w:rsidR="008731A5" w:rsidRPr="00680FA6">
              <w:rPr>
                <w:rFonts w:cs="Arial"/>
                <w:szCs w:val="18"/>
              </w:rPr>
              <w:t xml:space="preserve"> l</w:t>
            </w:r>
            <w:r w:rsidR="008731A5" w:rsidRPr="00680FA6">
              <w:rPr>
                <w:rFonts w:cs="Arial"/>
                <w:szCs w:val="18"/>
                <w:lang w:eastAsia="en-AU"/>
              </w:rPr>
              <w:t>imited entry, area and seasonal closures, and gear restrictions linked to fishing licence</w:t>
            </w:r>
            <w:r w:rsidRPr="00680FA6">
              <w:rPr>
                <w:rFonts w:cs="Arial"/>
                <w:szCs w:val="18"/>
                <w:lang w:eastAsia="en-AU"/>
              </w:rPr>
              <w:t>s</w:t>
            </w:r>
            <w:r w:rsidR="008731A5" w:rsidRPr="00680FA6">
              <w:rPr>
                <w:rFonts w:cs="Arial"/>
                <w:szCs w:val="18"/>
                <w:lang w:eastAsia="en-AU"/>
              </w:rPr>
              <w:t>.</w:t>
            </w:r>
          </w:p>
        </w:tc>
      </w:tr>
      <w:tr w:rsidR="008731A5" w:rsidRPr="00680FA6" w14:paraId="2457E862" w14:textId="77777777" w:rsidTr="00680FA6">
        <w:tc>
          <w:tcPr>
            <w:tcW w:w="1500" w:type="pct"/>
          </w:tcPr>
          <w:p w14:paraId="4099D757" w14:textId="5141851D" w:rsidR="008731A5" w:rsidRPr="00680FA6" w:rsidRDefault="008731A5" w:rsidP="00EB0BC0">
            <w:pPr>
              <w:autoSpaceDE w:val="0"/>
              <w:autoSpaceDN w:val="0"/>
              <w:adjustRightInd w:val="0"/>
              <w:rPr>
                <w:rFonts w:cs="Arial"/>
                <w:b/>
                <w:i/>
                <w:szCs w:val="18"/>
              </w:rPr>
            </w:pPr>
            <w:r w:rsidRPr="00680FA6">
              <w:rPr>
                <w:rFonts w:cs="Arial"/>
                <w:b/>
                <w:bCs/>
                <w:i/>
                <w:iCs/>
                <w:szCs w:val="18"/>
              </w:rPr>
              <w:t xml:space="preserve">1.1.8 </w:t>
            </w:r>
            <w:r w:rsidRPr="00680FA6">
              <w:rPr>
                <w:rFonts w:cs="Arial"/>
                <w:szCs w:val="18"/>
              </w:rPr>
              <w:t>Fishing is conducted in a manner that does not threaten stocks of byproduct species.</w:t>
            </w:r>
          </w:p>
        </w:tc>
        <w:tc>
          <w:tcPr>
            <w:tcW w:w="3500" w:type="pct"/>
            <w:shd w:val="clear" w:color="auto" w:fill="FFC000"/>
          </w:tcPr>
          <w:p w14:paraId="2FA1B493" w14:textId="1147A579" w:rsidR="00851986" w:rsidRPr="00680FA6" w:rsidRDefault="00525809" w:rsidP="00EB0BC0">
            <w:pPr>
              <w:rPr>
                <w:rFonts w:cs="Arial"/>
                <w:szCs w:val="18"/>
              </w:rPr>
            </w:pPr>
            <w:r w:rsidRPr="00680FA6">
              <w:rPr>
                <w:rFonts w:cs="Arial"/>
                <w:b/>
                <w:szCs w:val="18"/>
              </w:rPr>
              <w:t>Partially meets</w:t>
            </w:r>
          </w:p>
          <w:p w14:paraId="30F78FE4" w14:textId="02E7DB67" w:rsidR="005268D1" w:rsidRPr="00680FA6" w:rsidRDefault="000D6103" w:rsidP="00EB0BC0">
            <w:pPr>
              <w:rPr>
                <w:rFonts w:cs="Arial"/>
                <w:szCs w:val="18"/>
              </w:rPr>
            </w:pPr>
            <w:r w:rsidRPr="00FF52BD">
              <w:rPr>
                <w:rFonts w:cs="Arial"/>
                <w:szCs w:val="18"/>
              </w:rPr>
              <w:t xml:space="preserve">The </w:t>
            </w:r>
            <w:r w:rsidR="00525809" w:rsidRPr="00680FA6">
              <w:rPr>
                <w:rFonts w:cs="Arial"/>
                <w:szCs w:val="18"/>
              </w:rPr>
              <w:t>Environmental Sustainable Development risk assessment determined that the impact on byproduct species was negligible to low (PIRSA 2011). PIRSA consider the overall fishing effort to be moderate</w:t>
            </w:r>
            <w:r w:rsidR="005268D1">
              <w:rPr>
                <w:rFonts w:cs="Arial"/>
                <w:szCs w:val="18"/>
              </w:rPr>
              <w:t>.</w:t>
            </w:r>
            <w:r w:rsidR="00525809" w:rsidRPr="00680FA6">
              <w:rPr>
                <w:rFonts w:cs="Arial"/>
                <w:szCs w:val="18"/>
              </w:rPr>
              <w:t xml:space="preserve"> </w:t>
            </w:r>
            <w:r w:rsidR="005268D1">
              <w:rPr>
                <w:rFonts w:cs="Arial"/>
                <w:szCs w:val="18"/>
              </w:rPr>
              <w:t>H</w:t>
            </w:r>
            <w:r w:rsidR="00525809" w:rsidRPr="00680FA6">
              <w:rPr>
                <w:rFonts w:cs="Arial"/>
                <w:szCs w:val="18"/>
              </w:rPr>
              <w:t>owever</w:t>
            </w:r>
            <w:r w:rsidR="005268D1">
              <w:rPr>
                <w:rFonts w:cs="Arial"/>
                <w:szCs w:val="18"/>
              </w:rPr>
              <w:t>, the net fishery uses non-selective fishing</w:t>
            </w:r>
            <w:r w:rsidR="00525809" w:rsidRPr="00680FA6">
              <w:rPr>
                <w:rFonts w:cs="Arial"/>
                <w:szCs w:val="18"/>
              </w:rPr>
              <w:t xml:space="preserve"> </w:t>
            </w:r>
            <w:r w:rsidR="005268D1">
              <w:rPr>
                <w:rFonts w:cs="Arial"/>
                <w:szCs w:val="18"/>
              </w:rPr>
              <w:t>methods and gear</w:t>
            </w:r>
            <w:r w:rsidR="00525809" w:rsidRPr="00680FA6">
              <w:rPr>
                <w:rFonts w:cs="Arial"/>
                <w:szCs w:val="18"/>
              </w:rPr>
              <w:t xml:space="preserve">. </w:t>
            </w:r>
            <w:r w:rsidR="005268D1">
              <w:rPr>
                <w:rFonts w:cs="Arial"/>
                <w:szCs w:val="18"/>
              </w:rPr>
              <w:t>T</w:t>
            </w:r>
            <w:r w:rsidR="00525809" w:rsidRPr="00680FA6">
              <w:rPr>
                <w:rFonts w:cs="Arial"/>
                <w:szCs w:val="18"/>
              </w:rPr>
              <w:t xml:space="preserve">he amounts and types of byproduct species are recorded in daily catch logs, </w:t>
            </w:r>
            <w:r w:rsidR="005268D1">
              <w:rPr>
                <w:rFonts w:cs="Arial"/>
                <w:szCs w:val="18"/>
              </w:rPr>
              <w:t>but there are no stock assessments for any byproduct s</w:t>
            </w:r>
            <w:r w:rsidR="00525809" w:rsidRPr="00680FA6">
              <w:rPr>
                <w:rFonts w:cs="Arial"/>
                <w:szCs w:val="18"/>
              </w:rPr>
              <w:t>pecies’ stock</w:t>
            </w:r>
            <w:r w:rsidR="005268D1">
              <w:rPr>
                <w:rFonts w:cs="Arial"/>
                <w:szCs w:val="18"/>
              </w:rPr>
              <w:t>.</w:t>
            </w:r>
          </w:p>
        </w:tc>
      </w:tr>
      <w:tr w:rsidR="008731A5" w:rsidRPr="00680FA6" w14:paraId="2961A6DF" w14:textId="77777777" w:rsidTr="00680FA6">
        <w:tc>
          <w:tcPr>
            <w:tcW w:w="1500" w:type="pct"/>
            <w:gridSpan w:val="2"/>
            <w:shd w:val="clear" w:color="auto" w:fill="DAEEF3"/>
            <w:vAlign w:val="center"/>
          </w:tcPr>
          <w:p w14:paraId="27314CF2" w14:textId="1145FA42" w:rsidR="008731A5" w:rsidRPr="00680FA6" w:rsidRDefault="008731A5" w:rsidP="005E2D35">
            <w:pPr>
              <w:rPr>
                <w:rFonts w:cs="Arial"/>
                <w:szCs w:val="18"/>
              </w:rPr>
            </w:pPr>
            <w:r w:rsidRPr="00680FA6">
              <w:rPr>
                <w:rFonts w:cs="Arial"/>
                <w:szCs w:val="18"/>
              </w:rPr>
              <w:t xml:space="preserve">(Guidelines 1.1.1 to 1.1.7 should be applied to byproduct species to an appropriate level) </w:t>
            </w:r>
          </w:p>
        </w:tc>
      </w:tr>
      <w:tr w:rsidR="008731A5" w:rsidRPr="00680FA6" w14:paraId="4222D52C" w14:textId="77777777" w:rsidTr="00680FA6">
        <w:tc>
          <w:tcPr>
            <w:tcW w:w="1500" w:type="pct"/>
          </w:tcPr>
          <w:p w14:paraId="4861A5F6" w14:textId="75B152BD" w:rsidR="008731A5" w:rsidRPr="00680FA6" w:rsidRDefault="008731A5" w:rsidP="00EB0BC0">
            <w:pPr>
              <w:autoSpaceDE w:val="0"/>
              <w:autoSpaceDN w:val="0"/>
              <w:adjustRightInd w:val="0"/>
              <w:rPr>
                <w:rFonts w:cs="Arial"/>
                <w:szCs w:val="18"/>
              </w:rPr>
            </w:pPr>
            <w:r w:rsidRPr="00680FA6">
              <w:rPr>
                <w:rFonts w:cs="Arial"/>
                <w:b/>
                <w:bCs/>
                <w:i/>
                <w:iCs/>
                <w:szCs w:val="18"/>
              </w:rPr>
              <w:t xml:space="preserve">1.1.9 </w:t>
            </w:r>
            <w:r w:rsidRPr="00680FA6">
              <w:rPr>
                <w:rFonts w:cs="Arial"/>
                <w:szCs w:val="18"/>
              </w:rPr>
              <w:t>The management response, considering uncertainties in the assessment and precautionary management actions, has a high chance of achieving the objective.</w:t>
            </w:r>
          </w:p>
        </w:tc>
        <w:tc>
          <w:tcPr>
            <w:tcW w:w="3500" w:type="pct"/>
            <w:shd w:val="clear" w:color="auto" w:fill="92D050"/>
          </w:tcPr>
          <w:p w14:paraId="023B45FA" w14:textId="089686EF" w:rsidR="00851986" w:rsidRPr="005325B2" w:rsidRDefault="00525809" w:rsidP="00EB0BC0">
            <w:pPr>
              <w:rPr>
                <w:rFonts w:cs="Arial"/>
                <w:szCs w:val="18"/>
              </w:rPr>
            </w:pPr>
            <w:r w:rsidRPr="005325B2">
              <w:rPr>
                <w:rFonts w:cs="Arial"/>
                <w:b/>
                <w:szCs w:val="18"/>
              </w:rPr>
              <w:t>Meets</w:t>
            </w:r>
          </w:p>
          <w:p w14:paraId="6EC2CC41" w14:textId="513B26E7" w:rsidR="008731A5" w:rsidRPr="00680FA6" w:rsidRDefault="005A7949" w:rsidP="00EB0BC0">
            <w:pPr>
              <w:rPr>
                <w:rFonts w:cs="Arial"/>
                <w:szCs w:val="18"/>
              </w:rPr>
            </w:pPr>
            <w:r w:rsidRPr="005325B2">
              <w:rPr>
                <w:rFonts w:cs="Arial"/>
                <w:szCs w:val="18"/>
              </w:rPr>
              <w:t xml:space="preserve">Overall, the </w:t>
            </w:r>
            <w:r w:rsidR="0032254A" w:rsidRPr="005325B2">
              <w:rPr>
                <w:rFonts w:cs="Arial"/>
                <w:szCs w:val="18"/>
              </w:rPr>
              <w:t>m</w:t>
            </w:r>
            <w:r w:rsidR="00525809" w:rsidRPr="005325B2">
              <w:rPr>
                <w:rFonts w:cs="Arial"/>
                <w:szCs w:val="18"/>
              </w:rPr>
              <w:t xml:space="preserve">anagement arrangements are considered </w:t>
            </w:r>
            <w:r w:rsidRPr="005325B2">
              <w:rPr>
                <w:rFonts w:cs="Arial"/>
                <w:szCs w:val="18"/>
              </w:rPr>
              <w:t>likely to meet the objective to conduct the fishery at catch levels that maintain target and byproduct stocks at an acceptable level</w:t>
            </w:r>
            <w:r w:rsidR="00525809" w:rsidRPr="005325B2">
              <w:rPr>
                <w:rFonts w:cs="Arial"/>
                <w:szCs w:val="18"/>
              </w:rPr>
              <w:t>.</w:t>
            </w:r>
          </w:p>
        </w:tc>
      </w:tr>
      <w:tr w:rsidR="008731A5" w:rsidRPr="00680FA6" w14:paraId="5014C200" w14:textId="77777777" w:rsidTr="00680FA6">
        <w:tc>
          <w:tcPr>
            <w:tcW w:w="1500" w:type="pct"/>
            <w:gridSpan w:val="2"/>
            <w:shd w:val="clear" w:color="auto" w:fill="DAEEF3"/>
          </w:tcPr>
          <w:p w14:paraId="4D58C0B1" w14:textId="5A3A69FE" w:rsidR="008731A5" w:rsidRPr="00680FA6" w:rsidRDefault="008731A5" w:rsidP="005E2D35">
            <w:pPr>
              <w:rPr>
                <w:rFonts w:cs="Arial"/>
                <w:b/>
                <w:bCs/>
                <w:szCs w:val="18"/>
              </w:rPr>
            </w:pPr>
            <w:r w:rsidRPr="00680FA6">
              <w:rPr>
                <w:rFonts w:cs="Arial"/>
                <w:b/>
                <w:bCs/>
                <w:szCs w:val="18"/>
              </w:rPr>
              <w:t>If overfished, go to Objective 2:</w:t>
            </w:r>
          </w:p>
          <w:p w14:paraId="60E5199F" w14:textId="204034E8" w:rsidR="008731A5" w:rsidRPr="00680FA6" w:rsidRDefault="008731A5" w:rsidP="005E2D35">
            <w:pPr>
              <w:rPr>
                <w:rFonts w:cs="Arial"/>
                <w:b/>
                <w:bCs/>
                <w:szCs w:val="18"/>
              </w:rPr>
            </w:pPr>
            <w:r w:rsidRPr="00680FA6">
              <w:rPr>
                <w:rFonts w:cs="Arial"/>
                <w:b/>
                <w:bCs/>
                <w:szCs w:val="18"/>
              </w:rPr>
              <w:t>If not overfished, go to PRINCIPLE 2:</w:t>
            </w:r>
          </w:p>
        </w:tc>
      </w:tr>
      <w:tr w:rsidR="008731A5" w:rsidRPr="00680FA6" w14:paraId="4A7FBAAA" w14:textId="77777777" w:rsidTr="00680FA6">
        <w:tc>
          <w:tcPr>
            <w:tcW w:w="1500" w:type="pct"/>
            <w:gridSpan w:val="2"/>
            <w:shd w:val="clear" w:color="auto" w:fill="B6DDE8"/>
          </w:tcPr>
          <w:p w14:paraId="476360A7" w14:textId="77A56C7F" w:rsidR="008731A5" w:rsidRPr="00680FA6" w:rsidRDefault="008731A5" w:rsidP="005E2D35">
            <w:pPr>
              <w:rPr>
                <w:rFonts w:cs="Arial"/>
                <w:b/>
                <w:bCs/>
                <w:szCs w:val="18"/>
              </w:rPr>
            </w:pPr>
            <w:r w:rsidRPr="00680FA6">
              <w:rPr>
                <w:rFonts w:cs="Arial"/>
                <w:b/>
                <w:bCs/>
                <w:szCs w:val="18"/>
              </w:rPr>
              <w:t xml:space="preserve">Objective 2 - </w:t>
            </w:r>
            <w:r w:rsidRPr="00680FA6">
              <w:rPr>
                <w:rFonts w:cs="Arial"/>
                <w:szCs w:val="18"/>
              </w:rPr>
              <w:t xml:space="preserve">Where the fished stock(s) are below a defined reference point, the fishery will be managed to promote recovery to ecologically viable stock levels within nominated timeframes. </w:t>
            </w:r>
          </w:p>
        </w:tc>
      </w:tr>
      <w:tr w:rsidR="008731A5" w:rsidRPr="00680FA6" w14:paraId="36CC6979" w14:textId="77777777" w:rsidTr="00680FA6">
        <w:tc>
          <w:tcPr>
            <w:tcW w:w="1500" w:type="pct"/>
            <w:gridSpan w:val="2"/>
            <w:shd w:val="clear" w:color="auto" w:fill="DAEEF3"/>
          </w:tcPr>
          <w:p w14:paraId="2128D6FD" w14:textId="444C0412" w:rsidR="008731A5" w:rsidRPr="00680FA6" w:rsidRDefault="008731A5" w:rsidP="005E2D35">
            <w:pPr>
              <w:rPr>
                <w:rFonts w:cs="Arial"/>
                <w:b/>
                <w:bCs/>
                <w:i/>
                <w:iCs/>
                <w:szCs w:val="18"/>
              </w:rPr>
            </w:pPr>
            <w:r w:rsidRPr="00680FA6">
              <w:rPr>
                <w:rFonts w:cs="Arial"/>
                <w:b/>
                <w:bCs/>
                <w:i/>
                <w:iCs/>
                <w:szCs w:val="18"/>
              </w:rPr>
              <w:t xml:space="preserve">Management responses </w:t>
            </w:r>
          </w:p>
        </w:tc>
      </w:tr>
      <w:tr w:rsidR="008731A5" w:rsidRPr="000A6998" w14:paraId="51B761D2" w14:textId="77777777" w:rsidTr="00680FA6">
        <w:tc>
          <w:tcPr>
            <w:tcW w:w="1500" w:type="pct"/>
            <w:tcBorders>
              <w:bottom w:val="single" w:sz="4" w:space="0" w:color="auto"/>
            </w:tcBorders>
          </w:tcPr>
          <w:p w14:paraId="5553280C" w14:textId="5CD107FE" w:rsidR="008731A5" w:rsidRPr="005268D1" w:rsidRDefault="008731A5" w:rsidP="00EB0BC0">
            <w:pPr>
              <w:rPr>
                <w:rFonts w:cs="Arial"/>
                <w:szCs w:val="18"/>
              </w:rPr>
            </w:pPr>
            <w:r w:rsidRPr="000A6998">
              <w:rPr>
                <w:rFonts w:cs="Arial"/>
                <w:b/>
                <w:bCs/>
                <w:i/>
                <w:iCs/>
                <w:szCs w:val="18"/>
              </w:rPr>
              <w:t xml:space="preserve">1.2.1 </w:t>
            </w:r>
            <w:r w:rsidRPr="000A6998">
              <w:rPr>
                <w:rFonts w:cs="Arial"/>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w:t>
            </w:r>
            <w:r w:rsidR="005268D1">
              <w:rPr>
                <w:rFonts w:cs="Arial"/>
                <w:szCs w:val="18"/>
              </w:rPr>
              <w:t>te to the biology of the stock.</w:t>
            </w:r>
          </w:p>
        </w:tc>
        <w:tc>
          <w:tcPr>
            <w:tcW w:w="3500" w:type="pct"/>
            <w:tcBorders>
              <w:bottom w:val="single" w:sz="4" w:space="0" w:color="auto"/>
            </w:tcBorders>
            <w:shd w:val="clear" w:color="auto" w:fill="FFC000"/>
          </w:tcPr>
          <w:p w14:paraId="1FDE75CB" w14:textId="6B626791" w:rsidR="00851986" w:rsidRPr="000A6998" w:rsidRDefault="00E13ADE" w:rsidP="00EB0BC0">
            <w:pPr>
              <w:rPr>
                <w:rFonts w:cs="Arial"/>
                <w:szCs w:val="18"/>
              </w:rPr>
            </w:pPr>
            <w:r w:rsidRPr="000A6998">
              <w:rPr>
                <w:rFonts w:cs="Arial"/>
                <w:b/>
                <w:szCs w:val="18"/>
              </w:rPr>
              <w:t>Partially meets</w:t>
            </w:r>
          </w:p>
          <w:p w14:paraId="170C6625" w14:textId="2BE9769D" w:rsidR="005A7949" w:rsidRPr="000A6998" w:rsidRDefault="005A7949" w:rsidP="00DF4732">
            <w:pPr>
              <w:pStyle w:val="BodyText1"/>
              <w:spacing w:after="60" w:line="240" w:lineRule="auto"/>
              <w:jc w:val="left"/>
              <w:rPr>
                <w:rFonts w:cs="Arial"/>
                <w:szCs w:val="18"/>
              </w:rPr>
            </w:pPr>
            <w:r w:rsidRPr="000A6998">
              <w:rPr>
                <w:rFonts w:cs="Arial"/>
                <w:iCs/>
                <w:szCs w:val="18"/>
              </w:rPr>
              <w:t xml:space="preserve">PIRSA has implemented a precautionary recovery strategy to recover Murray cod stocks. This recovery strategy has been in place since 2011, and will continue until Murray cod stocks are able to be fished sustainably. The management approach includes </w:t>
            </w:r>
            <w:r w:rsidR="005268D1">
              <w:rPr>
                <w:rFonts w:cs="Arial"/>
                <w:iCs/>
                <w:szCs w:val="18"/>
              </w:rPr>
              <w:t xml:space="preserve">an </w:t>
            </w:r>
            <w:r w:rsidRPr="000A6998">
              <w:rPr>
                <w:rFonts w:cs="Arial"/>
                <w:iCs/>
                <w:szCs w:val="18"/>
              </w:rPr>
              <w:t xml:space="preserve">ongoing </w:t>
            </w:r>
            <w:r w:rsidR="001F296F">
              <w:rPr>
                <w:rFonts w:cs="Arial"/>
                <w:iCs/>
                <w:szCs w:val="18"/>
              </w:rPr>
              <w:t>re-</w:t>
            </w:r>
            <w:r w:rsidRPr="000A6998">
              <w:rPr>
                <w:rFonts w:cs="Arial"/>
                <w:iCs/>
                <w:szCs w:val="18"/>
              </w:rPr>
              <w:t xml:space="preserve">stocking </w:t>
            </w:r>
            <w:r w:rsidR="001F296F">
              <w:rPr>
                <w:rFonts w:cs="Arial"/>
                <w:iCs/>
                <w:szCs w:val="18"/>
              </w:rPr>
              <w:t>program</w:t>
            </w:r>
            <w:r w:rsidRPr="000A6998">
              <w:rPr>
                <w:rFonts w:cs="Arial"/>
                <w:iCs/>
                <w:szCs w:val="18"/>
              </w:rPr>
              <w:t>, and ongoing attempts to remove key threatening processes such as exotic species control.</w:t>
            </w:r>
            <w:r w:rsidR="00E97E35">
              <w:rPr>
                <w:rFonts w:cs="Arial"/>
                <w:iCs/>
                <w:szCs w:val="18"/>
              </w:rPr>
              <w:t xml:space="preserve"> </w:t>
            </w:r>
            <w:r w:rsidRPr="000A6998">
              <w:rPr>
                <w:rFonts w:cs="Arial"/>
                <w:szCs w:val="18"/>
              </w:rPr>
              <w:t xml:space="preserve">PIRSA is aware of </w:t>
            </w:r>
            <w:r w:rsidR="000329F3">
              <w:rPr>
                <w:rFonts w:cs="Arial"/>
                <w:szCs w:val="18"/>
              </w:rPr>
              <w:t xml:space="preserve">the </w:t>
            </w:r>
            <w:r w:rsidRPr="000A6998">
              <w:rPr>
                <w:rFonts w:cs="Arial"/>
                <w:szCs w:val="18"/>
              </w:rPr>
              <w:t xml:space="preserve">need to address the decline in catches for black bream to avoid a consequent reduction in the availability of spawning adult fish to sustain the fishery. A recovery strategy for black bream stocks has been developed, but not yet in place. </w:t>
            </w:r>
            <w:r w:rsidRPr="000A6998">
              <w:rPr>
                <w:rFonts w:cs="Arial"/>
                <w:iCs/>
                <w:szCs w:val="18"/>
              </w:rPr>
              <w:t xml:space="preserve">PIRSA </w:t>
            </w:r>
            <w:r w:rsidRPr="000A6998">
              <w:rPr>
                <w:rFonts w:cs="Arial"/>
                <w:szCs w:val="18"/>
              </w:rPr>
              <w:t xml:space="preserve">is in the process of consulting with key stakeholders to determine a suitable management approach to recover </w:t>
            </w:r>
            <w:r w:rsidRPr="000A6998">
              <w:rPr>
                <w:rFonts w:cs="Arial"/>
                <w:iCs/>
                <w:szCs w:val="18"/>
              </w:rPr>
              <w:t xml:space="preserve">these stocks. </w:t>
            </w:r>
          </w:p>
        </w:tc>
      </w:tr>
      <w:tr w:rsidR="008731A5" w:rsidRPr="000A6998" w14:paraId="6B177681" w14:textId="77777777" w:rsidTr="00680FA6">
        <w:tc>
          <w:tcPr>
            <w:tcW w:w="1500" w:type="pct"/>
            <w:tcBorders>
              <w:bottom w:val="single" w:sz="4" w:space="0" w:color="auto"/>
            </w:tcBorders>
          </w:tcPr>
          <w:p w14:paraId="7B9BD7E1" w14:textId="16010454" w:rsidR="008731A5" w:rsidRPr="000A6998" w:rsidRDefault="008731A5" w:rsidP="00EB0BC0">
            <w:pPr>
              <w:rPr>
                <w:rFonts w:cs="Arial"/>
                <w:b/>
                <w:bCs/>
                <w:i/>
                <w:iCs/>
                <w:szCs w:val="18"/>
              </w:rPr>
            </w:pPr>
            <w:r w:rsidRPr="000A6998">
              <w:rPr>
                <w:rFonts w:cs="Arial"/>
                <w:b/>
                <w:bCs/>
                <w:i/>
                <w:iCs/>
                <w:szCs w:val="18"/>
              </w:rPr>
              <w:t xml:space="preserve">1.2.2 </w:t>
            </w:r>
            <w:r w:rsidRPr="000A6998">
              <w:rPr>
                <w:rFonts w:cs="Arial"/>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FFC000"/>
          </w:tcPr>
          <w:p w14:paraId="173884E8" w14:textId="51076ACE" w:rsidR="00851986" w:rsidRPr="000A6998" w:rsidRDefault="008731A5" w:rsidP="00EB0BC0">
            <w:pPr>
              <w:rPr>
                <w:rFonts w:cs="Arial"/>
                <w:szCs w:val="18"/>
              </w:rPr>
            </w:pPr>
            <w:r w:rsidRPr="000A6998">
              <w:rPr>
                <w:rFonts w:cs="Arial"/>
                <w:b/>
                <w:szCs w:val="18"/>
              </w:rPr>
              <w:t>Partially meets</w:t>
            </w:r>
          </w:p>
          <w:p w14:paraId="24B5BCC4" w14:textId="36783E33" w:rsidR="000329F3" w:rsidRPr="000329F3" w:rsidRDefault="008E1A71" w:rsidP="00DF4732">
            <w:pPr>
              <w:pStyle w:val="BodyText1"/>
              <w:spacing w:after="60" w:line="240" w:lineRule="auto"/>
              <w:jc w:val="left"/>
              <w:rPr>
                <w:rFonts w:cs="Arial"/>
                <w:iCs/>
                <w:szCs w:val="18"/>
              </w:rPr>
            </w:pPr>
            <w:r w:rsidRPr="000A6998">
              <w:rPr>
                <w:rFonts w:cs="Arial"/>
                <w:szCs w:val="18"/>
              </w:rPr>
              <w:t>Management responses to recover Murray cod stocks have been implemented</w:t>
            </w:r>
            <w:r w:rsidR="000329F3">
              <w:rPr>
                <w:rFonts w:cs="Arial"/>
                <w:szCs w:val="18"/>
              </w:rPr>
              <w:t>, and will continue until stocks recover</w:t>
            </w:r>
            <w:r w:rsidRPr="000A6998">
              <w:rPr>
                <w:rFonts w:cs="Arial"/>
                <w:szCs w:val="18"/>
              </w:rPr>
              <w:t xml:space="preserve">. No management response is in place to recover black bream stocks. However, </w:t>
            </w:r>
            <w:r w:rsidRPr="000A6998">
              <w:rPr>
                <w:rFonts w:cs="Arial"/>
                <w:iCs/>
                <w:szCs w:val="18"/>
              </w:rPr>
              <w:t xml:space="preserve">PIRSA has developed an options paper, and is in consultation with the commercial and recreational sectors on the most suitable management approach. The three options under consideration are: a 300m spatial closure around barrages, a seasonal closure, and/or closure of the black bream fishery until stocks recover. </w:t>
            </w:r>
            <w:r w:rsidR="000329F3">
              <w:rPr>
                <w:rFonts w:cs="Arial"/>
                <w:iCs/>
                <w:szCs w:val="18"/>
              </w:rPr>
              <w:t>Implementation of the most suitable</w:t>
            </w:r>
            <w:r w:rsidRPr="000A6998">
              <w:rPr>
                <w:rFonts w:cs="Arial"/>
                <w:iCs/>
                <w:szCs w:val="18"/>
              </w:rPr>
              <w:t xml:space="preserve"> option</w:t>
            </w:r>
            <w:r w:rsidR="000329F3">
              <w:rPr>
                <w:rFonts w:cs="Arial"/>
                <w:iCs/>
                <w:szCs w:val="18"/>
              </w:rPr>
              <w:t>(</w:t>
            </w:r>
            <w:r w:rsidRPr="000A6998">
              <w:rPr>
                <w:rFonts w:cs="Arial"/>
                <w:iCs/>
                <w:szCs w:val="18"/>
              </w:rPr>
              <w:t>s</w:t>
            </w:r>
            <w:r w:rsidR="000329F3">
              <w:rPr>
                <w:rFonts w:cs="Arial"/>
                <w:iCs/>
                <w:szCs w:val="18"/>
              </w:rPr>
              <w:t>) will occur at the conclusion of stakeholder consultations.</w:t>
            </w:r>
          </w:p>
        </w:tc>
      </w:tr>
      <w:tr w:rsidR="008731A5" w:rsidRPr="00680FA6" w14:paraId="79CFA58D" w14:textId="77777777" w:rsidTr="00680FA6">
        <w:tc>
          <w:tcPr>
            <w:tcW w:w="1500" w:type="pct"/>
            <w:gridSpan w:val="2"/>
            <w:tcBorders>
              <w:top w:val="single" w:sz="4" w:space="0" w:color="auto"/>
            </w:tcBorders>
            <w:shd w:val="clear" w:color="auto" w:fill="B2A1C7"/>
          </w:tcPr>
          <w:p w14:paraId="315DE2B9" w14:textId="18552E32" w:rsidR="008731A5" w:rsidRPr="00680FA6" w:rsidRDefault="008731A5" w:rsidP="005E2D35">
            <w:pPr>
              <w:autoSpaceDE w:val="0"/>
              <w:autoSpaceDN w:val="0"/>
              <w:adjustRightInd w:val="0"/>
              <w:rPr>
                <w:rFonts w:cs="Arial"/>
                <w:b/>
                <w:bCs/>
                <w:szCs w:val="18"/>
              </w:rPr>
            </w:pPr>
            <w:r w:rsidRPr="00680FA6">
              <w:rPr>
                <w:rFonts w:cs="Arial"/>
                <w:b/>
                <w:bCs/>
                <w:szCs w:val="18"/>
              </w:rPr>
              <w:t xml:space="preserve">PRINCIPLE 2 - </w:t>
            </w:r>
            <w:r w:rsidRPr="00680FA6">
              <w:rPr>
                <w:rFonts w:cs="Arial"/>
                <w:szCs w:val="18"/>
              </w:rPr>
              <w:t>Fishing operations should be managed to minimise their impact on the structure,</w:t>
            </w:r>
            <w:r w:rsidR="002A0742" w:rsidRPr="00680FA6">
              <w:rPr>
                <w:rFonts w:cs="Arial"/>
                <w:szCs w:val="18"/>
              </w:rPr>
              <w:t xml:space="preserve"> </w:t>
            </w:r>
            <w:r w:rsidRPr="00680FA6">
              <w:rPr>
                <w:rFonts w:cs="Arial"/>
                <w:szCs w:val="18"/>
              </w:rPr>
              <w:t>productivity, function and biological diversity of the ecosystem.</w:t>
            </w:r>
          </w:p>
        </w:tc>
      </w:tr>
      <w:tr w:rsidR="008731A5" w:rsidRPr="00680FA6" w14:paraId="5D87684C" w14:textId="77777777" w:rsidTr="00680FA6">
        <w:tc>
          <w:tcPr>
            <w:tcW w:w="1500" w:type="pct"/>
            <w:gridSpan w:val="2"/>
            <w:shd w:val="clear" w:color="auto" w:fill="CCC0D9"/>
          </w:tcPr>
          <w:p w14:paraId="1117EA62" w14:textId="447E7FD7" w:rsidR="008731A5" w:rsidRPr="00680FA6" w:rsidRDefault="008731A5" w:rsidP="005E2D35">
            <w:pPr>
              <w:autoSpaceDE w:val="0"/>
              <w:autoSpaceDN w:val="0"/>
              <w:adjustRightInd w:val="0"/>
              <w:rPr>
                <w:rFonts w:cs="Arial"/>
                <w:b/>
                <w:bCs/>
                <w:szCs w:val="18"/>
              </w:rPr>
            </w:pPr>
            <w:r w:rsidRPr="00680FA6">
              <w:rPr>
                <w:rFonts w:cs="Arial"/>
                <w:b/>
                <w:bCs/>
                <w:szCs w:val="18"/>
              </w:rPr>
              <w:t xml:space="preserve">Objective 1 - </w:t>
            </w:r>
            <w:r w:rsidRPr="00680FA6">
              <w:rPr>
                <w:rFonts w:cs="Arial"/>
                <w:szCs w:val="18"/>
              </w:rPr>
              <w:t>The fishery is conducted in a manner that does not threaten bycatch</w:t>
            </w:r>
            <w:r w:rsidR="002A0742" w:rsidRPr="00680FA6">
              <w:rPr>
                <w:rFonts w:cs="Arial"/>
                <w:szCs w:val="18"/>
              </w:rPr>
              <w:t xml:space="preserve"> </w:t>
            </w:r>
            <w:r w:rsidRPr="00680FA6">
              <w:rPr>
                <w:rFonts w:cs="Arial"/>
                <w:szCs w:val="18"/>
              </w:rPr>
              <w:t>species.</w:t>
            </w:r>
          </w:p>
        </w:tc>
      </w:tr>
      <w:tr w:rsidR="008731A5" w:rsidRPr="00680FA6" w14:paraId="0E8276E1" w14:textId="77777777" w:rsidTr="00680FA6">
        <w:tc>
          <w:tcPr>
            <w:tcW w:w="1500" w:type="pct"/>
            <w:gridSpan w:val="2"/>
            <w:shd w:val="clear" w:color="auto" w:fill="E5DFEC"/>
          </w:tcPr>
          <w:p w14:paraId="2EB91C61" w14:textId="1630D055" w:rsidR="008731A5" w:rsidRPr="00680FA6" w:rsidRDefault="008731A5" w:rsidP="005E2D35">
            <w:pPr>
              <w:rPr>
                <w:rFonts w:cs="Arial"/>
                <w:b/>
                <w:bCs/>
                <w:i/>
                <w:iCs/>
                <w:szCs w:val="18"/>
              </w:rPr>
            </w:pPr>
            <w:r w:rsidRPr="00680FA6">
              <w:rPr>
                <w:rFonts w:cs="Arial"/>
                <w:b/>
                <w:bCs/>
                <w:i/>
                <w:iCs/>
                <w:szCs w:val="18"/>
              </w:rPr>
              <w:t>Information requirements</w:t>
            </w:r>
          </w:p>
        </w:tc>
      </w:tr>
      <w:tr w:rsidR="008731A5" w:rsidRPr="00680FA6" w14:paraId="5E08C7C1" w14:textId="77777777" w:rsidTr="008E1A71">
        <w:tc>
          <w:tcPr>
            <w:tcW w:w="1500" w:type="pct"/>
          </w:tcPr>
          <w:p w14:paraId="1F0D0CE5" w14:textId="55C4F8BD" w:rsidR="008731A5" w:rsidRPr="00680FA6" w:rsidRDefault="008731A5" w:rsidP="00EB0BC0">
            <w:pPr>
              <w:autoSpaceDE w:val="0"/>
              <w:autoSpaceDN w:val="0"/>
              <w:adjustRightInd w:val="0"/>
              <w:rPr>
                <w:rFonts w:cs="Arial"/>
                <w:b/>
                <w:i/>
                <w:szCs w:val="18"/>
              </w:rPr>
            </w:pPr>
            <w:r w:rsidRPr="00680FA6">
              <w:rPr>
                <w:rFonts w:cs="Arial"/>
                <w:b/>
                <w:bCs/>
                <w:i/>
                <w:iCs/>
                <w:szCs w:val="18"/>
              </w:rPr>
              <w:lastRenderedPageBreak/>
              <w:t xml:space="preserve">2.1.1 </w:t>
            </w:r>
            <w:r w:rsidRPr="00680FA6">
              <w:rPr>
                <w:rFonts w:cs="Arial"/>
                <w:szCs w:val="18"/>
              </w:rPr>
              <w:t>Reliable information, appropriate to the scale of the fishery, is collected on the composition and abundance of bycatch.</w:t>
            </w:r>
          </w:p>
        </w:tc>
        <w:tc>
          <w:tcPr>
            <w:tcW w:w="3500" w:type="pct"/>
            <w:shd w:val="clear" w:color="auto" w:fill="FF0000"/>
          </w:tcPr>
          <w:p w14:paraId="7137923E" w14:textId="230E93EC" w:rsidR="00851986" w:rsidRPr="000A6998" w:rsidRDefault="000E4705" w:rsidP="00EB0BC0">
            <w:pPr>
              <w:rPr>
                <w:rFonts w:cs="Arial"/>
                <w:szCs w:val="18"/>
              </w:rPr>
            </w:pPr>
            <w:r w:rsidRPr="000A6998">
              <w:rPr>
                <w:rFonts w:cs="Arial"/>
                <w:b/>
                <w:szCs w:val="18"/>
              </w:rPr>
              <w:t>Does not meet</w:t>
            </w:r>
          </w:p>
          <w:p w14:paraId="2508CF63" w14:textId="7F03A56A" w:rsidR="000A6998" w:rsidRPr="000A6998" w:rsidRDefault="003C5EC4" w:rsidP="00792ED3">
            <w:pPr>
              <w:rPr>
                <w:rFonts w:cs="Arial"/>
                <w:szCs w:val="18"/>
              </w:rPr>
            </w:pPr>
            <w:r w:rsidRPr="000A6998">
              <w:rPr>
                <w:rFonts w:cs="Arial"/>
                <w:szCs w:val="18"/>
              </w:rPr>
              <w:t xml:space="preserve">Bycatch reporting </w:t>
            </w:r>
            <w:r>
              <w:rPr>
                <w:rFonts w:cs="Arial"/>
                <w:szCs w:val="18"/>
              </w:rPr>
              <w:t xml:space="preserve">in the pipi </w:t>
            </w:r>
            <w:r w:rsidR="00792ED3">
              <w:rPr>
                <w:rFonts w:cs="Arial"/>
                <w:szCs w:val="18"/>
              </w:rPr>
              <w:t>fishery</w:t>
            </w:r>
            <w:r>
              <w:rPr>
                <w:rFonts w:cs="Arial"/>
                <w:szCs w:val="18"/>
              </w:rPr>
              <w:t xml:space="preserve"> is mandatory, however t</w:t>
            </w:r>
            <w:r w:rsidR="000765E3" w:rsidRPr="000A6998">
              <w:rPr>
                <w:rFonts w:cs="Arial"/>
                <w:snapToGrid w:val="0"/>
                <w:szCs w:val="18"/>
              </w:rPr>
              <w:t>here is no mandatory r</w:t>
            </w:r>
            <w:r w:rsidR="008E1A71" w:rsidRPr="000A6998">
              <w:rPr>
                <w:rFonts w:cs="Arial"/>
                <w:szCs w:val="18"/>
              </w:rPr>
              <w:t>eport</w:t>
            </w:r>
            <w:r w:rsidR="000765E3" w:rsidRPr="000A6998">
              <w:rPr>
                <w:rFonts w:cs="Arial"/>
                <w:szCs w:val="18"/>
              </w:rPr>
              <w:t>ing</w:t>
            </w:r>
            <w:r w:rsidR="00332040" w:rsidRPr="000A6998">
              <w:rPr>
                <w:rFonts w:cs="Arial"/>
                <w:szCs w:val="18"/>
              </w:rPr>
              <w:t xml:space="preserve"> on the composition and abundance</w:t>
            </w:r>
            <w:r w:rsidR="008E1A71" w:rsidRPr="000A6998">
              <w:rPr>
                <w:rFonts w:cs="Arial"/>
                <w:szCs w:val="18"/>
              </w:rPr>
              <w:t xml:space="preserve"> of bycatch in the </w:t>
            </w:r>
            <w:r w:rsidR="00792ED3">
              <w:rPr>
                <w:rFonts w:cs="Arial"/>
                <w:szCs w:val="18"/>
              </w:rPr>
              <w:t>net</w:t>
            </w:r>
            <w:r w:rsidR="008E1A71" w:rsidRPr="000A6998">
              <w:rPr>
                <w:rFonts w:cs="Arial"/>
                <w:szCs w:val="18"/>
              </w:rPr>
              <w:t xml:space="preserve"> </w:t>
            </w:r>
            <w:r w:rsidR="00792ED3">
              <w:rPr>
                <w:rFonts w:cs="Arial"/>
                <w:szCs w:val="18"/>
              </w:rPr>
              <w:t>fishery</w:t>
            </w:r>
            <w:r w:rsidR="008E1A71" w:rsidRPr="000A6998">
              <w:rPr>
                <w:rFonts w:cs="Arial"/>
                <w:szCs w:val="18"/>
              </w:rPr>
              <w:t xml:space="preserve"> </w:t>
            </w:r>
            <w:r w:rsidR="008731A5" w:rsidRPr="000A6998">
              <w:rPr>
                <w:rFonts w:cs="Arial"/>
                <w:szCs w:val="18"/>
              </w:rPr>
              <w:t xml:space="preserve">unless the species is listed as </w:t>
            </w:r>
            <w:r>
              <w:rPr>
                <w:rFonts w:cs="Arial"/>
                <w:szCs w:val="18"/>
              </w:rPr>
              <w:t xml:space="preserve">a </w:t>
            </w:r>
            <w:r w:rsidR="008731A5" w:rsidRPr="000A6998">
              <w:rPr>
                <w:rFonts w:cs="Arial"/>
                <w:szCs w:val="18"/>
              </w:rPr>
              <w:t xml:space="preserve">TEPS. </w:t>
            </w:r>
            <w:r w:rsidR="000765E3" w:rsidRPr="000A6998">
              <w:rPr>
                <w:rFonts w:cs="Arial"/>
                <w:szCs w:val="18"/>
              </w:rPr>
              <w:t xml:space="preserve">Ferguson (2010) provided </w:t>
            </w:r>
            <w:r w:rsidR="00792ED3">
              <w:rPr>
                <w:rFonts w:cs="Arial"/>
                <w:szCs w:val="18"/>
              </w:rPr>
              <w:t>baseline</w:t>
            </w:r>
            <w:r w:rsidR="000765E3" w:rsidRPr="000A6998">
              <w:rPr>
                <w:rFonts w:cs="Arial"/>
                <w:szCs w:val="18"/>
              </w:rPr>
              <w:t xml:space="preserve"> data for interactions of non-target species with gill nets in the Coorong lagoons and Murray River estuary. The study </w:t>
            </w:r>
            <w:r w:rsidR="000765E3" w:rsidRPr="000A6998">
              <w:rPr>
                <w:rFonts w:cs="Arial"/>
                <w:snapToGrid w:val="0"/>
                <w:szCs w:val="18"/>
              </w:rPr>
              <w:t xml:space="preserve">identified </w:t>
            </w:r>
            <w:r w:rsidR="000765E3" w:rsidRPr="000A6998">
              <w:rPr>
                <w:rFonts w:cs="Arial"/>
                <w:szCs w:val="18"/>
              </w:rPr>
              <w:t>u</w:t>
            </w:r>
            <w:r w:rsidR="000765E3" w:rsidRPr="000A6998">
              <w:rPr>
                <w:rFonts w:cs="Arial"/>
                <w:snapToGrid w:val="0"/>
                <w:szCs w:val="18"/>
              </w:rPr>
              <w:t xml:space="preserve">p to forty </w:t>
            </w:r>
            <w:r w:rsidR="00E97E35">
              <w:rPr>
                <w:rFonts w:cs="Arial"/>
                <w:snapToGrid w:val="0"/>
                <w:szCs w:val="18"/>
              </w:rPr>
              <w:t xml:space="preserve">bycatch </w:t>
            </w:r>
            <w:r w:rsidR="000765E3" w:rsidRPr="000A6998">
              <w:rPr>
                <w:rFonts w:cs="Arial"/>
                <w:snapToGrid w:val="0"/>
                <w:szCs w:val="18"/>
              </w:rPr>
              <w:t xml:space="preserve">species in the finfish sector including toadfish, silver perch, Murray River catfish, </w:t>
            </w:r>
            <w:r w:rsidR="00E97E35" w:rsidRPr="00F53565">
              <w:rPr>
                <w:rFonts w:cs="Arial"/>
                <w:szCs w:val="18"/>
              </w:rPr>
              <w:t>crustacean</w:t>
            </w:r>
            <w:r w:rsidR="00E97E35">
              <w:rPr>
                <w:rFonts w:cs="Arial"/>
                <w:szCs w:val="18"/>
              </w:rPr>
              <w:t>,</w:t>
            </w:r>
            <w:r w:rsidR="00E97E35" w:rsidRPr="00F53565">
              <w:rPr>
                <w:rFonts w:cs="Arial"/>
                <w:szCs w:val="18"/>
              </w:rPr>
              <w:t xml:space="preserve"> bird species</w:t>
            </w:r>
            <w:r w:rsidR="00E97E35">
              <w:rPr>
                <w:rFonts w:cs="Arial"/>
                <w:szCs w:val="18"/>
              </w:rPr>
              <w:t>,</w:t>
            </w:r>
            <w:r w:rsidR="00E97E35" w:rsidRPr="00F53565">
              <w:rPr>
                <w:rFonts w:cs="Arial"/>
                <w:szCs w:val="18"/>
              </w:rPr>
              <w:t xml:space="preserve"> </w:t>
            </w:r>
            <w:r w:rsidR="000765E3" w:rsidRPr="000A6998">
              <w:rPr>
                <w:rFonts w:cs="Arial"/>
                <w:snapToGrid w:val="0"/>
                <w:szCs w:val="18"/>
              </w:rPr>
              <w:t xml:space="preserve">and target species accidently caught during closed seasons. The study </w:t>
            </w:r>
            <w:r w:rsidR="00792ED3">
              <w:rPr>
                <w:rFonts w:cs="Arial"/>
                <w:snapToGrid w:val="0"/>
                <w:szCs w:val="18"/>
              </w:rPr>
              <w:t xml:space="preserve">also </w:t>
            </w:r>
            <w:r w:rsidR="000765E3" w:rsidRPr="000A6998">
              <w:rPr>
                <w:rFonts w:cs="Arial"/>
                <w:snapToGrid w:val="0"/>
                <w:szCs w:val="18"/>
              </w:rPr>
              <w:t xml:space="preserve">found high numbers of undersized </w:t>
            </w:r>
            <w:r w:rsidR="00E97E35">
              <w:rPr>
                <w:rFonts w:cs="Arial"/>
                <w:snapToGrid w:val="0"/>
                <w:szCs w:val="18"/>
              </w:rPr>
              <w:t xml:space="preserve">target </w:t>
            </w:r>
            <w:r w:rsidR="000765E3" w:rsidRPr="000A6998">
              <w:rPr>
                <w:rFonts w:cs="Arial"/>
                <w:snapToGrid w:val="0"/>
                <w:szCs w:val="18"/>
              </w:rPr>
              <w:t>fish including yelloweye mullet, mulloway, bony bream, greenback flounder and Australian salmon.</w:t>
            </w:r>
            <w:r w:rsidR="000A6998" w:rsidRPr="00F53565">
              <w:rPr>
                <w:rFonts w:cs="Arial"/>
                <w:szCs w:val="18"/>
              </w:rPr>
              <w:t xml:space="preserve"> </w:t>
            </w:r>
            <w:r w:rsidR="000765E3" w:rsidRPr="000A6998">
              <w:rPr>
                <w:rFonts w:cs="Arial"/>
                <w:snapToGrid w:val="0"/>
                <w:szCs w:val="18"/>
              </w:rPr>
              <w:t xml:space="preserve">Overall, </w:t>
            </w:r>
            <w:r w:rsidR="007C4B85" w:rsidRPr="000A6998">
              <w:rPr>
                <w:rFonts w:cs="Arial"/>
                <w:snapToGrid w:val="0"/>
                <w:szCs w:val="18"/>
              </w:rPr>
              <w:t>discards accounted</w:t>
            </w:r>
            <w:r w:rsidR="000765E3" w:rsidRPr="000A6998">
              <w:rPr>
                <w:rFonts w:cs="Arial"/>
                <w:snapToGrid w:val="0"/>
                <w:szCs w:val="18"/>
              </w:rPr>
              <w:t xml:space="preserve"> for 14.6 per cent of catches (Ferguson 2010).</w:t>
            </w:r>
            <w:r w:rsidR="000A6998" w:rsidRPr="000A6998">
              <w:rPr>
                <w:rFonts w:cs="Arial"/>
                <w:snapToGrid w:val="0"/>
                <w:szCs w:val="18"/>
              </w:rPr>
              <w:t xml:space="preserve"> </w:t>
            </w:r>
          </w:p>
        </w:tc>
      </w:tr>
      <w:tr w:rsidR="008731A5" w:rsidRPr="00680FA6" w14:paraId="5A548CAF" w14:textId="77777777" w:rsidTr="00680FA6">
        <w:tc>
          <w:tcPr>
            <w:tcW w:w="1500" w:type="pct"/>
            <w:gridSpan w:val="2"/>
            <w:shd w:val="clear" w:color="auto" w:fill="E5DFEC"/>
          </w:tcPr>
          <w:p w14:paraId="569CD998" w14:textId="6F8F6AC0" w:rsidR="008731A5" w:rsidRPr="00680FA6" w:rsidRDefault="00583085" w:rsidP="005E2D35">
            <w:pPr>
              <w:rPr>
                <w:rFonts w:cs="Arial"/>
                <w:b/>
                <w:bCs/>
                <w:i/>
                <w:iCs/>
                <w:szCs w:val="18"/>
              </w:rPr>
            </w:pPr>
            <w:r w:rsidRPr="00680FA6">
              <w:rPr>
                <w:rFonts w:cs="Arial"/>
                <w:b/>
                <w:bCs/>
                <w:i/>
                <w:iCs/>
                <w:szCs w:val="18"/>
              </w:rPr>
              <w:t>Assessment</w:t>
            </w:r>
          </w:p>
        </w:tc>
      </w:tr>
      <w:tr w:rsidR="008731A5" w:rsidRPr="000A6998" w14:paraId="1D967E4E" w14:textId="77777777" w:rsidTr="00441038">
        <w:tc>
          <w:tcPr>
            <w:tcW w:w="1500" w:type="pct"/>
          </w:tcPr>
          <w:p w14:paraId="14903CA2" w14:textId="5AF3A759" w:rsidR="008731A5" w:rsidRPr="000A6998" w:rsidRDefault="008731A5" w:rsidP="00EB0BC0">
            <w:pPr>
              <w:rPr>
                <w:rFonts w:cs="Arial"/>
                <w:b/>
                <w:i/>
                <w:szCs w:val="18"/>
              </w:rPr>
            </w:pPr>
            <w:r w:rsidRPr="000A6998">
              <w:rPr>
                <w:rFonts w:cs="Arial"/>
                <w:b/>
                <w:bCs/>
                <w:i/>
                <w:iCs/>
                <w:szCs w:val="18"/>
              </w:rPr>
              <w:t xml:space="preserve">2.1.2 </w:t>
            </w:r>
            <w:r w:rsidRPr="000A6998">
              <w:rPr>
                <w:rFonts w:cs="Arial"/>
                <w:szCs w:val="18"/>
              </w:rPr>
              <w:t>There is a risk analysis of the bycatch with respect to its vulnerability to fishing.</w:t>
            </w:r>
          </w:p>
        </w:tc>
        <w:tc>
          <w:tcPr>
            <w:tcW w:w="3500" w:type="pct"/>
            <w:shd w:val="clear" w:color="auto" w:fill="92D050"/>
          </w:tcPr>
          <w:p w14:paraId="50620699" w14:textId="50948EE6" w:rsidR="009519A8" w:rsidRPr="00514007" w:rsidRDefault="009519A8" w:rsidP="00EB0BC0">
            <w:pPr>
              <w:rPr>
                <w:rFonts w:cs="Arial"/>
                <w:szCs w:val="18"/>
              </w:rPr>
            </w:pPr>
            <w:r w:rsidRPr="00514007">
              <w:rPr>
                <w:rFonts w:cs="Arial"/>
                <w:b/>
                <w:szCs w:val="18"/>
              </w:rPr>
              <w:t>Meets</w:t>
            </w:r>
          </w:p>
          <w:p w14:paraId="685B9CAD" w14:textId="0C96A427" w:rsidR="000E4705" w:rsidRPr="000A6998" w:rsidRDefault="00441038" w:rsidP="00DF4732">
            <w:pPr>
              <w:rPr>
                <w:rFonts w:cs="Arial"/>
                <w:szCs w:val="18"/>
              </w:rPr>
            </w:pPr>
            <w:r w:rsidRPr="00514007">
              <w:rPr>
                <w:rFonts w:cs="Arial"/>
                <w:szCs w:val="18"/>
              </w:rPr>
              <w:t xml:space="preserve">Following the </w:t>
            </w:r>
            <w:r w:rsidR="000765E3" w:rsidRPr="00514007">
              <w:rPr>
                <w:rFonts w:cs="Arial"/>
                <w:szCs w:val="18"/>
              </w:rPr>
              <w:t>2011 ERA</w:t>
            </w:r>
            <w:r w:rsidRPr="00514007">
              <w:rPr>
                <w:rFonts w:cs="Arial"/>
                <w:szCs w:val="18"/>
              </w:rPr>
              <w:t xml:space="preserve">, PIRSA </w:t>
            </w:r>
            <w:r w:rsidR="009519A8" w:rsidRPr="00514007">
              <w:rPr>
                <w:rFonts w:cs="Arial"/>
                <w:szCs w:val="18"/>
              </w:rPr>
              <w:t xml:space="preserve">determined that the </w:t>
            </w:r>
            <w:r w:rsidRPr="00514007">
              <w:rPr>
                <w:rFonts w:cs="Arial"/>
                <w:szCs w:val="18"/>
              </w:rPr>
              <w:t xml:space="preserve">fishery’s </w:t>
            </w:r>
            <w:r w:rsidR="009519A8" w:rsidRPr="00514007">
              <w:rPr>
                <w:rFonts w:cs="Arial"/>
                <w:szCs w:val="18"/>
              </w:rPr>
              <w:t xml:space="preserve">impact on </w:t>
            </w:r>
            <w:r w:rsidR="00514007" w:rsidRPr="00514007">
              <w:rPr>
                <w:rFonts w:cs="Arial"/>
                <w:szCs w:val="18"/>
              </w:rPr>
              <w:t xml:space="preserve">bycatch </w:t>
            </w:r>
            <w:r w:rsidR="009519A8" w:rsidRPr="00514007">
              <w:rPr>
                <w:rFonts w:cs="Arial"/>
                <w:szCs w:val="18"/>
              </w:rPr>
              <w:t xml:space="preserve">species was low to negligible (PIRSA 2011). </w:t>
            </w:r>
            <w:r w:rsidR="000765E3" w:rsidRPr="00514007">
              <w:rPr>
                <w:rFonts w:cs="Arial"/>
                <w:szCs w:val="18"/>
              </w:rPr>
              <w:t>However, studies</w:t>
            </w:r>
            <w:r w:rsidR="00887258" w:rsidRPr="00514007">
              <w:rPr>
                <w:rFonts w:cs="Arial"/>
                <w:szCs w:val="18"/>
              </w:rPr>
              <w:t xml:space="preserve"> have identified high numbers of undersized fish </w:t>
            </w:r>
            <w:r w:rsidR="00887258" w:rsidRPr="00514007">
              <w:rPr>
                <w:rFonts w:cs="Arial"/>
                <w:snapToGrid w:val="0"/>
                <w:szCs w:val="18"/>
              </w:rPr>
              <w:t xml:space="preserve">including yelloweye mullet, mulloway, and greenback flounder </w:t>
            </w:r>
            <w:r w:rsidR="000765E3" w:rsidRPr="00514007">
              <w:rPr>
                <w:rFonts w:cs="Arial"/>
                <w:snapToGrid w:val="0"/>
                <w:szCs w:val="18"/>
              </w:rPr>
              <w:t xml:space="preserve">being discarded in the fishery </w:t>
            </w:r>
            <w:r w:rsidR="00887258" w:rsidRPr="00514007">
              <w:rPr>
                <w:rFonts w:cs="Arial"/>
                <w:snapToGrid w:val="0"/>
                <w:szCs w:val="18"/>
              </w:rPr>
              <w:t>(Ferguson 2010; Earl et al. 2016).</w:t>
            </w:r>
            <w:r w:rsidR="00887258" w:rsidRPr="00514007">
              <w:rPr>
                <w:rFonts w:cs="Arial"/>
                <w:szCs w:val="18"/>
              </w:rPr>
              <w:t xml:space="preserve"> </w:t>
            </w:r>
            <w:r w:rsidR="00D7399B" w:rsidRPr="000A6998">
              <w:rPr>
                <w:rFonts w:cs="Arial"/>
                <w:szCs w:val="18"/>
              </w:rPr>
              <w:t xml:space="preserve">In March 2013, an ERA workshop was conducted to determine the impact of </w:t>
            </w:r>
            <w:r w:rsidR="00792ED3">
              <w:rPr>
                <w:rFonts w:cs="Arial"/>
                <w:szCs w:val="18"/>
              </w:rPr>
              <w:t xml:space="preserve">both </w:t>
            </w:r>
            <w:r w:rsidR="00792ED3" w:rsidRPr="000A6998">
              <w:rPr>
                <w:rFonts w:cs="Arial"/>
                <w:szCs w:val="18"/>
              </w:rPr>
              <w:t xml:space="preserve">water- and shore-based fishing </w:t>
            </w:r>
            <w:r w:rsidR="00D7399B" w:rsidRPr="000A6998">
              <w:rPr>
                <w:rFonts w:cs="Arial"/>
                <w:szCs w:val="18"/>
              </w:rPr>
              <w:t>on bird bycatch, particularly the impacts to fairy tern (</w:t>
            </w:r>
            <w:r w:rsidR="00D7399B" w:rsidRPr="000A6998">
              <w:rPr>
                <w:rFonts w:cs="Arial"/>
                <w:i/>
                <w:szCs w:val="18"/>
              </w:rPr>
              <w:t>Sternula nereis nereis</w:t>
            </w:r>
            <w:r w:rsidR="00D7399B" w:rsidRPr="000A6998">
              <w:rPr>
                <w:rFonts w:cs="Arial"/>
                <w:szCs w:val="18"/>
              </w:rPr>
              <w:t xml:space="preserve">) posed by onshore fishing. </w:t>
            </w:r>
            <w:r w:rsidR="00D7399B">
              <w:rPr>
                <w:rFonts w:cs="Arial"/>
                <w:szCs w:val="18"/>
              </w:rPr>
              <w:t>Stakeholders at the</w:t>
            </w:r>
            <w:r w:rsidR="00D7399B" w:rsidRPr="000A6998">
              <w:rPr>
                <w:rFonts w:cs="Arial"/>
                <w:szCs w:val="18"/>
              </w:rPr>
              <w:t xml:space="preserve"> workshop considered the </w:t>
            </w:r>
            <w:r w:rsidR="00D7399B" w:rsidRPr="00F53565">
              <w:rPr>
                <w:rFonts w:cs="Arial"/>
                <w:szCs w:val="18"/>
              </w:rPr>
              <w:t xml:space="preserve">threats </w:t>
            </w:r>
            <w:r w:rsidR="00D7399B">
              <w:rPr>
                <w:rFonts w:cs="Arial"/>
                <w:szCs w:val="18"/>
              </w:rPr>
              <w:t xml:space="preserve">to bird species </w:t>
            </w:r>
            <w:r w:rsidR="00D7399B" w:rsidRPr="00F53565">
              <w:rPr>
                <w:rFonts w:cs="Arial"/>
                <w:szCs w:val="18"/>
              </w:rPr>
              <w:t>from all gear types</w:t>
            </w:r>
            <w:r w:rsidR="00D7399B">
              <w:rPr>
                <w:rFonts w:cs="Arial"/>
                <w:szCs w:val="18"/>
              </w:rPr>
              <w:t xml:space="preserve"> used in the fishery</w:t>
            </w:r>
            <w:r w:rsidR="00D7399B" w:rsidRPr="000A6998">
              <w:rPr>
                <w:rFonts w:cs="Arial"/>
                <w:szCs w:val="18"/>
              </w:rPr>
              <w:t>.</w:t>
            </w:r>
            <w:r w:rsidR="00D7399B">
              <w:rPr>
                <w:rFonts w:cs="Arial"/>
                <w:szCs w:val="18"/>
              </w:rPr>
              <w:t xml:space="preserve"> </w:t>
            </w:r>
            <w:r w:rsidR="000A6998" w:rsidRPr="00514007">
              <w:rPr>
                <w:rFonts w:cs="Arial"/>
                <w:szCs w:val="18"/>
              </w:rPr>
              <w:t>PIRSA determined the fishery’s impact on bird species was low to negligible (Stoklosa 2013).</w:t>
            </w:r>
          </w:p>
        </w:tc>
      </w:tr>
      <w:tr w:rsidR="008731A5" w:rsidRPr="00680FA6" w14:paraId="6992A61D" w14:textId="77777777" w:rsidTr="00680FA6">
        <w:tc>
          <w:tcPr>
            <w:tcW w:w="1500" w:type="pct"/>
            <w:gridSpan w:val="2"/>
            <w:shd w:val="clear" w:color="auto" w:fill="E5DFEC"/>
          </w:tcPr>
          <w:p w14:paraId="31782791" w14:textId="000C375A" w:rsidR="008731A5" w:rsidRPr="00680FA6" w:rsidRDefault="008731A5" w:rsidP="005E2D35">
            <w:pPr>
              <w:rPr>
                <w:rFonts w:cs="Arial"/>
                <w:b/>
                <w:bCs/>
                <w:i/>
                <w:iCs/>
                <w:szCs w:val="18"/>
              </w:rPr>
            </w:pPr>
            <w:r w:rsidRPr="00680FA6">
              <w:rPr>
                <w:rFonts w:cs="Arial"/>
                <w:b/>
                <w:bCs/>
                <w:i/>
                <w:iCs/>
                <w:szCs w:val="18"/>
              </w:rPr>
              <w:t>Management responses</w:t>
            </w:r>
          </w:p>
        </w:tc>
      </w:tr>
      <w:tr w:rsidR="008731A5" w:rsidRPr="00680FA6" w14:paraId="6D4F0012" w14:textId="77777777" w:rsidTr="00680FA6">
        <w:tc>
          <w:tcPr>
            <w:tcW w:w="1500" w:type="pct"/>
          </w:tcPr>
          <w:p w14:paraId="01AF2695" w14:textId="50515C61" w:rsidR="008731A5" w:rsidRPr="00680FA6" w:rsidRDefault="008731A5" w:rsidP="00EB0BC0">
            <w:pPr>
              <w:rPr>
                <w:rFonts w:cs="Arial"/>
                <w:b/>
                <w:bCs/>
                <w:i/>
                <w:iCs/>
                <w:szCs w:val="18"/>
              </w:rPr>
            </w:pPr>
            <w:r w:rsidRPr="00680FA6">
              <w:rPr>
                <w:rFonts w:cs="Arial"/>
                <w:b/>
                <w:bCs/>
                <w:i/>
                <w:iCs/>
                <w:szCs w:val="18"/>
              </w:rPr>
              <w:t xml:space="preserve">2.1.3 </w:t>
            </w:r>
            <w:r w:rsidRPr="00680FA6">
              <w:rPr>
                <w:rFonts w:cs="Arial"/>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92D050"/>
          </w:tcPr>
          <w:p w14:paraId="2FE5EA17" w14:textId="3E0DC484" w:rsidR="00851986" w:rsidRPr="00F53565" w:rsidRDefault="008731A5" w:rsidP="00EB0BC0">
            <w:pPr>
              <w:rPr>
                <w:rFonts w:cs="Arial"/>
                <w:szCs w:val="18"/>
              </w:rPr>
            </w:pPr>
            <w:r w:rsidRPr="00F53565">
              <w:rPr>
                <w:rFonts w:cs="Arial"/>
                <w:b/>
                <w:szCs w:val="18"/>
              </w:rPr>
              <w:t>Meets</w:t>
            </w:r>
          </w:p>
          <w:p w14:paraId="2F29AFEE" w14:textId="0C2CF86A" w:rsidR="008731A5" w:rsidRPr="00F53565" w:rsidRDefault="008731A5" w:rsidP="00792ED3">
            <w:pPr>
              <w:rPr>
                <w:rFonts w:cs="Arial"/>
                <w:szCs w:val="18"/>
              </w:rPr>
            </w:pPr>
            <w:r w:rsidRPr="00F53565">
              <w:rPr>
                <w:rFonts w:cs="Arial"/>
                <w:szCs w:val="18"/>
              </w:rPr>
              <w:t xml:space="preserve">Measures are in place </w:t>
            </w:r>
            <w:r w:rsidR="00792ED3">
              <w:rPr>
                <w:rFonts w:cs="Arial"/>
                <w:szCs w:val="18"/>
              </w:rPr>
              <w:t xml:space="preserve">to avoid the capture and mortality of bycatch species </w:t>
            </w:r>
            <w:r w:rsidRPr="00F53565">
              <w:rPr>
                <w:rFonts w:cs="Arial"/>
                <w:szCs w:val="18"/>
              </w:rPr>
              <w:t>including a requirement that nets contain seal exclusion devices</w:t>
            </w:r>
            <w:r w:rsidR="00792ED3">
              <w:rPr>
                <w:rFonts w:cs="Arial"/>
                <w:szCs w:val="18"/>
              </w:rPr>
              <w:t>, and m</w:t>
            </w:r>
            <w:r w:rsidRPr="00F53565">
              <w:rPr>
                <w:rFonts w:cs="Arial"/>
                <w:szCs w:val="18"/>
              </w:rPr>
              <w:t xml:space="preserve">andatory vessel monitoring </w:t>
            </w:r>
            <w:r w:rsidR="00B1179A" w:rsidRPr="00F53565">
              <w:rPr>
                <w:rFonts w:cs="Arial"/>
                <w:szCs w:val="18"/>
              </w:rPr>
              <w:t>system</w:t>
            </w:r>
            <w:r w:rsidR="00792ED3">
              <w:rPr>
                <w:rFonts w:cs="Arial"/>
                <w:szCs w:val="18"/>
              </w:rPr>
              <w:t xml:space="preserve">s </w:t>
            </w:r>
            <w:r w:rsidR="00B1179A" w:rsidRPr="00B24623">
              <w:rPr>
                <w:rFonts w:cs="Arial"/>
                <w:szCs w:val="18"/>
              </w:rPr>
              <w:t>on</w:t>
            </w:r>
            <w:r w:rsidR="00B1179A" w:rsidRPr="004347BA">
              <w:rPr>
                <w:rFonts w:cs="Arial"/>
                <w:szCs w:val="18"/>
              </w:rPr>
              <w:t xml:space="preserve"> all vessels.</w:t>
            </w:r>
            <w:r w:rsidR="000A6998">
              <w:rPr>
                <w:rFonts w:cs="Arial"/>
                <w:szCs w:val="18"/>
              </w:rPr>
              <w:t xml:space="preserve"> </w:t>
            </w:r>
          </w:p>
        </w:tc>
      </w:tr>
      <w:tr w:rsidR="008731A5" w:rsidRPr="00680FA6" w14:paraId="5C320E4B" w14:textId="77777777" w:rsidTr="00B1179A">
        <w:tc>
          <w:tcPr>
            <w:tcW w:w="1500" w:type="pct"/>
          </w:tcPr>
          <w:p w14:paraId="67507739" w14:textId="7C34251F" w:rsidR="008731A5" w:rsidRPr="0035636F" w:rsidRDefault="008731A5" w:rsidP="00EB0BC0">
            <w:pPr>
              <w:rPr>
                <w:rFonts w:cs="Arial"/>
                <w:szCs w:val="18"/>
              </w:rPr>
            </w:pPr>
            <w:r w:rsidRPr="00680FA6">
              <w:rPr>
                <w:rFonts w:cs="Arial"/>
                <w:b/>
                <w:bCs/>
                <w:i/>
                <w:iCs/>
                <w:szCs w:val="18"/>
              </w:rPr>
              <w:t xml:space="preserve">2.1.4 </w:t>
            </w:r>
            <w:r w:rsidRPr="00680FA6">
              <w:rPr>
                <w:rFonts w:cs="Arial"/>
                <w:szCs w:val="18"/>
              </w:rPr>
              <w:t>An indicator group of</w:t>
            </w:r>
            <w:r w:rsidR="0035636F">
              <w:rPr>
                <w:rFonts w:cs="Arial"/>
                <w:szCs w:val="18"/>
              </w:rPr>
              <w:t xml:space="preserve"> bycatch species is monitored. </w:t>
            </w:r>
          </w:p>
        </w:tc>
        <w:tc>
          <w:tcPr>
            <w:tcW w:w="3500" w:type="pct"/>
            <w:shd w:val="clear" w:color="auto" w:fill="FF0000"/>
          </w:tcPr>
          <w:p w14:paraId="29D58D9D" w14:textId="187098E1" w:rsidR="00851986" w:rsidRPr="00F53565" w:rsidRDefault="000D2D4F" w:rsidP="00EB0BC0">
            <w:pPr>
              <w:rPr>
                <w:rFonts w:cs="Arial"/>
                <w:szCs w:val="18"/>
              </w:rPr>
            </w:pPr>
            <w:r w:rsidRPr="00F53565">
              <w:rPr>
                <w:rFonts w:cs="Arial"/>
                <w:b/>
                <w:szCs w:val="18"/>
              </w:rPr>
              <w:t>Does not meet</w:t>
            </w:r>
          </w:p>
          <w:p w14:paraId="71A1832B" w14:textId="7128D483" w:rsidR="008731A5" w:rsidRPr="00F53565" w:rsidRDefault="00F53565" w:rsidP="00EB0BC0">
            <w:pPr>
              <w:rPr>
                <w:rFonts w:cs="Arial"/>
                <w:szCs w:val="18"/>
              </w:rPr>
            </w:pPr>
            <w:r w:rsidRPr="00F53565">
              <w:rPr>
                <w:rFonts w:cs="Arial"/>
                <w:szCs w:val="18"/>
              </w:rPr>
              <w:t>No monitoring occurs for an indicator group of bycatch species, despite the high numbers of undersized mulloway being discarded annually.</w:t>
            </w:r>
          </w:p>
        </w:tc>
      </w:tr>
      <w:tr w:rsidR="008731A5" w:rsidRPr="00680FA6" w14:paraId="3677D1E6" w14:textId="77777777" w:rsidTr="00B1179A">
        <w:tc>
          <w:tcPr>
            <w:tcW w:w="1500" w:type="pct"/>
          </w:tcPr>
          <w:p w14:paraId="075B2EE3" w14:textId="5DE22E86" w:rsidR="008731A5" w:rsidRPr="00680FA6" w:rsidRDefault="008731A5" w:rsidP="00EB0BC0">
            <w:pPr>
              <w:autoSpaceDE w:val="0"/>
              <w:autoSpaceDN w:val="0"/>
              <w:adjustRightInd w:val="0"/>
              <w:rPr>
                <w:rFonts w:cs="Arial"/>
                <w:b/>
                <w:bCs/>
                <w:i/>
                <w:iCs/>
                <w:szCs w:val="18"/>
              </w:rPr>
            </w:pPr>
            <w:r w:rsidRPr="00680FA6">
              <w:rPr>
                <w:rFonts w:cs="Arial"/>
                <w:b/>
                <w:bCs/>
                <w:i/>
                <w:iCs/>
                <w:szCs w:val="18"/>
              </w:rPr>
              <w:t xml:space="preserve">2.1.5 </w:t>
            </w:r>
            <w:r w:rsidRPr="00680FA6">
              <w:rPr>
                <w:rFonts w:cs="Arial"/>
                <w:szCs w:val="18"/>
              </w:rPr>
              <w:t>There are decision rules that trigger additional management measures when there are significant perturbations in the indicator species numbers</w:t>
            </w:r>
            <w:r w:rsidRPr="00680FA6">
              <w:rPr>
                <w:rFonts w:cs="Arial"/>
                <w:i/>
                <w:iCs/>
                <w:szCs w:val="18"/>
              </w:rPr>
              <w:t xml:space="preserve">. </w:t>
            </w:r>
          </w:p>
        </w:tc>
        <w:tc>
          <w:tcPr>
            <w:tcW w:w="3500" w:type="pct"/>
            <w:shd w:val="clear" w:color="auto" w:fill="FF0000"/>
          </w:tcPr>
          <w:p w14:paraId="5EF124D9" w14:textId="6ED6F8D9" w:rsidR="00B1179A" w:rsidRPr="00F53565" w:rsidRDefault="00B1179A" w:rsidP="00EB0BC0">
            <w:pPr>
              <w:rPr>
                <w:rFonts w:cs="Arial"/>
                <w:szCs w:val="18"/>
              </w:rPr>
            </w:pPr>
            <w:r w:rsidRPr="00F53565">
              <w:rPr>
                <w:rFonts w:cs="Arial"/>
                <w:b/>
                <w:szCs w:val="18"/>
              </w:rPr>
              <w:t>Does not meet</w:t>
            </w:r>
          </w:p>
          <w:p w14:paraId="54B81E86" w14:textId="10221C06" w:rsidR="008731A5" w:rsidRPr="00F53565" w:rsidRDefault="00B1179A" w:rsidP="00AF65A7">
            <w:pPr>
              <w:rPr>
                <w:rFonts w:cs="Arial"/>
                <w:szCs w:val="18"/>
              </w:rPr>
            </w:pPr>
            <w:r w:rsidRPr="00F53565">
              <w:rPr>
                <w:rFonts w:cs="Arial"/>
                <w:szCs w:val="18"/>
              </w:rPr>
              <w:t xml:space="preserve">While the </w:t>
            </w:r>
            <w:r w:rsidR="00792ED3">
              <w:rPr>
                <w:rFonts w:cs="Arial"/>
                <w:szCs w:val="18"/>
              </w:rPr>
              <w:t>net fishery</w:t>
            </w:r>
            <w:r w:rsidRPr="00F53565">
              <w:rPr>
                <w:rFonts w:cs="Arial"/>
                <w:szCs w:val="18"/>
              </w:rPr>
              <w:t xml:space="preserve"> harvest strategy includes performance indicators and decision rules based on the fishable area and logbook data, bycatch including the number of undersized discards is not recorded. Therefore, the decision rules do not apply to bycatch species. </w:t>
            </w:r>
            <w:r w:rsidR="00885C56">
              <w:rPr>
                <w:rFonts w:cs="Arial"/>
                <w:szCs w:val="18"/>
              </w:rPr>
              <w:t xml:space="preserve">The </w:t>
            </w:r>
            <w:r w:rsidRPr="00F53565">
              <w:rPr>
                <w:rFonts w:cs="Arial"/>
                <w:szCs w:val="18"/>
              </w:rPr>
              <w:t>level of risk to breeding population</w:t>
            </w:r>
            <w:r w:rsidR="00D7399B">
              <w:rPr>
                <w:rFonts w:cs="Arial"/>
                <w:szCs w:val="18"/>
              </w:rPr>
              <w:t>s of bycatch species</w:t>
            </w:r>
            <w:r w:rsidRPr="00F53565">
              <w:rPr>
                <w:rFonts w:cs="Arial"/>
                <w:szCs w:val="18"/>
              </w:rPr>
              <w:t xml:space="preserve"> </w:t>
            </w:r>
            <w:r w:rsidR="00885C56">
              <w:rPr>
                <w:rFonts w:cs="Arial"/>
                <w:szCs w:val="18"/>
              </w:rPr>
              <w:t xml:space="preserve">was assessed </w:t>
            </w:r>
            <w:r w:rsidRPr="00F53565">
              <w:rPr>
                <w:rFonts w:cs="Arial"/>
                <w:szCs w:val="18"/>
              </w:rPr>
              <w:t>as low to negligible</w:t>
            </w:r>
            <w:r w:rsidR="00885C56">
              <w:rPr>
                <w:rFonts w:cs="Arial"/>
                <w:szCs w:val="18"/>
              </w:rPr>
              <w:t xml:space="preserve"> (PIRSA 2011)</w:t>
            </w:r>
            <w:r w:rsidRPr="00F53565">
              <w:rPr>
                <w:rFonts w:cs="Arial"/>
                <w:szCs w:val="18"/>
              </w:rPr>
              <w:t xml:space="preserve"> despite the high numbers of discards for some target species. PIRSA </w:t>
            </w:r>
            <w:r w:rsidR="00D7399B">
              <w:rPr>
                <w:rFonts w:cs="Arial"/>
                <w:szCs w:val="18"/>
              </w:rPr>
              <w:t>has</w:t>
            </w:r>
            <w:r w:rsidR="00885C56">
              <w:rPr>
                <w:rFonts w:cs="Arial"/>
                <w:szCs w:val="18"/>
              </w:rPr>
              <w:t xml:space="preserve"> informed the Department that</w:t>
            </w:r>
            <w:r w:rsidR="00885C56" w:rsidRPr="00F53565">
              <w:rPr>
                <w:rFonts w:cs="Arial"/>
                <w:szCs w:val="18"/>
              </w:rPr>
              <w:t xml:space="preserve"> </w:t>
            </w:r>
            <w:r w:rsidR="00D7399B">
              <w:rPr>
                <w:rFonts w:cs="Arial"/>
                <w:szCs w:val="18"/>
              </w:rPr>
              <w:t xml:space="preserve">future amendments to the </w:t>
            </w:r>
            <w:r w:rsidR="00D7399B" w:rsidRPr="00F53565">
              <w:rPr>
                <w:rFonts w:cs="Arial"/>
                <w:szCs w:val="18"/>
              </w:rPr>
              <w:t xml:space="preserve">Inland Waters Catch and Effort logbooks </w:t>
            </w:r>
            <w:r w:rsidR="00792ED3">
              <w:rPr>
                <w:rFonts w:cs="Arial"/>
                <w:szCs w:val="18"/>
              </w:rPr>
              <w:t>may</w:t>
            </w:r>
            <w:r w:rsidR="00D7399B">
              <w:rPr>
                <w:rFonts w:cs="Arial"/>
                <w:szCs w:val="18"/>
              </w:rPr>
              <w:t xml:space="preserve"> incorporate mandatory </w:t>
            </w:r>
            <w:r w:rsidRPr="00F53565">
              <w:rPr>
                <w:rFonts w:cs="Arial"/>
                <w:szCs w:val="18"/>
              </w:rPr>
              <w:t xml:space="preserve">bycatch </w:t>
            </w:r>
            <w:r w:rsidR="00D7399B">
              <w:rPr>
                <w:rFonts w:cs="Arial"/>
                <w:szCs w:val="18"/>
              </w:rPr>
              <w:t xml:space="preserve">reporting for </w:t>
            </w:r>
            <w:r w:rsidR="00AF65A7">
              <w:rPr>
                <w:rFonts w:cs="Arial"/>
                <w:szCs w:val="18"/>
              </w:rPr>
              <w:t>all licence holders</w:t>
            </w:r>
            <w:r w:rsidR="008731A5" w:rsidRPr="00F53565">
              <w:rPr>
                <w:rFonts w:cs="Arial"/>
                <w:szCs w:val="18"/>
              </w:rPr>
              <w:t>.</w:t>
            </w:r>
          </w:p>
        </w:tc>
      </w:tr>
      <w:tr w:rsidR="008731A5" w:rsidRPr="00680FA6" w14:paraId="31CCE05E" w14:textId="77777777" w:rsidTr="00AF65A7">
        <w:tc>
          <w:tcPr>
            <w:tcW w:w="1500" w:type="pct"/>
          </w:tcPr>
          <w:p w14:paraId="2DBC2884" w14:textId="42D2242F" w:rsidR="008731A5" w:rsidRPr="00680FA6" w:rsidRDefault="008731A5" w:rsidP="00EB0BC0">
            <w:pPr>
              <w:autoSpaceDE w:val="0"/>
              <w:autoSpaceDN w:val="0"/>
              <w:adjustRightInd w:val="0"/>
              <w:rPr>
                <w:rFonts w:cs="Arial"/>
                <w:b/>
                <w:bCs/>
                <w:i/>
                <w:iCs/>
                <w:szCs w:val="18"/>
              </w:rPr>
            </w:pPr>
            <w:r w:rsidRPr="00680FA6">
              <w:rPr>
                <w:rFonts w:cs="Arial"/>
                <w:b/>
                <w:bCs/>
                <w:i/>
                <w:iCs/>
                <w:szCs w:val="18"/>
              </w:rPr>
              <w:t xml:space="preserve">2.1.6 </w:t>
            </w:r>
            <w:r w:rsidRPr="00680FA6">
              <w:rPr>
                <w:rFonts w:cs="Arial"/>
                <w:szCs w:val="18"/>
              </w:rPr>
              <w:t>The management response, considering uncertainties in the assessment and precautionary management actions, has a high chance of achieving the objective.</w:t>
            </w:r>
          </w:p>
        </w:tc>
        <w:tc>
          <w:tcPr>
            <w:tcW w:w="3500" w:type="pct"/>
            <w:shd w:val="clear" w:color="auto" w:fill="FFC000"/>
          </w:tcPr>
          <w:p w14:paraId="033DD936" w14:textId="654AA9C4" w:rsidR="00851986" w:rsidRPr="00F53565" w:rsidRDefault="00AF65A7" w:rsidP="00EB0BC0">
            <w:pPr>
              <w:rPr>
                <w:rFonts w:cs="Arial"/>
                <w:szCs w:val="18"/>
              </w:rPr>
            </w:pPr>
            <w:r>
              <w:rPr>
                <w:rFonts w:cs="Arial"/>
                <w:b/>
                <w:szCs w:val="18"/>
              </w:rPr>
              <w:t>Partially m</w:t>
            </w:r>
            <w:r w:rsidR="008731A5" w:rsidRPr="00F53565">
              <w:rPr>
                <w:rFonts w:cs="Arial"/>
                <w:b/>
                <w:szCs w:val="18"/>
              </w:rPr>
              <w:t>eets</w:t>
            </w:r>
          </w:p>
          <w:p w14:paraId="76BC5319" w14:textId="0C5C680F" w:rsidR="008731A5" w:rsidRPr="00F53565" w:rsidRDefault="00B7137B" w:rsidP="00EB0BC0">
            <w:pPr>
              <w:rPr>
                <w:rFonts w:cs="Arial"/>
                <w:szCs w:val="18"/>
              </w:rPr>
            </w:pPr>
            <w:r w:rsidRPr="00F53565">
              <w:rPr>
                <w:rFonts w:cs="Arial"/>
                <w:szCs w:val="18"/>
              </w:rPr>
              <w:t>While the Department has identified risks and uncertainties</w:t>
            </w:r>
            <w:r w:rsidR="003A1022" w:rsidRPr="00F53565">
              <w:rPr>
                <w:rFonts w:cs="Arial"/>
                <w:szCs w:val="18"/>
              </w:rPr>
              <w:t xml:space="preserve"> in relation to data collection</w:t>
            </w:r>
            <w:r w:rsidRPr="00F53565">
              <w:rPr>
                <w:rFonts w:cs="Arial"/>
                <w:szCs w:val="18"/>
              </w:rPr>
              <w:t xml:space="preserve">, overall the </w:t>
            </w:r>
            <w:r w:rsidR="00596183" w:rsidRPr="00F53565">
              <w:rPr>
                <w:rFonts w:cs="Arial"/>
                <w:szCs w:val="18"/>
              </w:rPr>
              <w:t>m</w:t>
            </w:r>
            <w:r w:rsidR="008731A5" w:rsidRPr="00F53565">
              <w:rPr>
                <w:rFonts w:cs="Arial"/>
                <w:szCs w:val="18"/>
              </w:rPr>
              <w:t>anagement arrangements</w:t>
            </w:r>
            <w:r w:rsidR="00596183" w:rsidRPr="00F53565">
              <w:rPr>
                <w:rFonts w:cs="Arial"/>
                <w:szCs w:val="18"/>
              </w:rPr>
              <w:t xml:space="preserve"> </w:t>
            </w:r>
            <w:r w:rsidR="008731A5" w:rsidRPr="00F53565">
              <w:rPr>
                <w:rFonts w:cs="Arial"/>
                <w:szCs w:val="18"/>
              </w:rPr>
              <w:t xml:space="preserve">are considered likely to achieve the objective of the </w:t>
            </w:r>
            <w:r w:rsidR="00016AA6" w:rsidRPr="00F53565">
              <w:rPr>
                <w:rFonts w:cs="Arial"/>
                <w:szCs w:val="18"/>
              </w:rPr>
              <w:t xml:space="preserve">fishery </w:t>
            </w:r>
            <w:r w:rsidR="008731A5" w:rsidRPr="00F53565">
              <w:rPr>
                <w:rFonts w:cs="Arial"/>
                <w:szCs w:val="18"/>
              </w:rPr>
              <w:t>being conducted in a manner that does not threaten bycatch species.</w:t>
            </w:r>
          </w:p>
        </w:tc>
      </w:tr>
      <w:tr w:rsidR="008731A5" w:rsidRPr="00680FA6" w14:paraId="6B7593D3" w14:textId="77777777" w:rsidTr="00680FA6">
        <w:tc>
          <w:tcPr>
            <w:tcW w:w="1500" w:type="pct"/>
            <w:gridSpan w:val="2"/>
            <w:shd w:val="clear" w:color="auto" w:fill="CCC0D9"/>
          </w:tcPr>
          <w:p w14:paraId="1BC83A69" w14:textId="32D062E2" w:rsidR="008731A5" w:rsidRPr="00680FA6" w:rsidRDefault="008731A5" w:rsidP="005E2D35">
            <w:pPr>
              <w:rPr>
                <w:rFonts w:cs="Arial"/>
                <w:b/>
                <w:bCs/>
                <w:szCs w:val="18"/>
              </w:rPr>
            </w:pPr>
            <w:r w:rsidRPr="00680FA6">
              <w:rPr>
                <w:rFonts w:cs="Arial"/>
                <w:b/>
                <w:bCs/>
                <w:szCs w:val="18"/>
              </w:rPr>
              <w:t xml:space="preserve">Objective 2 - </w:t>
            </w:r>
            <w:r w:rsidRPr="00680FA6">
              <w:rPr>
                <w:rFonts w:cs="Arial"/>
                <w:szCs w:val="18"/>
              </w:rPr>
              <w:t>The fishery is conducted in a manner that avoids mortality of, or injuries to, endangered, threatened or protected species and avoids or minimises impacts on threatened ecological communities.</w:t>
            </w:r>
          </w:p>
        </w:tc>
      </w:tr>
      <w:tr w:rsidR="008731A5" w:rsidRPr="00680FA6" w14:paraId="73413938" w14:textId="77777777" w:rsidTr="00680FA6">
        <w:tc>
          <w:tcPr>
            <w:tcW w:w="1500" w:type="pct"/>
            <w:gridSpan w:val="2"/>
            <w:shd w:val="clear" w:color="auto" w:fill="E5DFEC"/>
          </w:tcPr>
          <w:p w14:paraId="18B50303" w14:textId="1227DD05" w:rsidR="008731A5" w:rsidRPr="00680FA6" w:rsidRDefault="008731A5" w:rsidP="005E2D35">
            <w:pPr>
              <w:rPr>
                <w:rFonts w:cs="Arial"/>
                <w:szCs w:val="18"/>
              </w:rPr>
            </w:pPr>
            <w:r w:rsidRPr="00680FA6">
              <w:rPr>
                <w:rFonts w:cs="Arial"/>
                <w:b/>
                <w:bCs/>
                <w:i/>
                <w:iCs/>
                <w:szCs w:val="18"/>
              </w:rPr>
              <w:lastRenderedPageBreak/>
              <w:t xml:space="preserve">Information requirements </w:t>
            </w:r>
          </w:p>
        </w:tc>
      </w:tr>
      <w:tr w:rsidR="008731A5" w:rsidRPr="00D7032C" w14:paraId="6761C457" w14:textId="77777777" w:rsidTr="00680FA6">
        <w:tc>
          <w:tcPr>
            <w:tcW w:w="1500" w:type="pct"/>
          </w:tcPr>
          <w:p w14:paraId="46BCF310" w14:textId="1EDC09A7" w:rsidR="008731A5" w:rsidRPr="00F75C52" w:rsidRDefault="008731A5" w:rsidP="00EB0BC0">
            <w:pPr>
              <w:autoSpaceDE w:val="0"/>
              <w:autoSpaceDN w:val="0"/>
              <w:adjustRightInd w:val="0"/>
              <w:rPr>
                <w:rFonts w:cs="Arial"/>
                <w:szCs w:val="18"/>
              </w:rPr>
            </w:pPr>
            <w:r w:rsidRPr="004158A2">
              <w:rPr>
                <w:rFonts w:cs="Arial"/>
                <w:b/>
                <w:bCs/>
                <w:i/>
                <w:iCs/>
                <w:szCs w:val="18"/>
              </w:rPr>
              <w:t xml:space="preserve">2.2.1 </w:t>
            </w:r>
            <w:r w:rsidRPr="00D7032C">
              <w:rPr>
                <w:rFonts w:cs="Arial"/>
                <w:szCs w:val="18"/>
              </w:rPr>
              <w:t>Reliable information is collected on the interaction with endangered, threatened or protected</w:t>
            </w:r>
            <w:r w:rsidRPr="00E67FAE">
              <w:rPr>
                <w:rFonts w:cs="Arial"/>
                <w:szCs w:val="18"/>
              </w:rPr>
              <w:t xml:space="preserve"> species and thre</w:t>
            </w:r>
            <w:r w:rsidR="00F75C52">
              <w:rPr>
                <w:rFonts w:cs="Arial"/>
                <w:szCs w:val="18"/>
              </w:rPr>
              <w:t xml:space="preserve">atened ecological communities. </w:t>
            </w:r>
          </w:p>
        </w:tc>
        <w:tc>
          <w:tcPr>
            <w:tcW w:w="3500" w:type="pct"/>
            <w:shd w:val="clear" w:color="auto" w:fill="92D050"/>
          </w:tcPr>
          <w:p w14:paraId="7AA5B521" w14:textId="47DDE981" w:rsidR="00851986" w:rsidRPr="00D7032C" w:rsidRDefault="008731A5" w:rsidP="00EB0BC0">
            <w:pPr>
              <w:rPr>
                <w:rFonts w:cs="Arial"/>
                <w:szCs w:val="18"/>
              </w:rPr>
            </w:pPr>
            <w:r w:rsidRPr="00D7032C">
              <w:rPr>
                <w:rFonts w:cs="Arial"/>
                <w:b/>
                <w:szCs w:val="18"/>
              </w:rPr>
              <w:t>Meets</w:t>
            </w:r>
          </w:p>
          <w:p w14:paraId="20CC9C2F" w14:textId="77777777" w:rsidR="00AF65A7" w:rsidRDefault="00887E2B" w:rsidP="00EB0BC0">
            <w:pPr>
              <w:rPr>
                <w:rFonts w:cs="Arial"/>
                <w:szCs w:val="18"/>
              </w:rPr>
            </w:pPr>
            <w:r w:rsidRPr="00D7032C">
              <w:rPr>
                <w:rFonts w:cs="Arial"/>
                <w:szCs w:val="18"/>
              </w:rPr>
              <w:t xml:space="preserve">Interactions with TEPS is managed under the </w:t>
            </w:r>
            <w:r w:rsidRPr="00D7032C">
              <w:rPr>
                <w:rFonts w:cs="Arial"/>
                <w:i/>
                <w:szCs w:val="18"/>
              </w:rPr>
              <w:t>Fisheries Management Act 2007</w:t>
            </w:r>
            <w:r w:rsidRPr="00D7032C">
              <w:rPr>
                <w:rFonts w:cs="Arial"/>
                <w:szCs w:val="18"/>
              </w:rPr>
              <w:t xml:space="preserve"> (SA), and the </w:t>
            </w:r>
            <w:r w:rsidRPr="00D7032C">
              <w:rPr>
                <w:rFonts w:cs="Arial"/>
                <w:i/>
                <w:szCs w:val="18"/>
              </w:rPr>
              <w:t>National Parks and Wildlife Act 1972</w:t>
            </w:r>
            <w:r w:rsidRPr="00D7032C">
              <w:rPr>
                <w:rFonts w:cs="Arial"/>
                <w:szCs w:val="18"/>
              </w:rPr>
              <w:t xml:space="preserve"> (SA). In 2007, </w:t>
            </w:r>
            <w:r w:rsidR="00F75C52">
              <w:rPr>
                <w:rFonts w:cs="Arial"/>
                <w:szCs w:val="18"/>
              </w:rPr>
              <w:t>SA</w:t>
            </w:r>
            <w:r w:rsidRPr="00D7032C">
              <w:rPr>
                <w:rFonts w:cs="Arial"/>
                <w:szCs w:val="18"/>
              </w:rPr>
              <w:t xml:space="preserve"> introduced mandatory reporting of TEPS interactions using a ‘wildlife interaction’ logbook. Logbook records include licence details, date and time of interactions, nature of interaction (caught, entangled, impact/collision, other), observed status (alive, injured, dead), and fate (released, retained, discarded). SARDI </w:t>
            </w:r>
            <w:r w:rsidRPr="00D7032C">
              <w:rPr>
                <w:rFonts w:cs="Arial"/>
                <w:szCs w:val="18"/>
                <w:lang w:eastAsia="en-AU"/>
              </w:rPr>
              <w:t>produce</w:t>
            </w:r>
            <w:r w:rsidR="00F75C52">
              <w:rPr>
                <w:rFonts w:cs="Arial"/>
                <w:szCs w:val="18"/>
                <w:lang w:eastAsia="en-AU"/>
              </w:rPr>
              <w:t xml:space="preserve"> annual</w:t>
            </w:r>
            <w:r w:rsidRPr="00D7032C">
              <w:rPr>
                <w:rFonts w:cs="Arial"/>
                <w:szCs w:val="18"/>
                <w:lang w:eastAsia="en-AU"/>
              </w:rPr>
              <w:t xml:space="preserve"> reports </w:t>
            </w:r>
            <w:r w:rsidRPr="00D7032C">
              <w:rPr>
                <w:rFonts w:cs="Arial"/>
                <w:szCs w:val="18"/>
              </w:rPr>
              <w:t xml:space="preserve">based on </w:t>
            </w:r>
            <w:r w:rsidR="00AF65A7">
              <w:rPr>
                <w:rFonts w:cs="Arial"/>
                <w:szCs w:val="18"/>
              </w:rPr>
              <w:t xml:space="preserve">these </w:t>
            </w:r>
            <w:r w:rsidRPr="00D7032C">
              <w:rPr>
                <w:rFonts w:cs="Arial"/>
                <w:szCs w:val="18"/>
              </w:rPr>
              <w:t xml:space="preserve">logbook records (see Tsolos &amp; Boyle 2013; McLeay, Tsolos &amp; Boyle </w:t>
            </w:r>
            <w:r w:rsidRPr="00D7032C">
              <w:rPr>
                <w:rFonts w:cs="Arial"/>
                <w:szCs w:val="18"/>
                <w:lang w:eastAsia="en-AU"/>
              </w:rPr>
              <w:t>2015</w:t>
            </w:r>
            <w:r w:rsidRPr="00D7032C">
              <w:rPr>
                <w:rFonts w:cs="Arial"/>
                <w:szCs w:val="18"/>
              </w:rPr>
              <w:t>).</w:t>
            </w:r>
            <w:r w:rsidR="00F75C52">
              <w:rPr>
                <w:rFonts w:cs="Arial"/>
                <w:szCs w:val="18"/>
              </w:rPr>
              <w:t xml:space="preserve"> </w:t>
            </w:r>
          </w:p>
          <w:p w14:paraId="51E2901C" w14:textId="7B7E73A1" w:rsidR="00DF1DCC" w:rsidRPr="00D7032C" w:rsidRDefault="00DF1DCC" w:rsidP="00EB0BC0">
            <w:pPr>
              <w:rPr>
                <w:rFonts w:cs="Arial"/>
                <w:szCs w:val="18"/>
              </w:rPr>
            </w:pPr>
            <w:r w:rsidRPr="00D7032C">
              <w:rPr>
                <w:rFonts w:cs="Arial"/>
                <w:szCs w:val="18"/>
              </w:rPr>
              <w:t xml:space="preserve">The </w:t>
            </w:r>
            <w:r w:rsidR="000712A8" w:rsidRPr="00D7032C">
              <w:rPr>
                <w:rFonts w:cs="Arial"/>
                <w:szCs w:val="18"/>
              </w:rPr>
              <w:t xml:space="preserve">available </w:t>
            </w:r>
            <w:r w:rsidRPr="00D7032C">
              <w:rPr>
                <w:rFonts w:cs="Arial"/>
                <w:szCs w:val="18"/>
              </w:rPr>
              <w:t xml:space="preserve">information </w:t>
            </w:r>
            <w:r w:rsidR="000712A8" w:rsidRPr="00D7032C">
              <w:rPr>
                <w:rFonts w:cs="Arial"/>
                <w:szCs w:val="18"/>
              </w:rPr>
              <w:t xml:space="preserve">shows a significant </w:t>
            </w:r>
            <w:r w:rsidRPr="00D7032C">
              <w:rPr>
                <w:rFonts w:cs="Arial"/>
                <w:szCs w:val="18"/>
              </w:rPr>
              <w:t>increase</w:t>
            </w:r>
            <w:r w:rsidR="000712A8" w:rsidRPr="00D7032C">
              <w:rPr>
                <w:rFonts w:cs="Arial"/>
                <w:szCs w:val="18"/>
              </w:rPr>
              <w:t xml:space="preserve"> in the </w:t>
            </w:r>
            <w:r w:rsidRPr="00D7032C">
              <w:rPr>
                <w:rFonts w:cs="Arial"/>
                <w:szCs w:val="18"/>
              </w:rPr>
              <w:t xml:space="preserve">number of </w:t>
            </w:r>
            <w:r w:rsidR="000712A8" w:rsidRPr="00D7032C">
              <w:rPr>
                <w:rFonts w:cs="Arial"/>
                <w:szCs w:val="18"/>
              </w:rPr>
              <w:t xml:space="preserve">TEPS </w:t>
            </w:r>
            <w:r w:rsidRPr="00D7032C">
              <w:rPr>
                <w:rFonts w:cs="Arial"/>
                <w:szCs w:val="18"/>
              </w:rPr>
              <w:t xml:space="preserve">interactions </w:t>
            </w:r>
            <w:r w:rsidR="007C4B85">
              <w:rPr>
                <w:rFonts w:cs="Arial"/>
                <w:szCs w:val="18"/>
              </w:rPr>
              <w:t>from</w:t>
            </w:r>
            <w:r w:rsidR="000712A8" w:rsidRPr="00D7032C">
              <w:rPr>
                <w:rFonts w:cs="Arial"/>
                <w:szCs w:val="18"/>
              </w:rPr>
              <w:t xml:space="preserve"> 2007–08 </w:t>
            </w:r>
            <w:r w:rsidR="007C4B85">
              <w:rPr>
                <w:rFonts w:cs="Arial"/>
                <w:szCs w:val="18"/>
              </w:rPr>
              <w:t>to</w:t>
            </w:r>
            <w:r w:rsidR="000712A8" w:rsidRPr="00D7032C">
              <w:rPr>
                <w:rFonts w:cs="Arial"/>
                <w:szCs w:val="18"/>
              </w:rPr>
              <w:t xml:space="preserve"> 2013–14 </w:t>
            </w:r>
            <w:r w:rsidR="0015780C" w:rsidRPr="00D7032C">
              <w:rPr>
                <w:rFonts w:cs="Arial"/>
                <w:szCs w:val="18"/>
              </w:rPr>
              <w:t xml:space="preserve">(see Table below) </w:t>
            </w:r>
            <w:r w:rsidR="000712A8" w:rsidRPr="00D7032C">
              <w:rPr>
                <w:rFonts w:cs="Arial"/>
                <w:szCs w:val="18"/>
              </w:rPr>
              <w:t xml:space="preserve">(McLeay, Tsolos &amp; Boyle </w:t>
            </w:r>
            <w:r w:rsidR="000712A8" w:rsidRPr="00D7032C">
              <w:rPr>
                <w:rFonts w:cs="Arial"/>
                <w:szCs w:val="18"/>
                <w:lang w:eastAsia="en-AU"/>
              </w:rPr>
              <w:t>2015</w:t>
            </w:r>
            <w:r w:rsidR="000712A8" w:rsidRPr="00D7032C">
              <w:rPr>
                <w:rFonts w:cs="Arial"/>
                <w:szCs w:val="18"/>
              </w:rPr>
              <w:t xml:space="preserve">). </w:t>
            </w:r>
            <w:r w:rsidR="0015780C" w:rsidRPr="00D7032C">
              <w:rPr>
                <w:rFonts w:cs="Arial"/>
                <w:szCs w:val="18"/>
              </w:rPr>
              <w:t xml:space="preserve">The majority of interactions has been with </w:t>
            </w:r>
            <w:r w:rsidR="00AF65A7">
              <w:rPr>
                <w:rFonts w:cs="Arial"/>
                <w:szCs w:val="18"/>
              </w:rPr>
              <w:t>long-nosed</w:t>
            </w:r>
            <w:r w:rsidRPr="00D7032C">
              <w:rPr>
                <w:rFonts w:cs="Arial"/>
                <w:szCs w:val="18"/>
              </w:rPr>
              <w:t xml:space="preserve"> fur </w:t>
            </w:r>
            <w:r w:rsidR="00887E2B" w:rsidRPr="00D7032C">
              <w:rPr>
                <w:rFonts w:cs="Arial"/>
                <w:szCs w:val="18"/>
              </w:rPr>
              <w:t>seal (</w:t>
            </w:r>
            <w:r w:rsidR="00887E2B" w:rsidRPr="00D7032C">
              <w:rPr>
                <w:rFonts w:cs="Arial"/>
                <w:i/>
                <w:szCs w:val="18"/>
              </w:rPr>
              <w:t>Arctocephalus forsteri</w:t>
            </w:r>
            <w:r w:rsidR="00887E2B" w:rsidRPr="00D7032C">
              <w:rPr>
                <w:rFonts w:cs="Arial"/>
                <w:szCs w:val="18"/>
              </w:rPr>
              <w:t xml:space="preserve">). Most observations relate to advantageous depredation </w:t>
            </w:r>
            <w:r w:rsidR="00F75C52">
              <w:rPr>
                <w:rFonts w:cs="Arial"/>
                <w:szCs w:val="18"/>
              </w:rPr>
              <w:t xml:space="preserve">by seals </w:t>
            </w:r>
            <w:r w:rsidR="00887E2B" w:rsidRPr="00D7032C">
              <w:rPr>
                <w:rFonts w:cs="Arial"/>
                <w:szCs w:val="18"/>
              </w:rPr>
              <w:t>on netted fish</w:t>
            </w:r>
            <w:r w:rsidRPr="00D7032C">
              <w:rPr>
                <w:rFonts w:cs="Arial"/>
                <w:szCs w:val="18"/>
              </w:rPr>
              <w:t>.</w:t>
            </w:r>
            <w:r w:rsidR="0015780C" w:rsidRPr="00D7032C">
              <w:rPr>
                <w:rFonts w:cs="Arial"/>
                <w:szCs w:val="18"/>
              </w:rPr>
              <w:t xml:space="preserve"> </w:t>
            </w:r>
            <w:r w:rsidR="00DF5D08" w:rsidRPr="00D7032C">
              <w:rPr>
                <w:rFonts w:cs="Arial"/>
                <w:szCs w:val="18"/>
              </w:rPr>
              <w:t xml:space="preserve">Despite the increase, there has been </w:t>
            </w:r>
            <w:r w:rsidR="0015780C" w:rsidRPr="00D7032C">
              <w:rPr>
                <w:rFonts w:cs="Arial"/>
                <w:szCs w:val="18"/>
              </w:rPr>
              <w:t>no mortalities reported since 2007</w:t>
            </w:r>
            <w:r w:rsidR="00DF5D08" w:rsidRPr="00D7032C">
              <w:rPr>
                <w:rFonts w:cs="Arial"/>
                <w:szCs w:val="18"/>
              </w:rPr>
              <w:t xml:space="preserve">. However, </w:t>
            </w:r>
            <w:r w:rsidR="0015780C" w:rsidRPr="00D7032C">
              <w:rPr>
                <w:rFonts w:cs="Arial"/>
                <w:szCs w:val="18"/>
              </w:rPr>
              <w:t xml:space="preserve">the </w:t>
            </w:r>
            <w:r w:rsidR="00DF5D08" w:rsidRPr="00D7032C">
              <w:rPr>
                <w:rFonts w:cs="Arial"/>
                <w:szCs w:val="18"/>
              </w:rPr>
              <w:t xml:space="preserve">risk of mortality remains high due to the </w:t>
            </w:r>
            <w:r w:rsidR="0015780C" w:rsidRPr="00D7032C">
              <w:rPr>
                <w:rFonts w:cs="Arial"/>
                <w:szCs w:val="18"/>
              </w:rPr>
              <w:t>presence of h</w:t>
            </w:r>
            <w:r w:rsidRPr="00D7032C">
              <w:rPr>
                <w:rFonts w:cs="Arial"/>
                <w:szCs w:val="18"/>
              </w:rPr>
              <w:t xml:space="preserve">igh numbers of </w:t>
            </w:r>
            <w:r w:rsidR="0015780C" w:rsidRPr="00D7032C">
              <w:rPr>
                <w:rFonts w:cs="Arial"/>
                <w:szCs w:val="18"/>
              </w:rPr>
              <w:t>long-nosed fur seals</w:t>
            </w:r>
            <w:r w:rsidRPr="00D7032C">
              <w:rPr>
                <w:rFonts w:cs="Arial"/>
                <w:szCs w:val="18"/>
              </w:rPr>
              <w:t xml:space="preserve">. </w:t>
            </w:r>
            <w:r w:rsidR="0015780C" w:rsidRPr="00D7032C">
              <w:rPr>
                <w:rFonts w:cs="Arial"/>
                <w:szCs w:val="18"/>
              </w:rPr>
              <w:t>I</w:t>
            </w:r>
            <w:r w:rsidRPr="00D7032C">
              <w:rPr>
                <w:rFonts w:cs="Arial"/>
                <w:szCs w:val="18"/>
              </w:rPr>
              <w:t>t is very important that PIRSA</w:t>
            </w:r>
            <w:r w:rsidR="00887E2B" w:rsidRPr="00D7032C">
              <w:rPr>
                <w:rFonts w:cs="Arial"/>
                <w:szCs w:val="18"/>
              </w:rPr>
              <w:t xml:space="preserve"> continue to</w:t>
            </w:r>
            <w:r w:rsidRPr="00D7032C">
              <w:rPr>
                <w:rFonts w:cs="Arial"/>
                <w:szCs w:val="18"/>
              </w:rPr>
              <w:t xml:space="preserve"> work collaboratively with other government agencies, industry and broader public to </w:t>
            </w:r>
            <w:r w:rsidR="00DF5D08" w:rsidRPr="00D7032C">
              <w:rPr>
                <w:rFonts w:cs="Arial"/>
                <w:szCs w:val="18"/>
              </w:rPr>
              <w:t>minimise the risks.</w:t>
            </w:r>
          </w:p>
          <w:p w14:paraId="105BAAA8" w14:textId="074C6ABC" w:rsidR="00DF5D08" w:rsidRPr="00D7032C" w:rsidRDefault="00DF5D08" w:rsidP="00EB0BC0">
            <w:pPr>
              <w:autoSpaceDE w:val="0"/>
              <w:autoSpaceDN w:val="0"/>
              <w:adjustRightInd w:val="0"/>
              <w:rPr>
                <w:rFonts w:cs="Arial"/>
                <w:szCs w:val="18"/>
              </w:rPr>
            </w:pPr>
            <w:r w:rsidRPr="00D7032C">
              <w:rPr>
                <w:rFonts w:cs="Arial"/>
                <w:szCs w:val="18"/>
              </w:rPr>
              <w:t>Table 2.2</w:t>
            </w:r>
            <w:r w:rsidR="00F75C52">
              <w:rPr>
                <w:rFonts w:cs="Arial"/>
                <w:szCs w:val="18"/>
              </w:rPr>
              <w:t>:</w:t>
            </w:r>
            <w:r w:rsidRPr="00D7032C">
              <w:rPr>
                <w:rFonts w:cs="Arial"/>
                <w:szCs w:val="18"/>
              </w:rPr>
              <w:t xml:space="preserve"> Interactions with threatened, endangered or protected species in the SA Lakes and Coo</w:t>
            </w:r>
            <w:r w:rsidR="00DF4732">
              <w:rPr>
                <w:rFonts w:cs="Arial"/>
                <w:szCs w:val="18"/>
              </w:rPr>
              <w:t>rong Fishery (2007–08 to </w:t>
            </w:r>
            <w:r w:rsidRPr="00D7032C">
              <w:rPr>
                <w:rFonts w:cs="Arial"/>
                <w:szCs w:val="18"/>
              </w:rPr>
              <w:t>2013–14).</w:t>
            </w:r>
          </w:p>
          <w:tbl>
            <w:tblPr>
              <w:tblStyle w:val="TableGrid"/>
              <w:tblW w:w="5000" w:type="pct"/>
              <w:tblLayout w:type="fixed"/>
              <w:tblLook w:val="04A0" w:firstRow="1" w:lastRow="0" w:firstColumn="1" w:lastColumn="0" w:noHBand="0" w:noVBand="1"/>
            </w:tblPr>
            <w:tblGrid>
              <w:gridCol w:w="2537"/>
              <w:gridCol w:w="2538"/>
              <w:gridCol w:w="2538"/>
              <w:gridCol w:w="2538"/>
            </w:tblGrid>
            <w:tr w:rsidR="00D8359D" w:rsidRPr="00EB0BC0" w14:paraId="6F501487" w14:textId="77777777" w:rsidTr="00D8359D">
              <w:trPr>
                <w:cnfStyle w:val="100000000000" w:firstRow="1" w:lastRow="0" w:firstColumn="0" w:lastColumn="0" w:oddVBand="0" w:evenVBand="0" w:oddHBand="0" w:evenHBand="0" w:firstRowFirstColumn="0" w:firstRowLastColumn="0" w:lastRowFirstColumn="0" w:lastRowLastColumn="0"/>
              </w:trPr>
              <w:tc>
                <w:tcPr>
                  <w:tcW w:w="1250" w:type="pct"/>
                </w:tcPr>
                <w:p w14:paraId="63FA66F7" w14:textId="466D96F5" w:rsidR="00D8359D" w:rsidRPr="00EB0BC0" w:rsidRDefault="00D8359D" w:rsidP="00EB0BC0">
                  <w:pPr>
                    <w:contextualSpacing/>
                    <w:rPr>
                      <w:rFonts w:cs="Arial"/>
                      <w:b/>
                      <w:szCs w:val="18"/>
                    </w:rPr>
                  </w:pPr>
                  <w:r w:rsidRPr="00EB0BC0">
                    <w:rPr>
                      <w:rFonts w:cs="Arial"/>
                      <w:b/>
                      <w:szCs w:val="18"/>
                    </w:rPr>
                    <w:t>Financial year</w:t>
                  </w:r>
                </w:p>
              </w:tc>
              <w:tc>
                <w:tcPr>
                  <w:tcW w:w="1250" w:type="pct"/>
                </w:tcPr>
                <w:p w14:paraId="184D08CB" w14:textId="7844B458" w:rsidR="00D8359D" w:rsidRPr="00EB0BC0" w:rsidRDefault="0015780C" w:rsidP="00EB0BC0">
                  <w:pPr>
                    <w:contextualSpacing/>
                    <w:rPr>
                      <w:rFonts w:cs="Arial"/>
                      <w:b/>
                      <w:szCs w:val="18"/>
                    </w:rPr>
                  </w:pPr>
                  <w:r w:rsidRPr="00EB0BC0">
                    <w:rPr>
                      <w:rFonts w:cs="Arial"/>
                      <w:b/>
                      <w:szCs w:val="18"/>
                    </w:rPr>
                    <w:t>Reported i</w:t>
                  </w:r>
                  <w:r w:rsidR="00D8359D" w:rsidRPr="00EB0BC0">
                    <w:rPr>
                      <w:rFonts w:cs="Arial"/>
                      <w:b/>
                      <w:szCs w:val="18"/>
                    </w:rPr>
                    <w:t>nteractions</w:t>
                  </w:r>
                </w:p>
              </w:tc>
              <w:tc>
                <w:tcPr>
                  <w:tcW w:w="1250" w:type="pct"/>
                </w:tcPr>
                <w:p w14:paraId="5E571F46" w14:textId="147BB50E" w:rsidR="00D8359D" w:rsidRPr="00EB0BC0" w:rsidRDefault="0015780C" w:rsidP="00EB0BC0">
                  <w:pPr>
                    <w:contextualSpacing/>
                    <w:rPr>
                      <w:rFonts w:cs="Arial"/>
                      <w:b/>
                      <w:szCs w:val="18"/>
                    </w:rPr>
                  </w:pPr>
                  <w:r w:rsidRPr="00EB0BC0">
                    <w:rPr>
                      <w:rFonts w:cs="Arial"/>
                      <w:b/>
                      <w:szCs w:val="18"/>
                    </w:rPr>
                    <w:t>Number of a</w:t>
                  </w:r>
                  <w:r w:rsidR="00D8359D" w:rsidRPr="00EB0BC0">
                    <w:rPr>
                      <w:rFonts w:cs="Arial"/>
                      <w:b/>
                      <w:szCs w:val="18"/>
                    </w:rPr>
                    <w:t xml:space="preserve">nimals </w:t>
                  </w:r>
                  <w:r w:rsidRPr="00EB0BC0">
                    <w:rPr>
                      <w:rFonts w:cs="Arial"/>
                      <w:b/>
                      <w:szCs w:val="18"/>
                    </w:rPr>
                    <w:t>involved</w:t>
                  </w:r>
                </w:p>
              </w:tc>
              <w:tc>
                <w:tcPr>
                  <w:tcW w:w="1250" w:type="pct"/>
                </w:tcPr>
                <w:p w14:paraId="4F579DDD" w14:textId="07B5BFA4" w:rsidR="00D8359D" w:rsidRPr="00EB0BC0" w:rsidRDefault="0015780C" w:rsidP="00EB0BC0">
                  <w:pPr>
                    <w:contextualSpacing/>
                    <w:rPr>
                      <w:rFonts w:cs="Arial"/>
                      <w:b/>
                      <w:szCs w:val="18"/>
                    </w:rPr>
                  </w:pPr>
                  <w:r w:rsidRPr="00EB0BC0">
                    <w:rPr>
                      <w:rFonts w:cs="Arial"/>
                      <w:b/>
                      <w:szCs w:val="18"/>
                    </w:rPr>
                    <w:t>M</w:t>
                  </w:r>
                  <w:r w:rsidR="00D8359D" w:rsidRPr="00EB0BC0">
                    <w:rPr>
                      <w:rFonts w:cs="Arial"/>
                      <w:b/>
                      <w:szCs w:val="18"/>
                    </w:rPr>
                    <w:t xml:space="preserve">ortalities </w:t>
                  </w:r>
                  <w:r w:rsidRPr="00EB0BC0">
                    <w:rPr>
                      <w:rFonts w:cs="Arial"/>
                      <w:b/>
                      <w:szCs w:val="18"/>
                    </w:rPr>
                    <w:t>reported</w:t>
                  </w:r>
                </w:p>
              </w:tc>
            </w:tr>
            <w:tr w:rsidR="00D8359D" w:rsidRPr="00D7032C" w14:paraId="4008EA7E" w14:textId="77777777" w:rsidTr="00D8359D">
              <w:trPr>
                <w:cnfStyle w:val="000000100000" w:firstRow="0" w:lastRow="0" w:firstColumn="0" w:lastColumn="0" w:oddVBand="0" w:evenVBand="0" w:oddHBand="1" w:evenHBand="0" w:firstRowFirstColumn="0" w:firstRowLastColumn="0" w:lastRowFirstColumn="0" w:lastRowLastColumn="0"/>
              </w:trPr>
              <w:tc>
                <w:tcPr>
                  <w:tcW w:w="1250" w:type="pct"/>
                </w:tcPr>
                <w:p w14:paraId="6E3078CD" w14:textId="77777777" w:rsidR="00D8359D" w:rsidRPr="00D7032C" w:rsidRDefault="00D8359D" w:rsidP="00EB0BC0">
                  <w:pPr>
                    <w:contextualSpacing/>
                    <w:rPr>
                      <w:rFonts w:cs="Arial"/>
                      <w:szCs w:val="18"/>
                    </w:rPr>
                  </w:pPr>
                  <w:r w:rsidRPr="00D7032C">
                    <w:rPr>
                      <w:rFonts w:cs="Arial"/>
                      <w:szCs w:val="18"/>
                    </w:rPr>
                    <w:t>2013–14</w:t>
                  </w:r>
                </w:p>
              </w:tc>
              <w:tc>
                <w:tcPr>
                  <w:tcW w:w="1250" w:type="pct"/>
                </w:tcPr>
                <w:p w14:paraId="549730C1" w14:textId="1FECFB97" w:rsidR="00D8359D" w:rsidRPr="00D7032C" w:rsidRDefault="0015780C" w:rsidP="00EB0BC0">
                  <w:pPr>
                    <w:contextualSpacing/>
                    <w:rPr>
                      <w:rFonts w:cs="Arial"/>
                      <w:szCs w:val="18"/>
                    </w:rPr>
                  </w:pPr>
                  <w:r w:rsidRPr="00D7032C">
                    <w:rPr>
                      <w:rFonts w:cs="Arial"/>
                      <w:szCs w:val="18"/>
                    </w:rPr>
                    <w:t>229</w:t>
                  </w:r>
                </w:p>
              </w:tc>
              <w:tc>
                <w:tcPr>
                  <w:tcW w:w="1250" w:type="pct"/>
                </w:tcPr>
                <w:p w14:paraId="473645B0" w14:textId="27C7D69F" w:rsidR="00D8359D" w:rsidRPr="00D7032C" w:rsidRDefault="0015780C" w:rsidP="00EB0BC0">
                  <w:pPr>
                    <w:contextualSpacing/>
                    <w:rPr>
                      <w:rFonts w:cs="Arial"/>
                      <w:szCs w:val="18"/>
                    </w:rPr>
                  </w:pPr>
                  <w:r w:rsidRPr="00D7032C">
                    <w:rPr>
                      <w:rFonts w:cs="Arial"/>
                      <w:szCs w:val="18"/>
                    </w:rPr>
                    <w:t>4366</w:t>
                  </w:r>
                </w:p>
              </w:tc>
              <w:tc>
                <w:tcPr>
                  <w:tcW w:w="1250" w:type="pct"/>
                </w:tcPr>
                <w:p w14:paraId="081C4828" w14:textId="38815B32" w:rsidR="00D8359D" w:rsidRPr="00D7032C" w:rsidRDefault="0015780C" w:rsidP="00EB0BC0">
                  <w:pPr>
                    <w:contextualSpacing/>
                    <w:rPr>
                      <w:rFonts w:cs="Arial"/>
                      <w:szCs w:val="18"/>
                    </w:rPr>
                  </w:pPr>
                  <w:r w:rsidRPr="00D7032C">
                    <w:rPr>
                      <w:rFonts w:cs="Arial"/>
                      <w:szCs w:val="18"/>
                    </w:rPr>
                    <w:t>0</w:t>
                  </w:r>
                </w:p>
              </w:tc>
            </w:tr>
            <w:tr w:rsidR="00D8359D" w:rsidRPr="00D7032C" w14:paraId="0CE4C047" w14:textId="77777777" w:rsidTr="00D8359D">
              <w:trPr>
                <w:cnfStyle w:val="000000010000" w:firstRow="0" w:lastRow="0" w:firstColumn="0" w:lastColumn="0" w:oddVBand="0" w:evenVBand="0" w:oddHBand="0" w:evenHBand="1" w:firstRowFirstColumn="0" w:firstRowLastColumn="0" w:lastRowFirstColumn="0" w:lastRowLastColumn="0"/>
              </w:trPr>
              <w:tc>
                <w:tcPr>
                  <w:tcW w:w="1250" w:type="pct"/>
                </w:tcPr>
                <w:p w14:paraId="3118B3F3" w14:textId="77777777" w:rsidR="00D8359D" w:rsidRPr="00D7032C" w:rsidRDefault="00D8359D" w:rsidP="00EB0BC0">
                  <w:pPr>
                    <w:contextualSpacing/>
                    <w:rPr>
                      <w:rFonts w:cs="Arial"/>
                      <w:szCs w:val="18"/>
                    </w:rPr>
                  </w:pPr>
                  <w:r w:rsidRPr="00D7032C">
                    <w:rPr>
                      <w:rFonts w:cs="Arial"/>
                      <w:szCs w:val="18"/>
                    </w:rPr>
                    <w:t>2012–13</w:t>
                  </w:r>
                </w:p>
              </w:tc>
              <w:tc>
                <w:tcPr>
                  <w:tcW w:w="1250" w:type="pct"/>
                </w:tcPr>
                <w:p w14:paraId="1BBC3264" w14:textId="462A0792" w:rsidR="00D8359D" w:rsidRPr="00D7032C" w:rsidRDefault="0015780C" w:rsidP="00EB0BC0">
                  <w:pPr>
                    <w:contextualSpacing/>
                    <w:rPr>
                      <w:rFonts w:cs="Arial"/>
                      <w:szCs w:val="18"/>
                    </w:rPr>
                  </w:pPr>
                  <w:r w:rsidRPr="00D7032C">
                    <w:rPr>
                      <w:rFonts w:cs="Arial"/>
                      <w:szCs w:val="18"/>
                    </w:rPr>
                    <w:t>33</w:t>
                  </w:r>
                </w:p>
              </w:tc>
              <w:tc>
                <w:tcPr>
                  <w:tcW w:w="1250" w:type="pct"/>
                </w:tcPr>
                <w:p w14:paraId="1DE5FA40" w14:textId="5308DB4A" w:rsidR="00D8359D" w:rsidRPr="00D7032C" w:rsidRDefault="0015780C" w:rsidP="00EB0BC0">
                  <w:pPr>
                    <w:contextualSpacing/>
                    <w:rPr>
                      <w:rFonts w:cs="Arial"/>
                      <w:szCs w:val="18"/>
                    </w:rPr>
                  </w:pPr>
                  <w:r w:rsidRPr="00D7032C">
                    <w:rPr>
                      <w:rFonts w:cs="Arial"/>
                      <w:szCs w:val="18"/>
                    </w:rPr>
                    <w:t>76</w:t>
                  </w:r>
                </w:p>
              </w:tc>
              <w:tc>
                <w:tcPr>
                  <w:tcW w:w="1250" w:type="pct"/>
                </w:tcPr>
                <w:p w14:paraId="1ABE2D83" w14:textId="15D177C8" w:rsidR="00D8359D" w:rsidRPr="00D7032C" w:rsidRDefault="0015780C" w:rsidP="00EB0BC0">
                  <w:pPr>
                    <w:contextualSpacing/>
                    <w:rPr>
                      <w:rFonts w:cs="Arial"/>
                      <w:szCs w:val="18"/>
                    </w:rPr>
                  </w:pPr>
                  <w:r w:rsidRPr="00D7032C">
                    <w:rPr>
                      <w:rFonts w:cs="Arial"/>
                      <w:szCs w:val="18"/>
                    </w:rPr>
                    <w:t>0</w:t>
                  </w:r>
                </w:p>
              </w:tc>
            </w:tr>
            <w:tr w:rsidR="00D8359D" w:rsidRPr="00D7032C" w14:paraId="16851903" w14:textId="77777777" w:rsidTr="00D8359D">
              <w:trPr>
                <w:cnfStyle w:val="000000100000" w:firstRow="0" w:lastRow="0" w:firstColumn="0" w:lastColumn="0" w:oddVBand="0" w:evenVBand="0" w:oddHBand="1" w:evenHBand="0" w:firstRowFirstColumn="0" w:firstRowLastColumn="0" w:lastRowFirstColumn="0" w:lastRowLastColumn="0"/>
              </w:trPr>
              <w:tc>
                <w:tcPr>
                  <w:tcW w:w="1250" w:type="pct"/>
                </w:tcPr>
                <w:p w14:paraId="3EB1146C" w14:textId="77777777" w:rsidR="00D8359D" w:rsidRPr="00D7032C" w:rsidRDefault="00D8359D" w:rsidP="00EB0BC0">
                  <w:pPr>
                    <w:contextualSpacing/>
                    <w:rPr>
                      <w:rFonts w:cs="Arial"/>
                      <w:szCs w:val="18"/>
                    </w:rPr>
                  </w:pPr>
                  <w:r w:rsidRPr="00D7032C">
                    <w:rPr>
                      <w:rFonts w:cs="Arial"/>
                      <w:szCs w:val="18"/>
                    </w:rPr>
                    <w:t>2011–12</w:t>
                  </w:r>
                </w:p>
              </w:tc>
              <w:tc>
                <w:tcPr>
                  <w:tcW w:w="1250" w:type="pct"/>
                </w:tcPr>
                <w:p w14:paraId="2A6948A7" w14:textId="77777777" w:rsidR="00D8359D" w:rsidRPr="00D7032C" w:rsidRDefault="00D8359D" w:rsidP="00EB0BC0">
                  <w:pPr>
                    <w:contextualSpacing/>
                    <w:rPr>
                      <w:rFonts w:cs="Arial"/>
                      <w:szCs w:val="18"/>
                    </w:rPr>
                  </w:pPr>
                  <w:r w:rsidRPr="00D7032C">
                    <w:rPr>
                      <w:rFonts w:cs="Arial"/>
                      <w:szCs w:val="18"/>
                    </w:rPr>
                    <w:t>0</w:t>
                  </w:r>
                </w:p>
              </w:tc>
              <w:tc>
                <w:tcPr>
                  <w:tcW w:w="1250" w:type="pct"/>
                </w:tcPr>
                <w:p w14:paraId="24150B35" w14:textId="77777777" w:rsidR="00D8359D" w:rsidRPr="00D7032C" w:rsidRDefault="00D8359D" w:rsidP="00EB0BC0">
                  <w:pPr>
                    <w:contextualSpacing/>
                    <w:rPr>
                      <w:rFonts w:cs="Arial"/>
                      <w:szCs w:val="18"/>
                    </w:rPr>
                  </w:pPr>
                  <w:r w:rsidRPr="00D7032C">
                    <w:rPr>
                      <w:rFonts w:cs="Arial"/>
                      <w:szCs w:val="18"/>
                    </w:rPr>
                    <w:t>0</w:t>
                  </w:r>
                </w:p>
              </w:tc>
              <w:tc>
                <w:tcPr>
                  <w:tcW w:w="1250" w:type="pct"/>
                </w:tcPr>
                <w:p w14:paraId="565BB03E" w14:textId="77777777" w:rsidR="00D8359D" w:rsidRPr="00D7032C" w:rsidRDefault="00D8359D" w:rsidP="00EB0BC0">
                  <w:pPr>
                    <w:contextualSpacing/>
                    <w:rPr>
                      <w:rFonts w:cs="Arial"/>
                      <w:szCs w:val="18"/>
                    </w:rPr>
                  </w:pPr>
                  <w:r w:rsidRPr="00D7032C">
                    <w:rPr>
                      <w:rFonts w:cs="Arial"/>
                      <w:szCs w:val="18"/>
                    </w:rPr>
                    <w:t>0</w:t>
                  </w:r>
                </w:p>
              </w:tc>
            </w:tr>
            <w:tr w:rsidR="00D8359D" w:rsidRPr="00D7032C" w14:paraId="6E840F0A" w14:textId="77777777" w:rsidTr="00D8359D">
              <w:trPr>
                <w:cnfStyle w:val="000000010000" w:firstRow="0" w:lastRow="0" w:firstColumn="0" w:lastColumn="0" w:oddVBand="0" w:evenVBand="0" w:oddHBand="0" w:evenHBand="1" w:firstRowFirstColumn="0" w:firstRowLastColumn="0" w:lastRowFirstColumn="0" w:lastRowLastColumn="0"/>
              </w:trPr>
              <w:tc>
                <w:tcPr>
                  <w:tcW w:w="1250" w:type="pct"/>
                </w:tcPr>
                <w:p w14:paraId="0B1D3D71" w14:textId="77777777" w:rsidR="00D8359D" w:rsidRPr="00D7032C" w:rsidRDefault="00D8359D" w:rsidP="00EB0BC0">
                  <w:pPr>
                    <w:contextualSpacing/>
                    <w:rPr>
                      <w:rFonts w:cs="Arial"/>
                      <w:szCs w:val="18"/>
                    </w:rPr>
                  </w:pPr>
                  <w:r w:rsidRPr="00D7032C">
                    <w:rPr>
                      <w:rFonts w:cs="Arial"/>
                      <w:szCs w:val="18"/>
                    </w:rPr>
                    <w:t>2010–11</w:t>
                  </w:r>
                </w:p>
              </w:tc>
              <w:tc>
                <w:tcPr>
                  <w:tcW w:w="1250" w:type="pct"/>
                </w:tcPr>
                <w:p w14:paraId="7BCAD81C" w14:textId="77777777" w:rsidR="00D8359D" w:rsidRPr="00D7032C" w:rsidRDefault="00D8359D" w:rsidP="00EB0BC0">
                  <w:pPr>
                    <w:contextualSpacing/>
                    <w:rPr>
                      <w:rFonts w:cs="Arial"/>
                      <w:szCs w:val="18"/>
                    </w:rPr>
                  </w:pPr>
                  <w:r w:rsidRPr="00D7032C">
                    <w:rPr>
                      <w:rFonts w:cs="Arial"/>
                      <w:szCs w:val="18"/>
                    </w:rPr>
                    <w:t>52</w:t>
                  </w:r>
                </w:p>
              </w:tc>
              <w:tc>
                <w:tcPr>
                  <w:tcW w:w="1250" w:type="pct"/>
                </w:tcPr>
                <w:p w14:paraId="2FD1B5FD" w14:textId="77777777" w:rsidR="00D8359D" w:rsidRPr="00D7032C" w:rsidRDefault="00D8359D" w:rsidP="00EB0BC0">
                  <w:pPr>
                    <w:contextualSpacing/>
                    <w:rPr>
                      <w:rFonts w:cs="Arial"/>
                      <w:szCs w:val="18"/>
                    </w:rPr>
                  </w:pPr>
                  <w:r w:rsidRPr="00D7032C">
                    <w:rPr>
                      <w:rFonts w:cs="Arial"/>
                      <w:szCs w:val="18"/>
                    </w:rPr>
                    <w:t>379</w:t>
                  </w:r>
                </w:p>
              </w:tc>
              <w:tc>
                <w:tcPr>
                  <w:tcW w:w="1250" w:type="pct"/>
                </w:tcPr>
                <w:p w14:paraId="1B3F82A7" w14:textId="77777777" w:rsidR="00D8359D" w:rsidRPr="00D7032C" w:rsidRDefault="00D8359D" w:rsidP="00EB0BC0">
                  <w:pPr>
                    <w:contextualSpacing/>
                    <w:rPr>
                      <w:rFonts w:cs="Arial"/>
                      <w:szCs w:val="18"/>
                    </w:rPr>
                  </w:pPr>
                  <w:r w:rsidRPr="00D7032C">
                    <w:rPr>
                      <w:rFonts w:cs="Arial"/>
                      <w:szCs w:val="18"/>
                    </w:rPr>
                    <w:t>0</w:t>
                  </w:r>
                </w:p>
              </w:tc>
            </w:tr>
            <w:tr w:rsidR="00D8359D" w:rsidRPr="00D7032C" w14:paraId="75AA4ADF" w14:textId="77777777" w:rsidTr="00D8359D">
              <w:trPr>
                <w:cnfStyle w:val="000000100000" w:firstRow="0" w:lastRow="0" w:firstColumn="0" w:lastColumn="0" w:oddVBand="0" w:evenVBand="0" w:oddHBand="1" w:evenHBand="0" w:firstRowFirstColumn="0" w:firstRowLastColumn="0" w:lastRowFirstColumn="0" w:lastRowLastColumn="0"/>
              </w:trPr>
              <w:tc>
                <w:tcPr>
                  <w:tcW w:w="1250" w:type="pct"/>
                </w:tcPr>
                <w:p w14:paraId="5B41F2AF" w14:textId="77777777" w:rsidR="00D8359D" w:rsidRPr="00D7032C" w:rsidRDefault="00D8359D" w:rsidP="00EB0BC0">
                  <w:pPr>
                    <w:contextualSpacing/>
                    <w:rPr>
                      <w:rFonts w:cs="Arial"/>
                      <w:szCs w:val="18"/>
                    </w:rPr>
                  </w:pPr>
                  <w:r w:rsidRPr="00D7032C">
                    <w:rPr>
                      <w:rFonts w:cs="Arial"/>
                      <w:szCs w:val="18"/>
                    </w:rPr>
                    <w:t>2009–10</w:t>
                  </w:r>
                </w:p>
              </w:tc>
              <w:tc>
                <w:tcPr>
                  <w:tcW w:w="1250" w:type="pct"/>
                </w:tcPr>
                <w:p w14:paraId="0C080DC0" w14:textId="5A776ADD" w:rsidR="00D8359D" w:rsidRPr="00D7032C" w:rsidRDefault="0015780C" w:rsidP="00EB0BC0">
                  <w:pPr>
                    <w:contextualSpacing/>
                    <w:rPr>
                      <w:rFonts w:cs="Arial"/>
                      <w:szCs w:val="18"/>
                    </w:rPr>
                  </w:pPr>
                  <w:r w:rsidRPr="00D7032C">
                    <w:rPr>
                      <w:rFonts w:cs="Arial"/>
                      <w:szCs w:val="18"/>
                    </w:rPr>
                    <w:t>80</w:t>
                  </w:r>
                </w:p>
              </w:tc>
              <w:tc>
                <w:tcPr>
                  <w:tcW w:w="1250" w:type="pct"/>
                </w:tcPr>
                <w:p w14:paraId="2C0440FD" w14:textId="7DCD4055" w:rsidR="00D8359D" w:rsidRPr="00D7032C" w:rsidRDefault="0015780C" w:rsidP="00EB0BC0">
                  <w:pPr>
                    <w:contextualSpacing/>
                    <w:rPr>
                      <w:rFonts w:cs="Arial"/>
                      <w:szCs w:val="18"/>
                    </w:rPr>
                  </w:pPr>
                  <w:r w:rsidRPr="00D7032C">
                    <w:rPr>
                      <w:rFonts w:cs="Arial"/>
                      <w:szCs w:val="18"/>
                    </w:rPr>
                    <w:t>582</w:t>
                  </w:r>
                </w:p>
              </w:tc>
              <w:tc>
                <w:tcPr>
                  <w:tcW w:w="1250" w:type="pct"/>
                </w:tcPr>
                <w:p w14:paraId="3A3DF344" w14:textId="77777777" w:rsidR="00D8359D" w:rsidRPr="00D7032C" w:rsidRDefault="00D8359D" w:rsidP="00EB0BC0">
                  <w:pPr>
                    <w:contextualSpacing/>
                    <w:rPr>
                      <w:rFonts w:cs="Arial"/>
                      <w:szCs w:val="18"/>
                    </w:rPr>
                  </w:pPr>
                  <w:r w:rsidRPr="00D7032C">
                    <w:rPr>
                      <w:rFonts w:cs="Arial"/>
                      <w:snapToGrid w:val="0"/>
                      <w:szCs w:val="18"/>
                    </w:rPr>
                    <w:t>0</w:t>
                  </w:r>
                </w:p>
              </w:tc>
            </w:tr>
            <w:tr w:rsidR="0015780C" w:rsidRPr="00D7032C" w14:paraId="630DEF1D" w14:textId="77777777" w:rsidTr="00D8359D">
              <w:trPr>
                <w:cnfStyle w:val="000000010000" w:firstRow="0" w:lastRow="0" w:firstColumn="0" w:lastColumn="0" w:oddVBand="0" w:evenVBand="0" w:oddHBand="0" w:evenHBand="1" w:firstRowFirstColumn="0" w:firstRowLastColumn="0" w:lastRowFirstColumn="0" w:lastRowLastColumn="0"/>
              </w:trPr>
              <w:tc>
                <w:tcPr>
                  <w:tcW w:w="1250" w:type="pct"/>
                </w:tcPr>
                <w:p w14:paraId="3BAD07F6" w14:textId="289B07A0" w:rsidR="0015780C" w:rsidRPr="00D7032C" w:rsidRDefault="0015780C" w:rsidP="00EB0BC0">
                  <w:pPr>
                    <w:contextualSpacing/>
                    <w:rPr>
                      <w:rFonts w:cs="Arial"/>
                      <w:szCs w:val="18"/>
                    </w:rPr>
                  </w:pPr>
                  <w:r w:rsidRPr="00D7032C">
                    <w:rPr>
                      <w:rFonts w:cs="Arial"/>
                      <w:szCs w:val="18"/>
                    </w:rPr>
                    <w:t>2008–09</w:t>
                  </w:r>
                </w:p>
              </w:tc>
              <w:tc>
                <w:tcPr>
                  <w:tcW w:w="1250" w:type="pct"/>
                </w:tcPr>
                <w:p w14:paraId="78172AD3" w14:textId="1AB21A9A" w:rsidR="0015780C" w:rsidRPr="00D7032C" w:rsidRDefault="0015780C" w:rsidP="00EB0BC0">
                  <w:pPr>
                    <w:contextualSpacing/>
                    <w:rPr>
                      <w:rFonts w:cs="Arial"/>
                      <w:szCs w:val="18"/>
                    </w:rPr>
                  </w:pPr>
                  <w:r w:rsidRPr="00D7032C">
                    <w:rPr>
                      <w:rFonts w:cs="Arial"/>
                      <w:szCs w:val="18"/>
                    </w:rPr>
                    <w:t>5</w:t>
                  </w:r>
                </w:p>
              </w:tc>
              <w:tc>
                <w:tcPr>
                  <w:tcW w:w="1250" w:type="pct"/>
                </w:tcPr>
                <w:p w14:paraId="2BD2E547" w14:textId="3DB335C0" w:rsidR="0015780C" w:rsidRPr="00D7032C" w:rsidRDefault="0015780C" w:rsidP="00EB0BC0">
                  <w:pPr>
                    <w:contextualSpacing/>
                    <w:rPr>
                      <w:rFonts w:cs="Arial"/>
                      <w:szCs w:val="18"/>
                    </w:rPr>
                  </w:pPr>
                  <w:r w:rsidRPr="00D7032C">
                    <w:rPr>
                      <w:rFonts w:cs="Arial"/>
                      <w:szCs w:val="18"/>
                    </w:rPr>
                    <w:t>5</w:t>
                  </w:r>
                </w:p>
              </w:tc>
              <w:tc>
                <w:tcPr>
                  <w:tcW w:w="1250" w:type="pct"/>
                </w:tcPr>
                <w:p w14:paraId="54B29BC0" w14:textId="1F21DC3F" w:rsidR="0015780C" w:rsidRPr="00D7032C" w:rsidRDefault="0015780C" w:rsidP="00EB0BC0">
                  <w:pPr>
                    <w:contextualSpacing/>
                    <w:rPr>
                      <w:rFonts w:cs="Arial"/>
                      <w:snapToGrid w:val="0"/>
                      <w:szCs w:val="18"/>
                    </w:rPr>
                  </w:pPr>
                  <w:r w:rsidRPr="00D7032C">
                    <w:rPr>
                      <w:rFonts w:cs="Arial"/>
                      <w:snapToGrid w:val="0"/>
                      <w:szCs w:val="18"/>
                    </w:rPr>
                    <w:t>0</w:t>
                  </w:r>
                </w:p>
              </w:tc>
            </w:tr>
            <w:tr w:rsidR="0015780C" w:rsidRPr="00D7032C" w14:paraId="74AF70A0" w14:textId="77777777" w:rsidTr="00D8359D">
              <w:trPr>
                <w:cnfStyle w:val="000000100000" w:firstRow="0" w:lastRow="0" w:firstColumn="0" w:lastColumn="0" w:oddVBand="0" w:evenVBand="0" w:oddHBand="1" w:evenHBand="0" w:firstRowFirstColumn="0" w:firstRowLastColumn="0" w:lastRowFirstColumn="0" w:lastRowLastColumn="0"/>
              </w:trPr>
              <w:tc>
                <w:tcPr>
                  <w:tcW w:w="1250" w:type="pct"/>
                </w:tcPr>
                <w:p w14:paraId="501405D0" w14:textId="09808DB5" w:rsidR="0015780C" w:rsidRPr="00D7032C" w:rsidRDefault="0015780C" w:rsidP="00EB0BC0">
                  <w:pPr>
                    <w:contextualSpacing/>
                    <w:rPr>
                      <w:rFonts w:cs="Arial"/>
                      <w:szCs w:val="18"/>
                    </w:rPr>
                  </w:pPr>
                  <w:r w:rsidRPr="00D7032C">
                    <w:rPr>
                      <w:rFonts w:cs="Arial"/>
                      <w:szCs w:val="18"/>
                    </w:rPr>
                    <w:t>2007–08</w:t>
                  </w:r>
                </w:p>
              </w:tc>
              <w:tc>
                <w:tcPr>
                  <w:tcW w:w="1250" w:type="pct"/>
                </w:tcPr>
                <w:p w14:paraId="2B2FE70A" w14:textId="23C91BAB" w:rsidR="0015780C" w:rsidRPr="00D7032C" w:rsidRDefault="0015780C" w:rsidP="00EB0BC0">
                  <w:pPr>
                    <w:contextualSpacing/>
                    <w:rPr>
                      <w:rFonts w:cs="Arial"/>
                      <w:szCs w:val="18"/>
                    </w:rPr>
                  </w:pPr>
                  <w:r w:rsidRPr="00D7032C">
                    <w:rPr>
                      <w:rFonts w:cs="Arial"/>
                      <w:szCs w:val="18"/>
                    </w:rPr>
                    <w:t>6</w:t>
                  </w:r>
                </w:p>
              </w:tc>
              <w:tc>
                <w:tcPr>
                  <w:tcW w:w="1250" w:type="pct"/>
                </w:tcPr>
                <w:p w14:paraId="67BF2261" w14:textId="75372A76" w:rsidR="0015780C" w:rsidRPr="00D7032C" w:rsidRDefault="0015780C" w:rsidP="00EB0BC0">
                  <w:pPr>
                    <w:contextualSpacing/>
                    <w:rPr>
                      <w:rFonts w:cs="Arial"/>
                      <w:szCs w:val="18"/>
                    </w:rPr>
                  </w:pPr>
                  <w:r w:rsidRPr="00D7032C">
                    <w:rPr>
                      <w:rFonts w:cs="Arial"/>
                      <w:szCs w:val="18"/>
                    </w:rPr>
                    <w:t>7</w:t>
                  </w:r>
                </w:p>
              </w:tc>
              <w:tc>
                <w:tcPr>
                  <w:tcW w:w="1250" w:type="pct"/>
                </w:tcPr>
                <w:p w14:paraId="2A96C279" w14:textId="6064EBAC" w:rsidR="0015780C" w:rsidRPr="00D7032C" w:rsidRDefault="0015780C" w:rsidP="00EB0BC0">
                  <w:pPr>
                    <w:contextualSpacing/>
                    <w:rPr>
                      <w:rFonts w:cs="Arial"/>
                      <w:snapToGrid w:val="0"/>
                      <w:szCs w:val="18"/>
                    </w:rPr>
                  </w:pPr>
                  <w:r w:rsidRPr="00D7032C">
                    <w:rPr>
                      <w:rFonts w:cs="Arial"/>
                      <w:snapToGrid w:val="0"/>
                      <w:szCs w:val="18"/>
                    </w:rPr>
                    <w:t>3</w:t>
                  </w:r>
                </w:p>
              </w:tc>
            </w:tr>
            <w:tr w:rsidR="0015780C" w:rsidRPr="00EB0BC0" w14:paraId="57C0928F" w14:textId="77777777" w:rsidTr="00D8359D">
              <w:trPr>
                <w:cnfStyle w:val="000000010000" w:firstRow="0" w:lastRow="0" w:firstColumn="0" w:lastColumn="0" w:oddVBand="0" w:evenVBand="0" w:oddHBand="0" w:evenHBand="1" w:firstRowFirstColumn="0" w:firstRowLastColumn="0" w:lastRowFirstColumn="0" w:lastRowLastColumn="0"/>
              </w:trPr>
              <w:tc>
                <w:tcPr>
                  <w:tcW w:w="1250" w:type="pct"/>
                </w:tcPr>
                <w:p w14:paraId="579D380B" w14:textId="00CDE21E" w:rsidR="0015780C" w:rsidRPr="00EB0BC0" w:rsidRDefault="0015780C" w:rsidP="00EB0BC0">
                  <w:pPr>
                    <w:contextualSpacing/>
                    <w:rPr>
                      <w:rFonts w:cs="Arial"/>
                      <w:b/>
                      <w:szCs w:val="18"/>
                    </w:rPr>
                  </w:pPr>
                  <w:r w:rsidRPr="00EB0BC0">
                    <w:rPr>
                      <w:rFonts w:cs="Arial"/>
                      <w:b/>
                      <w:szCs w:val="18"/>
                    </w:rPr>
                    <w:t>Total all years</w:t>
                  </w:r>
                </w:p>
              </w:tc>
              <w:tc>
                <w:tcPr>
                  <w:tcW w:w="1250" w:type="pct"/>
                </w:tcPr>
                <w:p w14:paraId="457BD1D7" w14:textId="7568422E" w:rsidR="0015780C" w:rsidRPr="00EB0BC0" w:rsidRDefault="0015780C" w:rsidP="00EB0BC0">
                  <w:pPr>
                    <w:contextualSpacing/>
                    <w:rPr>
                      <w:rFonts w:cs="Arial"/>
                      <w:b/>
                      <w:szCs w:val="18"/>
                    </w:rPr>
                  </w:pPr>
                  <w:r w:rsidRPr="00EB0BC0">
                    <w:rPr>
                      <w:rFonts w:cs="Arial"/>
                      <w:b/>
                      <w:szCs w:val="18"/>
                    </w:rPr>
                    <w:t>405</w:t>
                  </w:r>
                </w:p>
              </w:tc>
              <w:tc>
                <w:tcPr>
                  <w:tcW w:w="1250" w:type="pct"/>
                </w:tcPr>
                <w:p w14:paraId="3A2E08C3" w14:textId="3BBFE223" w:rsidR="0015780C" w:rsidRPr="00EB0BC0" w:rsidRDefault="0015780C" w:rsidP="00EB0BC0">
                  <w:pPr>
                    <w:contextualSpacing/>
                    <w:rPr>
                      <w:rFonts w:cs="Arial"/>
                      <w:b/>
                      <w:szCs w:val="18"/>
                    </w:rPr>
                  </w:pPr>
                  <w:r w:rsidRPr="00EB0BC0">
                    <w:rPr>
                      <w:rFonts w:cs="Arial"/>
                      <w:b/>
                      <w:szCs w:val="18"/>
                    </w:rPr>
                    <w:t>5415</w:t>
                  </w:r>
                </w:p>
              </w:tc>
              <w:tc>
                <w:tcPr>
                  <w:tcW w:w="1250" w:type="pct"/>
                </w:tcPr>
                <w:p w14:paraId="1312EAA6" w14:textId="4B532EA8" w:rsidR="0015780C" w:rsidRPr="00EB0BC0" w:rsidRDefault="0015780C" w:rsidP="00EB0BC0">
                  <w:pPr>
                    <w:contextualSpacing/>
                    <w:rPr>
                      <w:rFonts w:cs="Arial"/>
                      <w:b/>
                      <w:snapToGrid w:val="0"/>
                      <w:szCs w:val="18"/>
                    </w:rPr>
                  </w:pPr>
                  <w:r w:rsidRPr="00EB0BC0">
                    <w:rPr>
                      <w:rFonts w:cs="Arial"/>
                      <w:b/>
                      <w:snapToGrid w:val="0"/>
                      <w:szCs w:val="18"/>
                    </w:rPr>
                    <w:t>3</w:t>
                  </w:r>
                </w:p>
              </w:tc>
            </w:tr>
          </w:tbl>
          <w:p w14:paraId="2E69BB8F" w14:textId="0F4CA4CF" w:rsidR="00DF5D08" w:rsidRPr="00D7032C" w:rsidRDefault="00DF5D08" w:rsidP="00EB0BC0">
            <w:pPr>
              <w:rPr>
                <w:rFonts w:cs="Arial"/>
                <w:szCs w:val="18"/>
              </w:rPr>
            </w:pPr>
            <w:r w:rsidRPr="00D7032C">
              <w:rPr>
                <w:rFonts w:cs="Arial"/>
                <w:b/>
                <w:szCs w:val="18"/>
              </w:rPr>
              <w:t>Murray cod</w:t>
            </w:r>
            <w:r w:rsidRPr="00D7032C">
              <w:rPr>
                <w:rFonts w:cs="Arial"/>
                <w:szCs w:val="18"/>
              </w:rPr>
              <w:t xml:space="preserve"> is listed </w:t>
            </w:r>
            <w:r w:rsidRPr="00AF65A7">
              <w:rPr>
                <w:rFonts w:cs="Arial"/>
                <w:b/>
                <w:szCs w:val="18"/>
              </w:rPr>
              <w:t>vulnerable</w:t>
            </w:r>
            <w:r w:rsidRPr="00D7032C">
              <w:rPr>
                <w:rFonts w:cs="Arial"/>
                <w:szCs w:val="18"/>
              </w:rPr>
              <w:t xml:space="preserve"> under Part 13 of the EPBC Act, and its stock status is </w:t>
            </w:r>
            <w:r w:rsidRPr="00D7032C">
              <w:rPr>
                <w:rFonts w:cs="Arial"/>
                <w:b/>
                <w:szCs w:val="18"/>
              </w:rPr>
              <w:t>undefined</w:t>
            </w:r>
            <w:r w:rsidRPr="00D7032C">
              <w:rPr>
                <w:rFonts w:cs="Arial"/>
                <w:szCs w:val="18"/>
              </w:rPr>
              <w:t xml:space="preserve"> across South Australia. The Department’s export approval for the fishery does not allow export of species listed under Part 13 of the </w:t>
            </w:r>
            <w:r w:rsidRPr="00D7032C">
              <w:rPr>
                <w:rFonts w:cs="Arial"/>
                <w:i/>
                <w:szCs w:val="18"/>
              </w:rPr>
              <w:t>Environment Protection and Biodiversity Conservation Act 1999</w:t>
            </w:r>
            <w:r w:rsidRPr="00D7032C">
              <w:rPr>
                <w:rFonts w:cs="Arial"/>
                <w:szCs w:val="18"/>
              </w:rPr>
              <w:t xml:space="preserve">, including Murray cod. </w:t>
            </w:r>
            <w:r w:rsidR="00AF65A7">
              <w:rPr>
                <w:rFonts w:cs="Arial"/>
                <w:szCs w:val="18"/>
              </w:rPr>
              <w:t>PIRSA</w:t>
            </w:r>
            <w:r w:rsidRPr="00D7032C">
              <w:rPr>
                <w:rFonts w:cs="Arial"/>
                <w:szCs w:val="18"/>
              </w:rPr>
              <w:t xml:space="preserve"> has implemented management actions </w:t>
            </w:r>
            <w:r w:rsidR="00AF65A7">
              <w:rPr>
                <w:rFonts w:cs="Arial"/>
                <w:szCs w:val="18"/>
              </w:rPr>
              <w:t xml:space="preserve">for this species. A </w:t>
            </w:r>
            <w:r w:rsidRPr="00D7032C">
              <w:rPr>
                <w:rFonts w:cs="Arial"/>
                <w:szCs w:val="18"/>
              </w:rPr>
              <w:t xml:space="preserve">state-wide no-take ban </w:t>
            </w:r>
            <w:r w:rsidR="00AF65A7">
              <w:rPr>
                <w:rFonts w:cs="Arial"/>
                <w:szCs w:val="18"/>
              </w:rPr>
              <w:t>is in place with</w:t>
            </w:r>
            <w:r w:rsidRPr="00D7032C">
              <w:rPr>
                <w:rFonts w:cs="Arial"/>
                <w:szCs w:val="18"/>
              </w:rPr>
              <w:t xml:space="preserve"> restrictions on </w:t>
            </w:r>
            <w:r w:rsidR="00AF65A7">
              <w:rPr>
                <w:rFonts w:cs="Arial"/>
                <w:szCs w:val="18"/>
              </w:rPr>
              <w:t xml:space="preserve">how </w:t>
            </w:r>
            <w:r w:rsidRPr="00D7032C">
              <w:rPr>
                <w:rFonts w:cs="Arial"/>
                <w:szCs w:val="18"/>
              </w:rPr>
              <w:t>individual fish</w:t>
            </w:r>
            <w:r w:rsidR="00AF65A7">
              <w:rPr>
                <w:rFonts w:cs="Arial"/>
                <w:szCs w:val="18"/>
              </w:rPr>
              <w:t xml:space="preserve"> are handled</w:t>
            </w:r>
            <w:r w:rsidRPr="00D7032C">
              <w:rPr>
                <w:rFonts w:cs="Arial"/>
                <w:szCs w:val="18"/>
              </w:rPr>
              <w:t xml:space="preserve">. Commercial licence holders have agreed not to target Murray cod until stock status improves. </w:t>
            </w:r>
          </w:p>
          <w:p w14:paraId="703CCBC2" w14:textId="0A243141" w:rsidR="00F53565" w:rsidRPr="00D7032C" w:rsidRDefault="00AF65A7" w:rsidP="00DF4732">
            <w:pPr>
              <w:rPr>
                <w:rFonts w:cs="Arial"/>
                <w:szCs w:val="18"/>
              </w:rPr>
            </w:pPr>
            <w:r>
              <w:rPr>
                <w:rFonts w:cs="Arial"/>
                <w:szCs w:val="18"/>
              </w:rPr>
              <w:t xml:space="preserve">PIRSA does not </w:t>
            </w:r>
            <w:r w:rsidRPr="00D7032C">
              <w:rPr>
                <w:rFonts w:cs="Arial"/>
                <w:szCs w:val="18"/>
              </w:rPr>
              <w:t xml:space="preserve">require </w:t>
            </w:r>
            <w:r>
              <w:rPr>
                <w:rFonts w:cs="Arial"/>
                <w:szCs w:val="18"/>
              </w:rPr>
              <w:t xml:space="preserve">fishers to </w:t>
            </w:r>
            <w:r w:rsidRPr="00D7032C">
              <w:rPr>
                <w:rFonts w:cs="Arial"/>
                <w:szCs w:val="18"/>
              </w:rPr>
              <w:t>record interactions with threatened ecological communities (TECs)</w:t>
            </w:r>
            <w:r>
              <w:rPr>
                <w:rFonts w:cs="Arial"/>
                <w:szCs w:val="18"/>
              </w:rPr>
              <w:t>. H</w:t>
            </w:r>
            <w:r w:rsidRPr="00D7032C">
              <w:rPr>
                <w:rFonts w:cs="Arial"/>
                <w:szCs w:val="18"/>
              </w:rPr>
              <w:t>owever</w:t>
            </w:r>
            <w:r>
              <w:rPr>
                <w:rFonts w:cs="Arial"/>
                <w:szCs w:val="18"/>
              </w:rPr>
              <w:t>,</w:t>
            </w:r>
            <w:r w:rsidRPr="00D7032C">
              <w:rPr>
                <w:rFonts w:cs="Arial"/>
                <w:szCs w:val="18"/>
              </w:rPr>
              <w:t xml:space="preserve"> management arrangements </w:t>
            </w:r>
            <w:r>
              <w:rPr>
                <w:rFonts w:cs="Arial"/>
                <w:szCs w:val="18"/>
              </w:rPr>
              <w:t xml:space="preserve">do </w:t>
            </w:r>
            <w:r w:rsidRPr="00D7032C">
              <w:rPr>
                <w:rFonts w:cs="Arial"/>
                <w:szCs w:val="18"/>
              </w:rPr>
              <w:t>include measures to minimise the impacts of fishing on the marine ecosystem.</w:t>
            </w:r>
            <w:r>
              <w:rPr>
                <w:rFonts w:cs="Arial"/>
                <w:szCs w:val="18"/>
              </w:rPr>
              <w:t xml:space="preserve"> </w:t>
            </w:r>
            <w:r w:rsidR="0008368B">
              <w:rPr>
                <w:rFonts w:cs="Arial"/>
                <w:szCs w:val="18"/>
              </w:rPr>
              <w:t xml:space="preserve">The </w:t>
            </w:r>
            <w:r w:rsidR="0008368B" w:rsidRPr="00D7032C">
              <w:rPr>
                <w:rFonts w:cs="Arial"/>
                <w:szCs w:val="18"/>
              </w:rPr>
              <w:t>Giant Kelp Marine Forests of South East Australia</w:t>
            </w:r>
            <w:r w:rsidR="003F4529">
              <w:rPr>
                <w:rFonts w:cs="Arial"/>
                <w:szCs w:val="18"/>
              </w:rPr>
              <w:t xml:space="preserve"> threatened</w:t>
            </w:r>
            <w:r w:rsidR="0008368B" w:rsidRPr="00D7032C">
              <w:rPr>
                <w:rFonts w:cs="Arial"/>
                <w:szCs w:val="18"/>
              </w:rPr>
              <w:t xml:space="preserve"> ecological community</w:t>
            </w:r>
            <w:r w:rsidR="003F4529">
              <w:rPr>
                <w:rFonts w:cs="Arial"/>
                <w:szCs w:val="18"/>
              </w:rPr>
              <w:t xml:space="preserve"> (Giant Kelp TEC)</w:t>
            </w:r>
            <w:r w:rsidR="0008368B" w:rsidRPr="00D7032C">
              <w:rPr>
                <w:rFonts w:cs="Arial"/>
                <w:szCs w:val="18"/>
              </w:rPr>
              <w:t xml:space="preserve"> </w:t>
            </w:r>
            <w:r w:rsidR="0008368B">
              <w:rPr>
                <w:rFonts w:cs="Arial"/>
                <w:szCs w:val="18"/>
              </w:rPr>
              <w:t xml:space="preserve">occurs near the eastern-most boundary of the fishery. </w:t>
            </w:r>
            <w:r>
              <w:rPr>
                <w:rFonts w:cs="Arial"/>
                <w:szCs w:val="18"/>
              </w:rPr>
              <w:t>G</w:t>
            </w:r>
            <w:r w:rsidR="0008368B">
              <w:rPr>
                <w:rFonts w:cs="Arial"/>
                <w:szCs w:val="18"/>
              </w:rPr>
              <w:t xml:space="preserve">iven its location, there is very little chance that the fishery would have an impact on this TEC. </w:t>
            </w:r>
            <w:r w:rsidR="00F53565" w:rsidRPr="00D7032C">
              <w:rPr>
                <w:rFonts w:cs="Arial"/>
                <w:szCs w:val="18"/>
              </w:rPr>
              <w:t>There is no independent observer coverage to verify interactions with TEPS or TECs.</w:t>
            </w:r>
          </w:p>
        </w:tc>
      </w:tr>
      <w:tr w:rsidR="008731A5" w:rsidRPr="00680FA6" w14:paraId="16757C75" w14:textId="77777777" w:rsidTr="00680FA6">
        <w:tc>
          <w:tcPr>
            <w:tcW w:w="1500" w:type="pct"/>
            <w:gridSpan w:val="2"/>
            <w:shd w:val="clear" w:color="auto" w:fill="E5DFEC"/>
          </w:tcPr>
          <w:p w14:paraId="71DF16AA" w14:textId="35E1C77E" w:rsidR="008731A5" w:rsidRPr="00680FA6" w:rsidRDefault="008731A5" w:rsidP="005E2D35">
            <w:pPr>
              <w:rPr>
                <w:rFonts w:cs="Arial"/>
                <w:b/>
                <w:bCs/>
                <w:i/>
                <w:iCs/>
                <w:szCs w:val="18"/>
              </w:rPr>
            </w:pPr>
            <w:r w:rsidRPr="00680FA6">
              <w:rPr>
                <w:rFonts w:cs="Arial"/>
                <w:b/>
                <w:bCs/>
                <w:i/>
                <w:iCs/>
                <w:szCs w:val="18"/>
              </w:rPr>
              <w:t xml:space="preserve">Assessments </w:t>
            </w:r>
          </w:p>
        </w:tc>
      </w:tr>
      <w:tr w:rsidR="008731A5" w:rsidRPr="003F4529" w14:paraId="6A013180" w14:textId="77777777" w:rsidTr="00680FA6">
        <w:tc>
          <w:tcPr>
            <w:tcW w:w="1500" w:type="pct"/>
          </w:tcPr>
          <w:p w14:paraId="58AE0C55" w14:textId="7C8D9260" w:rsidR="008731A5" w:rsidRPr="003F4529" w:rsidRDefault="008731A5" w:rsidP="0035636F">
            <w:pPr>
              <w:autoSpaceDE w:val="0"/>
              <w:autoSpaceDN w:val="0"/>
              <w:adjustRightInd w:val="0"/>
              <w:rPr>
                <w:rFonts w:cs="Arial"/>
                <w:b/>
                <w:bCs/>
                <w:i/>
                <w:iCs/>
                <w:szCs w:val="18"/>
              </w:rPr>
            </w:pPr>
            <w:r w:rsidRPr="003F4529">
              <w:rPr>
                <w:rFonts w:cs="Arial"/>
                <w:b/>
                <w:bCs/>
                <w:i/>
                <w:iCs/>
                <w:szCs w:val="18"/>
              </w:rPr>
              <w:t xml:space="preserve">2.2.2 </w:t>
            </w:r>
            <w:r w:rsidRPr="003F4529">
              <w:rPr>
                <w:rFonts w:cs="Arial"/>
                <w:szCs w:val="18"/>
              </w:rPr>
              <w:t xml:space="preserve">There is an assessment of the impact of the fishery on endangered, threatened or protected species. </w:t>
            </w:r>
          </w:p>
        </w:tc>
        <w:tc>
          <w:tcPr>
            <w:tcW w:w="3500" w:type="pct"/>
            <w:shd w:val="clear" w:color="auto" w:fill="92D050"/>
          </w:tcPr>
          <w:p w14:paraId="087B5E35" w14:textId="6F6DA755" w:rsidR="00851986" w:rsidRPr="003F4529" w:rsidRDefault="008731A5" w:rsidP="0035636F">
            <w:pPr>
              <w:rPr>
                <w:rFonts w:cs="Arial"/>
                <w:szCs w:val="18"/>
              </w:rPr>
            </w:pPr>
            <w:r w:rsidRPr="003F4529">
              <w:rPr>
                <w:rFonts w:cs="Arial"/>
                <w:b/>
                <w:szCs w:val="18"/>
              </w:rPr>
              <w:t>Meets</w:t>
            </w:r>
          </w:p>
          <w:p w14:paraId="6CB0A8EC" w14:textId="1514E448" w:rsidR="004158A2" w:rsidRPr="003F4529" w:rsidRDefault="004158A2" w:rsidP="0035636F">
            <w:pPr>
              <w:rPr>
                <w:rFonts w:cs="Arial"/>
                <w:szCs w:val="18"/>
              </w:rPr>
            </w:pPr>
            <w:r w:rsidRPr="003F4529">
              <w:rPr>
                <w:rFonts w:cs="Arial"/>
                <w:szCs w:val="18"/>
              </w:rPr>
              <w:t>The 2011 ERA considered the fishery’s impact to a number of TEPS including Australian pelican, little black cormorant, turtles, silver perch, and long-nosed fur seal. The report determined that the fishery would have a low to negligible risk to the breeding populations of TEPS (PIRSA 2011).</w:t>
            </w:r>
          </w:p>
          <w:p w14:paraId="543E02E0" w14:textId="72218BBC" w:rsidR="00DA5646" w:rsidRPr="003F4529" w:rsidRDefault="00DA5646" w:rsidP="00AF65A7">
            <w:pPr>
              <w:rPr>
                <w:rFonts w:cs="Arial"/>
                <w:szCs w:val="18"/>
              </w:rPr>
            </w:pPr>
            <w:r w:rsidRPr="003F4529">
              <w:rPr>
                <w:rFonts w:cs="Arial"/>
                <w:szCs w:val="18"/>
              </w:rPr>
              <w:t xml:space="preserve">Stoklosa (2013) considered </w:t>
            </w:r>
            <w:r w:rsidR="00EB0BC0">
              <w:rPr>
                <w:rFonts w:cs="Arial"/>
                <w:szCs w:val="18"/>
              </w:rPr>
              <w:t xml:space="preserve">the </w:t>
            </w:r>
            <w:r w:rsidRPr="003F4529">
              <w:rPr>
                <w:rFonts w:cs="Arial"/>
                <w:szCs w:val="18"/>
              </w:rPr>
              <w:t xml:space="preserve">intensity versus consequence of various impacts from boat-based and shore-based fishing on </w:t>
            </w:r>
            <w:r w:rsidR="00AF65A7">
              <w:rPr>
                <w:rFonts w:cs="Arial"/>
                <w:szCs w:val="18"/>
              </w:rPr>
              <w:t xml:space="preserve">listed </w:t>
            </w:r>
            <w:r w:rsidRPr="003F4529">
              <w:rPr>
                <w:rFonts w:cs="Arial"/>
                <w:szCs w:val="18"/>
              </w:rPr>
              <w:t xml:space="preserve">bird species. The assessment of shore-based fishing identified disturbance of nest sites or nesting behaviour by humans </w:t>
            </w:r>
            <w:r w:rsidRPr="003F4529">
              <w:rPr>
                <w:rFonts w:cs="Arial"/>
                <w:szCs w:val="18"/>
              </w:rPr>
              <w:lastRenderedPageBreak/>
              <w:t xml:space="preserve">or vehicles </w:t>
            </w:r>
            <w:r w:rsidR="00AF65A7">
              <w:rPr>
                <w:rFonts w:cs="Arial"/>
                <w:szCs w:val="18"/>
              </w:rPr>
              <w:t>as</w:t>
            </w:r>
            <w:r w:rsidRPr="003F4529">
              <w:rPr>
                <w:rFonts w:cs="Arial"/>
                <w:szCs w:val="18"/>
              </w:rPr>
              <w:t xml:space="preserve"> the primary threats. The technical panel agreed that the intensity was negligible and consequence was negligible to minor. The assessment of boat-based fishing identified the capture of diving birds when using nets</w:t>
            </w:r>
            <w:r w:rsidR="00EB0BC0">
              <w:rPr>
                <w:rFonts w:cs="Arial"/>
                <w:szCs w:val="18"/>
              </w:rPr>
              <w:t xml:space="preserve"> as having the highest risk</w:t>
            </w:r>
            <w:r w:rsidRPr="003F4529">
              <w:rPr>
                <w:rFonts w:cs="Arial"/>
                <w:szCs w:val="18"/>
              </w:rPr>
              <w:t xml:space="preserve">. The technical panel agreed that the intensity and consequences of this type of interaction was negligible. </w:t>
            </w:r>
          </w:p>
        </w:tc>
      </w:tr>
      <w:tr w:rsidR="008731A5" w:rsidRPr="003F4529" w14:paraId="7BA4A993" w14:textId="77777777" w:rsidTr="00680FA6">
        <w:tc>
          <w:tcPr>
            <w:tcW w:w="1500" w:type="pct"/>
          </w:tcPr>
          <w:p w14:paraId="65593620" w14:textId="64F1B03B" w:rsidR="008731A5" w:rsidRPr="003F4529" w:rsidRDefault="008731A5" w:rsidP="0035636F">
            <w:pPr>
              <w:autoSpaceDE w:val="0"/>
              <w:autoSpaceDN w:val="0"/>
              <w:adjustRightInd w:val="0"/>
              <w:rPr>
                <w:rFonts w:cs="Arial"/>
                <w:b/>
                <w:bCs/>
                <w:i/>
                <w:iCs/>
                <w:szCs w:val="18"/>
              </w:rPr>
            </w:pPr>
            <w:r w:rsidRPr="003F4529">
              <w:rPr>
                <w:rFonts w:cs="Arial"/>
                <w:b/>
                <w:bCs/>
                <w:i/>
                <w:iCs/>
                <w:szCs w:val="18"/>
              </w:rPr>
              <w:lastRenderedPageBreak/>
              <w:t xml:space="preserve">2.2.3 </w:t>
            </w:r>
            <w:r w:rsidRPr="003F4529">
              <w:rPr>
                <w:rFonts w:cs="Arial"/>
                <w:szCs w:val="18"/>
              </w:rPr>
              <w:t>There is an assessment of the impact of the fishery on threatened ecological communities.</w:t>
            </w:r>
          </w:p>
        </w:tc>
        <w:tc>
          <w:tcPr>
            <w:tcW w:w="3500" w:type="pct"/>
            <w:shd w:val="clear" w:color="auto" w:fill="92D050"/>
          </w:tcPr>
          <w:p w14:paraId="6173B09C" w14:textId="4E238FF3" w:rsidR="00851986" w:rsidRPr="003F4529" w:rsidRDefault="008731A5" w:rsidP="0035636F">
            <w:pPr>
              <w:rPr>
                <w:rFonts w:cs="Arial"/>
                <w:szCs w:val="18"/>
              </w:rPr>
            </w:pPr>
            <w:r w:rsidRPr="003F4529">
              <w:rPr>
                <w:rFonts w:cs="Arial"/>
                <w:b/>
                <w:szCs w:val="18"/>
              </w:rPr>
              <w:t>Meets</w:t>
            </w:r>
          </w:p>
          <w:p w14:paraId="4AA6CA1D" w14:textId="6688E4C2" w:rsidR="0008368B" w:rsidRPr="003F4529" w:rsidRDefault="008731A5" w:rsidP="00951891">
            <w:pPr>
              <w:rPr>
                <w:rFonts w:cs="Arial"/>
                <w:szCs w:val="18"/>
              </w:rPr>
            </w:pPr>
            <w:r w:rsidRPr="003F4529">
              <w:rPr>
                <w:rFonts w:cs="Arial"/>
                <w:szCs w:val="18"/>
              </w:rPr>
              <w:t>The</w:t>
            </w:r>
            <w:r w:rsidR="004347BA" w:rsidRPr="003F4529">
              <w:rPr>
                <w:rFonts w:cs="Arial"/>
                <w:szCs w:val="18"/>
              </w:rPr>
              <w:t xml:space="preserve"> 2011</w:t>
            </w:r>
            <w:r w:rsidRPr="003F4529">
              <w:rPr>
                <w:rFonts w:cs="Arial"/>
                <w:szCs w:val="18"/>
              </w:rPr>
              <w:t xml:space="preserve"> </w:t>
            </w:r>
            <w:r w:rsidR="004158A2" w:rsidRPr="003F4529">
              <w:rPr>
                <w:rFonts w:cs="Arial"/>
                <w:szCs w:val="18"/>
              </w:rPr>
              <w:t>ERA</w:t>
            </w:r>
            <w:r w:rsidR="003F4529" w:rsidRPr="003F4529">
              <w:rPr>
                <w:rFonts w:cs="Arial"/>
                <w:szCs w:val="18"/>
              </w:rPr>
              <w:t xml:space="preserve"> does not account for any impacts to</w:t>
            </w:r>
            <w:r w:rsidR="007808BA">
              <w:rPr>
                <w:rFonts w:cs="Arial"/>
                <w:szCs w:val="18"/>
              </w:rPr>
              <w:t xml:space="preserve"> threatened ecological communities including </w:t>
            </w:r>
            <w:r w:rsidR="003F4529" w:rsidRPr="003F4529">
              <w:rPr>
                <w:rFonts w:cs="Arial"/>
                <w:szCs w:val="18"/>
              </w:rPr>
              <w:t xml:space="preserve">the Giant Kelp TEC, but </w:t>
            </w:r>
            <w:r w:rsidR="007C4B85" w:rsidRPr="003F4529">
              <w:rPr>
                <w:rFonts w:cs="Arial"/>
                <w:szCs w:val="18"/>
              </w:rPr>
              <w:t>does consider</w:t>
            </w:r>
            <w:r w:rsidRPr="003F4529">
              <w:rPr>
                <w:rFonts w:cs="Arial"/>
                <w:szCs w:val="18"/>
              </w:rPr>
              <w:t xml:space="preserve"> the impacts of fishing on the broader marine environment to be </w:t>
            </w:r>
            <w:r w:rsidR="00F53565" w:rsidRPr="003F4529">
              <w:rPr>
                <w:rFonts w:cs="Arial"/>
                <w:szCs w:val="18"/>
              </w:rPr>
              <w:t xml:space="preserve">low to </w:t>
            </w:r>
            <w:r w:rsidRPr="003F4529">
              <w:rPr>
                <w:rFonts w:cs="Arial"/>
                <w:szCs w:val="18"/>
              </w:rPr>
              <w:t xml:space="preserve">negligible </w:t>
            </w:r>
            <w:r w:rsidR="00596183" w:rsidRPr="003F4529">
              <w:rPr>
                <w:rFonts w:cs="Arial"/>
                <w:szCs w:val="18"/>
              </w:rPr>
              <w:t>(PIRSA 2011)</w:t>
            </w:r>
            <w:r w:rsidRPr="003F4529">
              <w:rPr>
                <w:rFonts w:cs="Arial"/>
                <w:szCs w:val="18"/>
              </w:rPr>
              <w:t xml:space="preserve">. The </w:t>
            </w:r>
            <w:r w:rsidR="003B6726" w:rsidRPr="003F4529">
              <w:rPr>
                <w:rFonts w:cs="Arial"/>
                <w:szCs w:val="18"/>
              </w:rPr>
              <w:t>listing advice</w:t>
            </w:r>
            <w:r w:rsidRPr="003F4529">
              <w:rPr>
                <w:rFonts w:cs="Arial"/>
                <w:szCs w:val="18"/>
              </w:rPr>
              <w:t xml:space="preserve"> for the Giant Kelp </w:t>
            </w:r>
            <w:r w:rsidR="003F4529" w:rsidRPr="003F4529">
              <w:rPr>
                <w:rFonts w:cs="Arial"/>
                <w:szCs w:val="18"/>
              </w:rPr>
              <w:t>TEC</w:t>
            </w:r>
            <w:r w:rsidRPr="003F4529">
              <w:rPr>
                <w:rFonts w:cs="Arial"/>
                <w:szCs w:val="18"/>
              </w:rPr>
              <w:t xml:space="preserve"> </w:t>
            </w:r>
            <w:r w:rsidR="003F4529" w:rsidRPr="003F4529">
              <w:rPr>
                <w:rFonts w:cs="Arial"/>
                <w:szCs w:val="18"/>
              </w:rPr>
              <w:t xml:space="preserve">does </w:t>
            </w:r>
            <w:r w:rsidRPr="003F4529">
              <w:rPr>
                <w:rFonts w:cs="Arial"/>
                <w:szCs w:val="18"/>
              </w:rPr>
              <w:t xml:space="preserve">not consider the methods or gear used in this </w:t>
            </w:r>
            <w:r w:rsidR="00016AA6" w:rsidRPr="003F4529">
              <w:rPr>
                <w:rFonts w:cs="Arial"/>
                <w:szCs w:val="18"/>
              </w:rPr>
              <w:t xml:space="preserve">fishery </w:t>
            </w:r>
            <w:r w:rsidR="003873C4" w:rsidRPr="003F4529">
              <w:rPr>
                <w:rFonts w:cs="Arial"/>
                <w:szCs w:val="18"/>
              </w:rPr>
              <w:t>to pose</w:t>
            </w:r>
            <w:r w:rsidRPr="003F4529">
              <w:rPr>
                <w:rFonts w:cs="Arial"/>
                <w:szCs w:val="18"/>
              </w:rPr>
              <w:t xml:space="preserve"> a threat </w:t>
            </w:r>
            <w:r w:rsidR="00596183" w:rsidRPr="003F4529">
              <w:rPr>
                <w:rFonts w:cs="Arial"/>
                <w:szCs w:val="18"/>
              </w:rPr>
              <w:t>(TSSC 2012)</w:t>
            </w:r>
            <w:r w:rsidRPr="003F4529">
              <w:rPr>
                <w:rFonts w:cs="Arial"/>
                <w:szCs w:val="18"/>
              </w:rPr>
              <w:t xml:space="preserve">. </w:t>
            </w:r>
          </w:p>
        </w:tc>
      </w:tr>
      <w:tr w:rsidR="008731A5" w:rsidRPr="00680FA6" w14:paraId="670EFB61" w14:textId="77777777" w:rsidTr="00680FA6">
        <w:tc>
          <w:tcPr>
            <w:tcW w:w="1500" w:type="pct"/>
            <w:gridSpan w:val="2"/>
            <w:shd w:val="clear" w:color="auto" w:fill="E5DFEC"/>
          </w:tcPr>
          <w:p w14:paraId="770A73F2" w14:textId="2F5B2D63" w:rsidR="008731A5" w:rsidRPr="00680FA6" w:rsidRDefault="008731A5" w:rsidP="005E2D35">
            <w:pPr>
              <w:rPr>
                <w:rFonts w:cs="Arial"/>
                <w:b/>
                <w:bCs/>
                <w:i/>
                <w:iCs/>
                <w:szCs w:val="18"/>
              </w:rPr>
            </w:pPr>
            <w:r w:rsidRPr="00680FA6">
              <w:rPr>
                <w:rFonts w:cs="Arial"/>
                <w:b/>
                <w:bCs/>
                <w:i/>
                <w:iCs/>
                <w:szCs w:val="18"/>
              </w:rPr>
              <w:t xml:space="preserve">Management responses </w:t>
            </w:r>
          </w:p>
        </w:tc>
      </w:tr>
      <w:tr w:rsidR="008731A5" w:rsidRPr="006A2DC8" w14:paraId="754A20A5" w14:textId="77777777" w:rsidTr="00680FA6">
        <w:tc>
          <w:tcPr>
            <w:tcW w:w="1500" w:type="pct"/>
          </w:tcPr>
          <w:p w14:paraId="477B7043" w14:textId="1CC9B1DC" w:rsidR="008731A5" w:rsidRPr="006A2DC8" w:rsidRDefault="008731A5" w:rsidP="0035636F">
            <w:pPr>
              <w:autoSpaceDE w:val="0"/>
              <w:autoSpaceDN w:val="0"/>
              <w:adjustRightInd w:val="0"/>
              <w:rPr>
                <w:rFonts w:cs="Arial"/>
                <w:b/>
                <w:bCs/>
                <w:i/>
                <w:iCs/>
                <w:szCs w:val="18"/>
              </w:rPr>
            </w:pPr>
            <w:r w:rsidRPr="006A2DC8">
              <w:rPr>
                <w:rFonts w:cs="Arial"/>
                <w:b/>
                <w:bCs/>
                <w:i/>
                <w:iCs/>
                <w:szCs w:val="18"/>
              </w:rPr>
              <w:t xml:space="preserve">2.2.4 </w:t>
            </w:r>
            <w:r w:rsidRPr="006A2DC8">
              <w:rPr>
                <w:rFonts w:cs="Arial"/>
                <w:szCs w:val="18"/>
              </w:rPr>
              <w:t>There are measures in place to avoid capture and/or mortality of endangered, threatened or protected species.</w:t>
            </w:r>
          </w:p>
        </w:tc>
        <w:tc>
          <w:tcPr>
            <w:tcW w:w="3500" w:type="pct"/>
            <w:shd w:val="clear" w:color="auto" w:fill="92D050"/>
          </w:tcPr>
          <w:p w14:paraId="63BAA266" w14:textId="4D6FF0B5" w:rsidR="00D7032C" w:rsidRPr="006A2DC8" w:rsidRDefault="008731A5" w:rsidP="0035636F">
            <w:pPr>
              <w:rPr>
                <w:rFonts w:cs="Arial"/>
                <w:szCs w:val="18"/>
              </w:rPr>
            </w:pPr>
            <w:r w:rsidRPr="006A2DC8">
              <w:rPr>
                <w:rFonts w:cs="Arial"/>
                <w:b/>
                <w:szCs w:val="18"/>
              </w:rPr>
              <w:t>Meets</w:t>
            </w:r>
          </w:p>
          <w:p w14:paraId="21953CCC" w14:textId="201D952C" w:rsidR="0032639F" w:rsidRPr="006A2DC8" w:rsidRDefault="008731A5" w:rsidP="00951891">
            <w:pPr>
              <w:rPr>
                <w:rFonts w:cs="Arial"/>
                <w:szCs w:val="18"/>
              </w:rPr>
            </w:pPr>
            <w:r w:rsidRPr="006A2DC8">
              <w:rPr>
                <w:rFonts w:cs="Arial"/>
                <w:szCs w:val="18"/>
              </w:rPr>
              <w:t xml:space="preserve">Management arrangements </w:t>
            </w:r>
            <w:r w:rsidR="003B6726" w:rsidRPr="006A2DC8">
              <w:rPr>
                <w:rFonts w:cs="Arial"/>
                <w:szCs w:val="18"/>
              </w:rPr>
              <w:t>include</w:t>
            </w:r>
            <w:r w:rsidRPr="006A2DC8">
              <w:rPr>
                <w:rFonts w:cs="Arial"/>
                <w:szCs w:val="18"/>
              </w:rPr>
              <w:t xml:space="preserve"> measures</w:t>
            </w:r>
            <w:r w:rsidR="00C203AE" w:rsidRPr="006A2DC8">
              <w:rPr>
                <w:rFonts w:cs="Arial"/>
                <w:szCs w:val="18"/>
              </w:rPr>
              <w:t xml:space="preserve"> such as exclusion devices, seasonal closures and gear restrictions</w:t>
            </w:r>
            <w:r w:rsidRPr="006A2DC8">
              <w:rPr>
                <w:rFonts w:cs="Arial"/>
                <w:szCs w:val="18"/>
              </w:rPr>
              <w:t xml:space="preserve"> </w:t>
            </w:r>
            <w:r w:rsidR="003B6726" w:rsidRPr="006A2DC8">
              <w:rPr>
                <w:rFonts w:cs="Arial"/>
                <w:szCs w:val="18"/>
              </w:rPr>
              <w:t xml:space="preserve">that </w:t>
            </w:r>
            <w:r w:rsidR="00C203AE" w:rsidRPr="006A2DC8">
              <w:rPr>
                <w:rFonts w:cs="Arial"/>
                <w:szCs w:val="18"/>
              </w:rPr>
              <w:t xml:space="preserve">help </w:t>
            </w:r>
            <w:r w:rsidR="003B6726" w:rsidRPr="006A2DC8">
              <w:rPr>
                <w:rFonts w:cs="Arial"/>
                <w:szCs w:val="18"/>
              </w:rPr>
              <w:t>to</w:t>
            </w:r>
            <w:r w:rsidRPr="006A2DC8">
              <w:rPr>
                <w:rFonts w:cs="Arial"/>
                <w:szCs w:val="18"/>
              </w:rPr>
              <w:t xml:space="preserve"> reduce or minimise the impact of fishing on TEPS</w:t>
            </w:r>
            <w:r w:rsidR="006A2DC8" w:rsidRPr="006A2DC8">
              <w:rPr>
                <w:rFonts w:cs="Arial"/>
                <w:szCs w:val="18"/>
              </w:rPr>
              <w:t xml:space="preserve">. </w:t>
            </w:r>
            <w:r w:rsidR="0032639F" w:rsidRPr="006A2DC8">
              <w:rPr>
                <w:rFonts w:cs="Arial"/>
                <w:szCs w:val="18"/>
                <w:lang w:eastAsia="en-AU"/>
              </w:rPr>
              <w:t xml:space="preserve">PIRSA in collaboration with SARDI and industry is currently </w:t>
            </w:r>
            <w:r w:rsidR="007808BA">
              <w:rPr>
                <w:rFonts w:cs="Arial"/>
                <w:szCs w:val="18"/>
                <w:lang w:eastAsia="en-AU"/>
              </w:rPr>
              <w:t xml:space="preserve">undertaking research trials to </w:t>
            </w:r>
            <w:r w:rsidR="0032639F" w:rsidRPr="006A2DC8">
              <w:rPr>
                <w:rFonts w:cs="Arial"/>
                <w:szCs w:val="18"/>
                <w:lang w:eastAsia="en-AU"/>
              </w:rPr>
              <w:t xml:space="preserve">develop </w:t>
            </w:r>
            <w:r w:rsidR="007808BA">
              <w:rPr>
                <w:rFonts w:cs="Arial"/>
                <w:szCs w:val="18"/>
                <w:lang w:eastAsia="en-AU"/>
              </w:rPr>
              <w:t>suitable</w:t>
            </w:r>
            <w:r w:rsidR="0032639F" w:rsidRPr="006A2DC8">
              <w:rPr>
                <w:rFonts w:cs="Arial"/>
                <w:szCs w:val="18"/>
                <w:lang w:eastAsia="en-AU"/>
              </w:rPr>
              <w:t xml:space="preserve"> mitigation measures to reduce interactions with long-nosed fur seals.</w:t>
            </w:r>
          </w:p>
        </w:tc>
      </w:tr>
      <w:tr w:rsidR="008731A5" w:rsidRPr="006A2DC8" w14:paraId="23325650" w14:textId="77777777" w:rsidTr="00680FA6">
        <w:tc>
          <w:tcPr>
            <w:tcW w:w="1500" w:type="pct"/>
          </w:tcPr>
          <w:p w14:paraId="3E2B3DBF" w14:textId="02A1F318" w:rsidR="008731A5" w:rsidRPr="006A2DC8" w:rsidRDefault="008731A5" w:rsidP="0035636F">
            <w:pPr>
              <w:autoSpaceDE w:val="0"/>
              <w:autoSpaceDN w:val="0"/>
              <w:adjustRightInd w:val="0"/>
              <w:rPr>
                <w:rFonts w:cs="Arial"/>
                <w:b/>
                <w:bCs/>
                <w:i/>
                <w:iCs/>
                <w:szCs w:val="18"/>
              </w:rPr>
            </w:pPr>
            <w:r w:rsidRPr="006A2DC8">
              <w:rPr>
                <w:rFonts w:cs="Arial"/>
                <w:b/>
                <w:bCs/>
                <w:i/>
                <w:iCs/>
                <w:szCs w:val="18"/>
              </w:rPr>
              <w:t xml:space="preserve">2.2.5 </w:t>
            </w:r>
            <w:r w:rsidRPr="006A2DC8">
              <w:rPr>
                <w:rFonts w:cs="Arial"/>
                <w:szCs w:val="18"/>
              </w:rPr>
              <w:t>There are measures in place to avoid impact on threatened ecological communities.</w:t>
            </w:r>
          </w:p>
        </w:tc>
        <w:tc>
          <w:tcPr>
            <w:tcW w:w="3500" w:type="pct"/>
            <w:shd w:val="clear" w:color="auto" w:fill="92D050"/>
          </w:tcPr>
          <w:p w14:paraId="50B89944" w14:textId="12451A3C" w:rsidR="00851986" w:rsidRPr="006A2DC8" w:rsidRDefault="00DE64CF" w:rsidP="0035636F">
            <w:pPr>
              <w:rPr>
                <w:rFonts w:cs="Arial"/>
                <w:szCs w:val="18"/>
              </w:rPr>
            </w:pPr>
            <w:r w:rsidRPr="006A2DC8">
              <w:rPr>
                <w:rFonts w:cs="Arial"/>
                <w:b/>
                <w:szCs w:val="18"/>
              </w:rPr>
              <w:t>Meets</w:t>
            </w:r>
          </w:p>
          <w:p w14:paraId="3D633D45" w14:textId="1CB3B58E" w:rsidR="008731A5" w:rsidRPr="006A2DC8" w:rsidRDefault="008731A5" w:rsidP="0035636F">
            <w:pPr>
              <w:rPr>
                <w:rFonts w:cs="Arial"/>
                <w:szCs w:val="18"/>
              </w:rPr>
            </w:pPr>
            <w:r w:rsidRPr="006A2DC8">
              <w:rPr>
                <w:rFonts w:cs="Arial"/>
                <w:szCs w:val="18"/>
              </w:rPr>
              <w:t xml:space="preserve">The </w:t>
            </w:r>
            <w:r w:rsidR="00EB0BC0" w:rsidRPr="003F4529">
              <w:rPr>
                <w:rFonts w:cs="Arial"/>
                <w:szCs w:val="18"/>
              </w:rPr>
              <w:t>Giant Kelp TEC</w:t>
            </w:r>
            <w:r w:rsidR="00EB0BC0" w:rsidRPr="006A2DC8">
              <w:rPr>
                <w:rFonts w:cs="Arial"/>
                <w:szCs w:val="18"/>
              </w:rPr>
              <w:t xml:space="preserve"> </w:t>
            </w:r>
            <w:r w:rsidRPr="006A2DC8">
              <w:rPr>
                <w:rFonts w:cs="Arial"/>
                <w:szCs w:val="18"/>
              </w:rPr>
              <w:t xml:space="preserve">may occur at the southern extremity of the </w:t>
            </w:r>
            <w:r w:rsidR="00016AA6" w:rsidRPr="006A2DC8">
              <w:rPr>
                <w:rFonts w:cs="Arial"/>
                <w:szCs w:val="18"/>
              </w:rPr>
              <w:t xml:space="preserve">fishery </w:t>
            </w:r>
            <w:r w:rsidRPr="006A2DC8">
              <w:rPr>
                <w:rFonts w:cs="Arial"/>
                <w:szCs w:val="18"/>
              </w:rPr>
              <w:t xml:space="preserve">boundary, but is not expected to be impacted by </w:t>
            </w:r>
            <w:r w:rsidR="003B6726" w:rsidRPr="006A2DC8">
              <w:rPr>
                <w:rFonts w:cs="Arial"/>
                <w:szCs w:val="18"/>
              </w:rPr>
              <w:t>this fishery</w:t>
            </w:r>
            <w:r w:rsidR="00655DB9" w:rsidRPr="006A2DC8">
              <w:rPr>
                <w:rFonts w:cs="Arial"/>
                <w:szCs w:val="18"/>
              </w:rPr>
              <w:t xml:space="preserve"> (TSSC 2012)</w:t>
            </w:r>
            <w:r w:rsidRPr="006A2DC8">
              <w:rPr>
                <w:rFonts w:cs="Arial"/>
                <w:szCs w:val="18"/>
              </w:rPr>
              <w:t>.</w:t>
            </w:r>
          </w:p>
        </w:tc>
      </w:tr>
      <w:tr w:rsidR="008731A5" w:rsidRPr="006A2DC8" w14:paraId="5D830546" w14:textId="77777777" w:rsidTr="00680FA6">
        <w:tc>
          <w:tcPr>
            <w:tcW w:w="1500" w:type="pct"/>
          </w:tcPr>
          <w:p w14:paraId="13A19148" w14:textId="366767AD" w:rsidR="008731A5" w:rsidRPr="006A2DC8" w:rsidRDefault="008731A5" w:rsidP="0035636F">
            <w:pPr>
              <w:autoSpaceDE w:val="0"/>
              <w:autoSpaceDN w:val="0"/>
              <w:adjustRightInd w:val="0"/>
              <w:rPr>
                <w:rFonts w:cs="Arial"/>
                <w:b/>
                <w:bCs/>
                <w:i/>
                <w:iCs/>
                <w:szCs w:val="18"/>
              </w:rPr>
            </w:pPr>
            <w:r w:rsidRPr="006A2DC8">
              <w:rPr>
                <w:rFonts w:cs="Arial"/>
                <w:b/>
                <w:bCs/>
                <w:i/>
                <w:iCs/>
                <w:szCs w:val="18"/>
              </w:rPr>
              <w:t xml:space="preserve">2.2.6 </w:t>
            </w:r>
            <w:r w:rsidRPr="006A2DC8">
              <w:rPr>
                <w:rFonts w:cs="Arial"/>
                <w:szCs w:val="18"/>
              </w:rPr>
              <w:t>The management response, considering uncertainties in the assessment and precautionary management actions, has a high chance of achieving the objective.</w:t>
            </w:r>
          </w:p>
        </w:tc>
        <w:tc>
          <w:tcPr>
            <w:tcW w:w="3500" w:type="pct"/>
            <w:shd w:val="clear" w:color="auto" w:fill="92D050"/>
          </w:tcPr>
          <w:p w14:paraId="59B472AA" w14:textId="435CEEE5" w:rsidR="00851986" w:rsidRPr="006A2DC8" w:rsidRDefault="008731A5" w:rsidP="0035636F">
            <w:pPr>
              <w:rPr>
                <w:rFonts w:cs="Arial"/>
                <w:szCs w:val="18"/>
              </w:rPr>
            </w:pPr>
            <w:r w:rsidRPr="006A2DC8">
              <w:rPr>
                <w:rFonts w:cs="Arial"/>
                <w:b/>
                <w:szCs w:val="18"/>
              </w:rPr>
              <w:t>Meets</w:t>
            </w:r>
          </w:p>
          <w:p w14:paraId="5173AB64" w14:textId="20734CAC" w:rsidR="008731A5" w:rsidRPr="006A2DC8" w:rsidRDefault="008731A5" w:rsidP="0035636F">
            <w:pPr>
              <w:rPr>
                <w:rFonts w:cs="Arial"/>
                <w:szCs w:val="18"/>
              </w:rPr>
            </w:pPr>
            <w:r w:rsidRPr="006A2DC8">
              <w:rPr>
                <w:rFonts w:cs="Arial"/>
                <w:szCs w:val="18"/>
              </w:rPr>
              <w:t xml:space="preserve">Management arrangements are considered likely to achieve the objectives to conduct the </w:t>
            </w:r>
            <w:r w:rsidR="00016AA6" w:rsidRPr="006A2DC8">
              <w:rPr>
                <w:rFonts w:cs="Arial"/>
                <w:szCs w:val="18"/>
              </w:rPr>
              <w:t xml:space="preserve">fishery </w:t>
            </w:r>
            <w:r w:rsidRPr="006A2DC8">
              <w:rPr>
                <w:rFonts w:cs="Arial"/>
                <w:szCs w:val="18"/>
              </w:rPr>
              <w:t>in a manner that minimises the impact of fishing on endangered, threatened or protected species and on threatened ecological communities.</w:t>
            </w:r>
          </w:p>
        </w:tc>
      </w:tr>
      <w:tr w:rsidR="008731A5" w:rsidRPr="00680FA6" w14:paraId="4FDFB921" w14:textId="77777777" w:rsidTr="00680FA6">
        <w:tc>
          <w:tcPr>
            <w:tcW w:w="1500" w:type="pct"/>
            <w:gridSpan w:val="2"/>
            <w:shd w:val="clear" w:color="auto" w:fill="CCC0D9"/>
          </w:tcPr>
          <w:p w14:paraId="066E487E" w14:textId="51808A52" w:rsidR="008731A5" w:rsidRPr="00680FA6" w:rsidRDefault="008731A5" w:rsidP="005E2D35">
            <w:pPr>
              <w:rPr>
                <w:rFonts w:cs="Arial"/>
                <w:b/>
                <w:bCs/>
                <w:szCs w:val="18"/>
              </w:rPr>
            </w:pPr>
            <w:r w:rsidRPr="00680FA6">
              <w:rPr>
                <w:rFonts w:cs="Arial"/>
                <w:b/>
                <w:bCs/>
                <w:szCs w:val="18"/>
              </w:rPr>
              <w:t xml:space="preserve">Objective 3 </w:t>
            </w:r>
            <w:r w:rsidR="007C4B85" w:rsidRPr="00680FA6">
              <w:rPr>
                <w:rFonts w:cs="Arial"/>
                <w:b/>
                <w:bCs/>
                <w:szCs w:val="18"/>
              </w:rPr>
              <w:t>- The</w:t>
            </w:r>
            <w:r w:rsidRPr="00680FA6">
              <w:rPr>
                <w:rFonts w:cs="Arial"/>
                <w:szCs w:val="18"/>
              </w:rPr>
              <w:t xml:space="preserve"> fishery is conducted, in a manner that minimises the impact of fishing operations on the ecosystem generally.</w:t>
            </w:r>
          </w:p>
        </w:tc>
      </w:tr>
      <w:tr w:rsidR="008731A5" w:rsidRPr="00680FA6" w14:paraId="7CD7A422" w14:textId="77777777" w:rsidTr="00680FA6">
        <w:tc>
          <w:tcPr>
            <w:tcW w:w="1500" w:type="pct"/>
            <w:gridSpan w:val="2"/>
            <w:shd w:val="clear" w:color="auto" w:fill="E5DFEC"/>
          </w:tcPr>
          <w:p w14:paraId="54CDF909" w14:textId="585994E0" w:rsidR="008731A5" w:rsidRPr="00680FA6" w:rsidRDefault="008731A5" w:rsidP="005E2D35">
            <w:pPr>
              <w:rPr>
                <w:rFonts w:cs="Arial"/>
                <w:b/>
                <w:bCs/>
                <w:i/>
                <w:iCs/>
                <w:szCs w:val="18"/>
              </w:rPr>
            </w:pPr>
            <w:r w:rsidRPr="00680FA6">
              <w:rPr>
                <w:rFonts w:cs="Arial"/>
                <w:b/>
                <w:bCs/>
                <w:i/>
                <w:iCs/>
                <w:szCs w:val="18"/>
              </w:rPr>
              <w:t xml:space="preserve">Information requirements </w:t>
            </w:r>
          </w:p>
        </w:tc>
      </w:tr>
      <w:tr w:rsidR="008731A5" w:rsidRPr="00680FA6" w14:paraId="4AA6925D" w14:textId="77777777" w:rsidTr="00680FA6">
        <w:tc>
          <w:tcPr>
            <w:tcW w:w="1500" w:type="pct"/>
          </w:tcPr>
          <w:p w14:paraId="36944ABB" w14:textId="4DF09F3F" w:rsidR="008731A5" w:rsidRPr="00680FA6" w:rsidRDefault="008731A5" w:rsidP="0035636F">
            <w:pPr>
              <w:autoSpaceDE w:val="0"/>
              <w:autoSpaceDN w:val="0"/>
              <w:adjustRightInd w:val="0"/>
              <w:rPr>
                <w:rFonts w:cs="Arial"/>
                <w:szCs w:val="18"/>
              </w:rPr>
            </w:pPr>
            <w:r w:rsidRPr="00680FA6">
              <w:rPr>
                <w:rFonts w:cs="Arial"/>
                <w:b/>
                <w:bCs/>
                <w:iCs/>
                <w:szCs w:val="18"/>
              </w:rPr>
              <w:t xml:space="preserve">2.3.1 </w:t>
            </w:r>
            <w:r w:rsidRPr="00680FA6">
              <w:rPr>
                <w:rFonts w:cs="Arial"/>
                <w:szCs w:val="18"/>
              </w:rPr>
              <w:t>Information appropriate for the analysis in 2.3.2 is collated and/or collected covering the fisheries impact on the ecosys</w:t>
            </w:r>
            <w:r w:rsidR="00583085" w:rsidRPr="00680FA6">
              <w:rPr>
                <w:rFonts w:cs="Arial"/>
                <w:szCs w:val="18"/>
              </w:rPr>
              <w:t xml:space="preserve">tem and environment generally. </w:t>
            </w:r>
          </w:p>
        </w:tc>
        <w:tc>
          <w:tcPr>
            <w:tcW w:w="3500" w:type="pct"/>
            <w:shd w:val="clear" w:color="auto" w:fill="92D050"/>
          </w:tcPr>
          <w:p w14:paraId="1A10E72C" w14:textId="5171F950" w:rsidR="00851986" w:rsidRPr="00680FA6" w:rsidRDefault="008731A5" w:rsidP="0035636F">
            <w:pPr>
              <w:rPr>
                <w:rFonts w:cs="Arial"/>
                <w:szCs w:val="18"/>
              </w:rPr>
            </w:pPr>
            <w:r w:rsidRPr="00680FA6">
              <w:rPr>
                <w:rFonts w:cs="Arial"/>
                <w:b/>
                <w:szCs w:val="18"/>
              </w:rPr>
              <w:t>Meets</w:t>
            </w:r>
          </w:p>
          <w:p w14:paraId="23E606FB" w14:textId="57B1076A" w:rsidR="0008368B" w:rsidRPr="00680FA6" w:rsidRDefault="00EB0BC0" w:rsidP="0035636F">
            <w:pPr>
              <w:rPr>
                <w:rFonts w:cs="Arial"/>
                <w:szCs w:val="18"/>
              </w:rPr>
            </w:pPr>
            <w:r>
              <w:rPr>
                <w:rFonts w:cs="Arial"/>
                <w:szCs w:val="18"/>
              </w:rPr>
              <w:t>D</w:t>
            </w:r>
            <w:r w:rsidR="008731A5" w:rsidRPr="00680FA6">
              <w:rPr>
                <w:rFonts w:cs="Arial"/>
                <w:szCs w:val="18"/>
              </w:rPr>
              <w:t>ata collection</w:t>
            </w:r>
            <w:r w:rsidR="003B6726" w:rsidRPr="00680FA6">
              <w:rPr>
                <w:rFonts w:cs="Arial"/>
                <w:szCs w:val="18"/>
              </w:rPr>
              <w:t xml:space="preserve"> </w:t>
            </w:r>
            <w:r w:rsidRPr="00680FA6">
              <w:rPr>
                <w:rFonts w:cs="Arial"/>
                <w:szCs w:val="18"/>
              </w:rPr>
              <w:t xml:space="preserve">methods </w:t>
            </w:r>
            <w:r w:rsidR="003B6726" w:rsidRPr="00680FA6">
              <w:rPr>
                <w:rFonts w:cs="Arial"/>
                <w:szCs w:val="18"/>
              </w:rPr>
              <w:t>are</w:t>
            </w:r>
            <w:r w:rsidR="008731A5" w:rsidRPr="00680FA6">
              <w:rPr>
                <w:rFonts w:cs="Arial"/>
                <w:szCs w:val="18"/>
              </w:rPr>
              <w:t xml:space="preserve"> </w:t>
            </w:r>
            <w:r w:rsidR="003B6726" w:rsidRPr="00680FA6">
              <w:rPr>
                <w:rFonts w:cs="Arial"/>
                <w:szCs w:val="18"/>
              </w:rPr>
              <w:t xml:space="preserve">considered adequate, and aim to </w:t>
            </w:r>
            <w:r w:rsidR="008731A5" w:rsidRPr="00680FA6">
              <w:rPr>
                <w:rFonts w:cs="Arial"/>
                <w:szCs w:val="18"/>
              </w:rPr>
              <w:t xml:space="preserve">inform and minimise impacts of fishing on the ecosystem and environment. Information includes risk assessments of the </w:t>
            </w:r>
            <w:r w:rsidR="00016AA6" w:rsidRPr="00680FA6">
              <w:rPr>
                <w:rFonts w:cs="Arial"/>
                <w:szCs w:val="18"/>
              </w:rPr>
              <w:t xml:space="preserve">fishery </w:t>
            </w:r>
            <w:r w:rsidR="008731A5" w:rsidRPr="00680FA6">
              <w:rPr>
                <w:rFonts w:cs="Arial"/>
                <w:szCs w:val="18"/>
              </w:rPr>
              <w:t xml:space="preserve">(PIRSA 2011), </w:t>
            </w:r>
            <w:r w:rsidR="00C412E3" w:rsidRPr="00680FA6">
              <w:rPr>
                <w:rFonts w:cs="Arial"/>
                <w:szCs w:val="18"/>
              </w:rPr>
              <w:t xml:space="preserve">risk assessments </w:t>
            </w:r>
            <w:r w:rsidR="008731A5" w:rsidRPr="00680FA6">
              <w:rPr>
                <w:rFonts w:cs="Arial"/>
                <w:szCs w:val="18"/>
              </w:rPr>
              <w:t>for listed bird interactions (Stoklosa 2013)</w:t>
            </w:r>
            <w:r w:rsidR="003B6726" w:rsidRPr="00680FA6">
              <w:rPr>
                <w:rFonts w:cs="Arial"/>
                <w:szCs w:val="18"/>
              </w:rPr>
              <w:t>, and regular monitoring of water quality</w:t>
            </w:r>
            <w:r w:rsidR="008731A5" w:rsidRPr="00680FA6">
              <w:rPr>
                <w:rFonts w:cs="Arial"/>
                <w:szCs w:val="18"/>
              </w:rPr>
              <w:t>.</w:t>
            </w:r>
            <w:r w:rsidR="0035636F">
              <w:rPr>
                <w:rFonts w:cs="Arial"/>
                <w:szCs w:val="18"/>
              </w:rPr>
              <w:t xml:space="preserve"> </w:t>
            </w:r>
            <w:r w:rsidR="0008368B">
              <w:rPr>
                <w:rFonts w:cs="Arial"/>
                <w:szCs w:val="18"/>
              </w:rPr>
              <w:t xml:space="preserve">The Fishery Management Plan summarises a number of </w:t>
            </w:r>
            <w:r w:rsidR="0008368B" w:rsidRPr="00D7032C">
              <w:rPr>
                <w:rFonts w:cs="Arial"/>
                <w:szCs w:val="18"/>
              </w:rPr>
              <w:t>state and commonwealth legislation, regulations, and policies</w:t>
            </w:r>
            <w:r w:rsidR="0008368B">
              <w:rPr>
                <w:rFonts w:cs="Arial"/>
                <w:szCs w:val="18"/>
              </w:rPr>
              <w:t xml:space="preserve">, </w:t>
            </w:r>
            <w:r w:rsidR="0008368B" w:rsidRPr="00D7032C">
              <w:rPr>
                <w:rFonts w:cs="Arial"/>
                <w:szCs w:val="18"/>
              </w:rPr>
              <w:t xml:space="preserve">including the </w:t>
            </w:r>
            <w:hyperlink r:id="rId29" w:history="1">
              <w:r w:rsidR="0008368B" w:rsidRPr="00D7032C">
                <w:rPr>
                  <w:rStyle w:val="Hyperlink"/>
                  <w:rFonts w:cs="Arial"/>
                  <w:color w:val="auto"/>
                  <w:szCs w:val="18"/>
                  <w:u w:val="none"/>
                </w:rPr>
                <w:t>Coorong and Lakes Alexandrina and Albert Ramsar site management plan</w:t>
              </w:r>
            </w:hyperlink>
            <w:r w:rsidR="00CD2BB3">
              <w:rPr>
                <w:rStyle w:val="Hyperlink"/>
                <w:rFonts w:cs="Arial"/>
                <w:color w:val="auto"/>
                <w:szCs w:val="18"/>
                <w:u w:val="none"/>
              </w:rPr>
              <w:t xml:space="preserve"> (DEH 2000)</w:t>
            </w:r>
            <w:r w:rsidR="0008368B">
              <w:rPr>
                <w:rStyle w:val="Hyperlink"/>
                <w:rFonts w:cs="Arial"/>
                <w:color w:val="auto"/>
                <w:szCs w:val="18"/>
                <w:u w:val="none"/>
              </w:rPr>
              <w:t xml:space="preserve">, </w:t>
            </w:r>
            <w:r w:rsidR="006A2DC8">
              <w:t>that aim to</w:t>
            </w:r>
            <w:r w:rsidR="0008368B">
              <w:rPr>
                <w:rFonts w:cs="Arial"/>
                <w:szCs w:val="18"/>
              </w:rPr>
              <w:t xml:space="preserve"> </w:t>
            </w:r>
            <w:r w:rsidR="0008368B">
              <w:rPr>
                <w:rStyle w:val="Hyperlink"/>
                <w:rFonts w:cs="Arial"/>
                <w:color w:val="auto"/>
                <w:szCs w:val="18"/>
                <w:u w:val="none"/>
              </w:rPr>
              <w:t xml:space="preserve">help </w:t>
            </w:r>
            <w:r w:rsidR="006A2DC8">
              <w:rPr>
                <w:rStyle w:val="Hyperlink"/>
                <w:rFonts w:cs="Arial"/>
                <w:color w:val="auto"/>
                <w:szCs w:val="18"/>
                <w:u w:val="none"/>
              </w:rPr>
              <w:t>stakeholders</w:t>
            </w:r>
            <w:r w:rsidR="0008368B">
              <w:rPr>
                <w:rStyle w:val="Hyperlink"/>
                <w:rFonts w:cs="Arial"/>
                <w:color w:val="auto"/>
                <w:szCs w:val="18"/>
                <w:u w:val="none"/>
              </w:rPr>
              <w:t xml:space="preserve"> understand and address any potential risks of fishing in the area</w:t>
            </w:r>
            <w:r w:rsidR="0008368B" w:rsidRPr="00D7032C">
              <w:rPr>
                <w:rFonts w:cs="Arial"/>
                <w:szCs w:val="18"/>
              </w:rPr>
              <w:t>.</w:t>
            </w:r>
          </w:p>
        </w:tc>
      </w:tr>
      <w:tr w:rsidR="008731A5" w:rsidRPr="00680FA6" w14:paraId="3C4BC27D" w14:textId="77777777" w:rsidTr="00680FA6">
        <w:tc>
          <w:tcPr>
            <w:tcW w:w="1500" w:type="pct"/>
            <w:gridSpan w:val="2"/>
            <w:shd w:val="clear" w:color="auto" w:fill="E5DFEC"/>
          </w:tcPr>
          <w:p w14:paraId="20035E77" w14:textId="771F3C85" w:rsidR="008731A5" w:rsidRPr="00680FA6" w:rsidRDefault="008731A5" w:rsidP="005E2D35">
            <w:pPr>
              <w:rPr>
                <w:rFonts w:cs="Arial"/>
                <w:szCs w:val="18"/>
              </w:rPr>
            </w:pPr>
            <w:r w:rsidRPr="00680FA6">
              <w:rPr>
                <w:rFonts w:cs="Arial"/>
                <w:b/>
                <w:bCs/>
                <w:i/>
                <w:iCs/>
                <w:szCs w:val="18"/>
              </w:rPr>
              <w:t>Assessment</w:t>
            </w:r>
          </w:p>
        </w:tc>
      </w:tr>
      <w:tr w:rsidR="008731A5" w:rsidRPr="00680FA6" w14:paraId="608A294E" w14:textId="77777777" w:rsidTr="00680FA6">
        <w:tc>
          <w:tcPr>
            <w:tcW w:w="1500" w:type="pct"/>
          </w:tcPr>
          <w:p w14:paraId="41710549" w14:textId="693CD1F3" w:rsidR="008731A5" w:rsidRPr="00680FA6" w:rsidRDefault="008731A5" w:rsidP="0035636F">
            <w:pPr>
              <w:autoSpaceDE w:val="0"/>
              <w:autoSpaceDN w:val="0"/>
              <w:adjustRightInd w:val="0"/>
              <w:rPr>
                <w:rFonts w:cs="Arial"/>
                <w:szCs w:val="18"/>
              </w:rPr>
            </w:pPr>
            <w:r w:rsidRPr="00680FA6">
              <w:rPr>
                <w:rFonts w:cs="Arial"/>
                <w:b/>
                <w:bCs/>
                <w:szCs w:val="18"/>
              </w:rPr>
              <w:t xml:space="preserve">2.3.2 </w:t>
            </w:r>
            <w:r w:rsidRPr="00680FA6">
              <w:rPr>
                <w:rFonts w:cs="Arial"/>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8731A5" w:rsidRPr="00680FA6" w:rsidRDefault="008731A5" w:rsidP="0035636F">
            <w:pPr>
              <w:autoSpaceDE w:val="0"/>
              <w:autoSpaceDN w:val="0"/>
              <w:adjustRightInd w:val="0"/>
              <w:rPr>
                <w:rFonts w:cs="Arial"/>
                <w:szCs w:val="18"/>
              </w:rPr>
            </w:pPr>
            <w:r w:rsidRPr="00680FA6">
              <w:rPr>
                <w:rFonts w:cs="Arial"/>
                <w:szCs w:val="18"/>
              </w:rPr>
              <w:t>1. Impacts on ecological communities</w:t>
            </w:r>
          </w:p>
          <w:p w14:paraId="0606C2AB" w14:textId="77777777" w:rsidR="008731A5" w:rsidRPr="00680FA6" w:rsidRDefault="008731A5" w:rsidP="00237419">
            <w:pPr>
              <w:autoSpaceDE w:val="0"/>
              <w:autoSpaceDN w:val="0"/>
              <w:adjustRightInd w:val="0"/>
              <w:ind w:left="720" w:hanging="407"/>
              <w:rPr>
                <w:rFonts w:cs="Arial"/>
                <w:szCs w:val="18"/>
              </w:rPr>
            </w:pPr>
            <w:r w:rsidRPr="00680FA6">
              <w:rPr>
                <w:rFonts w:cs="Arial"/>
                <w:szCs w:val="18"/>
              </w:rPr>
              <w:t>• Benthic communities</w:t>
            </w:r>
          </w:p>
          <w:p w14:paraId="4C66DCE2" w14:textId="77777777" w:rsidR="008731A5" w:rsidRPr="00680FA6" w:rsidRDefault="008731A5" w:rsidP="00237419">
            <w:pPr>
              <w:autoSpaceDE w:val="0"/>
              <w:autoSpaceDN w:val="0"/>
              <w:adjustRightInd w:val="0"/>
              <w:ind w:left="720" w:hanging="407"/>
              <w:rPr>
                <w:rFonts w:cs="Arial"/>
                <w:szCs w:val="18"/>
              </w:rPr>
            </w:pPr>
            <w:r w:rsidRPr="00680FA6">
              <w:rPr>
                <w:rFonts w:cs="Arial"/>
                <w:szCs w:val="18"/>
              </w:rPr>
              <w:t>• Ecologically related, associated or dependent species</w:t>
            </w:r>
          </w:p>
          <w:p w14:paraId="21349DE0" w14:textId="77777777" w:rsidR="008731A5" w:rsidRPr="00680FA6" w:rsidRDefault="008731A5" w:rsidP="00237419">
            <w:pPr>
              <w:autoSpaceDE w:val="0"/>
              <w:autoSpaceDN w:val="0"/>
              <w:adjustRightInd w:val="0"/>
              <w:ind w:left="720" w:hanging="407"/>
              <w:rPr>
                <w:rFonts w:cs="Arial"/>
                <w:szCs w:val="18"/>
              </w:rPr>
            </w:pPr>
            <w:r w:rsidRPr="00680FA6">
              <w:rPr>
                <w:rFonts w:cs="Arial"/>
                <w:szCs w:val="18"/>
              </w:rPr>
              <w:t>• Water column communities</w:t>
            </w:r>
          </w:p>
          <w:p w14:paraId="7A9950B2" w14:textId="77777777" w:rsidR="008731A5" w:rsidRPr="00680FA6" w:rsidRDefault="008731A5" w:rsidP="0035636F">
            <w:pPr>
              <w:autoSpaceDE w:val="0"/>
              <w:autoSpaceDN w:val="0"/>
              <w:adjustRightInd w:val="0"/>
              <w:rPr>
                <w:rFonts w:cs="Arial"/>
                <w:szCs w:val="18"/>
              </w:rPr>
            </w:pPr>
            <w:r w:rsidRPr="00680FA6">
              <w:rPr>
                <w:rFonts w:cs="Arial"/>
                <w:szCs w:val="18"/>
              </w:rPr>
              <w:lastRenderedPageBreak/>
              <w:t>2. Impacts on food chains</w:t>
            </w:r>
          </w:p>
          <w:p w14:paraId="66B9B0F3" w14:textId="77777777" w:rsidR="008731A5" w:rsidRPr="00680FA6" w:rsidRDefault="008731A5" w:rsidP="00237419">
            <w:pPr>
              <w:autoSpaceDE w:val="0"/>
              <w:autoSpaceDN w:val="0"/>
              <w:adjustRightInd w:val="0"/>
              <w:ind w:left="720" w:hanging="407"/>
              <w:rPr>
                <w:rFonts w:cs="Arial"/>
                <w:szCs w:val="18"/>
              </w:rPr>
            </w:pPr>
            <w:r w:rsidRPr="00680FA6">
              <w:rPr>
                <w:rFonts w:cs="Arial"/>
                <w:szCs w:val="18"/>
              </w:rPr>
              <w:t>• Structure</w:t>
            </w:r>
          </w:p>
          <w:p w14:paraId="7CC656E1" w14:textId="77777777" w:rsidR="008731A5" w:rsidRPr="00680FA6" w:rsidRDefault="008731A5" w:rsidP="00237419">
            <w:pPr>
              <w:autoSpaceDE w:val="0"/>
              <w:autoSpaceDN w:val="0"/>
              <w:adjustRightInd w:val="0"/>
              <w:ind w:left="720" w:hanging="407"/>
              <w:rPr>
                <w:rFonts w:cs="Arial"/>
                <w:szCs w:val="18"/>
              </w:rPr>
            </w:pPr>
            <w:r w:rsidRPr="00680FA6">
              <w:rPr>
                <w:rFonts w:cs="Arial"/>
                <w:szCs w:val="18"/>
              </w:rPr>
              <w:t>• Productivity/flows</w:t>
            </w:r>
          </w:p>
          <w:p w14:paraId="5FFFF890" w14:textId="77777777" w:rsidR="008731A5" w:rsidRPr="00680FA6" w:rsidRDefault="008731A5" w:rsidP="0035636F">
            <w:pPr>
              <w:autoSpaceDE w:val="0"/>
              <w:autoSpaceDN w:val="0"/>
              <w:adjustRightInd w:val="0"/>
              <w:rPr>
                <w:rFonts w:cs="Arial"/>
                <w:szCs w:val="18"/>
              </w:rPr>
            </w:pPr>
            <w:r w:rsidRPr="00680FA6">
              <w:rPr>
                <w:rFonts w:cs="Arial"/>
                <w:szCs w:val="18"/>
              </w:rPr>
              <w:t>3. Impacts on the physical environment</w:t>
            </w:r>
          </w:p>
          <w:p w14:paraId="79EF8BD8" w14:textId="77777777" w:rsidR="008731A5" w:rsidRPr="00680FA6" w:rsidRDefault="008731A5" w:rsidP="003C5EC4">
            <w:pPr>
              <w:autoSpaceDE w:val="0"/>
              <w:autoSpaceDN w:val="0"/>
              <w:adjustRightInd w:val="0"/>
              <w:ind w:firstLine="313"/>
              <w:rPr>
                <w:rFonts w:cs="Arial"/>
                <w:szCs w:val="18"/>
              </w:rPr>
            </w:pPr>
            <w:r w:rsidRPr="00680FA6">
              <w:rPr>
                <w:rFonts w:cs="Arial"/>
                <w:szCs w:val="18"/>
              </w:rPr>
              <w:t>• Physical habitat</w:t>
            </w:r>
          </w:p>
          <w:p w14:paraId="75D4CE02" w14:textId="77777777" w:rsidR="008731A5" w:rsidRPr="00680FA6" w:rsidRDefault="008731A5" w:rsidP="003C5EC4">
            <w:pPr>
              <w:autoSpaceDE w:val="0"/>
              <w:autoSpaceDN w:val="0"/>
              <w:adjustRightInd w:val="0"/>
              <w:ind w:firstLine="313"/>
              <w:rPr>
                <w:rFonts w:cs="Arial"/>
                <w:b/>
                <w:i/>
                <w:szCs w:val="18"/>
              </w:rPr>
            </w:pPr>
            <w:r w:rsidRPr="00680FA6">
              <w:rPr>
                <w:rFonts w:cs="Arial"/>
                <w:szCs w:val="18"/>
              </w:rPr>
              <w:t>• Water quality</w:t>
            </w:r>
          </w:p>
        </w:tc>
        <w:tc>
          <w:tcPr>
            <w:tcW w:w="3500" w:type="pct"/>
            <w:shd w:val="clear" w:color="auto" w:fill="92D050"/>
          </w:tcPr>
          <w:p w14:paraId="4C9C304B" w14:textId="4C7DF662" w:rsidR="00851986" w:rsidRPr="00680FA6" w:rsidRDefault="008731A5" w:rsidP="0035636F">
            <w:pPr>
              <w:rPr>
                <w:rFonts w:cs="Arial"/>
                <w:szCs w:val="18"/>
              </w:rPr>
            </w:pPr>
            <w:r w:rsidRPr="00680FA6">
              <w:rPr>
                <w:rFonts w:cs="Arial"/>
                <w:b/>
                <w:szCs w:val="18"/>
              </w:rPr>
              <w:lastRenderedPageBreak/>
              <w:t>Meets</w:t>
            </w:r>
          </w:p>
          <w:p w14:paraId="7EFA4F0B" w14:textId="46127A18" w:rsidR="00E17BDE" w:rsidRDefault="00E17BDE" w:rsidP="0035636F">
            <w:pPr>
              <w:rPr>
                <w:rFonts w:cs="Arial"/>
              </w:rPr>
            </w:pPr>
            <w:r>
              <w:rPr>
                <w:rFonts w:cs="Arial"/>
                <w:szCs w:val="18"/>
              </w:rPr>
              <w:t>As part of the 2011</w:t>
            </w:r>
            <w:r w:rsidRPr="00680FA6">
              <w:rPr>
                <w:rFonts w:cs="Arial"/>
                <w:szCs w:val="18"/>
              </w:rPr>
              <w:t xml:space="preserve"> ERA</w:t>
            </w:r>
            <w:r>
              <w:rPr>
                <w:rFonts w:cs="Arial"/>
                <w:szCs w:val="18"/>
              </w:rPr>
              <w:t>, PIRSA</w:t>
            </w:r>
            <w:r w:rsidRPr="00680FA6">
              <w:rPr>
                <w:rFonts w:cs="Arial"/>
                <w:szCs w:val="18"/>
              </w:rPr>
              <w:t xml:space="preserve"> considered </w:t>
            </w:r>
            <w:r w:rsidRPr="00955461">
              <w:rPr>
                <w:rFonts w:cs="Arial"/>
              </w:rPr>
              <w:t xml:space="preserve">the likely impacts of fishing on retained species, non-retained species, general ecosystem, human population, governance, and external factors such as disease, climate variability, terrestrial run-off, and freshwater in-flows. Impacts to the physical ecosystem was considered negligible (PIRSA 2011). The report found the </w:t>
            </w:r>
            <w:r>
              <w:rPr>
                <w:rFonts w:cs="Arial"/>
              </w:rPr>
              <w:t>impacts</w:t>
            </w:r>
            <w:r w:rsidR="00332040">
              <w:rPr>
                <w:rFonts w:cs="Arial"/>
              </w:rPr>
              <w:t>:</w:t>
            </w:r>
          </w:p>
          <w:p w14:paraId="47F04C63" w14:textId="0683B778" w:rsidR="00332040" w:rsidRPr="006A2DC8" w:rsidRDefault="00332040" w:rsidP="0035636F">
            <w:pPr>
              <w:pStyle w:val="ListBullet"/>
            </w:pPr>
            <w:r w:rsidRPr="006A2DC8">
              <w:t>of fishing in the freshwater and estuarine environments was high. Indicators and performance measures are yet to be determined, but are likely to be based on the ecological sustaina</w:t>
            </w:r>
            <w:r w:rsidR="007C4B85">
              <w:t>ble development (ESD) framework</w:t>
            </w:r>
          </w:p>
          <w:p w14:paraId="68AF4056" w14:textId="66DD2FE9" w:rsidR="00332040" w:rsidRPr="006A2DC8" w:rsidRDefault="00332040" w:rsidP="0035636F">
            <w:pPr>
              <w:pStyle w:val="ListBullet"/>
            </w:pPr>
            <w:r w:rsidRPr="006A2DC8">
              <w:t>of fishing in the marine environment is moderate. Indicators and performance me</w:t>
            </w:r>
            <w:r w:rsidR="007C4B85">
              <w:t>asures are yet to be determined</w:t>
            </w:r>
          </w:p>
          <w:p w14:paraId="2644234C" w14:textId="33309EBF" w:rsidR="00332040" w:rsidRPr="006A2DC8" w:rsidRDefault="00332040" w:rsidP="0035636F">
            <w:pPr>
              <w:pStyle w:val="ListBullet"/>
            </w:pPr>
            <w:r w:rsidRPr="006A2DC8">
              <w:t>impacts of inadvertently introducing marine pests/aquatic diseases into the fishery is moderate. If it occurred, the impacts could be major, but under current practi</w:t>
            </w:r>
            <w:r w:rsidR="007C4B85">
              <w:t>ces this is considered unlikely</w:t>
            </w:r>
          </w:p>
          <w:p w14:paraId="1F0ADE59" w14:textId="162885B0" w:rsidR="00332040" w:rsidRPr="006A2DC8" w:rsidRDefault="00332040" w:rsidP="0035636F">
            <w:pPr>
              <w:pStyle w:val="ListBullet"/>
            </w:pPr>
            <w:r w:rsidRPr="006A2DC8">
              <w:lastRenderedPageBreak/>
              <w:t xml:space="preserve">on the ecological value of the fishery is a high risk based on the importance of a healthy Coorong ecosystem for the future of </w:t>
            </w:r>
            <w:r w:rsidR="007C4B85">
              <w:t>the fishery and future profits</w:t>
            </w:r>
          </w:p>
          <w:p w14:paraId="7F00B799" w14:textId="53246585" w:rsidR="00332040" w:rsidRPr="006A2DC8" w:rsidRDefault="00332040" w:rsidP="0035636F">
            <w:pPr>
              <w:pStyle w:val="ListBullet"/>
            </w:pPr>
            <w:r w:rsidRPr="006A2DC8">
              <w:t>of unforeseen or unknown external factors including climate change, rainfall/freshwater flows, diseases, and the influence of other fisheries are likely to be moderate to</w:t>
            </w:r>
            <w:r w:rsidR="007C4B85">
              <w:t xml:space="preserve"> extreme</w:t>
            </w:r>
          </w:p>
          <w:p w14:paraId="59905C6C" w14:textId="55F4F803" w:rsidR="00332040" w:rsidRPr="006A2DC8" w:rsidRDefault="00332040" w:rsidP="0035636F">
            <w:pPr>
              <w:pStyle w:val="ListBullet"/>
            </w:pPr>
            <w:r w:rsidRPr="006A2DC8">
              <w:t>of flow regulation and associated risks including acid sulphate soils and hypersalinity was rated extreme, and may have a major consequence for the fishery over the next 5 or so y</w:t>
            </w:r>
            <w:r w:rsidR="007C4B85">
              <w:t>ears based upon past experience</w:t>
            </w:r>
          </w:p>
          <w:p w14:paraId="12366E2F" w14:textId="48E9CE10" w:rsidR="00332040" w:rsidRPr="006A2DC8" w:rsidRDefault="00332040" w:rsidP="0035636F">
            <w:pPr>
              <w:pStyle w:val="ListBullet"/>
            </w:pPr>
            <w:r w:rsidRPr="006A2DC8">
              <w:t>of permanent barrages is extreme as they are likely to have a major consequence f</w:t>
            </w:r>
            <w:r w:rsidR="007C4B85">
              <w:t>or the fishery into the future</w:t>
            </w:r>
          </w:p>
          <w:p w14:paraId="22615D0A" w14:textId="433F277E" w:rsidR="00332040" w:rsidRPr="006A2DC8" w:rsidRDefault="00332040" w:rsidP="0035636F">
            <w:pPr>
              <w:pStyle w:val="ListBullet"/>
            </w:pPr>
            <w:r w:rsidRPr="006A2DC8">
              <w:t>of introduced exotic fishes (European carp and redfin</w:t>
            </w:r>
            <w:r w:rsidR="007C4B85">
              <w:t>) is considered an extreme risk, and</w:t>
            </w:r>
          </w:p>
          <w:p w14:paraId="54ED28BB" w14:textId="0C3B19A2" w:rsidR="00332040" w:rsidRPr="006A2DC8" w:rsidRDefault="00332040" w:rsidP="0035636F">
            <w:pPr>
              <w:pStyle w:val="ListBullet"/>
            </w:pPr>
            <w:r w:rsidRPr="006A2DC8">
              <w:t>of marine parks is rated as extreme due to the uncertainty surrounding access and the placement of no-take zones.</w:t>
            </w:r>
          </w:p>
          <w:p w14:paraId="397BE197" w14:textId="26417DE5" w:rsidR="00DA5646" w:rsidRPr="00680FA6" w:rsidRDefault="00E17BDE" w:rsidP="00951891">
            <w:pPr>
              <w:rPr>
                <w:rFonts w:cs="Arial"/>
                <w:szCs w:val="18"/>
              </w:rPr>
            </w:pPr>
            <w:r w:rsidRPr="00680FA6">
              <w:rPr>
                <w:rFonts w:cs="Arial"/>
                <w:szCs w:val="18"/>
              </w:rPr>
              <w:t>Stoklosa (2013) conducted a risk assessment for impacts of fishing on listed bird species</w:t>
            </w:r>
            <w:r>
              <w:rPr>
                <w:rFonts w:cs="Arial"/>
                <w:szCs w:val="18"/>
              </w:rPr>
              <w:t xml:space="preserve"> as a requirement to meet Marine Stewardship Council certification</w:t>
            </w:r>
            <w:r w:rsidR="00951891">
              <w:rPr>
                <w:rFonts w:cs="Arial"/>
                <w:szCs w:val="18"/>
              </w:rPr>
              <w:t xml:space="preserve"> (see 2.2.2 above)</w:t>
            </w:r>
            <w:r w:rsidRPr="00680FA6">
              <w:rPr>
                <w:rFonts w:cs="Arial"/>
                <w:szCs w:val="18"/>
              </w:rPr>
              <w:t>.</w:t>
            </w:r>
            <w:r w:rsidR="00951891">
              <w:rPr>
                <w:rFonts w:cs="Arial"/>
                <w:szCs w:val="18"/>
              </w:rPr>
              <w:t xml:space="preserve"> </w:t>
            </w:r>
            <w:r w:rsidRPr="00680FA6">
              <w:rPr>
                <w:rFonts w:cs="Arial"/>
                <w:szCs w:val="18"/>
              </w:rPr>
              <w:t xml:space="preserve">Information </w:t>
            </w:r>
            <w:r>
              <w:rPr>
                <w:rFonts w:cs="Arial"/>
                <w:szCs w:val="18"/>
              </w:rPr>
              <w:t>from these</w:t>
            </w:r>
            <w:r w:rsidRPr="00680FA6">
              <w:rPr>
                <w:rFonts w:cs="Arial"/>
                <w:szCs w:val="18"/>
              </w:rPr>
              <w:t xml:space="preserve"> risk analys</w:t>
            </w:r>
            <w:r>
              <w:rPr>
                <w:rFonts w:cs="Arial"/>
                <w:szCs w:val="18"/>
              </w:rPr>
              <w:t>es</w:t>
            </w:r>
            <w:r w:rsidRPr="00680FA6">
              <w:rPr>
                <w:rFonts w:cs="Arial"/>
                <w:szCs w:val="18"/>
              </w:rPr>
              <w:t xml:space="preserve"> informed the development of the management plan.</w:t>
            </w:r>
            <w:r>
              <w:rPr>
                <w:rFonts w:cs="Arial"/>
                <w:szCs w:val="18"/>
              </w:rPr>
              <w:t xml:space="preserve"> </w:t>
            </w:r>
            <w:r w:rsidRPr="00680FA6">
              <w:rPr>
                <w:rFonts w:cs="Arial"/>
                <w:szCs w:val="18"/>
              </w:rPr>
              <w:t>Fishing operators are required to abide by the Coorong, and Lakes Alexandrina and Albert Ramsar Management Plan.</w:t>
            </w:r>
          </w:p>
        </w:tc>
      </w:tr>
      <w:tr w:rsidR="008731A5" w:rsidRPr="00680FA6" w14:paraId="007746A1" w14:textId="77777777" w:rsidTr="00680FA6">
        <w:tc>
          <w:tcPr>
            <w:tcW w:w="1500" w:type="pct"/>
            <w:gridSpan w:val="2"/>
            <w:shd w:val="clear" w:color="auto" w:fill="E5DFEC"/>
          </w:tcPr>
          <w:p w14:paraId="2F5F922B" w14:textId="6E4E570A" w:rsidR="008731A5" w:rsidRPr="00680FA6" w:rsidRDefault="008731A5" w:rsidP="005E2D35">
            <w:pPr>
              <w:rPr>
                <w:rFonts w:cs="Arial"/>
                <w:b/>
                <w:bCs/>
                <w:i/>
                <w:iCs/>
                <w:szCs w:val="18"/>
              </w:rPr>
            </w:pPr>
            <w:r w:rsidRPr="00680FA6">
              <w:rPr>
                <w:rFonts w:cs="Arial"/>
                <w:b/>
                <w:bCs/>
                <w:i/>
                <w:iCs/>
                <w:szCs w:val="18"/>
              </w:rPr>
              <w:lastRenderedPageBreak/>
              <w:t>Management responses</w:t>
            </w:r>
          </w:p>
        </w:tc>
      </w:tr>
      <w:tr w:rsidR="008731A5" w:rsidRPr="00680FA6" w14:paraId="405718D3" w14:textId="77777777" w:rsidTr="00680FA6">
        <w:tc>
          <w:tcPr>
            <w:tcW w:w="1500" w:type="pct"/>
          </w:tcPr>
          <w:p w14:paraId="1432DE2D" w14:textId="1C3F55CD" w:rsidR="008731A5" w:rsidRPr="00680FA6" w:rsidRDefault="008731A5" w:rsidP="006A2DC8">
            <w:pPr>
              <w:autoSpaceDE w:val="0"/>
              <w:autoSpaceDN w:val="0"/>
              <w:adjustRightInd w:val="0"/>
              <w:rPr>
                <w:rFonts w:cs="Arial"/>
                <w:b/>
                <w:i/>
                <w:szCs w:val="18"/>
              </w:rPr>
            </w:pPr>
            <w:r w:rsidRPr="00680FA6">
              <w:rPr>
                <w:rFonts w:cs="Arial"/>
                <w:b/>
                <w:bCs/>
                <w:i/>
                <w:iCs/>
                <w:szCs w:val="18"/>
              </w:rPr>
              <w:t xml:space="preserve">2.3.3 </w:t>
            </w:r>
            <w:r w:rsidRPr="00680FA6">
              <w:rPr>
                <w:rFonts w:cs="Arial"/>
                <w:szCs w:val="18"/>
              </w:rPr>
              <w:t>Management actions are in place to ensure significant damage to ecosystems does not arise from the impacts described in 2.3.1.</w:t>
            </w:r>
          </w:p>
        </w:tc>
        <w:tc>
          <w:tcPr>
            <w:tcW w:w="3500" w:type="pct"/>
            <w:shd w:val="clear" w:color="auto" w:fill="92D050"/>
          </w:tcPr>
          <w:p w14:paraId="22E2576B" w14:textId="3BF9DA60" w:rsidR="00851986" w:rsidRPr="00680FA6" w:rsidRDefault="008731A5" w:rsidP="006A2DC8">
            <w:pPr>
              <w:rPr>
                <w:rFonts w:cs="Arial"/>
                <w:szCs w:val="18"/>
              </w:rPr>
            </w:pPr>
            <w:r w:rsidRPr="00680FA6">
              <w:rPr>
                <w:rFonts w:cs="Arial"/>
                <w:b/>
                <w:szCs w:val="18"/>
              </w:rPr>
              <w:t>Meets</w:t>
            </w:r>
          </w:p>
          <w:p w14:paraId="603A86ED" w14:textId="15D96310" w:rsidR="006A4875" w:rsidRPr="00680FA6" w:rsidRDefault="008731A5" w:rsidP="006A2DC8">
            <w:pPr>
              <w:rPr>
                <w:rFonts w:cs="Arial"/>
                <w:szCs w:val="18"/>
              </w:rPr>
            </w:pPr>
            <w:r w:rsidRPr="00680FA6">
              <w:rPr>
                <w:rFonts w:cs="Arial"/>
                <w:szCs w:val="18"/>
              </w:rPr>
              <w:t xml:space="preserve">The </w:t>
            </w:r>
            <w:r w:rsidR="000606F3" w:rsidRPr="00680FA6">
              <w:rPr>
                <w:rFonts w:cs="Arial"/>
                <w:szCs w:val="18"/>
              </w:rPr>
              <w:t>m</w:t>
            </w:r>
            <w:r w:rsidRPr="00680FA6">
              <w:rPr>
                <w:rFonts w:cs="Arial"/>
                <w:szCs w:val="18"/>
              </w:rPr>
              <w:t xml:space="preserve">anagement </w:t>
            </w:r>
            <w:r w:rsidR="000606F3" w:rsidRPr="00680FA6">
              <w:rPr>
                <w:rFonts w:cs="Arial"/>
                <w:szCs w:val="18"/>
              </w:rPr>
              <w:t xml:space="preserve">arrangements </w:t>
            </w:r>
            <w:r w:rsidRPr="00680FA6">
              <w:rPr>
                <w:rFonts w:cs="Arial"/>
                <w:szCs w:val="18"/>
              </w:rPr>
              <w:t>includes objectives, goals and strategies</w:t>
            </w:r>
            <w:r w:rsidR="000606F3" w:rsidRPr="00680FA6">
              <w:rPr>
                <w:rFonts w:cs="Arial"/>
                <w:szCs w:val="18"/>
              </w:rPr>
              <w:t>, and specific management actions identified above</w:t>
            </w:r>
            <w:r w:rsidRPr="00680FA6">
              <w:rPr>
                <w:rFonts w:cs="Arial"/>
                <w:szCs w:val="18"/>
              </w:rPr>
              <w:t xml:space="preserve"> to help minimise the impact of fishing to ecosystems</w:t>
            </w:r>
            <w:r w:rsidR="000606F3" w:rsidRPr="00680FA6">
              <w:rPr>
                <w:rFonts w:cs="Arial"/>
                <w:szCs w:val="18"/>
              </w:rPr>
              <w:t xml:space="preserve">. </w:t>
            </w:r>
            <w:r w:rsidR="00736B39">
              <w:rPr>
                <w:rFonts w:cs="Arial"/>
                <w:szCs w:val="18"/>
              </w:rPr>
              <w:t xml:space="preserve">The unpredictable fluctuations in </w:t>
            </w:r>
            <w:r w:rsidR="00736B39" w:rsidRPr="00680FA6">
              <w:rPr>
                <w:rFonts w:cs="Arial"/>
                <w:szCs w:val="18"/>
              </w:rPr>
              <w:t>environmental conditions</w:t>
            </w:r>
            <w:r w:rsidR="00736B39">
              <w:rPr>
                <w:rFonts w:cs="Arial"/>
                <w:szCs w:val="18"/>
              </w:rPr>
              <w:t xml:space="preserve"> create many management challenges for the fishery.</w:t>
            </w:r>
            <w:r w:rsidR="006A4875" w:rsidRPr="00680FA6">
              <w:rPr>
                <w:rFonts w:cs="Arial"/>
                <w:szCs w:val="18"/>
              </w:rPr>
              <w:t xml:space="preserve"> </w:t>
            </w:r>
            <w:r w:rsidR="00736B39">
              <w:rPr>
                <w:rFonts w:cs="Arial"/>
                <w:szCs w:val="18"/>
              </w:rPr>
              <w:t xml:space="preserve">It is important that </w:t>
            </w:r>
            <w:r w:rsidR="006A4875" w:rsidRPr="00680FA6">
              <w:rPr>
                <w:rFonts w:cs="Arial"/>
                <w:szCs w:val="18"/>
              </w:rPr>
              <w:t xml:space="preserve">PIRSA continue to monitor trends in catch levels and environmental conditions, and to work with other government agencies, industry, recreational anglers and the broader public to develop appropriate and timely management measures that ensure stocks of target species remain sustainable. </w:t>
            </w:r>
          </w:p>
        </w:tc>
      </w:tr>
      <w:tr w:rsidR="008731A5" w:rsidRPr="00680FA6" w14:paraId="0C8B361A" w14:textId="77777777" w:rsidTr="00680FA6">
        <w:tc>
          <w:tcPr>
            <w:tcW w:w="1500" w:type="pct"/>
          </w:tcPr>
          <w:p w14:paraId="4D5C4181" w14:textId="7AA29CC7" w:rsidR="008731A5" w:rsidRPr="00680FA6" w:rsidRDefault="008731A5" w:rsidP="006A2DC8">
            <w:pPr>
              <w:autoSpaceDE w:val="0"/>
              <w:autoSpaceDN w:val="0"/>
              <w:adjustRightInd w:val="0"/>
              <w:rPr>
                <w:rFonts w:cs="Arial"/>
                <w:b/>
                <w:bCs/>
                <w:i/>
                <w:iCs/>
                <w:szCs w:val="18"/>
              </w:rPr>
            </w:pPr>
            <w:r w:rsidRPr="00680FA6">
              <w:rPr>
                <w:rFonts w:cs="Arial"/>
                <w:b/>
                <w:bCs/>
                <w:i/>
                <w:iCs/>
                <w:szCs w:val="18"/>
              </w:rPr>
              <w:t xml:space="preserve">2.3.4 </w:t>
            </w:r>
            <w:r w:rsidRPr="00680FA6">
              <w:rPr>
                <w:rFonts w:cs="Arial"/>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92D050"/>
          </w:tcPr>
          <w:p w14:paraId="39F06897" w14:textId="12478E9C" w:rsidR="00851986" w:rsidRPr="00680FA6" w:rsidRDefault="008731A5" w:rsidP="006A2DC8">
            <w:pPr>
              <w:keepNext/>
              <w:rPr>
                <w:rFonts w:cs="Arial"/>
                <w:szCs w:val="18"/>
              </w:rPr>
            </w:pPr>
            <w:r w:rsidRPr="00680FA6">
              <w:rPr>
                <w:rFonts w:cs="Arial"/>
                <w:b/>
                <w:szCs w:val="18"/>
              </w:rPr>
              <w:t>Meets</w:t>
            </w:r>
          </w:p>
          <w:p w14:paraId="1743511B" w14:textId="6586E410" w:rsidR="008731A5" w:rsidRPr="00680FA6" w:rsidRDefault="000606F3" w:rsidP="006A2DC8">
            <w:pPr>
              <w:rPr>
                <w:rFonts w:cs="Arial"/>
                <w:szCs w:val="18"/>
              </w:rPr>
            </w:pPr>
            <w:r w:rsidRPr="00680FA6">
              <w:rPr>
                <w:rFonts w:cs="Arial"/>
                <w:szCs w:val="18"/>
              </w:rPr>
              <w:t>The Fishery Management Plan includes objectives, performance indicators and reference points that aim to m</w:t>
            </w:r>
            <w:r w:rsidR="008731A5" w:rsidRPr="00680FA6">
              <w:rPr>
                <w:rFonts w:cs="Arial"/>
                <w:szCs w:val="18"/>
              </w:rPr>
              <w:t>inimise impacts of fishing on the ecosystem.</w:t>
            </w:r>
            <w:r w:rsidR="00332040">
              <w:rPr>
                <w:rFonts w:cs="Arial"/>
                <w:szCs w:val="18"/>
              </w:rPr>
              <w:t xml:space="preserve"> </w:t>
            </w:r>
          </w:p>
        </w:tc>
      </w:tr>
      <w:tr w:rsidR="008731A5" w:rsidRPr="00680FA6" w14:paraId="22F6BF5A" w14:textId="77777777" w:rsidTr="00680FA6">
        <w:tc>
          <w:tcPr>
            <w:tcW w:w="1500" w:type="pct"/>
          </w:tcPr>
          <w:p w14:paraId="544B66DE" w14:textId="1AD1B959" w:rsidR="008731A5" w:rsidRPr="00680FA6" w:rsidRDefault="008731A5" w:rsidP="006A2DC8">
            <w:pPr>
              <w:autoSpaceDE w:val="0"/>
              <w:autoSpaceDN w:val="0"/>
              <w:adjustRightInd w:val="0"/>
              <w:rPr>
                <w:rFonts w:cs="Arial"/>
                <w:b/>
                <w:bCs/>
                <w:i/>
                <w:iCs/>
                <w:szCs w:val="18"/>
              </w:rPr>
            </w:pPr>
            <w:r w:rsidRPr="00680FA6">
              <w:rPr>
                <w:rFonts w:cs="Arial"/>
                <w:b/>
                <w:bCs/>
                <w:i/>
                <w:iCs/>
                <w:szCs w:val="18"/>
              </w:rPr>
              <w:t>2.3.5</w:t>
            </w:r>
            <w:r w:rsidRPr="00680FA6">
              <w:rPr>
                <w:rFonts w:cs="Arial"/>
                <w:szCs w:val="18"/>
              </w:rPr>
              <w:t xml:space="preserve"> The management response, considering uncertainties in the assessment and precautionary management actions, has a high chance of achieving the objective.</w:t>
            </w:r>
          </w:p>
        </w:tc>
        <w:tc>
          <w:tcPr>
            <w:tcW w:w="3500" w:type="pct"/>
            <w:shd w:val="clear" w:color="auto" w:fill="92D050"/>
          </w:tcPr>
          <w:p w14:paraId="5F1DF030" w14:textId="3E4F5951" w:rsidR="00851986" w:rsidRPr="00680FA6" w:rsidRDefault="008731A5" w:rsidP="006A2DC8">
            <w:pPr>
              <w:rPr>
                <w:rFonts w:cs="Arial"/>
                <w:szCs w:val="18"/>
              </w:rPr>
            </w:pPr>
            <w:r w:rsidRPr="00680FA6">
              <w:rPr>
                <w:rFonts w:cs="Arial"/>
                <w:b/>
                <w:szCs w:val="18"/>
              </w:rPr>
              <w:t>Meets</w:t>
            </w:r>
          </w:p>
          <w:p w14:paraId="5DABCD7B" w14:textId="3EF8CAB2" w:rsidR="008731A5" w:rsidRPr="00680FA6" w:rsidRDefault="008731A5" w:rsidP="006A2DC8">
            <w:pPr>
              <w:rPr>
                <w:rFonts w:cs="Arial"/>
                <w:szCs w:val="18"/>
              </w:rPr>
            </w:pPr>
            <w:r w:rsidRPr="00680FA6">
              <w:rPr>
                <w:rFonts w:cs="Arial"/>
                <w:szCs w:val="18"/>
              </w:rPr>
              <w:t xml:space="preserve">The management arrangements have a good chance of achieving the objective to conduct the </w:t>
            </w:r>
            <w:r w:rsidR="00016AA6" w:rsidRPr="00680FA6">
              <w:rPr>
                <w:rFonts w:cs="Arial"/>
                <w:szCs w:val="18"/>
              </w:rPr>
              <w:t xml:space="preserve">fishery </w:t>
            </w:r>
            <w:r w:rsidRPr="00680FA6">
              <w:rPr>
                <w:rFonts w:cs="Arial"/>
                <w:szCs w:val="18"/>
              </w:rPr>
              <w:t>in a manner that minimises the impact of fishing operations on the ecosystem generally.</w:t>
            </w:r>
          </w:p>
        </w:tc>
      </w:tr>
    </w:tbl>
    <w:p w14:paraId="50DC7041" w14:textId="38402906" w:rsidR="00895ECB" w:rsidRDefault="0035636F" w:rsidP="00895ECB">
      <w:r>
        <w:tab/>
      </w:r>
    </w:p>
    <w:p w14:paraId="3F775705" w14:textId="77777777" w:rsidR="00895ECB" w:rsidRPr="00895ECB" w:rsidRDefault="00895ECB" w:rsidP="00895ECB"/>
    <w:p w14:paraId="7AF9C6DB" w14:textId="77777777" w:rsidR="00895ECB" w:rsidRDefault="00895ECB" w:rsidP="005E2D35">
      <w:pPr>
        <w:pStyle w:val="Heading1"/>
        <w:sectPr w:rsidR="00895ECB" w:rsidSect="00402549">
          <w:headerReference w:type="even" r:id="rId30"/>
          <w:headerReference w:type="default" r:id="rId31"/>
          <w:footerReference w:type="even" r:id="rId32"/>
          <w:footerReference w:type="default" r:id="rId33"/>
          <w:headerReference w:type="first" r:id="rId34"/>
          <w:footerReference w:type="first" r:id="rId35"/>
          <w:pgSz w:w="16838" w:h="11906" w:orient="landscape"/>
          <w:pgMar w:top="1021" w:right="1021" w:bottom="1021" w:left="1021" w:header="425" w:footer="425" w:gutter="0"/>
          <w:cols w:space="708"/>
          <w:titlePg/>
          <w:docGrid w:linePitch="360"/>
        </w:sectPr>
      </w:pPr>
    </w:p>
    <w:p w14:paraId="7B396400" w14:textId="3CCF6245" w:rsidR="00DD0EB5" w:rsidRPr="002B2C71" w:rsidRDefault="00DD0EB5" w:rsidP="005E2D35">
      <w:pPr>
        <w:pStyle w:val="Heading1"/>
      </w:pPr>
      <w:bookmarkStart w:id="5" w:name="_Toc506553893"/>
      <w:r w:rsidRPr="002B2C71">
        <w:lastRenderedPageBreak/>
        <w:t>Section</w:t>
      </w:r>
      <w:r w:rsidR="0027138D" w:rsidRPr="002B2C71">
        <w:t xml:space="preserve"> 3</w:t>
      </w:r>
      <w:r w:rsidR="00223C3E" w:rsidRPr="002B2C71">
        <w:t xml:space="preserve">: </w:t>
      </w:r>
      <w:r w:rsidRPr="002B2C71">
        <w:t>Assessment of the South Australian Lakes and Coorong Fishery Against the Requrements of the EPBC Act</w:t>
      </w:r>
      <w:bookmarkEnd w:id="5"/>
    </w:p>
    <w:p w14:paraId="7FCE71B0" w14:textId="39033EE8" w:rsidR="009F053A" w:rsidRPr="00661DB8" w:rsidRDefault="009F053A" w:rsidP="009F053A">
      <w:pPr>
        <w:spacing w:after="0"/>
        <w:rPr>
          <w:rFonts w:cs="Arial"/>
        </w:rPr>
      </w:pPr>
      <w:r w:rsidRPr="00661DB8">
        <w:rPr>
          <w:rFonts w:cs="Arial"/>
        </w:rPr>
        <w:t xml:space="preserve">The table below is not a complete or exact representation of the EPBC Act. It is intended </w:t>
      </w:r>
      <w:r w:rsidR="007361FC" w:rsidRPr="00661DB8">
        <w:rPr>
          <w:rFonts w:cs="Arial"/>
        </w:rPr>
        <w:t xml:space="preserve">to show that the </w:t>
      </w:r>
      <w:r w:rsidRPr="00661DB8">
        <w:rPr>
          <w:rFonts w:cs="Arial"/>
        </w:rPr>
        <w:t xml:space="preserve">relevant sections and components of the EPBC Act </w:t>
      </w:r>
      <w:r w:rsidR="00897628" w:rsidRPr="00661DB8">
        <w:rPr>
          <w:rFonts w:cs="Arial"/>
        </w:rPr>
        <w:t xml:space="preserve">have been taken into account in the formulation of </w:t>
      </w:r>
      <w:r w:rsidRPr="00661DB8">
        <w:rPr>
          <w:rFonts w:cs="Arial"/>
        </w:rPr>
        <w:t xml:space="preserve">advice on the </w:t>
      </w:r>
      <w:r w:rsidR="00016AA6">
        <w:rPr>
          <w:rFonts w:cs="Arial"/>
        </w:rPr>
        <w:t xml:space="preserve">fishery </w:t>
      </w:r>
      <w:r w:rsidRPr="00661DB8">
        <w:rPr>
          <w:rFonts w:cs="Arial"/>
        </w:rPr>
        <w:t xml:space="preserve">in relation to decisions under Part 13A. </w:t>
      </w:r>
    </w:p>
    <w:p w14:paraId="2DEC772E" w14:textId="77777777" w:rsidR="009F053A" w:rsidRDefault="009F053A" w:rsidP="009F053A">
      <w:pPr>
        <w:spacing w:after="0"/>
        <w:rPr>
          <w:rFonts w:cs="Arial"/>
          <w:b/>
          <w:sz w:val="20"/>
          <w:szCs w:val="20"/>
        </w:rPr>
      </w:pPr>
    </w:p>
    <w:p w14:paraId="63A4FE7E" w14:textId="7FC87252" w:rsidR="009F053A" w:rsidRDefault="009F053A" w:rsidP="009F053A">
      <w:pPr>
        <w:spacing w:after="0"/>
        <w:rPr>
          <w:rFonts w:cs="Arial"/>
          <w:b/>
        </w:rPr>
      </w:pPr>
      <w:r w:rsidRPr="005B02A6">
        <w:rPr>
          <w:b/>
        </w:rPr>
        <w:t>Part 12</w:t>
      </w:r>
      <w:r w:rsidRPr="005B02A6">
        <w:rPr>
          <w:rFonts w:cs="Arial"/>
          <w:b/>
        </w:rPr>
        <w:t xml:space="preserve"> </w:t>
      </w:r>
    </w:p>
    <w:tbl>
      <w:tblPr>
        <w:tblStyle w:val="TableGrid"/>
        <w:tblW w:w="5000" w:type="pct"/>
        <w:tblLook w:val="04A0" w:firstRow="1" w:lastRow="0" w:firstColumn="1" w:lastColumn="0" w:noHBand="0" w:noVBand="1"/>
      </w:tblPr>
      <w:tblGrid>
        <w:gridCol w:w="7393"/>
        <w:gridCol w:w="7393"/>
      </w:tblGrid>
      <w:tr w:rsidR="002B2C71" w:rsidRPr="007500A4" w14:paraId="412D6020" w14:textId="77777777" w:rsidTr="00583085">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249DF939" w14:textId="0C614CA4" w:rsidR="002B2C71" w:rsidRPr="007500A4" w:rsidRDefault="002B2C71" w:rsidP="007500A4">
            <w:pPr>
              <w:pStyle w:val="Normal-Bold"/>
              <w:spacing w:before="60" w:after="60" w:line="240" w:lineRule="auto"/>
              <w:rPr>
                <w:sz w:val="20"/>
                <w:szCs w:val="20"/>
              </w:rPr>
            </w:pPr>
            <w:r w:rsidRPr="007500A4">
              <w:rPr>
                <w:sz w:val="20"/>
                <w:szCs w:val="20"/>
              </w:rPr>
              <w:t>Section 176 Bioregional Plans</w:t>
            </w:r>
          </w:p>
        </w:tc>
        <w:tc>
          <w:tcPr>
            <w:tcW w:w="2500" w:type="pct"/>
            <w:shd w:val="clear" w:color="auto" w:fill="D9D9D9" w:themeFill="background1" w:themeFillShade="D9"/>
          </w:tcPr>
          <w:p w14:paraId="5B6EB548" w14:textId="77777777" w:rsidR="002B2C71" w:rsidRPr="007500A4" w:rsidRDefault="002B2C71" w:rsidP="007500A4">
            <w:pPr>
              <w:pStyle w:val="Normal-Bold"/>
              <w:spacing w:before="60" w:after="60" w:line="240" w:lineRule="auto"/>
              <w:rPr>
                <w:sz w:val="20"/>
                <w:szCs w:val="20"/>
              </w:rPr>
            </w:pPr>
            <w:r w:rsidRPr="007500A4">
              <w:rPr>
                <w:sz w:val="20"/>
                <w:szCs w:val="20"/>
              </w:rPr>
              <w:t>Comment</w:t>
            </w:r>
          </w:p>
        </w:tc>
      </w:tr>
      <w:tr w:rsidR="002B2C71" w:rsidRPr="007500A4" w14:paraId="728FACE5" w14:textId="77777777" w:rsidTr="00583085">
        <w:trPr>
          <w:cnfStyle w:val="000000100000" w:firstRow="0" w:lastRow="0" w:firstColumn="0" w:lastColumn="0" w:oddVBand="0" w:evenVBand="0" w:oddHBand="1" w:evenHBand="0" w:firstRowFirstColumn="0" w:firstRowLastColumn="0" w:lastRowFirstColumn="0" w:lastRowLastColumn="0"/>
        </w:trPr>
        <w:tc>
          <w:tcPr>
            <w:tcW w:w="2500" w:type="pct"/>
          </w:tcPr>
          <w:p w14:paraId="5B693932" w14:textId="7C2FD989" w:rsidR="002B2C71" w:rsidRPr="007500A4" w:rsidRDefault="002B2C71" w:rsidP="007500A4">
            <w:pPr>
              <w:rPr>
                <w:szCs w:val="18"/>
              </w:rPr>
            </w:pPr>
            <w:r w:rsidRPr="007500A4">
              <w:rPr>
                <w:szCs w:val="18"/>
              </w:rPr>
              <w:t>(5)</w:t>
            </w:r>
            <w:r w:rsidR="0035636F" w:rsidRPr="007500A4">
              <w:rPr>
                <w:szCs w:val="18"/>
              </w:rPr>
              <w:tab/>
            </w:r>
            <w:r w:rsidRPr="007500A4">
              <w:rPr>
                <w:szCs w:val="18"/>
              </w:rPr>
              <w:t>Minister must have regar</w:t>
            </w:r>
            <w:r w:rsidR="0035636F" w:rsidRPr="007500A4">
              <w:rPr>
                <w:szCs w:val="18"/>
              </w:rPr>
              <w:t>d to relevant bioregional plans</w:t>
            </w:r>
          </w:p>
        </w:tc>
        <w:tc>
          <w:tcPr>
            <w:tcW w:w="2500" w:type="pct"/>
            <w:shd w:val="clear" w:color="auto" w:fill="auto"/>
          </w:tcPr>
          <w:p w14:paraId="1A3E60B6" w14:textId="77777777" w:rsidR="00285CE3" w:rsidRPr="007500A4" w:rsidRDefault="002B2C71" w:rsidP="007500A4">
            <w:pPr>
              <w:rPr>
                <w:rFonts w:cs="Arial"/>
                <w:b/>
                <w:szCs w:val="18"/>
              </w:rPr>
            </w:pPr>
            <w:r w:rsidRPr="007500A4">
              <w:rPr>
                <w:rFonts w:cs="Arial"/>
                <w:b/>
                <w:szCs w:val="18"/>
              </w:rPr>
              <w:t>Not applicable</w:t>
            </w:r>
          </w:p>
          <w:p w14:paraId="6EC40F66" w14:textId="019C7D7F" w:rsidR="002B2C71" w:rsidRPr="007500A4" w:rsidRDefault="00285CE3" w:rsidP="007500A4">
            <w:pPr>
              <w:rPr>
                <w:szCs w:val="18"/>
              </w:rPr>
            </w:pPr>
            <w:r w:rsidRPr="007500A4">
              <w:rPr>
                <w:rFonts w:cs="Arial"/>
                <w:szCs w:val="18"/>
              </w:rPr>
              <w:t>T</w:t>
            </w:r>
            <w:r w:rsidR="002B2C71" w:rsidRPr="007500A4">
              <w:rPr>
                <w:rFonts w:cs="Arial"/>
                <w:szCs w:val="18"/>
              </w:rPr>
              <w:t xml:space="preserve">he </w:t>
            </w:r>
            <w:r w:rsidR="006A4875" w:rsidRPr="007500A4">
              <w:rPr>
                <w:rFonts w:cs="Arial"/>
                <w:szCs w:val="18"/>
              </w:rPr>
              <w:t>f</w:t>
            </w:r>
            <w:r w:rsidR="002B2C71" w:rsidRPr="007500A4">
              <w:rPr>
                <w:rFonts w:cs="Arial"/>
                <w:szCs w:val="18"/>
              </w:rPr>
              <w:t xml:space="preserve">ishery </w:t>
            </w:r>
            <w:r w:rsidR="002B2C71" w:rsidRPr="007500A4">
              <w:rPr>
                <w:rFonts w:cs="Arial"/>
                <w:bCs/>
                <w:szCs w:val="18"/>
              </w:rPr>
              <w:t>operates</w:t>
            </w:r>
            <w:r w:rsidR="002B2C71" w:rsidRPr="007500A4">
              <w:rPr>
                <w:rFonts w:cs="Arial"/>
                <w:szCs w:val="18"/>
              </w:rPr>
              <w:t xml:space="preserve"> in state waters, and therefore will not impact on Commonwealth Marine Bioregional Plans.</w:t>
            </w:r>
          </w:p>
        </w:tc>
      </w:tr>
    </w:tbl>
    <w:p w14:paraId="6623535A" w14:textId="6FE3AC99" w:rsidR="002B2C71" w:rsidRPr="00164E7C" w:rsidRDefault="002B2C71" w:rsidP="009F053A">
      <w:pPr>
        <w:spacing w:after="0"/>
        <w:rPr>
          <w:rFonts w:cs="Arial"/>
          <w:b/>
        </w:rPr>
      </w:pPr>
    </w:p>
    <w:p w14:paraId="05298B02" w14:textId="77777777" w:rsidR="00534F5E" w:rsidRPr="005B02A6" w:rsidRDefault="009D5019" w:rsidP="009D5019">
      <w:pPr>
        <w:spacing w:after="0"/>
        <w:rPr>
          <w:b/>
        </w:rPr>
      </w:pPr>
      <w:r w:rsidRPr="005B02A6">
        <w:rPr>
          <w:b/>
        </w:rPr>
        <w:t>Part 13A</w:t>
      </w:r>
    </w:p>
    <w:tbl>
      <w:tblPr>
        <w:tblStyle w:val="TableGrid1"/>
        <w:tblW w:w="5000" w:type="pct"/>
        <w:tblLook w:val="04A0" w:firstRow="1" w:lastRow="0" w:firstColumn="1" w:lastColumn="0" w:noHBand="0" w:noVBand="1"/>
      </w:tblPr>
      <w:tblGrid>
        <w:gridCol w:w="7393"/>
        <w:gridCol w:w="7393"/>
      </w:tblGrid>
      <w:tr w:rsidR="00534F5E" w:rsidRPr="007500A4" w14:paraId="4720F0F1" w14:textId="77777777" w:rsidTr="0041423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EAE1323" w14:textId="77777777" w:rsidR="00534F5E" w:rsidRPr="007500A4" w:rsidRDefault="00534F5E" w:rsidP="007500A4">
            <w:pPr>
              <w:pStyle w:val="Normal-Bold"/>
              <w:spacing w:before="60" w:after="60" w:line="240" w:lineRule="auto"/>
              <w:rPr>
                <w:sz w:val="20"/>
                <w:szCs w:val="20"/>
              </w:rPr>
            </w:pPr>
            <w:r w:rsidRPr="007500A4">
              <w:rPr>
                <w:sz w:val="20"/>
                <w:szCs w:val="20"/>
              </w:rPr>
              <w:t>Section 303BA Objects of Part 13A</w:t>
            </w:r>
          </w:p>
        </w:tc>
      </w:tr>
      <w:tr w:rsidR="00534F5E" w:rsidRPr="007500A4" w14:paraId="3C8AEF37" w14:textId="77777777" w:rsidTr="0041423B">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55C8357A" w14:textId="77777777" w:rsidR="00534F5E" w:rsidRPr="007500A4" w:rsidRDefault="00534F5E" w:rsidP="007500A4">
            <w:pPr>
              <w:pStyle w:val="Tabletext"/>
              <w:spacing w:before="60" w:after="60"/>
              <w:rPr>
                <w:noProof/>
                <w:sz w:val="18"/>
                <w:szCs w:val="18"/>
              </w:rPr>
            </w:pPr>
            <w:r w:rsidRPr="007500A4">
              <w:rPr>
                <w:noProof/>
                <w:sz w:val="18"/>
                <w:szCs w:val="18"/>
              </w:rPr>
              <w:t>The objects of this Part are as follows:</w:t>
            </w:r>
          </w:p>
          <w:p w14:paraId="7CB860AF" w14:textId="0EA12B65" w:rsidR="00534F5E" w:rsidRPr="007500A4" w:rsidRDefault="00CD2BB3" w:rsidP="007500A4">
            <w:pPr>
              <w:pStyle w:val="ListNumber2"/>
            </w:pPr>
            <w:r w:rsidRPr="007500A4">
              <w:t>(a)</w:t>
            </w:r>
            <w:r w:rsidRPr="007500A4">
              <w:tab/>
            </w:r>
            <w:r w:rsidR="00534F5E" w:rsidRPr="007500A4">
              <w:t>to ensure that Australia complies with its obligations under CITES and the Biodiversity Convention</w:t>
            </w:r>
          </w:p>
          <w:p w14:paraId="486211D5" w14:textId="26743BB6" w:rsidR="00534F5E" w:rsidRPr="007500A4" w:rsidRDefault="00534F5E" w:rsidP="007500A4">
            <w:pPr>
              <w:pStyle w:val="ListNumber2"/>
            </w:pPr>
            <w:r w:rsidRPr="007500A4">
              <w:t>(b)</w:t>
            </w:r>
            <w:r w:rsidR="00CD2BB3" w:rsidRPr="007500A4">
              <w:tab/>
            </w:r>
            <w:r w:rsidRPr="007500A4">
              <w:t>to protect wildlife that may be adversely affected by trade</w:t>
            </w:r>
          </w:p>
          <w:p w14:paraId="755306BF" w14:textId="0E02FBE0" w:rsidR="00534F5E" w:rsidRPr="007500A4" w:rsidRDefault="00534F5E" w:rsidP="007500A4">
            <w:pPr>
              <w:pStyle w:val="ListNumber2"/>
            </w:pPr>
            <w:r w:rsidRPr="007500A4">
              <w:t>(c)</w:t>
            </w:r>
            <w:r w:rsidR="00CD2BB3" w:rsidRPr="007500A4">
              <w:tab/>
            </w:r>
            <w:r w:rsidRPr="007500A4">
              <w:t>to promote the conservation of biodiversity in Australia and other countries</w:t>
            </w:r>
          </w:p>
          <w:p w14:paraId="0D36BC95" w14:textId="4D8FF3AB" w:rsidR="00534F5E" w:rsidRPr="007500A4" w:rsidRDefault="00534F5E" w:rsidP="007500A4">
            <w:pPr>
              <w:pStyle w:val="ListNumber2"/>
            </w:pPr>
            <w:r w:rsidRPr="007500A4">
              <w:t>(d)</w:t>
            </w:r>
            <w:r w:rsidR="00CD2BB3" w:rsidRPr="007500A4">
              <w:tab/>
            </w:r>
            <w:r w:rsidRPr="007500A4">
              <w:t>to ensure that any commercial utilisation of Australian native wildlife for the purposes of export is managed in an ecologically sustainable way</w:t>
            </w:r>
          </w:p>
          <w:p w14:paraId="07ED68E3" w14:textId="205046FD" w:rsidR="00534F5E" w:rsidRPr="007500A4" w:rsidRDefault="00534F5E" w:rsidP="007500A4">
            <w:pPr>
              <w:pStyle w:val="ListNumber2"/>
            </w:pPr>
            <w:r w:rsidRPr="007500A4">
              <w:t>(e)</w:t>
            </w:r>
            <w:r w:rsidR="00CD2BB3" w:rsidRPr="007500A4">
              <w:tab/>
            </w:r>
            <w:r w:rsidRPr="007500A4">
              <w:t>to promote the humane treatment of wildlife</w:t>
            </w:r>
          </w:p>
          <w:p w14:paraId="39DD8E41" w14:textId="1D658DD1" w:rsidR="00534F5E" w:rsidRPr="007500A4" w:rsidRDefault="00534F5E" w:rsidP="007500A4">
            <w:pPr>
              <w:pStyle w:val="ListNumber2"/>
            </w:pPr>
            <w:r w:rsidRPr="007500A4">
              <w:t>(f)</w:t>
            </w:r>
            <w:r w:rsidR="00CD2BB3" w:rsidRPr="007500A4">
              <w:tab/>
            </w:r>
            <w:r w:rsidRPr="007500A4">
              <w:t>to ensure ethical conduct during any research associated with the utilisation of wildlife</w:t>
            </w:r>
            <w:r w:rsidR="00D77857" w:rsidRPr="007500A4">
              <w:t>,</w:t>
            </w:r>
            <w:r w:rsidRPr="007500A4">
              <w:t xml:space="preserve"> and</w:t>
            </w:r>
          </w:p>
          <w:p w14:paraId="03A71986" w14:textId="05FEBD85" w:rsidR="00534F5E" w:rsidRPr="007500A4" w:rsidRDefault="00534F5E" w:rsidP="007500A4">
            <w:pPr>
              <w:pStyle w:val="ListNumber2"/>
            </w:pPr>
            <w:r w:rsidRPr="007500A4">
              <w:t>(h)</w:t>
            </w:r>
            <w:r w:rsidR="00CD2BB3" w:rsidRPr="007500A4">
              <w:tab/>
            </w:r>
            <w:r w:rsidRPr="007500A4">
              <w:t>to ensure the precautionary principle is taken into account in making decisions relating to the utilisation of wildlife.</w:t>
            </w:r>
          </w:p>
        </w:tc>
      </w:tr>
      <w:tr w:rsidR="00534F5E" w:rsidRPr="007500A4" w14:paraId="4E93C12A" w14:textId="77777777" w:rsidTr="0041423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60331FE1" w14:textId="77777777" w:rsidR="00534F5E" w:rsidRPr="007500A4" w:rsidRDefault="00534F5E" w:rsidP="007500A4">
            <w:pPr>
              <w:pStyle w:val="Normal-Bold"/>
              <w:spacing w:before="60" w:after="60" w:line="240" w:lineRule="auto"/>
              <w:rPr>
                <w:sz w:val="20"/>
                <w:szCs w:val="20"/>
              </w:rPr>
            </w:pPr>
            <w:r w:rsidRPr="007500A4">
              <w:rPr>
                <w:sz w:val="20"/>
                <w:szCs w:val="20"/>
              </w:rPr>
              <w:t>Section 303DC Minister may amend list (non CITES species)</w:t>
            </w:r>
          </w:p>
        </w:tc>
        <w:tc>
          <w:tcPr>
            <w:tcW w:w="2500" w:type="pct"/>
            <w:shd w:val="clear" w:color="auto" w:fill="D9D9D9" w:themeFill="background1" w:themeFillShade="D9"/>
          </w:tcPr>
          <w:p w14:paraId="245AE86F" w14:textId="77777777" w:rsidR="00534F5E" w:rsidRPr="007500A4" w:rsidRDefault="00534F5E" w:rsidP="007500A4">
            <w:pPr>
              <w:pStyle w:val="Normal-Bold"/>
              <w:spacing w:before="60" w:after="60" w:line="240" w:lineRule="auto"/>
              <w:rPr>
                <w:sz w:val="20"/>
                <w:szCs w:val="20"/>
              </w:rPr>
            </w:pPr>
            <w:r w:rsidRPr="007500A4">
              <w:rPr>
                <w:sz w:val="20"/>
                <w:szCs w:val="20"/>
              </w:rPr>
              <w:t xml:space="preserve">Comment </w:t>
            </w:r>
          </w:p>
        </w:tc>
      </w:tr>
      <w:tr w:rsidR="00534F5E" w:rsidRPr="007500A4" w14:paraId="03DEFB22" w14:textId="77777777" w:rsidTr="005B02A6">
        <w:trPr>
          <w:cnfStyle w:val="000000100000" w:firstRow="0" w:lastRow="0" w:firstColumn="0" w:lastColumn="0" w:oddVBand="0" w:evenVBand="0" w:oddHBand="1" w:evenHBand="0" w:firstRowFirstColumn="0" w:firstRowLastColumn="0" w:lastRowFirstColumn="0" w:lastRowLastColumn="0"/>
        </w:trPr>
        <w:tc>
          <w:tcPr>
            <w:tcW w:w="2500" w:type="pct"/>
          </w:tcPr>
          <w:p w14:paraId="1566561B" w14:textId="36501764" w:rsidR="00534F5E" w:rsidRPr="007500A4" w:rsidRDefault="00534F5E" w:rsidP="007500A4">
            <w:pPr>
              <w:pStyle w:val="ListNumber"/>
            </w:pPr>
            <w:r w:rsidRPr="007500A4">
              <w:t>(1)</w:t>
            </w:r>
            <w:r w:rsidR="0035636F" w:rsidRPr="007500A4">
              <w:tab/>
            </w:r>
            <w:r w:rsidRPr="007500A4">
              <w:t>The Minister may, by legislative instrument, amend the list referred to in section 303DB [list of exempt native specimens] by doing any of the following:</w:t>
            </w:r>
          </w:p>
          <w:p w14:paraId="1202083A" w14:textId="37F46099" w:rsidR="00534F5E" w:rsidRPr="007500A4" w:rsidRDefault="00534F5E" w:rsidP="007500A4">
            <w:pPr>
              <w:pStyle w:val="ListNumber2"/>
            </w:pPr>
            <w:r w:rsidRPr="007500A4">
              <w:t>(a)</w:t>
            </w:r>
            <w:r w:rsidR="00951891" w:rsidRPr="007500A4">
              <w:tab/>
            </w:r>
            <w:r w:rsidRPr="007500A4">
              <w:t>including items in the list;</w:t>
            </w:r>
          </w:p>
          <w:p w14:paraId="7302584F" w14:textId="1F786168" w:rsidR="00534F5E" w:rsidRPr="007500A4" w:rsidRDefault="00534F5E" w:rsidP="007500A4">
            <w:pPr>
              <w:pStyle w:val="ListNumber2"/>
            </w:pPr>
            <w:r w:rsidRPr="007500A4">
              <w:t>(b)</w:t>
            </w:r>
            <w:r w:rsidR="00951891" w:rsidRPr="007500A4">
              <w:tab/>
            </w:r>
            <w:r w:rsidRPr="007500A4">
              <w:t>deleting items from the list;</w:t>
            </w:r>
          </w:p>
          <w:p w14:paraId="3C02B43A" w14:textId="5E1C0940" w:rsidR="00534F5E" w:rsidRPr="007500A4" w:rsidRDefault="00534F5E" w:rsidP="007500A4">
            <w:pPr>
              <w:pStyle w:val="ListNumber2"/>
            </w:pPr>
            <w:r w:rsidRPr="007500A4">
              <w:t>(c)</w:t>
            </w:r>
            <w:r w:rsidR="00951891" w:rsidRPr="007500A4">
              <w:tab/>
            </w:r>
            <w:r w:rsidRPr="007500A4">
              <w:t>imposing a condition or restriction to which the inclusion of a specimen in the list is subject;</w:t>
            </w:r>
          </w:p>
          <w:p w14:paraId="4EC8F3B4" w14:textId="033BD9B2" w:rsidR="00534F5E" w:rsidRPr="007500A4" w:rsidRDefault="00534F5E" w:rsidP="007500A4">
            <w:pPr>
              <w:pStyle w:val="ListNumber2"/>
            </w:pPr>
            <w:r w:rsidRPr="007500A4">
              <w:t>(d)</w:t>
            </w:r>
            <w:r w:rsidR="00951891" w:rsidRPr="007500A4">
              <w:tab/>
            </w:r>
            <w:r w:rsidRPr="007500A4">
              <w:t>varying or revoking a condition or restriction to which the inclusion of a specimen in the list is subject; or</w:t>
            </w:r>
          </w:p>
          <w:p w14:paraId="0E3A2A0B" w14:textId="131058BF" w:rsidR="00534F5E" w:rsidRPr="007500A4" w:rsidRDefault="00534F5E" w:rsidP="007500A4">
            <w:pPr>
              <w:pStyle w:val="ListNumber2"/>
            </w:pPr>
            <w:r w:rsidRPr="007500A4">
              <w:t>(e)</w:t>
            </w:r>
            <w:r w:rsidR="00951891" w:rsidRPr="007500A4">
              <w:tab/>
            </w:r>
            <w:r w:rsidRPr="007500A4">
              <w:t>correcting an inaccuracy or updating the name of a species.</w:t>
            </w:r>
          </w:p>
        </w:tc>
        <w:tc>
          <w:tcPr>
            <w:tcW w:w="2500" w:type="pct"/>
            <w:shd w:val="clear" w:color="auto" w:fill="92D050"/>
          </w:tcPr>
          <w:p w14:paraId="086E1E23" w14:textId="77777777" w:rsidR="00106A4E" w:rsidRPr="007500A4" w:rsidRDefault="00106A4E" w:rsidP="007500A4">
            <w:pPr>
              <w:rPr>
                <w:rFonts w:cs="Arial"/>
                <w:b/>
                <w:iCs/>
                <w:szCs w:val="18"/>
              </w:rPr>
            </w:pPr>
            <w:r w:rsidRPr="007500A4">
              <w:rPr>
                <w:rFonts w:cs="Arial"/>
                <w:b/>
                <w:iCs/>
                <w:szCs w:val="18"/>
              </w:rPr>
              <w:t>Meets</w:t>
            </w:r>
          </w:p>
          <w:p w14:paraId="686B9FD1" w14:textId="1D8FFC3F" w:rsidR="00534F5E" w:rsidRPr="007500A4" w:rsidRDefault="00534F5E" w:rsidP="007500A4">
            <w:pPr>
              <w:pStyle w:val="Tabletext"/>
              <w:spacing w:before="60" w:after="60"/>
              <w:rPr>
                <w:sz w:val="18"/>
                <w:szCs w:val="18"/>
              </w:rPr>
            </w:pPr>
            <w:r w:rsidRPr="007500A4">
              <w:rPr>
                <w:sz w:val="18"/>
                <w:szCs w:val="18"/>
              </w:rPr>
              <w:t xml:space="preserve">The Department </w:t>
            </w:r>
            <w:r w:rsidRPr="007500A4">
              <w:rPr>
                <w:b/>
                <w:sz w:val="18"/>
                <w:szCs w:val="18"/>
              </w:rPr>
              <w:t>recommends</w:t>
            </w:r>
            <w:r w:rsidRPr="007500A4">
              <w:rPr>
                <w:sz w:val="18"/>
                <w:szCs w:val="18"/>
              </w:rPr>
              <w:t xml:space="preserve"> </w:t>
            </w:r>
            <w:r w:rsidR="00285CE3" w:rsidRPr="007500A4">
              <w:rPr>
                <w:sz w:val="18"/>
                <w:szCs w:val="18"/>
              </w:rPr>
              <w:t xml:space="preserve">that specimens derived from species harvested in the </w:t>
            </w:r>
            <w:r w:rsidR="0064621C" w:rsidRPr="007500A4">
              <w:rPr>
                <w:sz w:val="18"/>
                <w:szCs w:val="18"/>
              </w:rPr>
              <w:t>fishery</w:t>
            </w:r>
            <w:r w:rsidR="00285CE3" w:rsidRPr="007500A4">
              <w:rPr>
                <w:sz w:val="18"/>
                <w:szCs w:val="18"/>
              </w:rPr>
              <w:t xml:space="preserve">, other than specimens that belong to species listed under Part 13 of the EPBC </w:t>
            </w:r>
            <w:r w:rsidR="00360D8A" w:rsidRPr="007500A4">
              <w:rPr>
                <w:snapToGrid w:val="0"/>
                <w:sz w:val="18"/>
                <w:szCs w:val="18"/>
              </w:rPr>
              <w:t xml:space="preserve">Act </w:t>
            </w:r>
            <w:r w:rsidR="00360D8A" w:rsidRPr="007500A4">
              <w:rPr>
                <w:sz w:val="18"/>
                <w:szCs w:val="18"/>
              </w:rPr>
              <w:t>(other than a conservation dependent species), and specimens that belong to taxa listed under section 303CA (Australia’s CITES list),</w:t>
            </w:r>
            <w:r w:rsidR="00285CE3" w:rsidRPr="007500A4">
              <w:rPr>
                <w:sz w:val="18"/>
                <w:szCs w:val="18"/>
              </w:rPr>
              <w:t xml:space="preserve"> be </w:t>
            </w:r>
            <w:r w:rsidR="00285CE3" w:rsidRPr="007500A4">
              <w:rPr>
                <w:b/>
                <w:sz w:val="18"/>
                <w:szCs w:val="18"/>
              </w:rPr>
              <w:t>included</w:t>
            </w:r>
            <w:r w:rsidR="00285CE3" w:rsidRPr="007500A4">
              <w:rPr>
                <w:sz w:val="18"/>
                <w:szCs w:val="18"/>
              </w:rPr>
              <w:t xml:space="preserve"> in the list of exempt native specimens while the </w:t>
            </w:r>
            <w:r w:rsidR="0064621C" w:rsidRPr="007500A4">
              <w:rPr>
                <w:sz w:val="18"/>
                <w:szCs w:val="18"/>
              </w:rPr>
              <w:t xml:space="preserve">fishery </w:t>
            </w:r>
            <w:r w:rsidR="00285CE3" w:rsidRPr="007500A4">
              <w:rPr>
                <w:sz w:val="18"/>
                <w:szCs w:val="18"/>
              </w:rPr>
              <w:t>is subject to a declaration as an approved wildlife trade operation</w:t>
            </w:r>
            <w:r w:rsidR="00360D8A" w:rsidRPr="007500A4">
              <w:rPr>
                <w:snapToGrid w:val="0"/>
                <w:sz w:val="18"/>
                <w:szCs w:val="18"/>
              </w:rPr>
              <w:t xml:space="preserve"> under section 303FN</w:t>
            </w:r>
            <w:r w:rsidR="00285CE3" w:rsidRPr="007500A4">
              <w:rPr>
                <w:sz w:val="18"/>
                <w:szCs w:val="18"/>
              </w:rPr>
              <w:t>.</w:t>
            </w:r>
          </w:p>
        </w:tc>
      </w:tr>
      <w:tr w:rsidR="00534F5E" w:rsidRPr="007500A4" w14:paraId="2FCCB6E3" w14:textId="77777777" w:rsidTr="0041423B">
        <w:trPr>
          <w:cnfStyle w:val="000000010000" w:firstRow="0" w:lastRow="0" w:firstColumn="0" w:lastColumn="0" w:oddVBand="0" w:evenVBand="0" w:oddHBand="0" w:evenHBand="1" w:firstRowFirstColumn="0" w:firstRowLastColumn="0" w:lastRowFirstColumn="0" w:lastRowLastColumn="0"/>
        </w:trPr>
        <w:tc>
          <w:tcPr>
            <w:tcW w:w="2500" w:type="pct"/>
          </w:tcPr>
          <w:p w14:paraId="1C54F18A" w14:textId="51A8432B" w:rsidR="00534F5E" w:rsidRPr="007500A4" w:rsidRDefault="00534F5E" w:rsidP="007500A4">
            <w:pPr>
              <w:pStyle w:val="ListNumber"/>
            </w:pPr>
            <w:r w:rsidRPr="007500A4">
              <w:t>(1A)</w:t>
            </w:r>
            <w:r w:rsidR="0035636F" w:rsidRPr="007500A4">
              <w:tab/>
            </w:r>
            <w:r w:rsidRPr="007500A4">
              <w:t>In deciding to amend the LENS, the Minister must rely primarily on outcomes of Part 10, Div 1 or 2 assessment</w:t>
            </w:r>
          </w:p>
        </w:tc>
        <w:tc>
          <w:tcPr>
            <w:tcW w:w="2500" w:type="pct"/>
            <w:shd w:val="clear" w:color="auto" w:fill="auto"/>
          </w:tcPr>
          <w:p w14:paraId="5CED482E" w14:textId="77777777" w:rsidR="00106A4E" w:rsidRPr="007500A4" w:rsidRDefault="00534F5E" w:rsidP="007500A4">
            <w:pPr>
              <w:pStyle w:val="Tabletext"/>
              <w:spacing w:before="60" w:after="60"/>
              <w:rPr>
                <w:b/>
                <w:sz w:val="18"/>
                <w:szCs w:val="18"/>
              </w:rPr>
            </w:pPr>
            <w:r w:rsidRPr="007500A4">
              <w:rPr>
                <w:b/>
                <w:sz w:val="18"/>
                <w:szCs w:val="18"/>
              </w:rPr>
              <w:t>Not applicable</w:t>
            </w:r>
            <w:r w:rsidR="004D2E81" w:rsidRPr="007500A4">
              <w:rPr>
                <w:b/>
                <w:sz w:val="18"/>
                <w:szCs w:val="18"/>
              </w:rPr>
              <w:t xml:space="preserve">. </w:t>
            </w:r>
          </w:p>
          <w:p w14:paraId="01C2F8BA" w14:textId="15F6FAC9" w:rsidR="00534F5E" w:rsidRPr="007500A4" w:rsidRDefault="00285CE3" w:rsidP="007500A4">
            <w:pPr>
              <w:pStyle w:val="Tabletext"/>
              <w:spacing w:before="60" w:after="60"/>
              <w:rPr>
                <w:sz w:val="18"/>
                <w:szCs w:val="18"/>
              </w:rPr>
            </w:pPr>
            <w:r w:rsidRPr="007500A4">
              <w:rPr>
                <w:sz w:val="18"/>
                <w:szCs w:val="18"/>
              </w:rPr>
              <w:t>T</w:t>
            </w:r>
            <w:r w:rsidR="00534F5E" w:rsidRPr="007500A4">
              <w:rPr>
                <w:sz w:val="18"/>
                <w:szCs w:val="18"/>
              </w:rPr>
              <w:t xml:space="preserve">he </w:t>
            </w:r>
            <w:r w:rsidR="00016AA6" w:rsidRPr="007500A4">
              <w:rPr>
                <w:sz w:val="18"/>
                <w:szCs w:val="18"/>
              </w:rPr>
              <w:t xml:space="preserve">fishery </w:t>
            </w:r>
            <w:r w:rsidR="00534F5E" w:rsidRPr="007500A4">
              <w:rPr>
                <w:sz w:val="18"/>
                <w:szCs w:val="18"/>
              </w:rPr>
              <w:t>is not managed by the Commonwealth.</w:t>
            </w:r>
          </w:p>
        </w:tc>
      </w:tr>
      <w:tr w:rsidR="00534F5E" w:rsidRPr="007500A4" w14:paraId="423DEB2B" w14:textId="77777777" w:rsidTr="00D77857">
        <w:trPr>
          <w:cnfStyle w:val="000000100000" w:firstRow="0" w:lastRow="0" w:firstColumn="0" w:lastColumn="0" w:oddVBand="0" w:evenVBand="0" w:oddHBand="1" w:evenHBand="0" w:firstRowFirstColumn="0" w:firstRowLastColumn="0" w:lastRowFirstColumn="0" w:lastRowLastColumn="0"/>
        </w:trPr>
        <w:tc>
          <w:tcPr>
            <w:tcW w:w="2500" w:type="pct"/>
          </w:tcPr>
          <w:p w14:paraId="5B90E899" w14:textId="09A9124C" w:rsidR="00534F5E" w:rsidRPr="007500A4" w:rsidRDefault="00534F5E" w:rsidP="007500A4">
            <w:pPr>
              <w:pStyle w:val="ListNumber"/>
            </w:pPr>
            <w:r w:rsidRPr="007500A4">
              <w:t>(1C)</w:t>
            </w:r>
            <w:r w:rsidR="00576FBB" w:rsidRPr="007500A4">
              <w:tab/>
            </w:r>
            <w:r w:rsidRPr="007500A4">
              <w:t>The above does not limit matters that may be considered when deciding to amend LENS.</w:t>
            </w:r>
          </w:p>
        </w:tc>
        <w:tc>
          <w:tcPr>
            <w:tcW w:w="2500" w:type="pct"/>
            <w:shd w:val="clear" w:color="auto" w:fill="92D050"/>
          </w:tcPr>
          <w:p w14:paraId="74DF02E8" w14:textId="77777777" w:rsidR="00106A4E" w:rsidRPr="007500A4" w:rsidRDefault="00106A4E" w:rsidP="007500A4">
            <w:pPr>
              <w:rPr>
                <w:rFonts w:cs="Arial"/>
                <w:b/>
                <w:iCs/>
                <w:szCs w:val="18"/>
              </w:rPr>
            </w:pPr>
            <w:r w:rsidRPr="007500A4">
              <w:rPr>
                <w:rFonts w:cs="Arial"/>
                <w:b/>
                <w:iCs/>
                <w:szCs w:val="18"/>
              </w:rPr>
              <w:t>Meets</w:t>
            </w:r>
          </w:p>
          <w:p w14:paraId="61382706" w14:textId="2D7AF282" w:rsidR="00534F5E" w:rsidRPr="007500A4" w:rsidRDefault="00C3549B" w:rsidP="007500A4">
            <w:pPr>
              <w:pStyle w:val="Tabletext"/>
              <w:spacing w:before="60" w:after="60"/>
              <w:rPr>
                <w:sz w:val="18"/>
                <w:szCs w:val="18"/>
              </w:rPr>
            </w:pPr>
            <w:r w:rsidRPr="007500A4">
              <w:rPr>
                <w:sz w:val="18"/>
                <w:szCs w:val="18"/>
              </w:rPr>
              <w:lastRenderedPageBreak/>
              <w:t>The Department considers that it has taken into account all matters relevant to making an informed decision to amend the list of exempt native specimens to include product taken in this fishery.</w:t>
            </w:r>
          </w:p>
        </w:tc>
      </w:tr>
      <w:tr w:rsidR="00534F5E" w:rsidRPr="007500A4" w14:paraId="7E986BE9" w14:textId="77777777" w:rsidTr="00D77857">
        <w:trPr>
          <w:cnfStyle w:val="000000010000" w:firstRow="0" w:lastRow="0" w:firstColumn="0" w:lastColumn="0" w:oddVBand="0" w:evenVBand="0" w:oddHBand="0" w:evenHBand="1" w:firstRowFirstColumn="0" w:firstRowLastColumn="0" w:lastRowFirstColumn="0" w:lastRowLastColumn="0"/>
        </w:trPr>
        <w:tc>
          <w:tcPr>
            <w:tcW w:w="2500" w:type="pct"/>
          </w:tcPr>
          <w:p w14:paraId="53DD0368" w14:textId="59A4E067" w:rsidR="00106A4E" w:rsidRPr="007500A4" w:rsidRDefault="00106A4E" w:rsidP="007500A4">
            <w:pPr>
              <w:pStyle w:val="ListNumber"/>
            </w:pPr>
            <w:r w:rsidRPr="007500A4">
              <w:lastRenderedPageBreak/>
              <w:t>(3)</w:t>
            </w:r>
            <w:r w:rsidR="00576FBB" w:rsidRPr="007500A4">
              <w:tab/>
            </w:r>
            <w:r w:rsidRPr="007500A4">
              <w:t>Before amending the LENS, the Minister must consult:</w:t>
            </w:r>
          </w:p>
          <w:p w14:paraId="5D3C9894" w14:textId="5161D8F0" w:rsidR="00534F5E" w:rsidRPr="007500A4" w:rsidRDefault="00951891" w:rsidP="007500A4">
            <w:pPr>
              <w:pStyle w:val="ListNumber2"/>
            </w:pPr>
            <w:r w:rsidRPr="007500A4">
              <w:t>(a)</w:t>
            </w:r>
            <w:r w:rsidRPr="007500A4">
              <w:tab/>
            </w:r>
            <w:r w:rsidR="00534F5E" w:rsidRPr="007500A4">
              <w:t>other Minister or Ministers as appropriate; and</w:t>
            </w:r>
          </w:p>
          <w:p w14:paraId="78B65B1A" w14:textId="1C602E35" w:rsidR="00534F5E" w:rsidRPr="007500A4" w:rsidRDefault="00534F5E" w:rsidP="007500A4">
            <w:pPr>
              <w:pStyle w:val="ListNumber2"/>
            </w:pPr>
            <w:r w:rsidRPr="007500A4">
              <w:t>(b)</w:t>
            </w:r>
            <w:r w:rsidR="00951891" w:rsidRPr="007500A4">
              <w:tab/>
            </w:r>
            <w:r w:rsidRPr="007500A4">
              <w:t>other Minister or Ministers of each State and self-governing Territory as appropriate; and</w:t>
            </w:r>
          </w:p>
          <w:p w14:paraId="06D1DF86" w14:textId="5995FDAD" w:rsidR="00534F5E" w:rsidRPr="007500A4" w:rsidRDefault="00534F5E" w:rsidP="007500A4">
            <w:pPr>
              <w:pStyle w:val="ListNumber2"/>
            </w:pPr>
            <w:r w:rsidRPr="007500A4">
              <w:t>(c)</w:t>
            </w:r>
            <w:r w:rsidR="00951891" w:rsidRPr="007500A4">
              <w:tab/>
            </w:r>
            <w:r w:rsidRPr="007500A4">
              <w:t>other persons and organisations as appropriate.</w:t>
            </w:r>
          </w:p>
        </w:tc>
        <w:tc>
          <w:tcPr>
            <w:tcW w:w="2500" w:type="pct"/>
            <w:shd w:val="clear" w:color="auto" w:fill="92D050"/>
          </w:tcPr>
          <w:p w14:paraId="6E8227E0" w14:textId="77777777" w:rsidR="00106A4E" w:rsidRPr="007500A4" w:rsidRDefault="00106A4E" w:rsidP="007500A4">
            <w:pPr>
              <w:rPr>
                <w:rFonts w:cs="Arial"/>
                <w:b/>
                <w:iCs/>
                <w:szCs w:val="18"/>
              </w:rPr>
            </w:pPr>
            <w:r w:rsidRPr="007500A4">
              <w:rPr>
                <w:rFonts w:cs="Arial"/>
                <w:b/>
                <w:iCs/>
                <w:szCs w:val="18"/>
              </w:rPr>
              <w:t>Meets</w:t>
            </w:r>
          </w:p>
          <w:p w14:paraId="3C78BA86" w14:textId="752416BA" w:rsidR="00534F5E" w:rsidRPr="007500A4" w:rsidRDefault="00285CE3" w:rsidP="007500A4">
            <w:pPr>
              <w:pStyle w:val="Tabletext"/>
              <w:spacing w:before="60" w:after="60"/>
              <w:rPr>
                <w:sz w:val="18"/>
                <w:szCs w:val="18"/>
              </w:rPr>
            </w:pPr>
            <w:r w:rsidRPr="007500A4">
              <w:rPr>
                <w:sz w:val="18"/>
                <w:szCs w:val="18"/>
              </w:rPr>
              <w:t xml:space="preserve">The Department considers that the consultation requirements have been met. </w:t>
            </w:r>
            <w:r w:rsidR="00534F5E" w:rsidRPr="007500A4">
              <w:rPr>
                <w:sz w:val="18"/>
                <w:szCs w:val="18"/>
              </w:rPr>
              <w:t xml:space="preserve">The </w:t>
            </w:r>
            <w:r w:rsidRPr="007500A4">
              <w:rPr>
                <w:sz w:val="18"/>
                <w:szCs w:val="18"/>
              </w:rPr>
              <w:t xml:space="preserve">application for the </w:t>
            </w:r>
            <w:r w:rsidR="0064621C" w:rsidRPr="007500A4">
              <w:rPr>
                <w:sz w:val="18"/>
                <w:szCs w:val="18"/>
              </w:rPr>
              <w:t xml:space="preserve">fishery </w:t>
            </w:r>
            <w:r w:rsidRPr="007500A4">
              <w:rPr>
                <w:sz w:val="18"/>
                <w:szCs w:val="18"/>
              </w:rPr>
              <w:t xml:space="preserve">was released for public comment from </w:t>
            </w:r>
            <w:r w:rsidRPr="007500A4">
              <w:rPr>
                <w:noProof/>
                <w:sz w:val="18"/>
                <w:szCs w:val="18"/>
              </w:rPr>
              <w:t>23 September 2016 until 31 October 2016.</w:t>
            </w:r>
            <w:r w:rsidRPr="007500A4">
              <w:rPr>
                <w:sz w:val="18"/>
                <w:szCs w:val="18"/>
              </w:rPr>
              <w:t xml:space="preserve"> </w:t>
            </w:r>
            <w:r w:rsidR="00534F5E" w:rsidRPr="007500A4">
              <w:rPr>
                <w:sz w:val="18"/>
                <w:szCs w:val="18"/>
              </w:rPr>
              <w:t>No comments were received.</w:t>
            </w:r>
          </w:p>
        </w:tc>
      </w:tr>
      <w:tr w:rsidR="00534F5E" w:rsidRPr="007500A4" w14:paraId="12375E50" w14:textId="77777777" w:rsidTr="0041423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3870C38E" w14:textId="09B3E70E" w:rsidR="00534F5E" w:rsidRPr="007500A4" w:rsidRDefault="00534F5E" w:rsidP="007500A4">
            <w:pPr>
              <w:pStyle w:val="Normal-Bold"/>
              <w:spacing w:before="60" w:after="60" w:line="240" w:lineRule="auto"/>
              <w:rPr>
                <w:sz w:val="20"/>
                <w:szCs w:val="20"/>
              </w:rPr>
            </w:pPr>
            <w:r w:rsidRPr="007500A4">
              <w:rPr>
                <w:sz w:val="20"/>
                <w:szCs w:val="20"/>
              </w:rPr>
              <w:t>Section 303FN Approved wildlife trade operation</w:t>
            </w:r>
          </w:p>
        </w:tc>
        <w:tc>
          <w:tcPr>
            <w:tcW w:w="2500" w:type="pct"/>
            <w:shd w:val="clear" w:color="auto" w:fill="D9D9D9" w:themeFill="background1" w:themeFillShade="D9"/>
          </w:tcPr>
          <w:p w14:paraId="590AE671" w14:textId="77777777" w:rsidR="00534F5E" w:rsidRPr="007500A4" w:rsidRDefault="00534F5E" w:rsidP="007500A4">
            <w:pPr>
              <w:pStyle w:val="Normal-Bold"/>
              <w:spacing w:before="60" w:after="60" w:line="240" w:lineRule="auto"/>
              <w:rPr>
                <w:sz w:val="20"/>
                <w:szCs w:val="20"/>
              </w:rPr>
            </w:pPr>
            <w:r w:rsidRPr="007500A4">
              <w:rPr>
                <w:sz w:val="20"/>
                <w:szCs w:val="20"/>
              </w:rPr>
              <w:t>Comment</w:t>
            </w:r>
          </w:p>
        </w:tc>
      </w:tr>
      <w:tr w:rsidR="00534F5E" w:rsidRPr="007500A4" w14:paraId="01931222" w14:textId="77777777" w:rsidTr="005E2D35">
        <w:trPr>
          <w:cnfStyle w:val="000000010000" w:firstRow="0" w:lastRow="0" w:firstColumn="0" w:lastColumn="0" w:oddVBand="0" w:evenVBand="0" w:oddHBand="0" w:evenHBand="1" w:firstRowFirstColumn="0" w:firstRowLastColumn="0" w:lastRowFirstColumn="0" w:lastRowLastColumn="0"/>
        </w:trPr>
        <w:tc>
          <w:tcPr>
            <w:tcW w:w="2500" w:type="pct"/>
          </w:tcPr>
          <w:p w14:paraId="7129CDB2" w14:textId="3C9D647D" w:rsidR="004D2E81" w:rsidRPr="007500A4" w:rsidRDefault="00534F5E" w:rsidP="007500A4">
            <w:pPr>
              <w:pStyle w:val="ListNumber"/>
            </w:pPr>
            <w:r w:rsidRPr="007500A4">
              <w:t>(2)</w:t>
            </w:r>
            <w:r w:rsidRPr="007500A4">
              <w:tab/>
              <w:t xml:space="preserve">The Minister may, by instrument published in the Gazette, declare that a specified wildlife trade operation is an </w:t>
            </w:r>
            <w:r w:rsidRPr="007500A4">
              <w:rPr>
                <w:b/>
                <w:i/>
              </w:rPr>
              <w:t xml:space="preserve">approved wildlife trade operation </w:t>
            </w:r>
            <w:r w:rsidRPr="007500A4">
              <w:t>for the purposes of this section.</w:t>
            </w:r>
          </w:p>
        </w:tc>
        <w:tc>
          <w:tcPr>
            <w:tcW w:w="2500" w:type="pct"/>
            <w:shd w:val="clear" w:color="auto" w:fill="92D050"/>
          </w:tcPr>
          <w:p w14:paraId="59E05835" w14:textId="77777777" w:rsidR="00106A4E" w:rsidRPr="007500A4" w:rsidRDefault="00106A4E" w:rsidP="007500A4">
            <w:pPr>
              <w:rPr>
                <w:rFonts w:cs="Arial"/>
                <w:b/>
                <w:iCs/>
                <w:szCs w:val="18"/>
              </w:rPr>
            </w:pPr>
            <w:r w:rsidRPr="007500A4">
              <w:rPr>
                <w:rFonts w:cs="Arial"/>
                <w:b/>
                <w:iCs/>
                <w:szCs w:val="18"/>
              </w:rPr>
              <w:t>Meets</w:t>
            </w:r>
          </w:p>
          <w:p w14:paraId="6BC50D10" w14:textId="4EBFBCB3" w:rsidR="00534F5E" w:rsidRPr="007500A4" w:rsidRDefault="002B2C71" w:rsidP="007500A4">
            <w:pPr>
              <w:pStyle w:val="Tabletext"/>
              <w:spacing w:before="60" w:after="60"/>
              <w:rPr>
                <w:b/>
                <w:sz w:val="18"/>
                <w:szCs w:val="18"/>
              </w:rPr>
            </w:pPr>
            <w:r w:rsidRPr="007500A4">
              <w:rPr>
                <w:sz w:val="18"/>
                <w:szCs w:val="18"/>
              </w:rPr>
              <w:t xml:space="preserve">An instrument of declaration as an approved wildlife trade operation </w:t>
            </w:r>
            <w:r w:rsidR="00D77857" w:rsidRPr="007500A4">
              <w:rPr>
                <w:sz w:val="18"/>
                <w:szCs w:val="18"/>
              </w:rPr>
              <w:t>will be</w:t>
            </w:r>
            <w:r w:rsidRPr="007500A4">
              <w:rPr>
                <w:sz w:val="18"/>
                <w:szCs w:val="18"/>
              </w:rPr>
              <w:t xml:space="preserve"> </w:t>
            </w:r>
            <w:r w:rsidR="00D77857" w:rsidRPr="007500A4">
              <w:rPr>
                <w:sz w:val="18"/>
                <w:szCs w:val="18"/>
              </w:rPr>
              <w:t xml:space="preserve">registered </w:t>
            </w:r>
            <w:r w:rsidRPr="007500A4">
              <w:rPr>
                <w:sz w:val="18"/>
                <w:szCs w:val="18"/>
              </w:rPr>
              <w:t>on the Federal Register of Legislation, and a link to the declaration is available on the Department’s website.</w:t>
            </w:r>
          </w:p>
        </w:tc>
      </w:tr>
      <w:tr w:rsidR="00534F5E" w:rsidRPr="007500A4" w14:paraId="6E5FFEE1" w14:textId="77777777" w:rsidTr="00D77857">
        <w:trPr>
          <w:cnfStyle w:val="000000100000" w:firstRow="0" w:lastRow="0" w:firstColumn="0" w:lastColumn="0" w:oddVBand="0" w:evenVBand="0" w:oddHBand="1" w:evenHBand="0" w:firstRowFirstColumn="0" w:firstRowLastColumn="0" w:lastRowFirstColumn="0" w:lastRowLastColumn="0"/>
        </w:trPr>
        <w:tc>
          <w:tcPr>
            <w:tcW w:w="2500" w:type="pct"/>
          </w:tcPr>
          <w:p w14:paraId="022B4473" w14:textId="77777777" w:rsidR="00534F5E" w:rsidRPr="007500A4" w:rsidRDefault="00534F5E" w:rsidP="007500A4">
            <w:pPr>
              <w:pStyle w:val="ListNumber"/>
            </w:pPr>
            <w:r w:rsidRPr="007500A4">
              <w:t>(3)</w:t>
            </w:r>
            <w:r w:rsidRPr="007500A4">
              <w:tab/>
              <w:t xml:space="preserve">The Minister must not declare an operation as an approved wildlife trade operation unless the Minister is </w:t>
            </w:r>
            <w:r w:rsidRPr="007500A4">
              <w:rPr>
                <w:b/>
              </w:rPr>
              <w:t>satisfied</w:t>
            </w:r>
            <w:r w:rsidRPr="007500A4">
              <w:t xml:space="preserve"> that:</w:t>
            </w:r>
          </w:p>
          <w:p w14:paraId="50ED95B1" w14:textId="77777777" w:rsidR="00534F5E" w:rsidRPr="007500A4" w:rsidRDefault="00534F5E" w:rsidP="007500A4">
            <w:pPr>
              <w:pStyle w:val="ListNumber2"/>
            </w:pPr>
            <w:r w:rsidRPr="007500A4">
              <w:t>(a)</w:t>
            </w:r>
            <w:r w:rsidRPr="007500A4">
              <w:tab/>
              <w:t>the operation is consistent with the objects of Part 13A of the Act; and</w:t>
            </w:r>
          </w:p>
        </w:tc>
        <w:tc>
          <w:tcPr>
            <w:tcW w:w="2500" w:type="pct"/>
            <w:shd w:val="clear" w:color="auto" w:fill="92D050"/>
          </w:tcPr>
          <w:p w14:paraId="64348FC1" w14:textId="77777777" w:rsidR="00106A4E" w:rsidRPr="007500A4" w:rsidRDefault="00106A4E" w:rsidP="007500A4">
            <w:pPr>
              <w:rPr>
                <w:rFonts w:cs="Arial"/>
                <w:b/>
                <w:iCs/>
                <w:szCs w:val="18"/>
              </w:rPr>
            </w:pPr>
            <w:r w:rsidRPr="007500A4">
              <w:rPr>
                <w:rFonts w:cs="Arial"/>
                <w:b/>
                <w:iCs/>
                <w:szCs w:val="18"/>
              </w:rPr>
              <w:t>Meets</w:t>
            </w:r>
          </w:p>
          <w:p w14:paraId="45948931" w14:textId="3471DA75" w:rsidR="00534F5E" w:rsidRPr="007500A4" w:rsidRDefault="004D2E81" w:rsidP="007500A4">
            <w:pPr>
              <w:pStyle w:val="Tabletext"/>
              <w:spacing w:before="60" w:after="60"/>
              <w:rPr>
                <w:b/>
                <w:sz w:val="18"/>
                <w:szCs w:val="18"/>
              </w:rPr>
            </w:pPr>
            <w:r w:rsidRPr="007500A4">
              <w:rPr>
                <w:sz w:val="18"/>
                <w:szCs w:val="18"/>
              </w:rPr>
              <w:t xml:space="preserve">The operation of the </w:t>
            </w:r>
            <w:r w:rsidR="0064621C" w:rsidRPr="007500A4">
              <w:rPr>
                <w:sz w:val="18"/>
                <w:szCs w:val="18"/>
              </w:rPr>
              <w:t xml:space="preserve">fishery </w:t>
            </w:r>
            <w:r w:rsidRPr="007500A4">
              <w:rPr>
                <w:sz w:val="18"/>
                <w:szCs w:val="18"/>
              </w:rPr>
              <w:t xml:space="preserve">is managed consistent with Objects of Part 13A </w:t>
            </w:r>
            <w:r w:rsidR="00534F5E" w:rsidRPr="007500A4">
              <w:rPr>
                <w:sz w:val="18"/>
                <w:szCs w:val="18"/>
              </w:rPr>
              <w:t>– see Section 2</w:t>
            </w:r>
            <w:r w:rsidR="00285CE3" w:rsidRPr="007500A4">
              <w:rPr>
                <w:sz w:val="18"/>
                <w:szCs w:val="18"/>
              </w:rPr>
              <w:t>.</w:t>
            </w:r>
          </w:p>
        </w:tc>
      </w:tr>
      <w:tr w:rsidR="00534F5E" w:rsidRPr="007500A4" w14:paraId="659579F8" w14:textId="77777777" w:rsidTr="00CE3F4A">
        <w:trPr>
          <w:cnfStyle w:val="000000010000" w:firstRow="0" w:lastRow="0" w:firstColumn="0" w:lastColumn="0" w:oddVBand="0" w:evenVBand="0" w:oddHBand="0" w:evenHBand="1" w:firstRowFirstColumn="0" w:firstRowLastColumn="0" w:lastRowFirstColumn="0" w:lastRowLastColumn="0"/>
        </w:trPr>
        <w:tc>
          <w:tcPr>
            <w:tcW w:w="2500" w:type="pct"/>
          </w:tcPr>
          <w:p w14:paraId="73C1F505" w14:textId="0A4ED27C" w:rsidR="00534F5E" w:rsidRPr="007500A4" w:rsidRDefault="00534F5E" w:rsidP="007500A4">
            <w:pPr>
              <w:pStyle w:val="ListNumber2"/>
            </w:pPr>
            <w:r w:rsidRPr="007500A4">
              <w:t>(b)</w:t>
            </w:r>
            <w:r w:rsidRPr="007500A4">
              <w:tab/>
              <w:t>the operation will not be detrimental to:</w:t>
            </w:r>
          </w:p>
          <w:p w14:paraId="72E1C79C" w14:textId="77777777" w:rsidR="00534F5E" w:rsidRPr="007500A4" w:rsidRDefault="00534F5E" w:rsidP="007500A4">
            <w:pPr>
              <w:pStyle w:val="ListNumber3"/>
            </w:pPr>
            <w:r w:rsidRPr="007500A4">
              <w:t>i.</w:t>
            </w:r>
            <w:r w:rsidRPr="007500A4">
              <w:tab/>
              <w:t>the survival of a taxon to which the operation relates; or</w:t>
            </w:r>
          </w:p>
          <w:p w14:paraId="5AB3A32E" w14:textId="77777777" w:rsidR="00534F5E" w:rsidRPr="007500A4" w:rsidRDefault="00534F5E" w:rsidP="007500A4">
            <w:pPr>
              <w:pStyle w:val="ListNumber3"/>
            </w:pPr>
            <w:r w:rsidRPr="007500A4">
              <w:t>ii.</w:t>
            </w:r>
            <w:r w:rsidRPr="007500A4">
              <w:tab/>
              <w:t>the conservation status of a taxon to which the operation relates; and</w:t>
            </w:r>
          </w:p>
          <w:p w14:paraId="5705C44D" w14:textId="05393256" w:rsidR="00021E92" w:rsidRPr="007500A4" w:rsidRDefault="00534F5E" w:rsidP="007500A4">
            <w:pPr>
              <w:pStyle w:val="ListNumber2"/>
            </w:pPr>
            <w:r w:rsidRPr="007500A4">
              <w:t>(ba)</w:t>
            </w:r>
            <w:r w:rsidRPr="007500A4">
              <w:tab/>
              <w:t>the operation will not be likely to threaten any relevant ecosystem including (but not limited to) any habitat or biodiversity; and</w:t>
            </w:r>
          </w:p>
        </w:tc>
        <w:tc>
          <w:tcPr>
            <w:tcW w:w="2500" w:type="pct"/>
            <w:shd w:val="clear" w:color="auto" w:fill="FFC000"/>
          </w:tcPr>
          <w:p w14:paraId="2BF347C9" w14:textId="122CC334" w:rsidR="00106A4E" w:rsidRPr="007500A4" w:rsidRDefault="00C15D38" w:rsidP="007500A4">
            <w:pPr>
              <w:rPr>
                <w:rFonts w:cs="Arial"/>
                <w:b/>
                <w:iCs/>
                <w:szCs w:val="18"/>
              </w:rPr>
            </w:pPr>
            <w:r w:rsidRPr="007500A4">
              <w:rPr>
                <w:rFonts w:cs="Arial"/>
                <w:b/>
                <w:iCs/>
                <w:szCs w:val="18"/>
              </w:rPr>
              <w:t>Partially mee</w:t>
            </w:r>
            <w:r w:rsidR="00106A4E" w:rsidRPr="007500A4">
              <w:rPr>
                <w:rFonts w:cs="Arial"/>
                <w:b/>
                <w:iCs/>
                <w:szCs w:val="18"/>
              </w:rPr>
              <w:t>ts</w:t>
            </w:r>
          </w:p>
          <w:p w14:paraId="1348A959" w14:textId="2B2D10D4" w:rsidR="00534F5E" w:rsidRPr="007500A4" w:rsidRDefault="00534F5E" w:rsidP="007500A4">
            <w:pPr>
              <w:pStyle w:val="Tabletext"/>
              <w:spacing w:before="60" w:after="60"/>
              <w:rPr>
                <w:b/>
                <w:sz w:val="18"/>
                <w:szCs w:val="18"/>
              </w:rPr>
            </w:pPr>
            <w:r w:rsidRPr="007500A4">
              <w:rPr>
                <w:iCs/>
                <w:sz w:val="18"/>
                <w:szCs w:val="18"/>
              </w:rPr>
              <w:t xml:space="preserve">The </w:t>
            </w:r>
            <w:r w:rsidR="00016AA6" w:rsidRPr="007500A4">
              <w:rPr>
                <w:sz w:val="18"/>
                <w:szCs w:val="18"/>
              </w:rPr>
              <w:t xml:space="preserve">fishery </w:t>
            </w:r>
            <w:r w:rsidRPr="007500A4">
              <w:rPr>
                <w:sz w:val="18"/>
                <w:szCs w:val="18"/>
              </w:rPr>
              <w:t xml:space="preserve">will not be detrimental to the survival or conservation status of a taxon to which it relates, nor will it threaten any relevant ecosystem within the </w:t>
            </w:r>
            <w:r w:rsidR="00654567" w:rsidRPr="007500A4">
              <w:rPr>
                <w:sz w:val="18"/>
                <w:szCs w:val="18"/>
              </w:rPr>
              <w:t>next 1 year</w:t>
            </w:r>
            <w:r w:rsidR="00285CE3" w:rsidRPr="007500A4">
              <w:rPr>
                <w:sz w:val="18"/>
                <w:szCs w:val="18"/>
              </w:rPr>
              <w:t xml:space="preserve">, </w:t>
            </w:r>
            <w:r w:rsidRPr="007500A4">
              <w:rPr>
                <w:sz w:val="18"/>
                <w:szCs w:val="18"/>
              </w:rPr>
              <w:t xml:space="preserve">given the management measures </w:t>
            </w:r>
            <w:r w:rsidR="00654567" w:rsidRPr="007500A4">
              <w:rPr>
                <w:sz w:val="18"/>
                <w:szCs w:val="18"/>
              </w:rPr>
              <w:t xml:space="preserve">currently in </w:t>
            </w:r>
            <w:r w:rsidRPr="007500A4">
              <w:rPr>
                <w:sz w:val="18"/>
                <w:szCs w:val="18"/>
              </w:rPr>
              <w:t xml:space="preserve">place in the </w:t>
            </w:r>
            <w:r w:rsidR="00016AA6" w:rsidRPr="007500A4">
              <w:rPr>
                <w:sz w:val="18"/>
                <w:szCs w:val="18"/>
              </w:rPr>
              <w:t>fishery</w:t>
            </w:r>
            <w:r w:rsidR="00654567" w:rsidRPr="007500A4">
              <w:rPr>
                <w:sz w:val="18"/>
                <w:szCs w:val="18"/>
              </w:rPr>
              <w:t>. PIRSA has also informed the Department that management options to recover overfished black bream stocks have been developed, and the most suitable management option will be implemented once consultations with key stakeholders is complete.</w:t>
            </w:r>
            <w:r w:rsidR="00CE3F4A" w:rsidRPr="007500A4">
              <w:rPr>
                <w:sz w:val="18"/>
                <w:szCs w:val="18"/>
              </w:rPr>
              <w:t xml:space="preserve"> Additionally, PIRSA has given an undertaking to monitor catches and discards for all target species, and to implement appropriate management actions as required.</w:t>
            </w:r>
          </w:p>
        </w:tc>
      </w:tr>
      <w:tr w:rsidR="00534F5E" w:rsidRPr="007500A4" w14:paraId="33E668AD" w14:textId="77777777" w:rsidTr="0041423B">
        <w:trPr>
          <w:cnfStyle w:val="000000100000" w:firstRow="0" w:lastRow="0" w:firstColumn="0" w:lastColumn="0" w:oddVBand="0" w:evenVBand="0" w:oddHBand="1" w:evenHBand="0" w:firstRowFirstColumn="0" w:firstRowLastColumn="0" w:lastRowFirstColumn="0" w:lastRowLastColumn="0"/>
        </w:trPr>
        <w:tc>
          <w:tcPr>
            <w:tcW w:w="2500" w:type="pct"/>
          </w:tcPr>
          <w:p w14:paraId="3275199A" w14:textId="2FC43C0F" w:rsidR="00D77857" w:rsidRPr="007500A4" w:rsidRDefault="00106A4E" w:rsidP="007500A4">
            <w:pPr>
              <w:pStyle w:val="ListNumber2"/>
            </w:pPr>
            <w:r w:rsidRPr="007500A4">
              <w:t>(c)</w:t>
            </w:r>
            <w:r w:rsidRPr="007500A4">
              <w:tab/>
              <w:t>if the operation relates to the taking of live specimens that belong to a taxon specified in the regulations – the conditions that, under the regulations, are applicable to the welfare of the specimens are likely to be complied with; and</w:t>
            </w:r>
          </w:p>
        </w:tc>
        <w:tc>
          <w:tcPr>
            <w:tcW w:w="2500" w:type="pct"/>
            <w:shd w:val="clear" w:color="auto" w:fill="auto"/>
          </w:tcPr>
          <w:p w14:paraId="5D0C42CC" w14:textId="7C199EA6" w:rsidR="00106A4E" w:rsidRPr="007500A4" w:rsidRDefault="00661DB8" w:rsidP="007500A4">
            <w:pPr>
              <w:rPr>
                <w:rFonts w:cs="Arial"/>
                <w:b/>
                <w:szCs w:val="18"/>
              </w:rPr>
            </w:pPr>
            <w:r w:rsidRPr="007500A4">
              <w:rPr>
                <w:rFonts w:cs="Arial"/>
                <w:b/>
                <w:szCs w:val="18"/>
              </w:rPr>
              <w:t>Not applicable</w:t>
            </w:r>
          </w:p>
          <w:p w14:paraId="04B1CBDC" w14:textId="3A6B7862" w:rsidR="00534F5E" w:rsidRPr="007500A4" w:rsidRDefault="00534F5E" w:rsidP="007500A4">
            <w:pPr>
              <w:rPr>
                <w:rFonts w:cs="Arial"/>
                <w:szCs w:val="18"/>
              </w:rPr>
            </w:pPr>
            <w:r w:rsidRPr="007500A4">
              <w:rPr>
                <w:rFonts w:cs="Arial"/>
                <w:szCs w:val="18"/>
              </w:rPr>
              <w:t>The Environment Protection and Biodiversity Conservation Regulations 2000 (EPBC Regulations) do not specify crustacea or fish as a class of animal in relation to</w:t>
            </w:r>
            <w:r w:rsidR="002B2C71" w:rsidRPr="007500A4">
              <w:rPr>
                <w:rFonts w:cs="Arial"/>
                <w:szCs w:val="18"/>
              </w:rPr>
              <w:t xml:space="preserve"> the welfare of live specimens.</w:t>
            </w:r>
          </w:p>
        </w:tc>
      </w:tr>
      <w:tr w:rsidR="00534F5E" w:rsidRPr="007500A4" w14:paraId="0B03CAEF" w14:textId="77777777" w:rsidTr="0041423B">
        <w:trPr>
          <w:cnfStyle w:val="000000010000" w:firstRow="0" w:lastRow="0" w:firstColumn="0" w:lastColumn="0" w:oddVBand="0" w:evenVBand="0" w:oddHBand="0" w:evenHBand="1" w:firstRowFirstColumn="0" w:firstRowLastColumn="0" w:lastRowFirstColumn="0" w:lastRowLastColumn="0"/>
        </w:trPr>
        <w:tc>
          <w:tcPr>
            <w:tcW w:w="2500" w:type="pct"/>
          </w:tcPr>
          <w:p w14:paraId="294A7FB4" w14:textId="28A9403C" w:rsidR="00534F5E" w:rsidRPr="007500A4" w:rsidRDefault="00106A4E" w:rsidP="007500A4">
            <w:pPr>
              <w:pStyle w:val="ListNumber2"/>
            </w:pPr>
            <w:r w:rsidRPr="007500A4">
              <w:t>(d)</w:t>
            </w:r>
            <w:r w:rsidRPr="007500A4">
              <w:tab/>
              <w:t>such other conditions (if any) as are specified in the regulations have been, or are likely to be, satisfied</w:t>
            </w:r>
            <w:r w:rsidR="001C5857" w:rsidRPr="007500A4">
              <w:t>.</w:t>
            </w:r>
          </w:p>
        </w:tc>
        <w:tc>
          <w:tcPr>
            <w:tcW w:w="2500" w:type="pct"/>
            <w:shd w:val="clear" w:color="auto" w:fill="auto"/>
          </w:tcPr>
          <w:p w14:paraId="5A5974FC" w14:textId="2351E281" w:rsidR="00106A4E" w:rsidRPr="007500A4" w:rsidRDefault="00534F5E" w:rsidP="007500A4">
            <w:pPr>
              <w:pStyle w:val="Tabletext"/>
              <w:spacing w:before="60" w:after="60"/>
              <w:rPr>
                <w:b/>
                <w:sz w:val="18"/>
                <w:szCs w:val="18"/>
              </w:rPr>
            </w:pPr>
            <w:r w:rsidRPr="007500A4">
              <w:rPr>
                <w:b/>
                <w:sz w:val="18"/>
                <w:szCs w:val="18"/>
              </w:rPr>
              <w:t>Not applicable</w:t>
            </w:r>
          </w:p>
          <w:p w14:paraId="2A11E17A" w14:textId="34E9C3DC" w:rsidR="00534F5E" w:rsidRPr="007500A4" w:rsidRDefault="00661DB8" w:rsidP="007500A4">
            <w:pPr>
              <w:pStyle w:val="Tabletext"/>
              <w:spacing w:before="60" w:after="60"/>
              <w:rPr>
                <w:b/>
                <w:sz w:val="18"/>
                <w:szCs w:val="18"/>
              </w:rPr>
            </w:pPr>
            <w:r w:rsidRPr="007500A4">
              <w:rPr>
                <w:sz w:val="18"/>
                <w:szCs w:val="18"/>
              </w:rPr>
              <w:t>There are n</w:t>
            </w:r>
            <w:r w:rsidR="00534F5E" w:rsidRPr="007500A4">
              <w:rPr>
                <w:sz w:val="18"/>
                <w:szCs w:val="18"/>
              </w:rPr>
              <w:t>o other conditions specified in relation to commercial fisheries in the EPBC Regulations.</w:t>
            </w:r>
          </w:p>
        </w:tc>
      </w:tr>
      <w:tr w:rsidR="00534F5E" w:rsidRPr="007500A4" w14:paraId="22D7194D" w14:textId="77777777" w:rsidTr="00D77857">
        <w:trPr>
          <w:cnfStyle w:val="000000100000" w:firstRow="0" w:lastRow="0" w:firstColumn="0" w:lastColumn="0" w:oddVBand="0" w:evenVBand="0" w:oddHBand="1" w:evenHBand="0" w:firstRowFirstColumn="0" w:firstRowLastColumn="0" w:lastRowFirstColumn="0" w:lastRowLastColumn="0"/>
        </w:trPr>
        <w:tc>
          <w:tcPr>
            <w:tcW w:w="2500" w:type="pct"/>
          </w:tcPr>
          <w:p w14:paraId="2B8CDC7C" w14:textId="77777777" w:rsidR="00534F5E" w:rsidRPr="007500A4" w:rsidRDefault="00534F5E" w:rsidP="007500A4">
            <w:pPr>
              <w:pStyle w:val="ListNumber"/>
            </w:pPr>
            <w:r w:rsidRPr="007500A4">
              <w:t>(4)</w:t>
            </w:r>
            <w:r w:rsidRPr="007500A4">
              <w:tab/>
              <w:t>In deciding whether to declare an operation as an approved wildlife trade operation the Minister must have regard to:</w:t>
            </w:r>
          </w:p>
          <w:p w14:paraId="55F35A96" w14:textId="39B13E5A" w:rsidR="00534F5E" w:rsidRPr="007500A4" w:rsidRDefault="00CD2BB3" w:rsidP="007500A4">
            <w:pPr>
              <w:pStyle w:val="ListNumber2"/>
            </w:pPr>
            <w:r w:rsidRPr="007500A4">
              <w:t>(a)</w:t>
            </w:r>
            <w:r w:rsidRPr="007500A4">
              <w:tab/>
            </w:r>
            <w:r w:rsidR="001C5857" w:rsidRPr="007500A4">
              <w:t>the significance of the impact of the operation on an ecosystem (for example, an impact on habitat or biodiversity); and</w:t>
            </w:r>
          </w:p>
        </w:tc>
        <w:tc>
          <w:tcPr>
            <w:tcW w:w="2500" w:type="pct"/>
            <w:shd w:val="clear" w:color="auto" w:fill="92D050"/>
          </w:tcPr>
          <w:p w14:paraId="7CFC71EA" w14:textId="77777777" w:rsidR="00106A4E" w:rsidRPr="007500A4" w:rsidRDefault="00106A4E" w:rsidP="007500A4">
            <w:pPr>
              <w:rPr>
                <w:rFonts w:cs="Arial"/>
                <w:b/>
                <w:iCs/>
                <w:szCs w:val="18"/>
              </w:rPr>
            </w:pPr>
            <w:r w:rsidRPr="007500A4">
              <w:rPr>
                <w:rFonts w:cs="Arial"/>
                <w:b/>
                <w:iCs/>
                <w:szCs w:val="18"/>
              </w:rPr>
              <w:t>Meets</w:t>
            </w:r>
          </w:p>
          <w:p w14:paraId="0143D88C" w14:textId="6A7D8CAF" w:rsidR="00534F5E" w:rsidRPr="007500A4" w:rsidRDefault="00534F5E" w:rsidP="007500A4">
            <w:pPr>
              <w:rPr>
                <w:rFonts w:cs="Arial"/>
                <w:szCs w:val="18"/>
              </w:rPr>
            </w:pPr>
            <w:r w:rsidRPr="007500A4">
              <w:rPr>
                <w:rFonts w:cs="Arial"/>
                <w:szCs w:val="18"/>
              </w:rPr>
              <w:t xml:space="preserve">The </w:t>
            </w:r>
            <w:r w:rsidR="00016AA6" w:rsidRPr="007500A4">
              <w:rPr>
                <w:rFonts w:cs="Arial"/>
                <w:szCs w:val="18"/>
              </w:rPr>
              <w:t xml:space="preserve">fishery </w:t>
            </w:r>
            <w:r w:rsidR="000B1254" w:rsidRPr="007500A4">
              <w:rPr>
                <w:rFonts w:cs="Arial"/>
                <w:szCs w:val="18"/>
              </w:rPr>
              <w:t>is not expected to</w:t>
            </w:r>
            <w:r w:rsidRPr="007500A4">
              <w:rPr>
                <w:rFonts w:cs="Arial"/>
                <w:szCs w:val="18"/>
              </w:rPr>
              <w:t xml:space="preserve"> have a significant impact on </w:t>
            </w:r>
            <w:r w:rsidR="000B1254" w:rsidRPr="007500A4">
              <w:rPr>
                <w:rFonts w:cs="Arial"/>
                <w:szCs w:val="18"/>
              </w:rPr>
              <w:t>the operation of the</w:t>
            </w:r>
            <w:r w:rsidRPr="007500A4">
              <w:rPr>
                <w:rFonts w:cs="Arial"/>
                <w:szCs w:val="18"/>
              </w:rPr>
              <w:t xml:space="preserve"> ecosystem</w:t>
            </w:r>
            <w:r w:rsidR="00CE3F4A" w:rsidRPr="007500A4">
              <w:rPr>
                <w:rFonts w:cs="Arial"/>
                <w:szCs w:val="18"/>
              </w:rPr>
              <w:t>.</w:t>
            </w:r>
            <w:r w:rsidRPr="007500A4">
              <w:rPr>
                <w:rFonts w:cs="Arial"/>
                <w:szCs w:val="18"/>
              </w:rPr>
              <w:t xml:space="preserve"> </w:t>
            </w:r>
          </w:p>
        </w:tc>
      </w:tr>
      <w:tr w:rsidR="00534F5E" w:rsidRPr="007500A4" w14:paraId="7F10E425" w14:textId="77777777" w:rsidTr="00C15D38">
        <w:trPr>
          <w:cnfStyle w:val="000000010000" w:firstRow="0" w:lastRow="0" w:firstColumn="0" w:lastColumn="0" w:oddVBand="0" w:evenVBand="0" w:oddHBand="0" w:evenHBand="1" w:firstRowFirstColumn="0" w:firstRowLastColumn="0" w:lastRowFirstColumn="0" w:lastRowLastColumn="0"/>
        </w:trPr>
        <w:tc>
          <w:tcPr>
            <w:tcW w:w="2500" w:type="pct"/>
          </w:tcPr>
          <w:p w14:paraId="30F2596B" w14:textId="636C6BE6" w:rsidR="00534F5E" w:rsidRPr="007500A4" w:rsidRDefault="00534F5E" w:rsidP="007500A4">
            <w:pPr>
              <w:pStyle w:val="ListNumber2"/>
            </w:pPr>
            <w:r w:rsidRPr="007500A4">
              <w:t>(b)</w:t>
            </w:r>
            <w:r w:rsidRPr="007500A4">
              <w:tab/>
              <w:t>the effectiveness of the management arrangements for the operation (including monitoring procedures).</w:t>
            </w:r>
          </w:p>
        </w:tc>
        <w:tc>
          <w:tcPr>
            <w:tcW w:w="2500" w:type="pct"/>
            <w:shd w:val="clear" w:color="auto" w:fill="FFC000"/>
          </w:tcPr>
          <w:p w14:paraId="3DF26BBE" w14:textId="37030F93" w:rsidR="00106A4E" w:rsidRPr="007500A4" w:rsidRDefault="00C15D38" w:rsidP="007500A4">
            <w:pPr>
              <w:rPr>
                <w:rFonts w:cs="Arial"/>
                <w:b/>
                <w:iCs/>
                <w:szCs w:val="18"/>
              </w:rPr>
            </w:pPr>
            <w:r w:rsidRPr="007500A4">
              <w:rPr>
                <w:rFonts w:cs="Arial"/>
                <w:b/>
                <w:iCs/>
                <w:szCs w:val="18"/>
              </w:rPr>
              <w:t>Partially m</w:t>
            </w:r>
            <w:r w:rsidR="00106A4E" w:rsidRPr="007500A4">
              <w:rPr>
                <w:rFonts w:cs="Arial"/>
                <w:b/>
                <w:iCs/>
                <w:szCs w:val="18"/>
              </w:rPr>
              <w:t>eets</w:t>
            </w:r>
          </w:p>
          <w:p w14:paraId="5C5D36EC" w14:textId="6C11C777" w:rsidR="00CE3F4A" w:rsidRPr="007500A4" w:rsidRDefault="00E2675A" w:rsidP="007500A4">
            <w:pPr>
              <w:pStyle w:val="Tabletext"/>
              <w:spacing w:before="60" w:after="60"/>
              <w:rPr>
                <w:sz w:val="18"/>
                <w:szCs w:val="18"/>
              </w:rPr>
            </w:pPr>
            <w:r w:rsidRPr="007500A4">
              <w:rPr>
                <w:sz w:val="18"/>
                <w:szCs w:val="18"/>
              </w:rPr>
              <w:lastRenderedPageBreak/>
              <w:t xml:space="preserve">The </w:t>
            </w:r>
            <w:r w:rsidR="00237419" w:rsidRPr="007500A4">
              <w:rPr>
                <w:sz w:val="18"/>
                <w:szCs w:val="18"/>
              </w:rPr>
              <w:t>majority</w:t>
            </w:r>
            <w:r w:rsidRPr="007500A4">
              <w:rPr>
                <w:sz w:val="18"/>
                <w:szCs w:val="18"/>
              </w:rPr>
              <w:t xml:space="preserve"> of management measures are considered to be effective. Where uncertainty still exists, PIRSA has given an undertaking to monitor catches for all target species to ensure these stocks continue to sustain fishing pressure. In addition, the development of specific management arrangements to recover black bream stocks, and implementation of an agreed management option, </w:t>
            </w:r>
            <w:r w:rsidR="004F0396" w:rsidRPr="007500A4">
              <w:rPr>
                <w:sz w:val="18"/>
                <w:szCs w:val="18"/>
              </w:rPr>
              <w:t>is intended to</w:t>
            </w:r>
            <w:r w:rsidRPr="007500A4">
              <w:rPr>
                <w:sz w:val="18"/>
                <w:szCs w:val="18"/>
              </w:rPr>
              <w:t xml:space="preserve"> ensure that this stock </w:t>
            </w:r>
            <w:r w:rsidR="003E1BCC" w:rsidRPr="007500A4">
              <w:rPr>
                <w:sz w:val="18"/>
                <w:szCs w:val="18"/>
              </w:rPr>
              <w:t>can</w:t>
            </w:r>
            <w:r w:rsidRPr="007500A4">
              <w:rPr>
                <w:sz w:val="18"/>
                <w:szCs w:val="18"/>
              </w:rPr>
              <w:t xml:space="preserve"> sustain fishing pressure. </w:t>
            </w:r>
          </w:p>
        </w:tc>
      </w:tr>
      <w:tr w:rsidR="00534F5E" w:rsidRPr="007500A4" w14:paraId="4942B517" w14:textId="77777777" w:rsidTr="00D77857">
        <w:trPr>
          <w:cnfStyle w:val="000000100000" w:firstRow="0" w:lastRow="0" w:firstColumn="0" w:lastColumn="0" w:oddVBand="0" w:evenVBand="0" w:oddHBand="1" w:evenHBand="0" w:firstRowFirstColumn="0" w:firstRowLastColumn="0" w:lastRowFirstColumn="0" w:lastRowLastColumn="0"/>
        </w:trPr>
        <w:tc>
          <w:tcPr>
            <w:tcW w:w="2500" w:type="pct"/>
          </w:tcPr>
          <w:p w14:paraId="460D50E2" w14:textId="2167BD13" w:rsidR="00534F5E" w:rsidRPr="007500A4" w:rsidRDefault="00534F5E" w:rsidP="007500A4">
            <w:pPr>
              <w:pStyle w:val="ListNumber"/>
            </w:pPr>
            <w:r w:rsidRPr="007500A4">
              <w:lastRenderedPageBreak/>
              <w:t>(5)</w:t>
            </w:r>
            <w:r w:rsidRPr="007500A4">
              <w:tab/>
              <w:t xml:space="preserve">In deciding whether to declare an operation as an approved wildlife trade operation the Minister must have </w:t>
            </w:r>
            <w:r w:rsidRPr="007500A4">
              <w:rPr>
                <w:b/>
              </w:rPr>
              <w:t>regard</w:t>
            </w:r>
            <w:r w:rsidRPr="007500A4">
              <w:t xml:space="preserve"> to:</w:t>
            </w:r>
          </w:p>
          <w:p w14:paraId="07E4C83E" w14:textId="77777777" w:rsidR="00534F5E" w:rsidRPr="007500A4" w:rsidRDefault="00534F5E" w:rsidP="007500A4">
            <w:pPr>
              <w:pStyle w:val="ListNumber2"/>
            </w:pPr>
            <w:r w:rsidRPr="007500A4">
              <w:t>(a)</w:t>
            </w:r>
            <w:r w:rsidRPr="007500A4">
              <w:tab/>
              <w:t>whether legislation relating to the protection, conservation or management of the specimens to which the operation relates is in force in the State or Territory concerned; and</w:t>
            </w:r>
          </w:p>
          <w:p w14:paraId="6EE2B9B4" w14:textId="77777777" w:rsidR="00534F5E" w:rsidRPr="007500A4" w:rsidRDefault="00534F5E" w:rsidP="007500A4">
            <w:pPr>
              <w:pStyle w:val="ListNumber2"/>
            </w:pPr>
            <w:r w:rsidRPr="007500A4">
              <w:t>(b)</w:t>
            </w:r>
            <w:r w:rsidRPr="007500A4">
              <w:tab/>
              <w:t>whether the legislation applies throughout the State or Territory concerned; and</w:t>
            </w:r>
          </w:p>
          <w:p w14:paraId="0AFB1DAA" w14:textId="77777777" w:rsidR="00534F5E" w:rsidRPr="007500A4" w:rsidRDefault="00534F5E" w:rsidP="007500A4">
            <w:pPr>
              <w:pStyle w:val="ListNumber2"/>
            </w:pPr>
            <w:r w:rsidRPr="007500A4">
              <w:t>(c)</w:t>
            </w:r>
            <w:r w:rsidRPr="007500A4">
              <w:tab/>
              <w:t>whether, in the opinion of the Minister, the legislation is effective.</w:t>
            </w:r>
          </w:p>
        </w:tc>
        <w:tc>
          <w:tcPr>
            <w:tcW w:w="2500" w:type="pct"/>
            <w:shd w:val="clear" w:color="auto" w:fill="92D050"/>
          </w:tcPr>
          <w:p w14:paraId="5BCC74DF" w14:textId="11154D2E" w:rsidR="00106A4E" w:rsidRPr="007500A4" w:rsidRDefault="00106A4E" w:rsidP="007500A4">
            <w:pPr>
              <w:tabs>
                <w:tab w:val="left" w:pos="6240"/>
              </w:tabs>
              <w:rPr>
                <w:rFonts w:cs="Arial"/>
                <w:b/>
                <w:iCs/>
                <w:szCs w:val="18"/>
              </w:rPr>
            </w:pPr>
            <w:r w:rsidRPr="007500A4">
              <w:rPr>
                <w:rFonts w:cs="Arial"/>
                <w:b/>
                <w:iCs/>
                <w:szCs w:val="18"/>
              </w:rPr>
              <w:t>Meets</w:t>
            </w:r>
          </w:p>
          <w:p w14:paraId="5DC77E3C" w14:textId="60082AFB" w:rsidR="00534F5E" w:rsidRPr="007500A4" w:rsidRDefault="00534F5E" w:rsidP="007500A4">
            <w:pPr>
              <w:rPr>
                <w:rFonts w:cs="Arial"/>
                <w:b/>
                <w:szCs w:val="18"/>
              </w:rPr>
            </w:pPr>
            <w:r w:rsidRPr="007500A4">
              <w:rPr>
                <w:rFonts w:cs="Arial"/>
                <w:szCs w:val="18"/>
              </w:rPr>
              <w:t xml:space="preserve">The </w:t>
            </w:r>
            <w:r w:rsidR="00D77857" w:rsidRPr="007500A4">
              <w:rPr>
                <w:rFonts w:cs="Arial"/>
                <w:i/>
                <w:szCs w:val="18"/>
              </w:rPr>
              <w:t>Fisheries Management Act 2007</w:t>
            </w:r>
            <w:r w:rsidR="00C3549B" w:rsidRPr="007500A4">
              <w:rPr>
                <w:rFonts w:cs="Arial"/>
                <w:szCs w:val="18"/>
              </w:rPr>
              <w:t xml:space="preserve"> (SA) </w:t>
            </w:r>
            <w:r w:rsidR="00432744" w:rsidRPr="007500A4">
              <w:rPr>
                <w:rFonts w:cs="Arial"/>
                <w:szCs w:val="18"/>
              </w:rPr>
              <w:t>is</w:t>
            </w:r>
            <w:r w:rsidR="00C3549B" w:rsidRPr="007500A4">
              <w:rPr>
                <w:rFonts w:cs="Arial"/>
                <w:szCs w:val="18"/>
              </w:rPr>
              <w:t xml:space="preserve"> in force at the time of this decision.</w:t>
            </w:r>
            <w:r w:rsidR="00CD2BB3" w:rsidRPr="007500A4">
              <w:rPr>
                <w:rFonts w:cs="Arial"/>
                <w:szCs w:val="18"/>
              </w:rPr>
              <w:t xml:space="preserve"> </w:t>
            </w:r>
            <w:r w:rsidRPr="007500A4">
              <w:rPr>
                <w:rFonts w:cs="Arial"/>
                <w:szCs w:val="18"/>
              </w:rPr>
              <w:t xml:space="preserve">The </w:t>
            </w:r>
            <w:r w:rsidR="00106A4E" w:rsidRPr="007500A4">
              <w:rPr>
                <w:rFonts w:cs="Arial"/>
                <w:szCs w:val="18"/>
              </w:rPr>
              <w:t>legislation</w:t>
            </w:r>
            <w:r w:rsidRPr="007500A4">
              <w:rPr>
                <w:rFonts w:cs="Arial"/>
                <w:szCs w:val="18"/>
              </w:rPr>
              <w:t xml:space="preserve"> under which </w:t>
            </w:r>
            <w:r w:rsidR="008C48BF" w:rsidRPr="007500A4">
              <w:rPr>
                <w:rFonts w:cs="Arial"/>
                <w:szCs w:val="18"/>
              </w:rPr>
              <w:t xml:space="preserve">the </w:t>
            </w:r>
            <w:r w:rsidR="00016AA6" w:rsidRPr="007500A4">
              <w:rPr>
                <w:rFonts w:cs="Arial"/>
                <w:szCs w:val="18"/>
              </w:rPr>
              <w:t xml:space="preserve">fishery </w:t>
            </w:r>
            <w:r w:rsidRPr="007500A4">
              <w:rPr>
                <w:rFonts w:cs="Arial"/>
                <w:szCs w:val="18"/>
              </w:rPr>
              <w:t>is managed</w:t>
            </w:r>
            <w:r w:rsidRPr="007500A4">
              <w:rPr>
                <w:rFonts w:cs="Arial"/>
                <w:i/>
                <w:szCs w:val="18"/>
              </w:rPr>
              <w:t xml:space="preserve"> </w:t>
            </w:r>
            <w:r w:rsidRPr="007500A4">
              <w:rPr>
                <w:rFonts w:cs="Arial"/>
                <w:szCs w:val="18"/>
              </w:rPr>
              <w:t>applies throughout South Australian waters.</w:t>
            </w:r>
            <w:r w:rsidR="00CD2BB3" w:rsidRPr="007500A4">
              <w:rPr>
                <w:rFonts w:cs="Arial"/>
                <w:szCs w:val="18"/>
              </w:rPr>
              <w:t xml:space="preserve"> </w:t>
            </w:r>
            <w:r w:rsidRPr="007500A4">
              <w:rPr>
                <w:rFonts w:cs="Arial"/>
                <w:szCs w:val="18"/>
              </w:rPr>
              <w:t>The Department considers that the legislation is likely to be effective.</w:t>
            </w:r>
          </w:p>
        </w:tc>
      </w:tr>
      <w:tr w:rsidR="00534F5E" w:rsidRPr="007500A4" w14:paraId="243C1612" w14:textId="77777777" w:rsidTr="00D77857">
        <w:trPr>
          <w:cnfStyle w:val="000000010000" w:firstRow="0" w:lastRow="0" w:firstColumn="0" w:lastColumn="0" w:oddVBand="0" w:evenVBand="0" w:oddHBand="0" w:evenHBand="1" w:firstRowFirstColumn="0" w:firstRowLastColumn="0" w:lastRowFirstColumn="0" w:lastRowLastColumn="0"/>
        </w:trPr>
        <w:tc>
          <w:tcPr>
            <w:tcW w:w="2500" w:type="pct"/>
          </w:tcPr>
          <w:p w14:paraId="1F29FF69" w14:textId="2A2B95ED" w:rsidR="00534F5E" w:rsidRPr="007500A4" w:rsidRDefault="00534F5E" w:rsidP="007500A4">
            <w:pPr>
              <w:pStyle w:val="ListNumber"/>
            </w:pPr>
            <w:r w:rsidRPr="007500A4">
              <w:t>(10)</w:t>
            </w:r>
            <w:r w:rsidRPr="007500A4">
              <w:tab/>
              <w:t>For the purposes of section 303FN, an operation is a wildlife trade operation if, an only if, the operation is an operation for the taking of specimens and:</w:t>
            </w:r>
          </w:p>
          <w:p w14:paraId="25AAE845" w14:textId="53B79AD6" w:rsidR="00534F5E" w:rsidRPr="007500A4" w:rsidRDefault="00534F5E" w:rsidP="007500A4">
            <w:pPr>
              <w:pStyle w:val="ListNumber2"/>
            </w:pPr>
            <w:r w:rsidRPr="007500A4">
              <w:t>(d) the operation is a commercial fishery.</w:t>
            </w:r>
          </w:p>
        </w:tc>
        <w:tc>
          <w:tcPr>
            <w:tcW w:w="2500" w:type="pct"/>
            <w:shd w:val="clear" w:color="auto" w:fill="92D050"/>
          </w:tcPr>
          <w:p w14:paraId="5CC59B99" w14:textId="77777777" w:rsidR="00106A4E" w:rsidRPr="007500A4" w:rsidRDefault="00106A4E" w:rsidP="007500A4">
            <w:pPr>
              <w:rPr>
                <w:rFonts w:cs="Arial"/>
                <w:b/>
                <w:iCs/>
                <w:szCs w:val="18"/>
              </w:rPr>
            </w:pPr>
            <w:r w:rsidRPr="007500A4">
              <w:rPr>
                <w:rFonts w:cs="Arial"/>
                <w:b/>
                <w:iCs/>
                <w:szCs w:val="18"/>
              </w:rPr>
              <w:t>Meets</w:t>
            </w:r>
          </w:p>
          <w:p w14:paraId="0A3166A9" w14:textId="6AC30515" w:rsidR="00534F5E" w:rsidRPr="007500A4" w:rsidRDefault="00661DB8" w:rsidP="007500A4">
            <w:pPr>
              <w:pStyle w:val="Tabletext"/>
              <w:spacing w:before="60" w:after="60"/>
              <w:rPr>
                <w:b/>
                <w:sz w:val="18"/>
                <w:szCs w:val="18"/>
              </w:rPr>
            </w:pPr>
            <w:r w:rsidRPr="007500A4">
              <w:rPr>
                <w:sz w:val="18"/>
                <w:szCs w:val="18"/>
              </w:rPr>
              <w:t>Th</w:t>
            </w:r>
            <w:r w:rsidR="00534F5E" w:rsidRPr="007500A4">
              <w:rPr>
                <w:sz w:val="18"/>
                <w:szCs w:val="18"/>
              </w:rPr>
              <w:t>e S</w:t>
            </w:r>
            <w:r w:rsidR="00E8309B" w:rsidRPr="007500A4">
              <w:rPr>
                <w:sz w:val="18"/>
                <w:szCs w:val="18"/>
              </w:rPr>
              <w:t>A Lakes and Coorong</w:t>
            </w:r>
            <w:r w:rsidR="00052C45" w:rsidRPr="007500A4">
              <w:rPr>
                <w:sz w:val="18"/>
                <w:szCs w:val="18"/>
              </w:rPr>
              <w:t xml:space="preserve"> Fishery </w:t>
            </w:r>
            <w:r w:rsidR="00534F5E" w:rsidRPr="007500A4">
              <w:rPr>
                <w:sz w:val="18"/>
                <w:szCs w:val="18"/>
              </w:rPr>
              <w:t>is a commercial fishery.</w:t>
            </w:r>
          </w:p>
        </w:tc>
      </w:tr>
      <w:tr w:rsidR="00534F5E" w:rsidRPr="007500A4" w14:paraId="5839DF33" w14:textId="77777777" w:rsidTr="0041423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30277E9E" w14:textId="517D6385" w:rsidR="00534F5E" w:rsidRPr="007500A4" w:rsidRDefault="00534F5E" w:rsidP="007500A4">
            <w:pPr>
              <w:pStyle w:val="Normal-Bold"/>
              <w:spacing w:before="60" w:after="60" w:line="240" w:lineRule="auto"/>
              <w:rPr>
                <w:sz w:val="20"/>
                <w:szCs w:val="20"/>
                <w:highlight w:val="cyan"/>
              </w:rPr>
            </w:pPr>
            <w:r w:rsidRPr="007500A4">
              <w:rPr>
                <w:sz w:val="20"/>
                <w:szCs w:val="20"/>
              </w:rPr>
              <w:t>Section 303FR Public consultation</w:t>
            </w:r>
          </w:p>
        </w:tc>
        <w:tc>
          <w:tcPr>
            <w:tcW w:w="2500" w:type="pct"/>
            <w:shd w:val="clear" w:color="auto" w:fill="D9D9D9" w:themeFill="background1" w:themeFillShade="D9"/>
          </w:tcPr>
          <w:p w14:paraId="76313136" w14:textId="77777777" w:rsidR="00534F5E" w:rsidRPr="007500A4" w:rsidRDefault="00534F5E" w:rsidP="007500A4">
            <w:pPr>
              <w:pStyle w:val="Normal-Bold"/>
              <w:spacing w:before="60" w:after="60" w:line="240" w:lineRule="auto"/>
              <w:rPr>
                <w:sz w:val="20"/>
                <w:szCs w:val="20"/>
              </w:rPr>
            </w:pPr>
            <w:r w:rsidRPr="007500A4">
              <w:rPr>
                <w:sz w:val="20"/>
                <w:szCs w:val="20"/>
              </w:rPr>
              <w:t>Comment</w:t>
            </w:r>
          </w:p>
        </w:tc>
      </w:tr>
      <w:tr w:rsidR="00534F5E" w:rsidRPr="007500A4" w14:paraId="05609169" w14:textId="77777777" w:rsidTr="008F5CE1">
        <w:trPr>
          <w:cnfStyle w:val="000000010000" w:firstRow="0" w:lastRow="0" w:firstColumn="0" w:lastColumn="0" w:oddVBand="0" w:evenVBand="0" w:oddHBand="0" w:evenHBand="1" w:firstRowFirstColumn="0" w:firstRowLastColumn="0" w:lastRowFirstColumn="0" w:lastRowLastColumn="0"/>
        </w:trPr>
        <w:tc>
          <w:tcPr>
            <w:tcW w:w="2500" w:type="pct"/>
          </w:tcPr>
          <w:p w14:paraId="3F3487A9" w14:textId="77777777" w:rsidR="00534F5E" w:rsidRPr="007500A4" w:rsidRDefault="00534F5E" w:rsidP="007500A4">
            <w:pPr>
              <w:pStyle w:val="ListNumber"/>
            </w:pPr>
            <w:r w:rsidRPr="007500A4">
              <w:t>(1)</w:t>
            </w:r>
            <w:r w:rsidRPr="007500A4">
              <w:tab/>
              <w:t>Before making a declaration under section 303FN, the Minister must cause to be published on the Internet a notice:</w:t>
            </w:r>
          </w:p>
          <w:p w14:paraId="5D4539F5" w14:textId="72B8CAA6" w:rsidR="00534F5E" w:rsidRPr="007500A4" w:rsidRDefault="00534F5E" w:rsidP="007500A4">
            <w:pPr>
              <w:pStyle w:val="ListNumber2"/>
            </w:pPr>
            <w:r w:rsidRPr="007500A4">
              <w:t>(a)</w:t>
            </w:r>
            <w:r w:rsidR="00CD2BB3" w:rsidRPr="007500A4">
              <w:tab/>
            </w:r>
            <w:r w:rsidRPr="007500A4">
              <w:t>setting out the proposal to make the declaration; and</w:t>
            </w:r>
          </w:p>
          <w:p w14:paraId="43CD447F" w14:textId="52D1E8FB" w:rsidR="00534F5E" w:rsidRPr="007500A4" w:rsidRDefault="00534F5E" w:rsidP="007500A4">
            <w:pPr>
              <w:pStyle w:val="ListNumber2"/>
            </w:pPr>
            <w:r w:rsidRPr="007500A4">
              <w:t>(b)</w:t>
            </w:r>
            <w:r w:rsidR="00CD2BB3" w:rsidRPr="007500A4">
              <w:tab/>
            </w:r>
            <w:r w:rsidRPr="007500A4">
              <w:t>setting out sufficient information to enable persons and organisations to consider adequately the merits of the proposal; and</w:t>
            </w:r>
          </w:p>
          <w:p w14:paraId="34C98378" w14:textId="0D97243E" w:rsidR="00534F5E" w:rsidRPr="007500A4" w:rsidRDefault="00534F5E" w:rsidP="007500A4">
            <w:pPr>
              <w:pStyle w:val="ListNumber2"/>
            </w:pPr>
            <w:r w:rsidRPr="007500A4">
              <w:t>(c)</w:t>
            </w:r>
            <w:r w:rsidR="00CD2BB3" w:rsidRPr="007500A4">
              <w:tab/>
            </w:r>
            <w:r w:rsidRPr="007500A4">
              <w:t>inviting persons and organisations to give the Minister, within the period specified in the notice, written comments about the proposal.</w:t>
            </w:r>
          </w:p>
          <w:p w14:paraId="01B51767" w14:textId="1D5FABF8" w:rsidR="00534F5E" w:rsidRPr="007500A4" w:rsidRDefault="00534F5E" w:rsidP="007500A4">
            <w:pPr>
              <w:pStyle w:val="ListNumber"/>
            </w:pPr>
            <w:r w:rsidRPr="007500A4">
              <w:t>(2)</w:t>
            </w:r>
            <w:r w:rsidRPr="007500A4">
              <w:tab/>
              <w:t>A period specified in the notice must not be shorter than 20 business days after the date on which the notice was published on the Internet.</w:t>
            </w:r>
          </w:p>
        </w:tc>
        <w:tc>
          <w:tcPr>
            <w:tcW w:w="2500" w:type="pct"/>
            <w:shd w:val="clear" w:color="auto" w:fill="92D050"/>
          </w:tcPr>
          <w:p w14:paraId="145F5574" w14:textId="77777777" w:rsidR="000260EA" w:rsidRPr="007500A4" w:rsidRDefault="000260EA" w:rsidP="007500A4">
            <w:pPr>
              <w:rPr>
                <w:rFonts w:cs="Arial"/>
                <w:b/>
                <w:iCs/>
                <w:szCs w:val="18"/>
              </w:rPr>
            </w:pPr>
            <w:r w:rsidRPr="007500A4">
              <w:rPr>
                <w:rFonts w:cs="Arial"/>
                <w:b/>
                <w:iCs/>
                <w:szCs w:val="18"/>
              </w:rPr>
              <w:t>Meets</w:t>
            </w:r>
          </w:p>
          <w:p w14:paraId="6D80E866" w14:textId="4F668119" w:rsidR="00534F5E" w:rsidRPr="007500A4" w:rsidRDefault="00534F5E" w:rsidP="007500A4">
            <w:pPr>
              <w:rPr>
                <w:rFonts w:cs="Arial"/>
                <w:iCs/>
                <w:szCs w:val="18"/>
              </w:rPr>
            </w:pPr>
            <w:r w:rsidRPr="007500A4">
              <w:rPr>
                <w:rFonts w:cs="Arial"/>
                <w:iCs/>
                <w:szCs w:val="18"/>
              </w:rPr>
              <w:t xml:space="preserve">A public notice, which set out the proposal to declare the </w:t>
            </w:r>
            <w:r w:rsidR="00432744" w:rsidRPr="007500A4">
              <w:rPr>
                <w:rFonts w:cs="Arial"/>
                <w:iCs/>
                <w:szCs w:val="18"/>
              </w:rPr>
              <w:t>f</w:t>
            </w:r>
            <w:r w:rsidR="00E8309B" w:rsidRPr="007500A4">
              <w:rPr>
                <w:rFonts w:cs="Arial"/>
                <w:szCs w:val="18"/>
              </w:rPr>
              <w:t xml:space="preserve">ishery </w:t>
            </w:r>
            <w:r w:rsidRPr="007500A4">
              <w:rPr>
                <w:rFonts w:cs="Arial"/>
                <w:iCs/>
                <w:szCs w:val="18"/>
              </w:rPr>
              <w:t>an approved wildlife trade operation</w:t>
            </w:r>
            <w:r w:rsidR="008F5CE1" w:rsidRPr="007500A4">
              <w:rPr>
                <w:rFonts w:cs="Arial"/>
                <w:iCs/>
                <w:szCs w:val="18"/>
              </w:rPr>
              <w:t>,</w:t>
            </w:r>
            <w:r w:rsidRPr="007500A4">
              <w:rPr>
                <w:rFonts w:cs="Arial"/>
                <w:iCs/>
                <w:szCs w:val="18"/>
              </w:rPr>
              <w:t xml:space="preserve"> and the application from </w:t>
            </w:r>
            <w:r w:rsidR="00432744" w:rsidRPr="007500A4">
              <w:rPr>
                <w:rFonts w:cs="Arial"/>
                <w:iCs/>
                <w:szCs w:val="18"/>
              </w:rPr>
              <w:t>PIRSA</w:t>
            </w:r>
            <w:r w:rsidRPr="007500A4">
              <w:rPr>
                <w:rFonts w:cs="Arial"/>
                <w:iCs/>
                <w:szCs w:val="18"/>
              </w:rPr>
              <w:t xml:space="preserve">, </w:t>
            </w:r>
            <w:r w:rsidR="008F5CE1" w:rsidRPr="007500A4">
              <w:rPr>
                <w:rFonts w:cs="Arial"/>
                <w:iCs/>
                <w:szCs w:val="18"/>
              </w:rPr>
              <w:t xml:space="preserve">were </w:t>
            </w:r>
            <w:r w:rsidRPr="007500A4">
              <w:rPr>
                <w:rFonts w:cs="Arial"/>
                <w:iCs/>
                <w:szCs w:val="18"/>
              </w:rPr>
              <w:t xml:space="preserve">released for public comment on </w:t>
            </w:r>
            <w:r w:rsidRPr="007500A4">
              <w:rPr>
                <w:rFonts w:cs="Arial"/>
                <w:noProof/>
                <w:szCs w:val="18"/>
              </w:rPr>
              <w:t>23 September 2016 until 31 October 2016</w:t>
            </w:r>
            <w:r w:rsidR="002B2C71" w:rsidRPr="007500A4">
              <w:rPr>
                <w:rFonts w:cs="Arial"/>
                <w:iCs/>
                <w:szCs w:val="18"/>
              </w:rPr>
              <w:t xml:space="preserve">, a total of 25 business days. </w:t>
            </w:r>
          </w:p>
        </w:tc>
      </w:tr>
      <w:tr w:rsidR="00534F5E" w:rsidRPr="007500A4" w14:paraId="76209AE7" w14:textId="77777777" w:rsidTr="0041423B">
        <w:trPr>
          <w:cnfStyle w:val="000000100000" w:firstRow="0" w:lastRow="0" w:firstColumn="0" w:lastColumn="0" w:oddVBand="0" w:evenVBand="0" w:oddHBand="1" w:evenHBand="0" w:firstRowFirstColumn="0" w:firstRowLastColumn="0" w:lastRowFirstColumn="0" w:lastRowLastColumn="0"/>
        </w:trPr>
        <w:tc>
          <w:tcPr>
            <w:tcW w:w="2500" w:type="pct"/>
          </w:tcPr>
          <w:p w14:paraId="64B72276" w14:textId="285E0095" w:rsidR="00534F5E" w:rsidRPr="007500A4" w:rsidRDefault="00534F5E" w:rsidP="007500A4">
            <w:pPr>
              <w:pStyle w:val="ListNumber"/>
            </w:pPr>
            <w:r w:rsidRPr="007500A4">
              <w:t>(3)</w:t>
            </w:r>
            <w:r w:rsidRPr="007500A4">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48091359" w14:textId="6FD61FE1" w:rsidR="000260EA" w:rsidRPr="007500A4" w:rsidRDefault="000260EA" w:rsidP="007500A4">
            <w:pPr>
              <w:rPr>
                <w:rFonts w:cs="Arial"/>
                <w:b/>
                <w:iCs/>
                <w:szCs w:val="18"/>
              </w:rPr>
            </w:pPr>
            <w:r w:rsidRPr="007500A4">
              <w:rPr>
                <w:rFonts w:cs="Arial"/>
                <w:b/>
                <w:iCs/>
                <w:szCs w:val="18"/>
              </w:rPr>
              <w:t>Not applicable</w:t>
            </w:r>
          </w:p>
          <w:p w14:paraId="56B84449" w14:textId="476D52AE" w:rsidR="00534F5E" w:rsidRPr="007500A4" w:rsidRDefault="000260EA" w:rsidP="007500A4">
            <w:pPr>
              <w:rPr>
                <w:rFonts w:cs="Arial"/>
                <w:iCs/>
                <w:szCs w:val="18"/>
              </w:rPr>
            </w:pPr>
            <w:r w:rsidRPr="007500A4">
              <w:rPr>
                <w:rFonts w:cs="Arial"/>
                <w:iCs/>
                <w:szCs w:val="18"/>
              </w:rPr>
              <w:t>N</w:t>
            </w:r>
            <w:r w:rsidR="00534F5E" w:rsidRPr="007500A4">
              <w:rPr>
                <w:rFonts w:cs="Arial"/>
                <w:iCs/>
                <w:szCs w:val="18"/>
              </w:rPr>
              <w:t>o public comments about the proposal we</w:t>
            </w:r>
            <w:r w:rsidR="002B2C71" w:rsidRPr="007500A4">
              <w:rPr>
                <w:rFonts w:cs="Arial"/>
                <w:iCs/>
                <w:szCs w:val="18"/>
              </w:rPr>
              <w:t>re received.</w:t>
            </w:r>
          </w:p>
        </w:tc>
      </w:tr>
      <w:tr w:rsidR="00534F5E" w:rsidRPr="007500A4" w14:paraId="65F1D085" w14:textId="77777777" w:rsidTr="0041423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5BE38FD2" w14:textId="77777777" w:rsidR="00534F5E" w:rsidRPr="007500A4" w:rsidRDefault="00534F5E" w:rsidP="007500A4">
            <w:pPr>
              <w:pStyle w:val="Normal-Bold"/>
              <w:spacing w:before="60" w:after="60" w:line="240" w:lineRule="auto"/>
              <w:rPr>
                <w:sz w:val="20"/>
                <w:szCs w:val="20"/>
              </w:rPr>
            </w:pPr>
            <w:r w:rsidRPr="007500A4">
              <w:rPr>
                <w:sz w:val="20"/>
                <w:szCs w:val="20"/>
              </w:rPr>
              <w:t>Section 303FT Additional provisions relating to declarations</w:t>
            </w:r>
          </w:p>
        </w:tc>
        <w:tc>
          <w:tcPr>
            <w:tcW w:w="2500" w:type="pct"/>
            <w:shd w:val="clear" w:color="auto" w:fill="D9D9D9" w:themeFill="background1" w:themeFillShade="D9"/>
          </w:tcPr>
          <w:p w14:paraId="44114787" w14:textId="77777777" w:rsidR="00534F5E" w:rsidRPr="007500A4" w:rsidRDefault="00534F5E" w:rsidP="007500A4">
            <w:pPr>
              <w:pStyle w:val="Normal-Bold"/>
              <w:spacing w:before="60" w:after="60" w:line="240" w:lineRule="auto"/>
              <w:rPr>
                <w:sz w:val="20"/>
                <w:szCs w:val="20"/>
              </w:rPr>
            </w:pPr>
            <w:r w:rsidRPr="007500A4">
              <w:rPr>
                <w:sz w:val="20"/>
                <w:szCs w:val="20"/>
              </w:rPr>
              <w:t>Comments</w:t>
            </w:r>
          </w:p>
        </w:tc>
      </w:tr>
      <w:tr w:rsidR="00534F5E" w:rsidRPr="007500A4" w14:paraId="45F8F172" w14:textId="77777777" w:rsidTr="00E8309B">
        <w:trPr>
          <w:cnfStyle w:val="000000100000" w:firstRow="0" w:lastRow="0" w:firstColumn="0" w:lastColumn="0" w:oddVBand="0" w:evenVBand="0" w:oddHBand="1" w:evenHBand="0" w:firstRowFirstColumn="0" w:firstRowLastColumn="0" w:lastRowFirstColumn="0" w:lastRowLastColumn="0"/>
        </w:trPr>
        <w:tc>
          <w:tcPr>
            <w:tcW w:w="2500" w:type="pct"/>
          </w:tcPr>
          <w:p w14:paraId="08D96D4A" w14:textId="77777777" w:rsidR="00534F5E" w:rsidRPr="007500A4" w:rsidRDefault="00534F5E" w:rsidP="007500A4">
            <w:pPr>
              <w:pStyle w:val="ListNumber"/>
            </w:pPr>
            <w:r w:rsidRPr="007500A4">
              <w:t>(1)</w:t>
            </w:r>
            <w:r w:rsidRPr="007500A4">
              <w:tab/>
              <w:t>This section applies to a declaration made under section 303FN, 303FO or 303FP.</w:t>
            </w:r>
          </w:p>
        </w:tc>
        <w:tc>
          <w:tcPr>
            <w:tcW w:w="2500" w:type="pct"/>
            <w:shd w:val="clear" w:color="auto" w:fill="92D050"/>
          </w:tcPr>
          <w:p w14:paraId="285A0879" w14:textId="77777777" w:rsidR="00106A4E" w:rsidRPr="007500A4" w:rsidRDefault="00106A4E" w:rsidP="007500A4">
            <w:pPr>
              <w:rPr>
                <w:rFonts w:cs="Arial"/>
                <w:b/>
                <w:iCs/>
                <w:szCs w:val="18"/>
              </w:rPr>
            </w:pPr>
            <w:r w:rsidRPr="007500A4">
              <w:rPr>
                <w:rFonts w:cs="Arial"/>
                <w:b/>
                <w:iCs/>
                <w:szCs w:val="18"/>
              </w:rPr>
              <w:t>Meets</w:t>
            </w:r>
          </w:p>
          <w:p w14:paraId="184263BC" w14:textId="40379AB3" w:rsidR="00534F5E" w:rsidRPr="007500A4" w:rsidRDefault="00534F5E" w:rsidP="007500A4">
            <w:pPr>
              <w:pStyle w:val="Tabletext"/>
              <w:spacing w:before="60" w:after="60"/>
              <w:rPr>
                <w:sz w:val="18"/>
                <w:szCs w:val="18"/>
              </w:rPr>
            </w:pPr>
            <w:r w:rsidRPr="007500A4">
              <w:rPr>
                <w:sz w:val="18"/>
                <w:szCs w:val="18"/>
              </w:rPr>
              <w:t>A declaration</w:t>
            </w:r>
            <w:r w:rsidR="00106A4E" w:rsidRPr="007500A4">
              <w:rPr>
                <w:sz w:val="18"/>
                <w:szCs w:val="18"/>
              </w:rPr>
              <w:t xml:space="preserve"> as an approved wildlife trade operation</w:t>
            </w:r>
            <w:r w:rsidRPr="007500A4">
              <w:rPr>
                <w:sz w:val="18"/>
                <w:szCs w:val="18"/>
              </w:rPr>
              <w:t xml:space="preserve"> for the </w:t>
            </w:r>
            <w:r w:rsidR="00106A4E" w:rsidRPr="007500A4">
              <w:rPr>
                <w:sz w:val="18"/>
                <w:szCs w:val="18"/>
              </w:rPr>
              <w:t>f</w:t>
            </w:r>
            <w:r w:rsidR="00E8309B" w:rsidRPr="007500A4">
              <w:rPr>
                <w:sz w:val="18"/>
                <w:szCs w:val="18"/>
              </w:rPr>
              <w:t>ishery</w:t>
            </w:r>
            <w:r w:rsidRPr="007500A4">
              <w:rPr>
                <w:sz w:val="18"/>
                <w:szCs w:val="18"/>
              </w:rPr>
              <w:t xml:space="preserve"> </w:t>
            </w:r>
            <w:r w:rsidR="00106A4E" w:rsidRPr="007500A4">
              <w:rPr>
                <w:sz w:val="18"/>
                <w:szCs w:val="18"/>
              </w:rPr>
              <w:t>will</w:t>
            </w:r>
            <w:r w:rsidRPr="007500A4">
              <w:rPr>
                <w:sz w:val="18"/>
                <w:szCs w:val="18"/>
              </w:rPr>
              <w:t xml:space="preserve"> be made under section 303FN.</w:t>
            </w:r>
          </w:p>
        </w:tc>
      </w:tr>
      <w:tr w:rsidR="00534F5E" w:rsidRPr="007500A4" w14:paraId="46690B3B" w14:textId="77777777" w:rsidTr="00E8309B">
        <w:trPr>
          <w:cnfStyle w:val="000000010000" w:firstRow="0" w:lastRow="0" w:firstColumn="0" w:lastColumn="0" w:oddVBand="0" w:evenVBand="0" w:oddHBand="0" w:evenHBand="1" w:firstRowFirstColumn="0" w:firstRowLastColumn="0" w:lastRowFirstColumn="0" w:lastRowLastColumn="0"/>
        </w:trPr>
        <w:tc>
          <w:tcPr>
            <w:tcW w:w="2500" w:type="pct"/>
          </w:tcPr>
          <w:p w14:paraId="7A538D8F" w14:textId="77777777" w:rsidR="00534F5E" w:rsidRPr="007500A4" w:rsidRDefault="00534F5E" w:rsidP="007500A4">
            <w:pPr>
              <w:pStyle w:val="ListNumber"/>
            </w:pPr>
            <w:r w:rsidRPr="007500A4">
              <w:t>(4)</w:t>
            </w:r>
            <w:r w:rsidRPr="007500A4">
              <w:tab/>
              <w:t>The Minister may make a declaration about a plan or operation even though he or she considers that the plan or operation should be the subject of the declaration only:</w:t>
            </w:r>
          </w:p>
          <w:p w14:paraId="726A9D68" w14:textId="4220CE21" w:rsidR="00534F5E" w:rsidRPr="007500A4" w:rsidRDefault="00534F5E" w:rsidP="007500A4">
            <w:pPr>
              <w:pStyle w:val="ListNumber2"/>
            </w:pPr>
            <w:r w:rsidRPr="007500A4">
              <w:t>(a)</w:t>
            </w:r>
            <w:r w:rsidR="00CD2BB3" w:rsidRPr="007500A4">
              <w:tab/>
            </w:r>
            <w:r w:rsidRPr="007500A4">
              <w:t>during a particular period; or</w:t>
            </w:r>
          </w:p>
          <w:p w14:paraId="7F25A5B9" w14:textId="1FCAE6F9" w:rsidR="00534F5E" w:rsidRPr="007500A4" w:rsidRDefault="00534F5E" w:rsidP="007500A4">
            <w:pPr>
              <w:pStyle w:val="ListNumber2"/>
            </w:pPr>
            <w:r w:rsidRPr="007500A4">
              <w:t>(b)</w:t>
            </w:r>
            <w:r w:rsidR="00CD2BB3" w:rsidRPr="007500A4">
              <w:tab/>
            </w:r>
            <w:r w:rsidRPr="007500A4">
              <w:t>while certain circumstances exist; or</w:t>
            </w:r>
          </w:p>
          <w:p w14:paraId="6253AFA7" w14:textId="6CB25936" w:rsidR="00534F5E" w:rsidRPr="007500A4" w:rsidRDefault="00534F5E" w:rsidP="007500A4">
            <w:pPr>
              <w:pStyle w:val="ListNumber2"/>
            </w:pPr>
            <w:r w:rsidRPr="007500A4">
              <w:t>(c)</w:t>
            </w:r>
            <w:r w:rsidR="00CD2BB3" w:rsidRPr="007500A4">
              <w:tab/>
            </w:r>
            <w:r w:rsidRPr="007500A4">
              <w:t>while a certain condition is complied with.</w:t>
            </w:r>
          </w:p>
          <w:p w14:paraId="3F8686D7" w14:textId="61D8579B" w:rsidR="005E2D35" w:rsidRPr="007500A4" w:rsidRDefault="00534F5E" w:rsidP="007500A4">
            <w:pPr>
              <w:pStyle w:val="ListNumber"/>
            </w:pPr>
            <w:r w:rsidRPr="007500A4">
              <w:lastRenderedPageBreak/>
              <w:t>In such a case, the instrument of declaration is to specify the period, circumstances or condition.</w:t>
            </w:r>
          </w:p>
        </w:tc>
        <w:tc>
          <w:tcPr>
            <w:tcW w:w="2500" w:type="pct"/>
            <w:shd w:val="clear" w:color="auto" w:fill="92D050"/>
          </w:tcPr>
          <w:p w14:paraId="7F6DEF4D" w14:textId="77777777" w:rsidR="00106A4E" w:rsidRPr="007500A4" w:rsidRDefault="00106A4E" w:rsidP="007500A4">
            <w:pPr>
              <w:rPr>
                <w:rFonts w:cs="Arial"/>
                <w:b/>
                <w:iCs/>
                <w:szCs w:val="18"/>
              </w:rPr>
            </w:pPr>
            <w:r w:rsidRPr="007500A4">
              <w:rPr>
                <w:rFonts w:cs="Arial"/>
                <w:b/>
                <w:iCs/>
                <w:szCs w:val="18"/>
              </w:rPr>
              <w:lastRenderedPageBreak/>
              <w:t>Meets</w:t>
            </w:r>
          </w:p>
          <w:p w14:paraId="26EFB289" w14:textId="43A75802" w:rsidR="00534F5E" w:rsidRPr="007500A4" w:rsidRDefault="00534F5E" w:rsidP="007500A4">
            <w:pPr>
              <w:rPr>
                <w:rFonts w:cs="Arial"/>
                <w:szCs w:val="18"/>
              </w:rPr>
            </w:pPr>
            <w:r w:rsidRPr="007500A4">
              <w:rPr>
                <w:rFonts w:cs="Arial"/>
                <w:szCs w:val="18"/>
              </w:rPr>
              <w:t xml:space="preserve">The standard conditions applied to commercial fishery </w:t>
            </w:r>
            <w:r w:rsidRPr="007500A4">
              <w:rPr>
                <w:rFonts w:cs="Arial"/>
                <w:iCs/>
                <w:szCs w:val="18"/>
              </w:rPr>
              <w:t>wildlife trade operations</w:t>
            </w:r>
            <w:r w:rsidRPr="007500A4">
              <w:rPr>
                <w:rFonts w:cs="Arial"/>
                <w:szCs w:val="18"/>
              </w:rPr>
              <w:t xml:space="preserve"> include:</w:t>
            </w:r>
          </w:p>
          <w:p w14:paraId="54A0EFBC" w14:textId="77777777" w:rsidR="00534F5E" w:rsidRPr="007500A4" w:rsidRDefault="00534F5E" w:rsidP="007500A4">
            <w:pPr>
              <w:numPr>
                <w:ilvl w:val="0"/>
                <w:numId w:val="27"/>
              </w:numPr>
              <w:ind w:left="357" w:hanging="357"/>
              <w:rPr>
                <w:rFonts w:cs="Arial"/>
                <w:szCs w:val="18"/>
              </w:rPr>
            </w:pPr>
            <w:r w:rsidRPr="007500A4">
              <w:rPr>
                <w:rFonts w:cs="Arial"/>
                <w:szCs w:val="18"/>
              </w:rPr>
              <w:t>operation in accordance with the management regime</w:t>
            </w:r>
          </w:p>
          <w:p w14:paraId="3D19E174" w14:textId="77777777" w:rsidR="00534F5E" w:rsidRPr="007500A4" w:rsidRDefault="00534F5E" w:rsidP="007500A4">
            <w:pPr>
              <w:numPr>
                <w:ilvl w:val="0"/>
                <w:numId w:val="27"/>
              </w:numPr>
              <w:ind w:left="357" w:hanging="357"/>
              <w:rPr>
                <w:rFonts w:cs="Arial"/>
                <w:szCs w:val="18"/>
              </w:rPr>
            </w:pPr>
            <w:r w:rsidRPr="007500A4">
              <w:rPr>
                <w:rFonts w:cs="Arial"/>
                <w:szCs w:val="18"/>
              </w:rPr>
              <w:t xml:space="preserve">notifying </w:t>
            </w:r>
            <w:r w:rsidRPr="007500A4">
              <w:rPr>
                <w:rFonts w:cs="Arial"/>
                <w:iCs/>
                <w:szCs w:val="18"/>
              </w:rPr>
              <w:t xml:space="preserve">the Department </w:t>
            </w:r>
            <w:r w:rsidRPr="007500A4">
              <w:rPr>
                <w:rFonts w:cs="Arial"/>
                <w:szCs w:val="18"/>
              </w:rPr>
              <w:t>of changes to the management regime, and</w:t>
            </w:r>
          </w:p>
          <w:p w14:paraId="24EAF709" w14:textId="59A81C28" w:rsidR="00534F5E" w:rsidRPr="007500A4" w:rsidRDefault="00534F5E" w:rsidP="007500A4">
            <w:pPr>
              <w:numPr>
                <w:ilvl w:val="0"/>
                <w:numId w:val="27"/>
              </w:numPr>
              <w:ind w:left="357" w:hanging="357"/>
              <w:rPr>
                <w:rFonts w:cs="Arial"/>
                <w:szCs w:val="18"/>
              </w:rPr>
            </w:pPr>
            <w:r w:rsidRPr="007500A4">
              <w:rPr>
                <w:rFonts w:cs="Arial"/>
                <w:szCs w:val="18"/>
              </w:rPr>
              <w:t>annual reporting in accordance with the requirements of the Guidelines</w:t>
            </w:r>
            <w:r w:rsidRPr="007500A4">
              <w:rPr>
                <w:rFonts w:cs="Arial"/>
                <w:i/>
                <w:szCs w:val="18"/>
              </w:rPr>
              <w:t>.</w:t>
            </w:r>
          </w:p>
          <w:p w14:paraId="434197CA" w14:textId="2E18E52C" w:rsidR="00534F5E" w:rsidRPr="007500A4" w:rsidRDefault="00534F5E" w:rsidP="007500A4">
            <w:pPr>
              <w:rPr>
                <w:rFonts w:cs="Arial"/>
                <w:szCs w:val="18"/>
              </w:rPr>
            </w:pPr>
            <w:r w:rsidRPr="007500A4">
              <w:rPr>
                <w:rFonts w:cs="Arial"/>
                <w:szCs w:val="18"/>
              </w:rPr>
              <w:lastRenderedPageBreak/>
              <w:t xml:space="preserve">The </w:t>
            </w:r>
            <w:r w:rsidRPr="007500A4">
              <w:rPr>
                <w:rFonts w:cs="Arial"/>
                <w:iCs/>
                <w:szCs w:val="18"/>
              </w:rPr>
              <w:t xml:space="preserve">wildlife trade operation </w:t>
            </w:r>
            <w:r w:rsidRPr="007500A4">
              <w:rPr>
                <w:rFonts w:cs="Arial"/>
                <w:szCs w:val="18"/>
              </w:rPr>
              <w:t xml:space="preserve">instrument </w:t>
            </w:r>
            <w:r w:rsidR="00E67FAE" w:rsidRPr="007500A4">
              <w:rPr>
                <w:rFonts w:cs="Arial"/>
                <w:szCs w:val="18"/>
              </w:rPr>
              <w:t xml:space="preserve">for the fishery </w:t>
            </w:r>
            <w:r w:rsidRPr="007500A4">
              <w:rPr>
                <w:rFonts w:cs="Arial"/>
                <w:szCs w:val="18"/>
              </w:rPr>
              <w:t>specifies the standard</w:t>
            </w:r>
            <w:r w:rsidR="00E67FAE" w:rsidRPr="007500A4">
              <w:rPr>
                <w:rFonts w:cs="Arial"/>
                <w:szCs w:val="18"/>
              </w:rPr>
              <w:t xml:space="preserve"> conditions, </w:t>
            </w:r>
            <w:r w:rsidRPr="007500A4">
              <w:rPr>
                <w:rFonts w:cs="Arial"/>
                <w:szCs w:val="18"/>
              </w:rPr>
              <w:t xml:space="preserve">and </w:t>
            </w:r>
            <w:r w:rsidR="00E67FAE" w:rsidRPr="007500A4">
              <w:rPr>
                <w:rFonts w:cs="Arial"/>
                <w:szCs w:val="18"/>
              </w:rPr>
              <w:t xml:space="preserve">four </w:t>
            </w:r>
            <w:r w:rsidR="002B2C71" w:rsidRPr="007500A4">
              <w:rPr>
                <w:rFonts w:cs="Arial"/>
                <w:szCs w:val="18"/>
              </w:rPr>
              <w:t>additional conditions.</w:t>
            </w:r>
          </w:p>
        </w:tc>
      </w:tr>
      <w:tr w:rsidR="00534F5E" w:rsidRPr="007500A4" w14:paraId="74F47EFE" w14:textId="77777777" w:rsidTr="008F5CE1">
        <w:trPr>
          <w:cnfStyle w:val="000000100000" w:firstRow="0" w:lastRow="0" w:firstColumn="0" w:lastColumn="0" w:oddVBand="0" w:evenVBand="0" w:oddHBand="1" w:evenHBand="0" w:firstRowFirstColumn="0" w:firstRowLastColumn="0" w:lastRowFirstColumn="0" w:lastRowLastColumn="0"/>
        </w:trPr>
        <w:tc>
          <w:tcPr>
            <w:tcW w:w="2500" w:type="pct"/>
          </w:tcPr>
          <w:p w14:paraId="34F3FDCF" w14:textId="4CD802F7" w:rsidR="00534F5E" w:rsidRPr="007500A4" w:rsidRDefault="00534F5E" w:rsidP="007500A4">
            <w:pPr>
              <w:pStyle w:val="ListNumber"/>
            </w:pPr>
            <w:r w:rsidRPr="007500A4">
              <w:lastRenderedPageBreak/>
              <w:t>(8)</w:t>
            </w:r>
            <w:r w:rsidRPr="007500A4">
              <w:tab/>
              <w:t>A condition may relate to reporting or monitoring.</w:t>
            </w:r>
          </w:p>
        </w:tc>
        <w:tc>
          <w:tcPr>
            <w:tcW w:w="2500" w:type="pct"/>
            <w:shd w:val="clear" w:color="auto" w:fill="92D050"/>
          </w:tcPr>
          <w:p w14:paraId="33AD26FC" w14:textId="77777777" w:rsidR="00432744" w:rsidRPr="007500A4" w:rsidRDefault="00432744" w:rsidP="007500A4">
            <w:pPr>
              <w:rPr>
                <w:rFonts w:cs="Arial"/>
                <w:b/>
                <w:iCs/>
                <w:szCs w:val="18"/>
              </w:rPr>
            </w:pPr>
            <w:r w:rsidRPr="007500A4">
              <w:rPr>
                <w:rFonts w:cs="Arial"/>
                <w:b/>
                <w:iCs/>
                <w:szCs w:val="18"/>
              </w:rPr>
              <w:t>Meets</w:t>
            </w:r>
          </w:p>
          <w:p w14:paraId="0F5CC4BF" w14:textId="7ACCFAD8" w:rsidR="00534F5E" w:rsidRPr="007500A4" w:rsidRDefault="00534F5E" w:rsidP="007500A4">
            <w:pPr>
              <w:pStyle w:val="Tabletext"/>
              <w:spacing w:before="60" w:after="60"/>
              <w:rPr>
                <w:sz w:val="18"/>
                <w:szCs w:val="18"/>
              </w:rPr>
            </w:pPr>
            <w:r w:rsidRPr="007500A4">
              <w:rPr>
                <w:sz w:val="18"/>
                <w:szCs w:val="18"/>
              </w:rPr>
              <w:t xml:space="preserve">One of the standard conditions </w:t>
            </w:r>
            <w:r w:rsidR="008F5CE1" w:rsidRPr="007500A4">
              <w:rPr>
                <w:sz w:val="18"/>
                <w:szCs w:val="18"/>
              </w:rPr>
              <w:t xml:space="preserve">specified in Section 4 </w:t>
            </w:r>
            <w:r w:rsidRPr="007500A4">
              <w:rPr>
                <w:sz w:val="18"/>
                <w:szCs w:val="18"/>
              </w:rPr>
              <w:t>relates to reporting.</w:t>
            </w:r>
          </w:p>
        </w:tc>
      </w:tr>
      <w:tr w:rsidR="00534F5E" w:rsidRPr="007500A4" w14:paraId="7D36CAFA" w14:textId="77777777" w:rsidTr="00E8309B">
        <w:trPr>
          <w:cnfStyle w:val="000000010000" w:firstRow="0" w:lastRow="0" w:firstColumn="0" w:lastColumn="0" w:oddVBand="0" w:evenVBand="0" w:oddHBand="0" w:evenHBand="1" w:firstRowFirstColumn="0" w:firstRowLastColumn="0" w:lastRowFirstColumn="0" w:lastRowLastColumn="0"/>
        </w:trPr>
        <w:tc>
          <w:tcPr>
            <w:tcW w:w="2500" w:type="pct"/>
          </w:tcPr>
          <w:p w14:paraId="36A76845" w14:textId="1115555F" w:rsidR="00534F5E" w:rsidRPr="007500A4" w:rsidRDefault="00534F5E" w:rsidP="007500A4">
            <w:pPr>
              <w:pStyle w:val="ListNumber"/>
            </w:pPr>
            <w:r w:rsidRPr="007500A4">
              <w:t>(11)</w:t>
            </w:r>
            <w:r w:rsidRPr="007500A4">
              <w:tab/>
              <w:t>A copy of an instrument under section 303FN,or this section is to be made available for inspection on the internet.</w:t>
            </w:r>
          </w:p>
        </w:tc>
        <w:tc>
          <w:tcPr>
            <w:tcW w:w="2500" w:type="pct"/>
            <w:shd w:val="clear" w:color="auto" w:fill="92D050"/>
          </w:tcPr>
          <w:p w14:paraId="77927FCE" w14:textId="77777777" w:rsidR="00432744" w:rsidRPr="007500A4" w:rsidRDefault="00432744" w:rsidP="007500A4">
            <w:pPr>
              <w:rPr>
                <w:rFonts w:cs="Arial"/>
                <w:b/>
                <w:iCs/>
                <w:szCs w:val="18"/>
              </w:rPr>
            </w:pPr>
            <w:r w:rsidRPr="007500A4">
              <w:rPr>
                <w:rFonts w:cs="Arial"/>
                <w:b/>
                <w:iCs/>
                <w:szCs w:val="18"/>
              </w:rPr>
              <w:t>Meets</w:t>
            </w:r>
          </w:p>
          <w:p w14:paraId="4F57FAA1" w14:textId="30DD8AF4" w:rsidR="00534F5E" w:rsidRPr="007500A4" w:rsidRDefault="00534F5E" w:rsidP="007500A4">
            <w:pPr>
              <w:rPr>
                <w:rFonts w:cs="Arial"/>
                <w:szCs w:val="18"/>
              </w:rPr>
            </w:pPr>
            <w:r w:rsidRPr="007500A4">
              <w:rPr>
                <w:rFonts w:cs="Arial"/>
                <w:szCs w:val="18"/>
              </w:rPr>
              <w:t xml:space="preserve">The instrument made under section 303FN and the conditions under section 303FT </w:t>
            </w:r>
            <w:r w:rsidR="0049738E" w:rsidRPr="007500A4">
              <w:rPr>
                <w:rFonts w:cs="Arial"/>
                <w:szCs w:val="18"/>
              </w:rPr>
              <w:t>will be</w:t>
            </w:r>
            <w:r w:rsidRPr="007500A4">
              <w:rPr>
                <w:rFonts w:cs="Arial"/>
                <w:szCs w:val="18"/>
              </w:rPr>
              <w:t xml:space="preserve"> registered as a notifiable instrument and made available </w:t>
            </w:r>
            <w:r w:rsidR="00432744" w:rsidRPr="007500A4">
              <w:rPr>
                <w:rFonts w:cs="Arial"/>
                <w:szCs w:val="18"/>
              </w:rPr>
              <w:t>on</w:t>
            </w:r>
            <w:r w:rsidRPr="007500A4">
              <w:rPr>
                <w:rFonts w:cs="Arial"/>
                <w:szCs w:val="18"/>
              </w:rPr>
              <w:t xml:space="preserve"> the </w:t>
            </w:r>
            <w:r w:rsidRPr="007500A4">
              <w:rPr>
                <w:rFonts w:cs="Arial"/>
                <w:iCs/>
                <w:szCs w:val="18"/>
              </w:rPr>
              <w:t xml:space="preserve">Department’s </w:t>
            </w:r>
            <w:r w:rsidRPr="007500A4">
              <w:rPr>
                <w:rFonts w:cs="Arial"/>
                <w:szCs w:val="18"/>
              </w:rPr>
              <w:t>website.</w:t>
            </w:r>
          </w:p>
        </w:tc>
      </w:tr>
    </w:tbl>
    <w:p w14:paraId="06A0F8DB" w14:textId="77777777" w:rsidR="00534F5E" w:rsidRDefault="00534F5E" w:rsidP="009D5019">
      <w:pPr>
        <w:spacing w:after="0"/>
        <w:rPr>
          <w:b/>
        </w:rPr>
      </w:pPr>
    </w:p>
    <w:p w14:paraId="18C8CB6C" w14:textId="0B2BD6DF" w:rsidR="009F053A" w:rsidRDefault="009F053A" w:rsidP="009F053A">
      <w:pPr>
        <w:spacing w:after="0"/>
        <w:rPr>
          <w:rFonts w:cs="Arial"/>
          <w:b/>
        </w:rPr>
      </w:pPr>
    </w:p>
    <w:p w14:paraId="291064A7" w14:textId="66529989" w:rsidR="00534F5E" w:rsidRPr="00E8309B" w:rsidRDefault="00534F5E" w:rsidP="009F053A">
      <w:pPr>
        <w:spacing w:after="0"/>
        <w:rPr>
          <w:rFonts w:cs="Arial"/>
          <w:b/>
        </w:rPr>
      </w:pPr>
      <w:r w:rsidRPr="0099224A">
        <w:rPr>
          <w:b/>
          <w:sz w:val="22"/>
        </w:rPr>
        <w:t>Part 16</w:t>
      </w:r>
    </w:p>
    <w:tbl>
      <w:tblPr>
        <w:tblStyle w:val="TableGrid"/>
        <w:tblW w:w="5000" w:type="pct"/>
        <w:tblLook w:val="04A0" w:firstRow="1" w:lastRow="0" w:firstColumn="1" w:lastColumn="0" w:noHBand="0" w:noVBand="1"/>
      </w:tblPr>
      <w:tblGrid>
        <w:gridCol w:w="7393"/>
        <w:gridCol w:w="7393"/>
      </w:tblGrid>
      <w:tr w:rsidR="00534F5E" w:rsidRPr="007500A4" w14:paraId="78C873F4" w14:textId="77777777" w:rsidTr="00583085">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021D4834" w14:textId="653A6EE4" w:rsidR="00534F5E" w:rsidRPr="007500A4" w:rsidRDefault="00534F5E" w:rsidP="007500A4">
            <w:pPr>
              <w:pStyle w:val="Normal-Bold"/>
              <w:spacing w:before="60" w:after="60" w:line="240" w:lineRule="auto"/>
              <w:rPr>
                <w:sz w:val="20"/>
                <w:szCs w:val="20"/>
              </w:rPr>
            </w:pPr>
            <w:r w:rsidRPr="007500A4">
              <w:rPr>
                <w:sz w:val="20"/>
                <w:szCs w:val="20"/>
              </w:rPr>
              <w:t>Section 391 Minister must consider precautionary principle in making decisions</w:t>
            </w:r>
          </w:p>
        </w:tc>
        <w:tc>
          <w:tcPr>
            <w:tcW w:w="2500" w:type="pct"/>
            <w:shd w:val="clear" w:color="auto" w:fill="D9D9D9" w:themeFill="background1" w:themeFillShade="D9"/>
          </w:tcPr>
          <w:p w14:paraId="386794E9" w14:textId="77777777" w:rsidR="00534F5E" w:rsidRPr="007500A4" w:rsidRDefault="00534F5E" w:rsidP="007500A4">
            <w:pPr>
              <w:pStyle w:val="Normal-Bold"/>
              <w:spacing w:before="60" w:after="60" w:line="240" w:lineRule="auto"/>
              <w:rPr>
                <w:sz w:val="20"/>
                <w:szCs w:val="20"/>
              </w:rPr>
            </w:pPr>
            <w:r w:rsidRPr="007500A4">
              <w:rPr>
                <w:sz w:val="20"/>
                <w:szCs w:val="20"/>
              </w:rPr>
              <w:t>Comment</w:t>
            </w:r>
          </w:p>
        </w:tc>
      </w:tr>
      <w:tr w:rsidR="00534F5E" w:rsidRPr="008F5CE1" w14:paraId="18535977" w14:textId="77777777" w:rsidTr="00AF4796">
        <w:trPr>
          <w:cnfStyle w:val="000000100000" w:firstRow="0" w:lastRow="0" w:firstColumn="0" w:lastColumn="0" w:oddVBand="0" w:evenVBand="0" w:oddHBand="1" w:evenHBand="0" w:firstRowFirstColumn="0" w:firstRowLastColumn="0" w:lastRowFirstColumn="0" w:lastRowLastColumn="0"/>
        </w:trPr>
        <w:tc>
          <w:tcPr>
            <w:tcW w:w="2500" w:type="pct"/>
          </w:tcPr>
          <w:p w14:paraId="3D154928" w14:textId="5F7762D8" w:rsidR="00534F5E" w:rsidRPr="008F5CE1" w:rsidRDefault="00534F5E" w:rsidP="007500A4">
            <w:pPr>
              <w:pStyle w:val="ListNumber"/>
            </w:pPr>
            <w:r w:rsidRPr="008F5CE1">
              <w:t>(1)</w:t>
            </w:r>
            <w:r w:rsidR="00CD2BB3" w:rsidRPr="00D77857">
              <w:tab/>
            </w:r>
            <w:r w:rsidRPr="008F5CE1">
              <w:t>Minister must take account of precautionary principle</w:t>
            </w:r>
          </w:p>
          <w:p w14:paraId="74A4648F" w14:textId="3960115B" w:rsidR="00534F5E" w:rsidRPr="008F5CE1" w:rsidRDefault="0049738E" w:rsidP="007500A4">
            <w:pPr>
              <w:pStyle w:val="ListNumber"/>
            </w:pPr>
            <w:r w:rsidRPr="008F5CE1">
              <w:t>(2)</w:t>
            </w:r>
            <w:r w:rsidR="00CD2BB3" w:rsidRPr="00D77857">
              <w:tab/>
            </w:r>
            <w:r w:rsidRPr="008F5CE1">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61B2CAC4" w14:textId="77777777" w:rsidR="00534F5E" w:rsidRPr="008F5CE1" w:rsidRDefault="00534F5E" w:rsidP="007500A4">
            <w:pPr>
              <w:rPr>
                <w:rFonts w:cs="Arial"/>
                <w:b/>
                <w:szCs w:val="18"/>
              </w:rPr>
            </w:pPr>
            <w:r w:rsidRPr="008F5CE1">
              <w:rPr>
                <w:rFonts w:cs="Arial"/>
                <w:b/>
                <w:szCs w:val="18"/>
              </w:rPr>
              <w:t>Meets</w:t>
            </w:r>
          </w:p>
          <w:p w14:paraId="2C4619AA" w14:textId="4A048222" w:rsidR="00534F5E" w:rsidRPr="008F5CE1" w:rsidRDefault="00534F5E" w:rsidP="007500A4">
            <w:pPr>
              <w:rPr>
                <w:szCs w:val="18"/>
              </w:rPr>
            </w:pPr>
            <w:r w:rsidRPr="008F5CE1">
              <w:rPr>
                <w:rFonts w:cs="Arial"/>
                <w:szCs w:val="18"/>
              </w:rPr>
              <w:t xml:space="preserve">Given the current and proposed management measures in place in the </w:t>
            </w:r>
            <w:r w:rsidR="00016AA6" w:rsidRPr="008F5CE1">
              <w:rPr>
                <w:rFonts w:cs="Arial"/>
                <w:szCs w:val="18"/>
              </w:rPr>
              <w:t xml:space="preserve">fishery </w:t>
            </w:r>
            <w:r w:rsidRPr="008F5CE1">
              <w:rPr>
                <w:rFonts w:cs="Arial"/>
                <w:szCs w:val="18"/>
              </w:rPr>
              <w:t xml:space="preserve">(identified at Section 2), the Department considers that </w:t>
            </w:r>
            <w:r w:rsidR="00560FBA">
              <w:rPr>
                <w:rFonts w:cs="Arial"/>
                <w:szCs w:val="18"/>
              </w:rPr>
              <w:t xml:space="preserve">the management agency is taking a </w:t>
            </w:r>
            <w:r w:rsidRPr="008F5CE1">
              <w:rPr>
                <w:rFonts w:cs="Arial"/>
                <w:szCs w:val="18"/>
              </w:rPr>
              <w:t xml:space="preserve">precautionary </w:t>
            </w:r>
            <w:r w:rsidR="00560FBA">
              <w:rPr>
                <w:rFonts w:cs="Arial"/>
                <w:szCs w:val="18"/>
              </w:rPr>
              <w:t xml:space="preserve">approach to managing risks </w:t>
            </w:r>
            <w:r w:rsidRPr="008F5CE1">
              <w:rPr>
                <w:rFonts w:cs="Arial"/>
                <w:szCs w:val="18"/>
              </w:rPr>
              <w:t>to prevent serious or irreversible environmental damage being caused by this fishery.</w:t>
            </w:r>
          </w:p>
        </w:tc>
      </w:tr>
    </w:tbl>
    <w:p w14:paraId="5444FDEA" w14:textId="123B944D" w:rsidR="00534F5E" w:rsidRDefault="00534F5E">
      <w:pPr>
        <w:spacing w:after="0"/>
        <w:rPr>
          <w:rFonts w:cs="Arial"/>
          <w:b/>
        </w:rPr>
      </w:pPr>
    </w:p>
    <w:p w14:paraId="03E5640A" w14:textId="72F94A42" w:rsidR="00534F5E" w:rsidRPr="009D4B49" w:rsidRDefault="00534F5E" w:rsidP="009F053A">
      <w:pPr>
        <w:spacing w:after="0"/>
        <w:rPr>
          <w:rFonts w:cs="Arial"/>
          <w:b/>
        </w:rPr>
      </w:pPr>
    </w:p>
    <w:p w14:paraId="46CFD416" w14:textId="33E60302" w:rsidR="00885298" w:rsidRDefault="00885298" w:rsidP="00885298"/>
    <w:p w14:paraId="1D9B4F18" w14:textId="77777777" w:rsidR="00895ECB" w:rsidRDefault="00895ECB" w:rsidP="005E2D35">
      <w:pPr>
        <w:pStyle w:val="Heading1"/>
        <w:sectPr w:rsidR="00895ECB" w:rsidSect="00895ECB">
          <w:pgSz w:w="16838" w:h="11906" w:orient="landscape"/>
          <w:pgMar w:top="1021" w:right="1021" w:bottom="1021" w:left="1021" w:header="425" w:footer="425" w:gutter="0"/>
          <w:cols w:space="708"/>
          <w:titlePg/>
          <w:docGrid w:linePitch="360"/>
        </w:sectPr>
      </w:pPr>
      <w:bookmarkStart w:id="6" w:name="_Toc316301052"/>
      <w:bookmarkEnd w:id="2"/>
    </w:p>
    <w:p w14:paraId="27F60467" w14:textId="3363FADA" w:rsidR="00B6012C" w:rsidRPr="001D55C7" w:rsidRDefault="00DD0EB5" w:rsidP="005E2D35">
      <w:pPr>
        <w:pStyle w:val="Heading1"/>
      </w:pPr>
      <w:bookmarkStart w:id="7" w:name="_Toc506553894"/>
      <w:r w:rsidRPr="001D55C7">
        <w:lastRenderedPageBreak/>
        <w:t>Section</w:t>
      </w:r>
      <w:r w:rsidR="00223C3E" w:rsidRPr="001D55C7">
        <w:t xml:space="preserve"> </w:t>
      </w:r>
      <w:r w:rsidR="0027138D" w:rsidRPr="001D55C7">
        <w:t>4</w:t>
      </w:r>
      <w:r w:rsidR="00223C3E" w:rsidRPr="001D55C7">
        <w:t>:</w:t>
      </w:r>
      <w:r w:rsidR="00B6012C" w:rsidRPr="001D55C7">
        <w:t xml:space="preserve"> </w:t>
      </w:r>
      <w:r w:rsidRPr="001D55C7">
        <w:t xml:space="preserve">South Australian Lakes and Coorong Fishery </w:t>
      </w:r>
      <w:r w:rsidR="00B6012C" w:rsidRPr="001D55C7">
        <w:t xml:space="preserve">– </w:t>
      </w:r>
      <w:r w:rsidRPr="001D55C7">
        <w:t>Summary of Issues Requiring Conditions, February 2018</w:t>
      </w:r>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7500A4" w14:paraId="2115D670" w14:textId="77777777" w:rsidTr="009C4386">
        <w:trPr>
          <w:tblHeader/>
          <w:jc w:val="center"/>
        </w:trPr>
        <w:tc>
          <w:tcPr>
            <w:tcW w:w="2500" w:type="pct"/>
            <w:shd w:val="clear" w:color="auto" w:fill="D9D9D9"/>
          </w:tcPr>
          <w:p w14:paraId="2413ADAD" w14:textId="04D23B0F" w:rsidR="009C4386" w:rsidRPr="007500A4" w:rsidRDefault="00B6012C" w:rsidP="007500A4">
            <w:pPr>
              <w:jc w:val="center"/>
              <w:rPr>
                <w:rFonts w:cs="Arial"/>
                <w:b/>
                <w:sz w:val="20"/>
                <w:szCs w:val="20"/>
              </w:rPr>
            </w:pPr>
            <w:r w:rsidRPr="007500A4">
              <w:rPr>
                <w:rFonts w:cs="Arial"/>
                <w:b/>
                <w:sz w:val="20"/>
                <w:szCs w:val="20"/>
              </w:rPr>
              <w:t>Issue</w:t>
            </w:r>
          </w:p>
        </w:tc>
        <w:tc>
          <w:tcPr>
            <w:tcW w:w="2500" w:type="pct"/>
            <w:shd w:val="clear" w:color="auto" w:fill="D9D9D9"/>
          </w:tcPr>
          <w:p w14:paraId="21FA798D" w14:textId="1416C7E8" w:rsidR="00B6012C" w:rsidRPr="007500A4" w:rsidRDefault="00B6012C" w:rsidP="007500A4">
            <w:pPr>
              <w:jc w:val="center"/>
              <w:rPr>
                <w:rFonts w:cs="Arial"/>
                <w:b/>
                <w:sz w:val="20"/>
                <w:szCs w:val="20"/>
              </w:rPr>
            </w:pPr>
            <w:r w:rsidRPr="007500A4">
              <w:rPr>
                <w:rFonts w:cs="Arial"/>
                <w:b/>
                <w:sz w:val="20"/>
                <w:szCs w:val="20"/>
              </w:rPr>
              <w:t>Condition</w:t>
            </w:r>
          </w:p>
        </w:tc>
      </w:tr>
      <w:tr w:rsidR="00B6012C" w:rsidRPr="007500A4" w14:paraId="26E0CB05" w14:textId="77777777" w:rsidTr="009C4386">
        <w:trPr>
          <w:jc w:val="center"/>
        </w:trPr>
        <w:tc>
          <w:tcPr>
            <w:tcW w:w="2500" w:type="pct"/>
          </w:tcPr>
          <w:p w14:paraId="5DD053B6" w14:textId="77777777" w:rsidR="00B6012C" w:rsidRPr="007500A4" w:rsidRDefault="00B6012C" w:rsidP="007500A4">
            <w:pPr>
              <w:pStyle w:val="Tabletext"/>
              <w:spacing w:before="60" w:after="60"/>
              <w:rPr>
                <w:b/>
                <w:sz w:val="18"/>
                <w:szCs w:val="18"/>
                <w:u w:val="single"/>
              </w:rPr>
            </w:pPr>
            <w:r w:rsidRPr="007500A4">
              <w:rPr>
                <w:b/>
                <w:sz w:val="18"/>
                <w:szCs w:val="18"/>
                <w:u w:val="single"/>
              </w:rPr>
              <w:t>General Management</w:t>
            </w:r>
          </w:p>
          <w:p w14:paraId="1C2862D5" w14:textId="22CBF691" w:rsidR="00A754FF" w:rsidRPr="007500A4" w:rsidRDefault="00D9358D" w:rsidP="007500A4">
            <w:pPr>
              <w:pStyle w:val="Tabletext"/>
              <w:spacing w:before="60" w:after="60"/>
              <w:rPr>
                <w:sz w:val="18"/>
                <w:szCs w:val="18"/>
              </w:rPr>
            </w:pPr>
            <w:r w:rsidRPr="007500A4">
              <w:rPr>
                <w:sz w:val="18"/>
                <w:szCs w:val="18"/>
              </w:rPr>
              <w:t xml:space="preserve">Export </w:t>
            </w:r>
            <w:r w:rsidR="00E735E3" w:rsidRPr="007500A4">
              <w:rPr>
                <w:sz w:val="18"/>
                <w:szCs w:val="18"/>
              </w:rPr>
              <w:t>decisions relate to the management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r w:rsidR="00576FBB" w:rsidRPr="007500A4">
              <w:rPr>
                <w:sz w:val="18"/>
                <w:szCs w:val="18"/>
              </w:rPr>
              <w:t>.</w:t>
            </w:r>
          </w:p>
        </w:tc>
        <w:tc>
          <w:tcPr>
            <w:tcW w:w="2500" w:type="pct"/>
          </w:tcPr>
          <w:p w14:paraId="5B9F5FA5" w14:textId="77777777" w:rsidR="00D9358D" w:rsidRPr="007500A4" w:rsidRDefault="00D9358D" w:rsidP="007500A4">
            <w:pPr>
              <w:pStyle w:val="Tabletext"/>
              <w:spacing w:before="60" w:after="60"/>
              <w:rPr>
                <w:b/>
                <w:sz w:val="18"/>
                <w:szCs w:val="18"/>
              </w:rPr>
            </w:pPr>
            <w:r w:rsidRPr="007500A4">
              <w:rPr>
                <w:b/>
                <w:sz w:val="18"/>
                <w:szCs w:val="18"/>
              </w:rPr>
              <w:t>Condition 1:</w:t>
            </w:r>
          </w:p>
          <w:p w14:paraId="0C252000" w14:textId="7B5DA20F" w:rsidR="00D9358D" w:rsidRPr="007500A4" w:rsidRDefault="00D9358D" w:rsidP="007500A4">
            <w:pPr>
              <w:pStyle w:val="Tabletext"/>
              <w:spacing w:before="60" w:after="60"/>
              <w:rPr>
                <w:sz w:val="18"/>
                <w:szCs w:val="18"/>
              </w:rPr>
            </w:pPr>
            <w:r w:rsidRPr="007500A4">
              <w:rPr>
                <w:sz w:val="18"/>
                <w:szCs w:val="18"/>
              </w:rPr>
              <w:t xml:space="preserve">Operation </w:t>
            </w:r>
            <w:r w:rsidR="00E735E3" w:rsidRPr="007500A4">
              <w:rPr>
                <w:sz w:val="18"/>
                <w:szCs w:val="18"/>
              </w:rPr>
              <w:t xml:space="preserve">of the </w:t>
            </w:r>
            <w:r w:rsidR="0099224A" w:rsidRPr="007500A4">
              <w:rPr>
                <w:sz w:val="18"/>
                <w:szCs w:val="18"/>
              </w:rPr>
              <w:t>SA</w:t>
            </w:r>
            <w:r w:rsidR="00E735E3" w:rsidRPr="007500A4">
              <w:rPr>
                <w:sz w:val="18"/>
                <w:szCs w:val="18"/>
              </w:rPr>
              <w:t xml:space="preserve"> </w:t>
            </w:r>
            <w:r w:rsidR="00736B39" w:rsidRPr="007500A4">
              <w:rPr>
                <w:sz w:val="18"/>
                <w:szCs w:val="18"/>
              </w:rPr>
              <w:t xml:space="preserve">Lakes and Coorong Fishery will be carried out under the </w:t>
            </w:r>
            <w:r w:rsidR="00736B39" w:rsidRPr="007500A4">
              <w:rPr>
                <w:i/>
                <w:iCs/>
                <w:sz w:val="18"/>
                <w:szCs w:val="18"/>
              </w:rPr>
              <w:t>Management Plan for the South Australian Lakes and Coorong Fishery 2016</w:t>
            </w:r>
            <w:r w:rsidR="00736B39" w:rsidRPr="007500A4">
              <w:rPr>
                <w:iCs/>
                <w:sz w:val="18"/>
                <w:szCs w:val="18"/>
              </w:rPr>
              <w:t>, and in accordance with the</w:t>
            </w:r>
            <w:r w:rsidR="00736B39" w:rsidRPr="007500A4">
              <w:rPr>
                <w:i/>
                <w:iCs/>
                <w:sz w:val="18"/>
                <w:szCs w:val="18"/>
              </w:rPr>
              <w:t xml:space="preserve"> </w:t>
            </w:r>
            <w:r w:rsidR="00736B39" w:rsidRPr="007500A4">
              <w:rPr>
                <w:iCs/>
                <w:sz w:val="18"/>
                <w:szCs w:val="18"/>
              </w:rPr>
              <w:t>Fisheries Management (Lakes a</w:t>
            </w:r>
            <w:r w:rsidR="00284EF0">
              <w:rPr>
                <w:iCs/>
                <w:sz w:val="18"/>
                <w:szCs w:val="18"/>
              </w:rPr>
              <w:t>nd Coorong Fishery) Regulations </w:t>
            </w:r>
            <w:r w:rsidR="00736B39" w:rsidRPr="007500A4">
              <w:rPr>
                <w:iCs/>
                <w:sz w:val="18"/>
                <w:szCs w:val="18"/>
              </w:rPr>
              <w:t xml:space="preserve">2009 (SA), Fisheries Management (General) Regulations 2007 (SA) and the </w:t>
            </w:r>
            <w:r w:rsidR="00736B39" w:rsidRPr="007500A4">
              <w:rPr>
                <w:i/>
                <w:iCs/>
                <w:sz w:val="18"/>
                <w:szCs w:val="18"/>
              </w:rPr>
              <w:t>Fisheries Management Act 2007</w:t>
            </w:r>
            <w:r w:rsidR="00736B39" w:rsidRPr="007500A4">
              <w:rPr>
                <w:iCs/>
                <w:sz w:val="18"/>
                <w:szCs w:val="18"/>
              </w:rPr>
              <w:t xml:space="preserve"> (SA</w:t>
            </w:r>
            <w:r w:rsidRPr="007500A4">
              <w:rPr>
                <w:sz w:val="18"/>
                <w:szCs w:val="18"/>
              </w:rPr>
              <w:t xml:space="preserve">). </w:t>
            </w:r>
          </w:p>
          <w:p w14:paraId="0749586D" w14:textId="77777777" w:rsidR="00D9358D" w:rsidRPr="007500A4" w:rsidRDefault="00D9358D" w:rsidP="007500A4">
            <w:pPr>
              <w:pStyle w:val="Tabletext"/>
              <w:spacing w:before="60" w:after="60"/>
              <w:rPr>
                <w:sz w:val="18"/>
                <w:szCs w:val="18"/>
              </w:rPr>
            </w:pPr>
          </w:p>
          <w:p w14:paraId="23D1F875" w14:textId="77777777" w:rsidR="00D9358D" w:rsidRPr="007500A4" w:rsidRDefault="00D9358D" w:rsidP="007500A4">
            <w:pPr>
              <w:pStyle w:val="Tabletext"/>
              <w:spacing w:before="60" w:after="60"/>
              <w:rPr>
                <w:b/>
                <w:sz w:val="18"/>
                <w:szCs w:val="18"/>
              </w:rPr>
            </w:pPr>
            <w:r w:rsidRPr="007500A4">
              <w:rPr>
                <w:b/>
                <w:sz w:val="18"/>
                <w:szCs w:val="18"/>
              </w:rPr>
              <w:t>Condition 2:</w:t>
            </w:r>
          </w:p>
          <w:p w14:paraId="449BC4FC" w14:textId="08921F51" w:rsidR="0035294A" w:rsidRPr="007500A4" w:rsidRDefault="00D9358D" w:rsidP="007500A4">
            <w:pPr>
              <w:pStyle w:val="Tabletext"/>
              <w:spacing w:before="60" w:after="60"/>
              <w:rPr>
                <w:color w:val="3366FF"/>
                <w:sz w:val="18"/>
                <w:szCs w:val="18"/>
              </w:rPr>
            </w:pPr>
            <w:r w:rsidRPr="007500A4">
              <w:rPr>
                <w:sz w:val="18"/>
                <w:szCs w:val="18"/>
              </w:rPr>
              <w:t xml:space="preserve">The </w:t>
            </w:r>
            <w:r w:rsidR="009C4386" w:rsidRPr="007500A4">
              <w:rPr>
                <w:sz w:val="18"/>
                <w:szCs w:val="18"/>
              </w:rPr>
              <w:t xml:space="preserve">Department of Primary Industries and Regions South Australia to inform the Department of any intended amendments to the management arrangements that may affect the criteria on which </w:t>
            </w:r>
            <w:r w:rsidR="009C4386" w:rsidRPr="007500A4">
              <w:rPr>
                <w:i/>
                <w:iCs/>
                <w:sz w:val="18"/>
                <w:szCs w:val="18"/>
              </w:rPr>
              <w:t xml:space="preserve">Environment Protection and Biodiversity Conservation Act 1999 </w:t>
            </w:r>
            <w:r w:rsidR="009C4386" w:rsidRPr="007500A4">
              <w:rPr>
                <w:sz w:val="18"/>
                <w:szCs w:val="18"/>
              </w:rPr>
              <w:t>decisions are based</w:t>
            </w:r>
            <w:r w:rsidRPr="007500A4">
              <w:rPr>
                <w:sz w:val="18"/>
                <w:szCs w:val="18"/>
              </w:rPr>
              <w:t>.</w:t>
            </w:r>
          </w:p>
        </w:tc>
      </w:tr>
      <w:tr w:rsidR="00B6012C" w:rsidRPr="007500A4" w14:paraId="70731DC8" w14:textId="77777777" w:rsidTr="009C4386">
        <w:trPr>
          <w:jc w:val="center"/>
        </w:trPr>
        <w:tc>
          <w:tcPr>
            <w:tcW w:w="2500" w:type="pct"/>
          </w:tcPr>
          <w:p w14:paraId="026C2EE7" w14:textId="77777777" w:rsidR="00D9358D" w:rsidRPr="007500A4" w:rsidRDefault="00D9358D" w:rsidP="007500A4">
            <w:pPr>
              <w:pStyle w:val="Tabletext"/>
              <w:spacing w:before="60" w:after="60"/>
              <w:rPr>
                <w:b/>
                <w:sz w:val="18"/>
                <w:szCs w:val="18"/>
                <w:u w:val="single"/>
              </w:rPr>
            </w:pPr>
            <w:r w:rsidRPr="007500A4">
              <w:rPr>
                <w:b/>
                <w:sz w:val="18"/>
                <w:szCs w:val="18"/>
                <w:u w:val="single"/>
              </w:rPr>
              <w:t xml:space="preserve">Annual Reporting </w:t>
            </w:r>
          </w:p>
          <w:p w14:paraId="616AE1E5" w14:textId="570C30A3" w:rsidR="0035294A" w:rsidRPr="007500A4" w:rsidRDefault="00E735E3" w:rsidP="007500A4">
            <w:pPr>
              <w:pStyle w:val="Tabletext"/>
              <w:spacing w:before="60" w:after="60"/>
              <w:rPr>
                <w:sz w:val="18"/>
                <w:szCs w:val="18"/>
                <w:highlight w:val="yellow"/>
              </w:rPr>
            </w:pPr>
            <w:r w:rsidRPr="007500A4">
              <w:rPr>
                <w:sz w:val="18"/>
                <w:szCs w:val="18"/>
              </w:rPr>
              <w:t xml:space="preserve">It is important that reports be produced and presented to the Department annually in order for the performance of </w:t>
            </w:r>
            <w:r w:rsidR="00A7622C" w:rsidRPr="007500A4">
              <w:rPr>
                <w:sz w:val="18"/>
                <w:szCs w:val="18"/>
              </w:rPr>
              <w:t xml:space="preserve">the </w:t>
            </w:r>
            <w:r w:rsidR="0099224A" w:rsidRPr="007500A4">
              <w:rPr>
                <w:sz w:val="18"/>
                <w:szCs w:val="18"/>
              </w:rPr>
              <w:t xml:space="preserve">SA </w:t>
            </w:r>
            <w:r w:rsidR="00A7622C" w:rsidRPr="007500A4">
              <w:rPr>
                <w:sz w:val="18"/>
                <w:szCs w:val="18"/>
              </w:rPr>
              <w:t xml:space="preserve">Lakes and Coorong Fishery (the </w:t>
            </w:r>
            <w:r w:rsidR="0099224A" w:rsidRPr="007500A4">
              <w:rPr>
                <w:sz w:val="18"/>
                <w:szCs w:val="18"/>
              </w:rPr>
              <w:t>fishery</w:t>
            </w:r>
            <w:r w:rsidR="00A7622C" w:rsidRPr="007500A4">
              <w:rPr>
                <w:sz w:val="18"/>
                <w:szCs w:val="18"/>
              </w:rPr>
              <w:t xml:space="preserve">) </w:t>
            </w:r>
            <w:r w:rsidRPr="007500A4">
              <w:rPr>
                <w:sz w:val="18"/>
                <w:szCs w:val="18"/>
              </w:rPr>
              <w:t xml:space="preserve">and progress in implementing the conditions and recommendations in this report and other managerial commitments to be monitored and assessed throughout the life of the declaration as a wildlife trade operation. Annual reports should follow Appendix B to the </w:t>
            </w:r>
            <w:r w:rsidRPr="007500A4">
              <w:rPr>
                <w:i/>
                <w:sz w:val="18"/>
                <w:szCs w:val="18"/>
              </w:rPr>
              <w:t>Guidelines for the Ecologically Sustainable Management of Fisheries - 2nd </w:t>
            </w:r>
            <w:r w:rsidR="00A7622C" w:rsidRPr="007500A4">
              <w:rPr>
                <w:i/>
                <w:sz w:val="18"/>
                <w:szCs w:val="18"/>
              </w:rPr>
              <w:t>Edition</w:t>
            </w:r>
            <w:r w:rsidR="00A7622C" w:rsidRPr="007500A4">
              <w:rPr>
                <w:sz w:val="18"/>
                <w:szCs w:val="18"/>
              </w:rPr>
              <w:t xml:space="preserve"> (the Guidelines) and include a description </w:t>
            </w:r>
            <w:r w:rsidRPr="007500A4">
              <w:rPr>
                <w:sz w:val="18"/>
                <w:szCs w:val="18"/>
              </w:rPr>
              <w:t xml:space="preserve">of the fishery, management arrangements in place, research and monitoring outcomes, recent catch data for all sectors of the fishery, status of target stock, interactions with EPBC Act protected species, impacts of the </w:t>
            </w:r>
            <w:r w:rsidR="00016AA6" w:rsidRPr="007500A4">
              <w:rPr>
                <w:sz w:val="18"/>
                <w:szCs w:val="18"/>
              </w:rPr>
              <w:t xml:space="preserve">fishery </w:t>
            </w:r>
            <w:r w:rsidRPr="007500A4">
              <w:rPr>
                <w:sz w:val="18"/>
                <w:szCs w:val="18"/>
              </w:rPr>
              <w:t xml:space="preserve">on the ecosystem in which it operates and progress in implementing the Department’s conditions and recommendations. Electronic copies of the Guidelines are available from the Department’s website at </w:t>
            </w:r>
            <w:hyperlink r:id="rId36" w:history="1">
              <w:r w:rsidRPr="007500A4">
                <w:rPr>
                  <w:rStyle w:val="Hyperlink"/>
                  <w:sz w:val="18"/>
                  <w:szCs w:val="18"/>
                </w:rPr>
                <w:t>http://www.environment.gov.au/resource/guidelines-ecologically-sustainable-management-fisheries</w:t>
              </w:r>
            </w:hyperlink>
            <w:r w:rsidRPr="007500A4">
              <w:rPr>
                <w:sz w:val="18"/>
                <w:szCs w:val="18"/>
              </w:rPr>
              <w:t>.</w:t>
            </w:r>
          </w:p>
        </w:tc>
        <w:tc>
          <w:tcPr>
            <w:tcW w:w="2500" w:type="pct"/>
          </w:tcPr>
          <w:p w14:paraId="0FC3D734" w14:textId="77777777" w:rsidR="00D9358D" w:rsidRPr="007500A4" w:rsidRDefault="00D9358D" w:rsidP="007500A4">
            <w:pPr>
              <w:pStyle w:val="Tabletext"/>
              <w:spacing w:before="60" w:after="60"/>
              <w:rPr>
                <w:b/>
                <w:sz w:val="18"/>
                <w:szCs w:val="18"/>
              </w:rPr>
            </w:pPr>
            <w:r w:rsidRPr="007500A4">
              <w:rPr>
                <w:b/>
                <w:sz w:val="18"/>
                <w:szCs w:val="18"/>
              </w:rPr>
              <w:t>Condition 3:</w:t>
            </w:r>
          </w:p>
          <w:p w14:paraId="67239146" w14:textId="7E29C6A1" w:rsidR="00D9358D" w:rsidRPr="007500A4" w:rsidRDefault="00D9358D" w:rsidP="007500A4">
            <w:pPr>
              <w:pStyle w:val="Tabletext"/>
              <w:spacing w:before="60" w:after="60"/>
              <w:rPr>
                <w:i/>
                <w:iCs/>
                <w:sz w:val="18"/>
                <w:szCs w:val="18"/>
              </w:rPr>
            </w:pPr>
            <w:r w:rsidRPr="007500A4">
              <w:rPr>
                <w:sz w:val="18"/>
                <w:szCs w:val="18"/>
              </w:rPr>
              <w:t xml:space="preserve">The </w:t>
            </w:r>
            <w:r w:rsidR="00E735E3" w:rsidRPr="007500A4">
              <w:rPr>
                <w:sz w:val="18"/>
                <w:szCs w:val="18"/>
              </w:rPr>
              <w:t xml:space="preserve">Department of </w:t>
            </w:r>
            <w:r w:rsidR="00736B39" w:rsidRPr="007500A4">
              <w:rPr>
                <w:sz w:val="18"/>
                <w:szCs w:val="18"/>
              </w:rPr>
              <w:t xml:space="preserve">Primary Industries and Regions South Australia to produce and present reports to the Department annually as per Appendix B to the </w:t>
            </w:r>
            <w:r w:rsidR="00736B39" w:rsidRPr="007500A4">
              <w:rPr>
                <w:i/>
                <w:iCs/>
                <w:sz w:val="18"/>
                <w:szCs w:val="18"/>
              </w:rPr>
              <w:t>Guidelines for the Ecologically Sustainable Management of Fisheries – 2nd Edition</w:t>
            </w:r>
            <w:r w:rsidRPr="007500A4">
              <w:rPr>
                <w:i/>
                <w:iCs/>
                <w:sz w:val="18"/>
                <w:szCs w:val="18"/>
              </w:rPr>
              <w:t>.</w:t>
            </w:r>
          </w:p>
          <w:p w14:paraId="5F984A9C" w14:textId="1027B049" w:rsidR="00B6012C" w:rsidRPr="007500A4" w:rsidRDefault="00B6012C" w:rsidP="007500A4">
            <w:pPr>
              <w:pStyle w:val="Tabletext"/>
              <w:spacing w:before="60" w:after="60"/>
              <w:rPr>
                <w:sz w:val="18"/>
                <w:szCs w:val="18"/>
              </w:rPr>
            </w:pPr>
          </w:p>
        </w:tc>
      </w:tr>
      <w:tr w:rsidR="00D9358D" w:rsidRPr="007500A4" w14:paraId="5A305C73" w14:textId="77777777" w:rsidTr="009C4386">
        <w:trPr>
          <w:jc w:val="center"/>
        </w:trPr>
        <w:tc>
          <w:tcPr>
            <w:tcW w:w="2500" w:type="pct"/>
          </w:tcPr>
          <w:p w14:paraId="740FF226" w14:textId="77777777" w:rsidR="00D9358D" w:rsidRPr="007500A4" w:rsidRDefault="00D9358D" w:rsidP="007500A4">
            <w:pPr>
              <w:pStyle w:val="Tabletext"/>
              <w:spacing w:before="60" w:after="60"/>
              <w:rPr>
                <w:b/>
                <w:sz w:val="18"/>
                <w:szCs w:val="18"/>
                <w:u w:val="single"/>
              </w:rPr>
            </w:pPr>
            <w:r w:rsidRPr="007500A4">
              <w:rPr>
                <w:b/>
                <w:sz w:val="18"/>
                <w:szCs w:val="18"/>
                <w:u w:val="single"/>
              </w:rPr>
              <w:t>Murray Cod</w:t>
            </w:r>
          </w:p>
          <w:p w14:paraId="27794F2F" w14:textId="331D7265" w:rsidR="00D9358D" w:rsidRPr="007500A4" w:rsidRDefault="00D9358D" w:rsidP="007500A4">
            <w:pPr>
              <w:pStyle w:val="Tabletext"/>
              <w:spacing w:before="60" w:after="60"/>
              <w:rPr>
                <w:sz w:val="18"/>
                <w:szCs w:val="18"/>
              </w:rPr>
            </w:pPr>
            <w:r w:rsidRPr="007500A4">
              <w:rPr>
                <w:sz w:val="18"/>
                <w:szCs w:val="18"/>
              </w:rPr>
              <w:t xml:space="preserve">Murray </w:t>
            </w:r>
            <w:r w:rsidR="00E735E3" w:rsidRPr="007500A4">
              <w:rPr>
                <w:sz w:val="18"/>
                <w:szCs w:val="18"/>
              </w:rPr>
              <w:t>cod is a freshwater species listed as ‘vulnerable’, under Part 13 of the EPBC Act. The Department considers that there is unlikely to be sufficient recovery of Murray cod that will allow sustainable fishing pressure in the short to medium term</w:t>
            </w:r>
            <w:r w:rsidRPr="007500A4">
              <w:rPr>
                <w:sz w:val="18"/>
                <w:szCs w:val="18"/>
              </w:rPr>
              <w:t xml:space="preserve">. The </w:t>
            </w:r>
            <w:r w:rsidR="00B57D19" w:rsidRPr="007500A4">
              <w:rPr>
                <w:sz w:val="18"/>
                <w:szCs w:val="18"/>
              </w:rPr>
              <w:t>Department supports the decision by the Department of Primary Industries and Regions South Australia (PIRSA) to implement temporary management arrangements to protect and support the recovery of the Murray cod population. These management arrangements have been ongoing since 2012, and the Department supports its continuation until the recovery of Murray cod stocks can once again sustain fishing pressure</w:t>
            </w:r>
            <w:r w:rsidRPr="007500A4">
              <w:rPr>
                <w:sz w:val="18"/>
                <w:szCs w:val="18"/>
              </w:rPr>
              <w:t xml:space="preserve">. </w:t>
            </w:r>
          </w:p>
          <w:p w14:paraId="3EF52BB2" w14:textId="55035854" w:rsidR="0035294A" w:rsidRPr="007500A4" w:rsidRDefault="00D9358D" w:rsidP="007500A4">
            <w:pPr>
              <w:pStyle w:val="Tabletext"/>
              <w:spacing w:before="60" w:after="60"/>
              <w:rPr>
                <w:sz w:val="18"/>
                <w:szCs w:val="18"/>
              </w:rPr>
            </w:pPr>
            <w:r w:rsidRPr="007500A4">
              <w:rPr>
                <w:sz w:val="18"/>
                <w:szCs w:val="18"/>
              </w:rPr>
              <w:t xml:space="preserve">Under </w:t>
            </w:r>
            <w:r w:rsidR="00B57D19" w:rsidRPr="007500A4">
              <w:rPr>
                <w:sz w:val="18"/>
                <w:szCs w:val="18"/>
              </w:rPr>
              <w:t xml:space="preserve">these management arrangements there is no commercial take of Murray cod by the </w:t>
            </w:r>
            <w:r w:rsidR="00016AA6" w:rsidRPr="007500A4">
              <w:rPr>
                <w:sz w:val="18"/>
                <w:szCs w:val="18"/>
              </w:rPr>
              <w:t xml:space="preserve">fishery </w:t>
            </w:r>
            <w:r w:rsidR="00B57D19" w:rsidRPr="007500A4">
              <w:rPr>
                <w:sz w:val="18"/>
                <w:szCs w:val="18"/>
              </w:rPr>
              <w:t>until stocks improve to a level that can sustain fishing pressure. Recreational fishing for Murray cod is restricted to catch and release fishing from 1 January to 31 July. Recreational fishing for Murray cod is prohibited from 1 August to 31 December until such time that stocks improve to a level that can sustain fishing pressure</w:t>
            </w:r>
            <w:r w:rsidRPr="007500A4">
              <w:rPr>
                <w:sz w:val="18"/>
                <w:szCs w:val="18"/>
              </w:rPr>
              <w:t>.</w:t>
            </w:r>
            <w:r w:rsidR="00576FBB" w:rsidRPr="007500A4">
              <w:rPr>
                <w:sz w:val="18"/>
                <w:szCs w:val="18"/>
              </w:rPr>
              <w:t xml:space="preserve"> </w:t>
            </w:r>
            <w:r w:rsidRPr="007500A4">
              <w:rPr>
                <w:sz w:val="18"/>
                <w:szCs w:val="18"/>
              </w:rPr>
              <w:t xml:space="preserve">It is </w:t>
            </w:r>
            <w:r w:rsidR="00B57D19" w:rsidRPr="007500A4">
              <w:rPr>
                <w:sz w:val="18"/>
                <w:szCs w:val="18"/>
              </w:rPr>
              <w:t xml:space="preserve">also important </w:t>
            </w:r>
            <w:r w:rsidR="00B57D19" w:rsidRPr="007500A4">
              <w:rPr>
                <w:sz w:val="18"/>
                <w:szCs w:val="18"/>
              </w:rPr>
              <w:lastRenderedPageBreak/>
              <w:t>that the management arrangements are regularly reviewed and appropriate measures implemented in a timely manner to minimise any adverse impacts on Murray cod stocks</w:t>
            </w:r>
            <w:r w:rsidRPr="007500A4">
              <w:rPr>
                <w:sz w:val="18"/>
                <w:szCs w:val="18"/>
              </w:rPr>
              <w:t>.</w:t>
            </w:r>
          </w:p>
        </w:tc>
        <w:tc>
          <w:tcPr>
            <w:tcW w:w="2500" w:type="pct"/>
          </w:tcPr>
          <w:p w14:paraId="5095C7D2" w14:textId="77777777" w:rsidR="00D9358D" w:rsidRPr="007500A4" w:rsidRDefault="00D9358D" w:rsidP="007500A4">
            <w:pPr>
              <w:pStyle w:val="Tabletext"/>
              <w:spacing w:before="60" w:after="60"/>
              <w:rPr>
                <w:b/>
                <w:sz w:val="18"/>
                <w:szCs w:val="18"/>
              </w:rPr>
            </w:pPr>
            <w:r w:rsidRPr="007500A4">
              <w:rPr>
                <w:b/>
                <w:sz w:val="18"/>
                <w:szCs w:val="18"/>
              </w:rPr>
              <w:lastRenderedPageBreak/>
              <w:t>Condition 4:</w:t>
            </w:r>
          </w:p>
          <w:p w14:paraId="75DD8EC2" w14:textId="77777777" w:rsidR="00A7622C" w:rsidRPr="007500A4" w:rsidRDefault="00D9358D" w:rsidP="007500A4">
            <w:pPr>
              <w:pStyle w:val="Tabletext"/>
              <w:spacing w:before="60" w:after="60"/>
              <w:rPr>
                <w:sz w:val="18"/>
                <w:szCs w:val="18"/>
              </w:rPr>
            </w:pPr>
            <w:r w:rsidRPr="007500A4">
              <w:rPr>
                <w:sz w:val="18"/>
                <w:szCs w:val="18"/>
              </w:rPr>
              <w:t xml:space="preserve">The </w:t>
            </w:r>
            <w:r w:rsidR="00E735E3" w:rsidRPr="007500A4">
              <w:rPr>
                <w:sz w:val="18"/>
                <w:szCs w:val="18"/>
              </w:rPr>
              <w:t xml:space="preserve">Department of Primary Industries and Regions South Australia to </w:t>
            </w:r>
          </w:p>
          <w:p w14:paraId="3DC2205A" w14:textId="6852A84C" w:rsidR="00A7622C" w:rsidRPr="007500A4" w:rsidRDefault="00E735E3" w:rsidP="007500A4">
            <w:pPr>
              <w:pStyle w:val="ListContinue"/>
            </w:pPr>
            <w:r w:rsidRPr="007500A4">
              <w:t xml:space="preserve">continue to annually </w:t>
            </w:r>
            <w:r w:rsidR="00736B39" w:rsidRPr="007500A4">
              <w:t>review management arrangements for Murray cod stocks in the SA Lakes and Coorong Fishery</w:t>
            </w:r>
            <w:r w:rsidRPr="007500A4">
              <w:t xml:space="preserve">, and </w:t>
            </w:r>
          </w:p>
          <w:p w14:paraId="5E9A22A7" w14:textId="4D3ADD83" w:rsidR="00D9358D" w:rsidRPr="007500A4" w:rsidRDefault="00E735E3" w:rsidP="007500A4">
            <w:pPr>
              <w:pStyle w:val="ListContinue"/>
            </w:pPr>
            <w:r w:rsidRPr="007500A4">
              <w:t xml:space="preserve">implement appropriate and </w:t>
            </w:r>
            <w:r w:rsidR="00736B39" w:rsidRPr="007500A4">
              <w:t>timely protection and management measures until stock levels increase and can be sustainably fished</w:t>
            </w:r>
            <w:r w:rsidR="00D9358D" w:rsidRPr="007500A4">
              <w:t>.</w:t>
            </w:r>
          </w:p>
        </w:tc>
      </w:tr>
      <w:tr w:rsidR="00D9358D" w:rsidRPr="007500A4" w14:paraId="07B0163D" w14:textId="77777777" w:rsidTr="009C4386">
        <w:trPr>
          <w:jc w:val="center"/>
        </w:trPr>
        <w:tc>
          <w:tcPr>
            <w:tcW w:w="2500" w:type="pct"/>
          </w:tcPr>
          <w:p w14:paraId="44FAE6CD" w14:textId="77777777" w:rsidR="00D9358D" w:rsidRPr="007500A4" w:rsidRDefault="00D9358D" w:rsidP="007500A4">
            <w:pPr>
              <w:pStyle w:val="Tabletext"/>
              <w:spacing w:before="60" w:after="60"/>
              <w:rPr>
                <w:b/>
                <w:sz w:val="18"/>
                <w:szCs w:val="18"/>
                <w:u w:val="single"/>
              </w:rPr>
            </w:pPr>
            <w:r w:rsidRPr="007500A4">
              <w:rPr>
                <w:b/>
                <w:sz w:val="18"/>
                <w:szCs w:val="18"/>
                <w:u w:val="single"/>
              </w:rPr>
              <w:t>Stock status</w:t>
            </w:r>
          </w:p>
          <w:p w14:paraId="6E9C634B" w14:textId="3BD2FDFC" w:rsidR="00D9358D" w:rsidRPr="007500A4" w:rsidRDefault="00D9358D" w:rsidP="007500A4">
            <w:pPr>
              <w:pStyle w:val="Tabletext"/>
              <w:spacing w:before="60" w:after="60"/>
              <w:rPr>
                <w:sz w:val="18"/>
                <w:szCs w:val="18"/>
              </w:rPr>
            </w:pPr>
            <w:r w:rsidRPr="007500A4">
              <w:rPr>
                <w:sz w:val="18"/>
                <w:szCs w:val="18"/>
              </w:rPr>
              <w:t xml:space="preserve">While </w:t>
            </w:r>
            <w:r w:rsidR="00B57D19" w:rsidRPr="007500A4">
              <w:rPr>
                <w:sz w:val="18"/>
                <w:szCs w:val="18"/>
              </w:rPr>
              <w:t xml:space="preserve">most target and byproduct species taken in the </w:t>
            </w:r>
            <w:r w:rsidR="00016AA6" w:rsidRPr="007500A4">
              <w:rPr>
                <w:sz w:val="18"/>
                <w:szCs w:val="18"/>
              </w:rPr>
              <w:t xml:space="preserve">fishery </w:t>
            </w:r>
            <w:r w:rsidR="00B57D19" w:rsidRPr="007500A4">
              <w:rPr>
                <w:sz w:val="18"/>
                <w:szCs w:val="18"/>
              </w:rPr>
              <w:t>are fished sustainably, the information provided by PIRSA identified risks and uncertainties for a number of target species stocks</w:t>
            </w:r>
            <w:r w:rsidRPr="007500A4">
              <w:rPr>
                <w:sz w:val="18"/>
                <w:szCs w:val="18"/>
              </w:rPr>
              <w:t xml:space="preserve">. </w:t>
            </w:r>
            <w:r w:rsidR="00B57D19" w:rsidRPr="007500A4">
              <w:rPr>
                <w:sz w:val="18"/>
                <w:szCs w:val="18"/>
              </w:rPr>
              <w:t xml:space="preserve">Earl et al. </w:t>
            </w:r>
            <w:r w:rsidR="005C0FE3" w:rsidRPr="007500A4">
              <w:rPr>
                <w:sz w:val="18"/>
                <w:szCs w:val="18"/>
              </w:rPr>
              <w:t>(</w:t>
            </w:r>
            <w:r w:rsidR="00B57D19" w:rsidRPr="007500A4">
              <w:rPr>
                <w:sz w:val="18"/>
                <w:szCs w:val="18"/>
              </w:rPr>
              <w:t xml:space="preserve">2016) classifies </w:t>
            </w:r>
            <w:r w:rsidR="005C0FE3" w:rsidRPr="007500A4">
              <w:rPr>
                <w:b/>
                <w:sz w:val="18"/>
                <w:szCs w:val="18"/>
              </w:rPr>
              <w:t>black bream</w:t>
            </w:r>
            <w:r w:rsidR="005C0FE3" w:rsidRPr="007500A4">
              <w:rPr>
                <w:sz w:val="18"/>
                <w:szCs w:val="18"/>
              </w:rPr>
              <w:t xml:space="preserve"> </w:t>
            </w:r>
            <w:r w:rsidR="00B57D19" w:rsidRPr="007500A4">
              <w:rPr>
                <w:sz w:val="18"/>
                <w:szCs w:val="18"/>
              </w:rPr>
              <w:t xml:space="preserve">stocks as </w:t>
            </w:r>
            <w:r w:rsidR="00B57D19" w:rsidRPr="007500A4">
              <w:rPr>
                <w:b/>
                <w:sz w:val="18"/>
                <w:szCs w:val="18"/>
              </w:rPr>
              <w:t>overfished</w:t>
            </w:r>
            <w:r w:rsidR="00B57D19" w:rsidRPr="007500A4">
              <w:rPr>
                <w:sz w:val="18"/>
                <w:szCs w:val="18"/>
              </w:rPr>
              <w:t xml:space="preserve">. The </w:t>
            </w:r>
            <w:r w:rsidR="005C0FE3" w:rsidRPr="007500A4">
              <w:rPr>
                <w:sz w:val="18"/>
                <w:szCs w:val="18"/>
              </w:rPr>
              <w:t xml:space="preserve">stock assessment report </w:t>
            </w:r>
            <w:r w:rsidR="00B57D19" w:rsidRPr="007500A4">
              <w:rPr>
                <w:sz w:val="18"/>
                <w:szCs w:val="18"/>
              </w:rPr>
              <w:t>recommends the introduction of appropriate mitigation measures to allow black bream stocks to recover. In response, PIRSA has developed the three options to manage black bream stocks in the foreseeable future</w:t>
            </w:r>
            <w:r w:rsidRPr="007500A4">
              <w:rPr>
                <w:sz w:val="18"/>
                <w:szCs w:val="18"/>
              </w:rPr>
              <w:t>:</w:t>
            </w:r>
          </w:p>
          <w:p w14:paraId="009A3713" w14:textId="3E6E1D65" w:rsidR="00D9358D" w:rsidRPr="007500A4" w:rsidRDefault="004726A9" w:rsidP="007500A4">
            <w:pPr>
              <w:pStyle w:val="ListNumber2Table-text"/>
              <w:numPr>
                <w:ilvl w:val="0"/>
                <w:numId w:val="62"/>
              </w:numPr>
              <w:spacing w:before="60" w:after="60"/>
              <w:ind w:left="357" w:hanging="357"/>
            </w:pPr>
            <w:r w:rsidRPr="007500A4">
              <w:t>i</w:t>
            </w:r>
            <w:r w:rsidR="00D9358D" w:rsidRPr="007500A4">
              <w:t xml:space="preserve">mplement a </w:t>
            </w:r>
            <w:r w:rsidR="00B57D19" w:rsidRPr="007500A4">
              <w:t xml:space="preserve">300m spatial closure around the Lakes and Coorong barrages to prohibit fishing for both recreational and commercial </w:t>
            </w:r>
            <w:r w:rsidR="00D9358D" w:rsidRPr="007500A4">
              <w:t>fishing</w:t>
            </w:r>
          </w:p>
          <w:p w14:paraId="373F8D13" w14:textId="58B456C1" w:rsidR="00D9358D" w:rsidRPr="007500A4" w:rsidRDefault="004726A9" w:rsidP="007500A4">
            <w:pPr>
              <w:pStyle w:val="ListContinue"/>
            </w:pPr>
            <w:r w:rsidRPr="007500A4">
              <w:t>i</w:t>
            </w:r>
            <w:r w:rsidR="00B57D19" w:rsidRPr="007500A4">
              <w:t>mplement seasonal closures</w:t>
            </w:r>
            <w:r w:rsidR="00D9358D" w:rsidRPr="007500A4">
              <w:t>, and</w:t>
            </w:r>
          </w:p>
          <w:p w14:paraId="1C13DC16" w14:textId="07546680" w:rsidR="00D9358D" w:rsidRPr="007500A4" w:rsidRDefault="004726A9" w:rsidP="007500A4">
            <w:pPr>
              <w:pStyle w:val="ListContinue"/>
            </w:pPr>
            <w:r w:rsidRPr="007500A4">
              <w:t>c</w:t>
            </w:r>
            <w:r w:rsidR="00D9358D" w:rsidRPr="007500A4">
              <w:t xml:space="preserve">losure </w:t>
            </w:r>
            <w:r w:rsidR="00B57D19" w:rsidRPr="007500A4">
              <w:t xml:space="preserve">of the </w:t>
            </w:r>
            <w:r w:rsidR="005C0FE3" w:rsidRPr="007500A4">
              <w:t>b</w:t>
            </w:r>
            <w:r w:rsidR="00B57D19" w:rsidRPr="007500A4">
              <w:t xml:space="preserve">lack </w:t>
            </w:r>
            <w:r w:rsidR="005C0FE3" w:rsidRPr="007500A4">
              <w:t>bream sector</w:t>
            </w:r>
            <w:r w:rsidR="00B57D19" w:rsidRPr="007500A4">
              <w:t xml:space="preserve"> until recovery of the population to a sustainable status</w:t>
            </w:r>
            <w:r w:rsidR="00D9358D" w:rsidRPr="007500A4">
              <w:t>.</w:t>
            </w:r>
          </w:p>
          <w:p w14:paraId="40EEF030" w14:textId="0B1AEF0F" w:rsidR="00D9358D" w:rsidRPr="007500A4" w:rsidRDefault="00D9358D" w:rsidP="007500A4">
            <w:pPr>
              <w:pStyle w:val="Tabletext"/>
              <w:spacing w:before="60" w:after="60"/>
              <w:rPr>
                <w:sz w:val="18"/>
                <w:szCs w:val="18"/>
              </w:rPr>
            </w:pPr>
            <w:r w:rsidRPr="007500A4">
              <w:rPr>
                <w:sz w:val="18"/>
                <w:szCs w:val="18"/>
              </w:rPr>
              <w:t xml:space="preserve">PIRSA </w:t>
            </w:r>
            <w:r w:rsidR="00B00CFB" w:rsidRPr="007500A4">
              <w:rPr>
                <w:sz w:val="18"/>
                <w:szCs w:val="18"/>
              </w:rPr>
              <w:t>has informed the Department that it is consulting with the commercial and recreational sectors to determine the most suitable management approach to recover black bream stocks. It is important that PIRSA provide the Department with a copy of the agreed management approach once it is finalised. It is also important that PIRSA inform the Department in relation to the success or otherwise of implementing any management measures over the next 12 months</w:t>
            </w:r>
            <w:r w:rsidRPr="007500A4">
              <w:rPr>
                <w:sz w:val="18"/>
                <w:szCs w:val="18"/>
              </w:rPr>
              <w:t xml:space="preserve">. </w:t>
            </w:r>
          </w:p>
          <w:p w14:paraId="2981441F" w14:textId="106DF961" w:rsidR="00D9358D" w:rsidRPr="007500A4" w:rsidRDefault="00DD762A" w:rsidP="007500A4">
            <w:pPr>
              <w:pStyle w:val="Tabletext"/>
              <w:spacing w:before="60" w:after="60"/>
              <w:rPr>
                <w:sz w:val="18"/>
                <w:szCs w:val="18"/>
              </w:rPr>
            </w:pPr>
            <w:r w:rsidRPr="007500A4">
              <w:rPr>
                <w:sz w:val="18"/>
                <w:szCs w:val="18"/>
              </w:rPr>
              <w:t xml:space="preserve">Earl and Ye </w:t>
            </w:r>
            <w:r w:rsidR="006A4875" w:rsidRPr="007500A4">
              <w:rPr>
                <w:sz w:val="18"/>
                <w:szCs w:val="18"/>
              </w:rPr>
              <w:t>(</w:t>
            </w:r>
            <w:r w:rsidRPr="007500A4">
              <w:rPr>
                <w:sz w:val="18"/>
                <w:szCs w:val="18"/>
              </w:rPr>
              <w:t>2016</w:t>
            </w:r>
            <w:r w:rsidR="006A4875" w:rsidRPr="007500A4">
              <w:rPr>
                <w:sz w:val="18"/>
                <w:szCs w:val="18"/>
              </w:rPr>
              <w:t>)</w:t>
            </w:r>
            <w:r w:rsidRPr="007500A4">
              <w:rPr>
                <w:sz w:val="18"/>
                <w:szCs w:val="18"/>
              </w:rPr>
              <w:t xml:space="preserve"> classifies </w:t>
            </w:r>
            <w:r w:rsidR="005C0FE3" w:rsidRPr="007500A4">
              <w:rPr>
                <w:b/>
                <w:sz w:val="18"/>
                <w:szCs w:val="18"/>
              </w:rPr>
              <w:t>g</w:t>
            </w:r>
            <w:r w:rsidR="006A4875" w:rsidRPr="007500A4">
              <w:rPr>
                <w:b/>
                <w:sz w:val="18"/>
                <w:szCs w:val="18"/>
              </w:rPr>
              <w:t>reenback flounder</w:t>
            </w:r>
            <w:r w:rsidR="006A4875" w:rsidRPr="007500A4">
              <w:rPr>
                <w:sz w:val="18"/>
                <w:szCs w:val="18"/>
              </w:rPr>
              <w:t xml:space="preserve"> </w:t>
            </w:r>
            <w:r w:rsidRPr="007500A4">
              <w:rPr>
                <w:sz w:val="18"/>
                <w:szCs w:val="18"/>
              </w:rPr>
              <w:t xml:space="preserve">stocks as </w:t>
            </w:r>
            <w:r w:rsidRPr="007500A4">
              <w:rPr>
                <w:b/>
                <w:sz w:val="18"/>
                <w:szCs w:val="18"/>
              </w:rPr>
              <w:t>environmentally limited</w:t>
            </w:r>
            <w:r w:rsidRPr="007500A4">
              <w:rPr>
                <w:sz w:val="18"/>
                <w:szCs w:val="18"/>
              </w:rPr>
              <w:t xml:space="preserve">. The </w:t>
            </w:r>
            <w:r w:rsidR="006A4875" w:rsidRPr="007500A4">
              <w:rPr>
                <w:sz w:val="18"/>
                <w:szCs w:val="18"/>
              </w:rPr>
              <w:t xml:space="preserve">stock assessment </w:t>
            </w:r>
            <w:r w:rsidRPr="007500A4">
              <w:rPr>
                <w:sz w:val="18"/>
                <w:szCs w:val="18"/>
              </w:rPr>
              <w:t>report identifies low catches as a consequence of low freshwater flows that have resulted in a lack of suitable spawning habitat and low recruitment. While the report indicates that the level of fishing mortality is unlikely to result in recruitment overfishing, it is important that PIRSA continue to monitor catch trends for this species</w:t>
            </w:r>
            <w:r w:rsidR="00D9358D" w:rsidRPr="007500A4">
              <w:rPr>
                <w:sz w:val="18"/>
                <w:szCs w:val="18"/>
              </w:rPr>
              <w:t xml:space="preserve">. </w:t>
            </w:r>
          </w:p>
          <w:p w14:paraId="5F1F1534" w14:textId="1D5355DC" w:rsidR="00D9358D" w:rsidRPr="007500A4" w:rsidRDefault="00DD762A" w:rsidP="007500A4">
            <w:pPr>
              <w:pStyle w:val="Tabletext"/>
              <w:spacing w:before="60" w:after="60"/>
              <w:rPr>
                <w:sz w:val="18"/>
                <w:szCs w:val="18"/>
              </w:rPr>
            </w:pPr>
            <w:r w:rsidRPr="007500A4">
              <w:rPr>
                <w:sz w:val="18"/>
                <w:szCs w:val="18"/>
              </w:rPr>
              <w:t xml:space="preserve">Earl and Ferguson </w:t>
            </w:r>
            <w:r w:rsidR="006A4875" w:rsidRPr="007500A4">
              <w:rPr>
                <w:sz w:val="18"/>
                <w:szCs w:val="18"/>
              </w:rPr>
              <w:t>(</w:t>
            </w:r>
            <w:r w:rsidRPr="007500A4">
              <w:rPr>
                <w:sz w:val="18"/>
                <w:szCs w:val="18"/>
              </w:rPr>
              <w:t xml:space="preserve">2013) classifies </w:t>
            </w:r>
            <w:r w:rsidR="005C0FE3" w:rsidRPr="007500A4">
              <w:rPr>
                <w:b/>
                <w:sz w:val="18"/>
                <w:szCs w:val="18"/>
              </w:rPr>
              <w:t>yelloweye mullet</w:t>
            </w:r>
            <w:r w:rsidR="005C0FE3" w:rsidRPr="007500A4">
              <w:rPr>
                <w:sz w:val="18"/>
                <w:szCs w:val="18"/>
              </w:rPr>
              <w:t xml:space="preserve"> </w:t>
            </w:r>
            <w:r w:rsidRPr="007500A4">
              <w:rPr>
                <w:sz w:val="18"/>
                <w:szCs w:val="18"/>
              </w:rPr>
              <w:t xml:space="preserve">stocks as </w:t>
            </w:r>
            <w:r w:rsidRPr="007500A4">
              <w:rPr>
                <w:b/>
                <w:sz w:val="18"/>
                <w:szCs w:val="18"/>
              </w:rPr>
              <w:t>sustainable</w:t>
            </w:r>
            <w:r w:rsidRPr="007500A4">
              <w:rPr>
                <w:sz w:val="18"/>
                <w:szCs w:val="18"/>
              </w:rPr>
              <w:t xml:space="preserve">. However, the </w:t>
            </w:r>
            <w:r w:rsidR="005C0FE3" w:rsidRPr="007500A4">
              <w:rPr>
                <w:sz w:val="18"/>
                <w:szCs w:val="18"/>
              </w:rPr>
              <w:t xml:space="preserve">stock assessment report </w:t>
            </w:r>
            <w:r w:rsidRPr="007500A4">
              <w:rPr>
                <w:sz w:val="18"/>
                <w:szCs w:val="18"/>
              </w:rPr>
              <w:t>identified an increase in landings of two and three year old yelloweye mullet as a risk to stock sustainability. It is important that PIRSA continue to monitor trends in catches for juvenile yelloweye mullet and to implement appropriate management measures to ensure this species does not become recruitment overfished</w:t>
            </w:r>
            <w:r w:rsidR="00D9358D" w:rsidRPr="007500A4">
              <w:rPr>
                <w:sz w:val="18"/>
                <w:szCs w:val="18"/>
              </w:rPr>
              <w:t>.</w:t>
            </w:r>
          </w:p>
          <w:p w14:paraId="467D51B8" w14:textId="0AD29028" w:rsidR="00D9358D" w:rsidRPr="007500A4" w:rsidRDefault="006A4875" w:rsidP="007500A4">
            <w:pPr>
              <w:pStyle w:val="Tabletext"/>
              <w:spacing w:before="60" w:after="60"/>
              <w:rPr>
                <w:sz w:val="18"/>
                <w:szCs w:val="18"/>
              </w:rPr>
            </w:pPr>
            <w:r w:rsidRPr="007500A4">
              <w:rPr>
                <w:sz w:val="18"/>
                <w:szCs w:val="18"/>
              </w:rPr>
              <w:t xml:space="preserve">Earl and Ward </w:t>
            </w:r>
            <w:r w:rsidR="005C0FE3" w:rsidRPr="007500A4">
              <w:rPr>
                <w:sz w:val="18"/>
                <w:szCs w:val="18"/>
              </w:rPr>
              <w:t>(2014)</w:t>
            </w:r>
            <w:r w:rsidRPr="007500A4">
              <w:rPr>
                <w:sz w:val="18"/>
                <w:szCs w:val="18"/>
              </w:rPr>
              <w:t xml:space="preserve"> </w:t>
            </w:r>
            <w:r w:rsidR="00DD762A" w:rsidRPr="007500A4">
              <w:rPr>
                <w:sz w:val="18"/>
                <w:szCs w:val="18"/>
              </w:rPr>
              <w:t xml:space="preserve">classifies </w:t>
            </w:r>
            <w:r w:rsidR="005C0FE3" w:rsidRPr="007500A4">
              <w:rPr>
                <w:b/>
                <w:sz w:val="18"/>
                <w:szCs w:val="18"/>
              </w:rPr>
              <w:t>mulloway</w:t>
            </w:r>
            <w:r w:rsidR="005C0FE3" w:rsidRPr="007500A4">
              <w:rPr>
                <w:sz w:val="18"/>
                <w:szCs w:val="18"/>
              </w:rPr>
              <w:t xml:space="preserve"> </w:t>
            </w:r>
            <w:r w:rsidR="00DD762A" w:rsidRPr="007500A4">
              <w:rPr>
                <w:sz w:val="18"/>
                <w:szCs w:val="18"/>
              </w:rPr>
              <w:t xml:space="preserve">stocks as </w:t>
            </w:r>
            <w:r w:rsidR="00DD762A" w:rsidRPr="007500A4">
              <w:rPr>
                <w:b/>
                <w:sz w:val="18"/>
                <w:szCs w:val="18"/>
              </w:rPr>
              <w:t>environmentally limited</w:t>
            </w:r>
            <w:r w:rsidR="00DD762A" w:rsidRPr="007500A4">
              <w:rPr>
                <w:sz w:val="18"/>
                <w:szCs w:val="18"/>
              </w:rPr>
              <w:t xml:space="preserve">. The high numbers of undersized discards poses an increased long term risk for mulloway stocks to become recruitment overfished over time if not managed appropriately </w:t>
            </w:r>
            <w:r w:rsidR="00DD762A" w:rsidRPr="007500A4">
              <w:rPr>
                <w:iCs/>
                <w:sz w:val="18"/>
                <w:szCs w:val="18"/>
              </w:rPr>
              <w:t>(Ferguson 2010)</w:t>
            </w:r>
            <w:r w:rsidR="00DD762A" w:rsidRPr="007500A4">
              <w:rPr>
                <w:sz w:val="18"/>
                <w:szCs w:val="18"/>
              </w:rPr>
              <w:t xml:space="preserve">. While the take of mulloway remains sustainable, PIRSA acknowledges the high numbers of undersized mulloway discards, and the need for more up-to-date research to support the view that the high discard rate is not likely to result in recruitment overfishing. The Department supports PIRSA’s commitment to monitoring discards in the </w:t>
            </w:r>
            <w:r w:rsidR="00D9358D" w:rsidRPr="007500A4">
              <w:rPr>
                <w:sz w:val="18"/>
                <w:szCs w:val="18"/>
              </w:rPr>
              <w:t>fishery.</w:t>
            </w:r>
            <w:r w:rsidR="00D9358D" w:rsidRPr="007500A4" w:rsidDel="00813F74">
              <w:rPr>
                <w:sz w:val="18"/>
                <w:szCs w:val="18"/>
              </w:rPr>
              <w:t xml:space="preserve"> </w:t>
            </w:r>
          </w:p>
          <w:p w14:paraId="50B4D3EA" w14:textId="5E4A3B9F" w:rsidR="00D9358D" w:rsidRPr="007500A4" w:rsidRDefault="009F2548" w:rsidP="007500A4">
            <w:pPr>
              <w:pStyle w:val="Tabletext"/>
              <w:spacing w:before="60" w:after="60"/>
              <w:rPr>
                <w:sz w:val="18"/>
                <w:szCs w:val="18"/>
              </w:rPr>
            </w:pPr>
            <w:r w:rsidRPr="007500A4">
              <w:rPr>
                <w:sz w:val="18"/>
                <w:szCs w:val="18"/>
              </w:rPr>
              <w:t xml:space="preserve">Ferguson and Ye </w:t>
            </w:r>
            <w:r w:rsidR="005C0FE3" w:rsidRPr="007500A4">
              <w:rPr>
                <w:sz w:val="18"/>
                <w:szCs w:val="18"/>
              </w:rPr>
              <w:t>(</w:t>
            </w:r>
            <w:r w:rsidRPr="007500A4">
              <w:rPr>
                <w:sz w:val="18"/>
                <w:szCs w:val="18"/>
              </w:rPr>
              <w:t>2012) classifie</w:t>
            </w:r>
            <w:r w:rsidR="005C0FE3" w:rsidRPr="007500A4">
              <w:rPr>
                <w:sz w:val="18"/>
                <w:szCs w:val="18"/>
              </w:rPr>
              <w:t>s</w:t>
            </w:r>
            <w:r w:rsidRPr="007500A4">
              <w:rPr>
                <w:sz w:val="18"/>
                <w:szCs w:val="18"/>
              </w:rPr>
              <w:t xml:space="preserve"> </w:t>
            </w:r>
            <w:r w:rsidR="005C0FE3" w:rsidRPr="007500A4">
              <w:rPr>
                <w:b/>
                <w:sz w:val="18"/>
                <w:szCs w:val="18"/>
              </w:rPr>
              <w:t>golden perch</w:t>
            </w:r>
            <w:r w:rsidR="005C0FE3" w:rsidRPr="007500A4">
              <w:rPr>
                <w:sz w:val="18"/>
                <w:szCs w:val="18"/>
              </w:rPr>
              <w:t xml:space="preserve"> </w:t>
            </w:r>
            <w:r w:rsidRPr="007500A4">
              <w:rPr>
                <w:sz w:val="18"/>
                <w:szCs w:val="18"/>
              </w:rPr>
              <w:t xml:space="preserve">stocks as </w:t>
            </w:r>
            <w:r w:rsidRPr="007500A4">
              <w:rPr>
                <w:b/>
                <w:sz w:val="18"/>
                <w:szCs w:val="18"/>
              </w:rPr>
              <w:t>sustainable</w:t>
            </w:r>
            <w:r w:rsidRPr="007500A4">
              <w:rPr>
                <w:sz w:val="18"/>
                <w:szCs w:val="18"/>
              </w:rPr>
              <w:t xml:space="preserve">. However, the ESD risk assessment notes that adequate spawning may be limited by freshwater in-flows (PIRSA 2011). Ferguson and Ye (2012) identified a need to increase knowledge in relation to the number of discards for golden perch, and suggested that PIRSA consider a new performance indicator that is based on the number of golden perch discarded per net </w:t>
            </w:r>
            <w:r w:rsidR="00D9358D" w:rsidRPr="007500A4">
              <w:rPr>
                <w:sz w:val="18"/>
                <w:szCs w:val="18"/>
              </w:rPr>
              <w:lastRenderedPageBreak/>
              <w:t xml:space="preserve">per day. </w:t>
            </w:r>
            <w:r w:rsidRPr="007500A4">
              <w:rPr>
                <w:sz w:val="18"/>
                <w:szCs w:val="18"/>
              </w:rPr>
              <w:t>It is important that PIRSA continue to monitor the take of golden perch and implement appropriate and timely management action to ensure stocks remain sustainable</w:t>
            </w:r>
            <w:r w:rsidR="00D9358D" w:rsidRPr="007500A4">
              <w:rPr>
                <w:sz w:val="18"/>
                <w:szCs w:val="18"/>
              </w:rPr>
              <w:t>.</w:t>
            </w:r>
          </w:p>
          <w:p w14:paraId="44328A34" w14:textId="0B64543E" w:rsidR="00D9358D" w:rsidRPr="007500A4" w:rsidRDefault="009F2548" w:rsidP="007500A4">
            <w:pPr>
              <w:pStyle w:val="Tabletext"/>
              <w:spacing w:before="60" w:after="60"/>
              <w:rPr>
                <w:sz w:val="18"/>
                <w:szCs w:val="18"/>
              </w:rPr>
            </w:pPr>
            <w:r w:rsidRPr="007500A4">
              <w:rPr>
                <w:sz w:val="18"/>
                <w:szCs w:val="18"/>
              </w:rPr>
              <w:t xml:space="preserve">Ferguson </w:t>
            </w:r>
            <w:r w:rsidR="005C0FE3" w:rsidRPr="007500A4">
              <w:rPr>
                <w:sz w:val="18"/>
                <w:szCs w:val="18"/>
              </w:rPr>
              <w:t>(</w:t>
            </w:r>
            <w:r w:rsidRPr="007500A4">
              <w:rPr>
                <w:sz w:val="18"/>
                <w:szCs w:val="18"/>
              </w:rPr>
              <w:t>2013) classifie</w:t>
            </w:r>
            <w:r w:rsidR="005C0FE3" w:rsidRPr="007500A4">
              <w:rPr>
                <w:sz w:val="18"/>
                <w:szCs w:val="18"/>
              </w:rPr>
              <w:t>s</w:t>
            </w:r>
            <w:r w:rsidRPr="007500A4">
              <w:rPr>
                <w:sz w:val="18"/>
                <w:szCs w:val="18"/>
              </w:rPr>
              <w:t xml:space="preserve"> </w:t>
            </w:r>
            <w:r w:rsidR="005C0FE3" w:rsidRPr="007500A4">
              <w:rPr>
                <w:b/>
                <w:sz w:val="18"/>
                <w:szCs w:val="18"/>
              </w:rPr>
              <w:t>pipi</w:t>
            </w:r>
            <w:r w:rsidR="005C0FE3" w:rsidRPr="007500A4">
              <w:rPr>
                <w:sz w:val="18"/>
                <w:szCs w:val="18"/>
              </w:rPr>
              <w:t xml:space="preserve"> </w:t>
            </w:r>
            <w:r w:rsidRPr="007500A4">
              <w:rPr>
                <w:sz w:val="18"/>
                <w:szCs w:val="18"/>
              </w:rPr>
              <w:t xml:space="preserve">stocks as </w:t>
            </w:r>
            <w:r w:rsidRPr="007500A4">
              <w:rPr>
                <w:b/>
                <w:sz w:val="18"/>
                <w:szCs w:val="18"/>
              </w:rPr>
              <w:t>sustainable</w:t>
            </w:r>
            <w:r w:rsidRPr="007500A4">
              <w:rPr>
                <w:sz w:val="18"/>
                <w:szCs w:val="18"/>
              </w:rPr>
              <w:t>. The introduction of quota management has helped to increase pipi biomass from 2007–08 to 2012–13. Since 2007–08, pipi have been managed under a harvest strategy based on fishery-independent estimates of relative biomass (PIRSA 2016). However, the increasing popularity of the species</w:t>
            </w:r>
            <w:r w:rsidRPr="007500A4" w:rsidDel="00C65C19">
              <w:rPr>
                <w:sz w:val="18"/>
                <w:szCs w:val="18"/>
              </w:rPr>
              <w:t xml:space="preserve"> </w:t>
            </w:r>
            <w:r w:rsidRPr="007500A4">
              <w:rPr>
                <w:sz w:val="18"/>
                <w:szCs w:val="18"/>
              </w:rPr>
              <w:t>requires ongoing monitoring to ensure that stocks continue to sustain fishing pressure</w:t>
            </w:r>
            <w:r w:rsidR="00D9358D" w:rsidRPr="007500A4">
              <w:rPr>
                <w:sz w:val="18"/>
                <w:szCs w:val="18"/>
              </w:rPr>
              <w:t>.</w:t>
            </w:r>
          </w:p>
          <w:p w14:paraId="3E8EA828" w14:textId="3B194E10" w:rsidR="00D9358D" w:rsidRPr="007500A4" w:rsidRDefault="00D9358D" w:rsidP="007500A4">
            <w:pPr>
              <w:pStyle w:val="Tabletext"/>
              <w:spacing w:before="60" w:after="60"/>
              <w:rPr>
                <w:sz w:val="18"/>
                <w:szCs w:val="18"/>
              </w:rPr>
            </w:pPr>
            <w:r w:rsidRPr="007500A4">
              <w:rPr>
                <w:sz w:val="18"/>
                <w:szCs w:val="18"/>
              </w:rPr>
              <w:t xml:space="preserve">The </w:t>
            </w:r>
            <w:r w:rsidR="007A6736" w:rsidRPr="007500A4">
              <w:rPr>
                <w:i/>
                <w:sz w:val="18"/>
                <w:szCs w:val="18"/>
              </w:rPr>
              <w:t>Ecological assessment of the South Australian Lakes and Coorong Fishery: reassessment report</w:t>
            </w:r>
            <w:r w:rsidR="007A6736" w:rsidRPr="007500A4">
              <w:rPr>
                <w:sz w:val="18"/>
                <w:szCs w:val="18"/>
              </w:rPr>
              <w:t xml:space="preserve"> (PIRSA 2011) indicates that fishing has a high risk on breeding populations of mulloway, golden perch, greenback flounder, and black bream, and a moderate risk to pipi stocks. These risks are exacerbated by environmental conditions such as freshwater flows</w:t>
            </w:r>
            <w:r w:rsidR="009F2548" w:rsidRPr="007500A4">
              <w:rPr>
                <w:sz w:val="18"/>
                <w:szCs w:val="18"/>
              </w:rPr>
              <w:t xml:space="preserve">. </w:t>
            </w:r>
            <w:r w:rsidRPr="007500A4">
              <w:rPr>
                <w:sz w:val="18"/>
                <w:szCs w:val="18"/>
              </w:rPr>
              <w:t xml:space="preserve">Freshwater </w:t>
            </w:r>
            <w:r w:rsidR="007A6736" w:rsidRPr="007500A4">
              <w:rPr>
                <w:sz w:val="18"/>
                <w:szCs w:val="18"/>
              </w:rPr>
              <w:t xml:space="preserve">flows are important for food, habitat and spawning success of a number of key species including golden perch, greenback flounder, black bream, and yelloweye mullet. </w:t>
            </w:r>
            <w:r w:rsidRPr="007500A4">
              <w:rPr>
                <w:sz w:val="18"/>
                <w:szCs w:val="18"/>
              </w:rPr>
              <w:t xml:space="preserve">PIRSA </w:t>
            </w:r>
            <w:r w:rsidR="0094350C" w:rsidRPr="007500A4">
              <w:rPr>
                <w:sz w:val="18"/>
                <w:szCs w:val="18"/>
              </w:rPr>
              <w:t xml:space="preserve">has reviewed the </w:t>
            </w:r>
            <w:r w:rsidR="00016AA6" w:rsidRPr="007500A4">
              <w:rPr>
                <w:sz w:val="18"/>
                <w:szCs w:val="18"/>
              </w:rPr>
              <w:t xml:space="preserve">fishery </w:t>
            </w:r>
            <w:r w:rsidR="0094350C" w:rsidRPr="007500A4">
              <w:rPr>
                <w:sz w:val="18"/>
                <w:szCs w:val="18"/>
              </w:rPr>
              <w:t>management plan (Sloan 2005), and the Department supports the implementation of measures such as harvest strategies for finfish species and pipi, and updated logbooks to include the number of discards for key species</w:t>
            </w:r>
            <w:r w:rsidRPr="007500A4">
              <w:rPr>
                <w:sz w:val="18"/>
                <w:szCs w:val="18"/>
              </w:rPr>
              <w:t>.</w:t>
            </w:r>
          </w:p>
          <w:p w14:paraId="2A49FBFA" w14:textId="08C40F39" w:rsidR="0035294A" w:rsidRPr="007500A4" w:rsidRDefault="00D9358D" w:rsidP="007500A4">
            <w:pPr>
              <w:pStyle w:val="Tabletext"/>
              <w:spacing w:before="60" w:after="60"/>
              <w:rPr>
                <w:sz w:val="18"/>
                <w:szCs w:val="18"/>
              </w:rPr>
            </w:pPr>
            <w:r w:rsidRPr="007500A4">
              <w:rPr>
                <w:sz w:val="18"/>
                <w:szCs w:val="18"/>
              </w:rPr>
              <w:t xml:space="preserve">Notwithstanding </w:t>
            </w:r>
            <w:r w:rsidR="0094350C" w:rsidRPr="007500A4">
              <w:rPr>
                <w:sz w:val="18"/>
                <w:szCs w:val="18"/>
              </w:rPr>
              <w:t xml:space="preserve">the progress made to address the concerns identified in the ESD risk assessment (PIRSA 2011), and given the risks and uncertainties identified above, the Department considers it appropriate to approve the Lakes and Coorong Fishery as a wildlife trade operation for a period of 12 months. This timeframe will allow time for PIRSA to finalise new management arrangements for black bream </w:t>
            </w:r>
            <w:r w:rsidRPr="007500A4">
              <w:rPr>
                <w:sz w:val="18"/>
                <w:szCs w:val="18"/>
              </w:rPr>
              <w:t>stocks.</w:t>
            </w:r>
            <w:r w:rsidR="00655DB9" w:rsidRPr="007500A4">
              <w:rPr>
                <w:sz w:val="18"/>
                <w:szCs w:val="18"/>
              </w:rPr>
              <w:t xml:space="preserve"> </w:t>
            </w:r>
            <w:r w:rsidRPr="007500A4">
              <w:rPr>
                <w:sz w:val="18"/>
                <w:szCs w:val="18"/>
              </w:rPr>
              <w:t xml:space="preserve">It is </w:t>
            </w:r>
            <w:r w:rsidR="0094350C" w:rsidRPr="007500A4">
              <w:rPr>
                <w:sz w:val="18"/>
                <w:szCs w:val="18"/>
              </w:rPr>
              <w:t xml:space="preserve">important that PIRSA provide an up-to-date summary of catch data and any changes to managing target stocks as part of its annual fishery reports to the </w:t>
            </w:r>
            <w:r w:rsidRPr="007500A4">
              <w:rPr>
                <w:sz w:val="18"/>
                <w:szCs w:val="18"/>
              </w:rPr>
              <w:t>Department.</w:t>
            </w:r>
          </w:p>
        </w:tc>
        <w:tc>
          <w:tcPr>
            <w:tcW w:w="2500" w:type="pct"/>
          </w:tcPr>
          <w:p w14:paraId="431F895B" w14:textId="77777777" w:rsidR="00D9358D" w:rsidRPr="007500A4" w:rsidRDefault="00D9358D" w:rsidP="007500A4">
            <w:pPr>
              <w:pStyle w:val="Tabletext"/>
              <w:spacing w:before="60" w:after="60"/>
              <w:rPr>
                <w:b/>
                <w:sz w:val="18"/>
                <w:szCs w:val="18"/>
              </w:rPr>
            </w:pPr>
            <w:r w:rsidRPr="007500A4">
              <w:rPr>
                <w:b/>
                <w:sz w:val="18"/>
                <w:szCs w:val="18"/>
              </w:rPr>
              <w:lastRenderedPageBreak/>
              <w:t>Condition 5:</w:t>
            </w:r>
          </w:p>
          <w:p w14:paraId="2BE54472" w14:textId="77777777" w:rsidR="00D9358D" w:rsidRPr="007500A4" w:rsidRDefault="00D9358D" w:rsidP="007500A4">
            <w:pPr>
              <w:pStyle w:val="Tabletext"/>
              <w:spacing w:before="60" w:after="60"/>
              <w:rPr>
                <w:sz w:val="18"/>
                <w:szCs w:val="18"/>
              </w:rPr>
            </w:pPr>
            <w:r w:rsidRPr="007500A4">
              <w:rPr>
                <w:sz w:val="18"/>
                <w:szCs w:val="18"/>
              </w:rPr>
              <w:t xml:space="preserve">The Department of Primary Industries and Regions South Australia to: </w:t>
            </w:r>
          </w:p>
          <w:p w14:paraId="157FA1D5" w14:textId="08031502" w:rsidR="00D9358D" w:rsidRPr="007500A4" w:rsidRDefault="00D9358D" w:rsidP="007500A4">
            <w:pPr>
              <w:pStyle w:val="ListNumber2Table-text"/>
              <w:numPr>
                <w:ilvl w:val="0"/>
                <w:numId w:val="64"/>
              </w:numPr>
              <w:spacing w:before="60" w:after="60"/>
              <w:ind w:left="357" w:hanging="357"/>
            </w:pPr>
            <w:r w:rsidRPr="007500A4">
              <w:t xml:space="preserve">develop </w:t>
            </w:r>
            <w:r w:rsidR="00B57D19" w:rsidRPr="007500A4">
              <w:t xml:space="preserve">and </w:t>
            </w:r>
            <w:r w:rsidR="009C4386" w:rsidRPr="007500A4">
              <w:t>implement, in consultation with key stakeholders, effective measures that will support the recovery of black bream stocks, and provide a copy of the agreed measures to the Department</w:t>
            </w:r>
            <w:r w:rsidRPr="007500A4">
              <w:t>, and</w:t>
            </w:r>
          </w:p>
          <w:p w14:paraId="5C7028BE" w14:textId="6875D86A" w:rsidR="00D9358D" w:rsidRPr="007500A4" w:rsidRDefault="00D9358D" w:rsidP="007500A4">
            <w:pPr>
              <w:pStyle w:val="ListContinue"/>
            </w:pPr>
            <w:r w:rsidRPr="007500A4">
              <w:t xml:space="preserve">provide </w:t>
            </w:r>
            <w:r w:rsidR="009C4386" w:rsidRPr="007500A4">
              <w:t xml:space="preserve">the Department with a progress report on black bream stock recovery as part of its application for reassessment of the SA Lakes and Coorong Fishery by November  </w:t>
            </w:r>
            <w:r w:rsidR="00B57D19" w:rsidRPr="007500A4">
              <w:t>2018</w:t>
            </w:r>
            <w:r w:rsidRPr="007500A4">
              <w:t>.</w:t>
            </w:r>
          </w:p>
          <w:p w14:paraId="55D7DBFC" w14:textId="77777777" w:rsidR="00D9358D" w:rsidRPr="007500A4" w:rsidRDefault="00D9358D" w:rsidP="007500A4">
            <w:pPr>
              <w:pStyle w:val="Tabletext"/>
              <w:spacing w:before="60" w:after="60"/>
              <w:rPr>
                <w:sz w:val="18"/>
                <w:szCs w:val="18"/>
              </w:rPr>
            </w:pPr>
          </w:p>
          <w:p w14:paraId="551F4004" w14:textId="77777777" w:rsidR="00D9358D" w:rsidRPr="007500A4" w:rsidRDefault="00D9358D" w:rsidP="007500A4">
            <w:pPr>
              <w:pStyle w:val="Tabletext"/>
              <w:spacing w:before="60" w:after="60"/>
              <w:rPr>
                <w:b/>
                <w:sz w:val="18"/>
                <w:szCs w:val="18"/>
              </w:rPr>
            </w:pPr>
            <w:r w:rsidRPr="007500A4">
              <w:rPr>
                <w:b/>
                <w:sz w:val="18"/>
                <w:szCs w:val="18"/>
              </w:rPr>
              <w:t>Condition 6:</w:t>
            </w:r>
          </w:p>
          <w:p w14:paraId="13A67E75" w14:textId="3D9A0496" w:rsidR="00DD762A" w:rsidRPr="007500A4" w:rsidRDefault="00D9358D" w:rsidP="007500A4">
            <w:pPr>
              <w:pStyle w:val="Tabletext"/>
              <w:spacing w:before="60" w:after="60"/>
              <w:rPr>
                <w:sz w:val="18"/>
                <w:szCs w:val="18"/>
              </w:rPr>
            </w:pPr>
            <w:r w:rsidRPr="007500A4">
              <w:rPr>
                <w:sz w:val="18"/>
                <w:szCs w:val="18"/>
              </w:rPr>
              <w:t xml:space="preserve">The Department of Primary Industries </w:t>
            </w:r>
            <w:r w:rsidR="00DD762A" w:rsidRPr="007500A4">
              <w:rPr>
                <w:sz w:val="18"/>
                <w:szCs w:val="18"/>
              </w:rPr>
              <w:t>and Regions South Australia to:</w:t>
            </w:r>
            <w:r w:rsidRPr="007500A4">
              <w:rPr>
                <w:sz w:val="18"/>
                <w:szCs w:val="18"/>
              </w:rPr>
              <w:t xml:space="preserve"> </w:t>
            </w:r>
          </w:p>
          <w:p w14:paraId="47F97C15" w14:textId="46271BA1" w:rsidR="00B00CFB" w:rsidRPr="007500A4" w:rsidRDefault="00DD762A" w:rsidP="007500A4">
            <w:pPr>
              <w:pStyle w:val="ListNumber2Table-text"/>
              <w:numPr>
                <w:ilvl w:val="0"/>
                <w:numId w:val="65"/>
              </w:numPr>
              <w:spacing w:before="60" w:after="60"/>
              <w:ind w:left="357" w:hanging="357"/>
            </w:pPr>
            <w:r w:rsidRPr="007500A4">
              <w:t xml:space="preserve">continue </w:t>
            </w:r>
            <w:r w:rsidR="00B00CFB" w:rsidRPr="007500A4">
              <w:t xml:space="preserve">to </w:t>
            </w:r>
            <w:r w:rsidR="009C4386" w:rsidRPr="007500A4">
              <w:t xml:space="preserve">monitor trends in catch levels for greenback flounder and develop management measures that minimise the impact from fishing, as required, at times when environmental conditions are known to also be impacting the </w:t>
            </w:r>
            <w:r w:rsidR="00D9358D" w:rsidRPr="007500A4">
              <w:t>species</w:t>
            </w:r>
          </w:p>
          <w:p w14:paraId="074856E6" w14:textId="0B916266" w:rsidR="00B00CFB" w:rsidRPr="007500A4" w:rsidRDefault="00D9358D" w:rsidP="007500A4">
            <w:pPr>
              <w:pStyle w:val="ListContinue"/>
            </w:pPr>
            <w:r w:rsidRPr="007500A4">
              <w:t xml:space="preserve">continue </w:t>
            </w:r>
            <w:r w:rsidR="00B00CFB" w:rsidRPr="007500A4">
              <w:t xml:space="preserve">to </w:t>
            </w:r>
            <w:r w:rsidR="0094350C" w:rsidRPr="007500A4">
              <w:t xml:space="preserve">monitor </w:t>
            </w:r>
            <w:r w:rsidR="009C4386" w:rsidRPr="007500A4">
              <w:t xml:space="preserve">catches of juvenile and female yelloweye mullet and implement measures to ensure that this species does not become recruitment </w:t>
            </w:r>
            <w:r w:rsidRPr="007500A4">
              <w:t>overfished</w:t>
            </w:r>
          </w:p>
          <w:p w14:paraId="134BD4B3" w14:textId="1752E31C" w:rsidR="00B00CFB" w:rsidRPr="007500A4" w:rsidRDefault="00D9358D" w:rsidP="007500A4">
            <w:pPr>
              <w:pStyle w:val="ListContinue"/>
            </w:pPr>
            <w:r w:rsidRPr="007500A4">
              <w:t xml:space="preserve">monitor trends and </w:t>
            </w:r>
            <w:r w:rsidR="009C4386" w:rsidRPr="007500A4">
              <w:t xml:space="preserve">implement measures to reduce discarding of all target species, particularly mulloway, and to implement appropriate management measures to ensure target species do not become recruitment </w:t>
            </w:r>
            <w:r w:rsidRPr="007500A4">
              <w:t xml:space="preserve">overfished </w:t>
            </w:r>
          </w:p>
          <w:p w14:paraId="2E3BFE7C" w14:textId="06458ABD" w:rsidR="00B00CFB" w:rsidRPr="007500A4" w:rsidRDefault="00D9358D" w:rsidP="007500A4">
            <w:pPr>
              <w:pStyle w:val="ListContinue"/>
            </w:pPr>
            <w:r w:rsidRPr="007500A4">
              <w:t xml:space="preserve">continue to </w:t>
            </w:r>
            <w:r w:rsidR="009C4386" w:rsidRPr="007500A4">
              <w:t>monitor trends in stock levels of all target species and implement measures to mitigate risks identified in the June 2011 risk assessment for the SA Lakes and Coorong Fishery</w:t>
            </w:r>
            <w:r w:rsidR="00B00CFB" w:rsidRPr="007500A4">
              <w:t xml:space="preserve">, and </w:t>
            </w:r>
          </w:p>
          <w:p w14:paraId="735464E8" w14:textId="07E7CA5C" w:rsidR="00D9358D" w:rsidRPr="007500A4" w:rsidRDefault="00D9358D" w:rsidP="007500A4">
            <w:pPr>
              <w:pStyle w:val="ListContinue"/>
            </w:pPr>
            <w:r w:rsidRPr="007500A4">
              <w:t xml:space="preserve">actively </w:t>
            </w:r>
            <w:r w:rsidR="0094350C" w:rsidRPr="007500A4">
              <w:t xml:space="preserve">work with other </w:t>
            </w:r>
            <w:r w:rsidR="009C4386" w:rsidRPr="007500A4">
              <w:t xml:space="preserve">state and national water and land management agencies to align freshwater inflows with the known spawning events for all target </w:t>
            </w:r>
            <w:r w:rsidRPr="007500A4">
              <w:t xml:space="preserve">species. </w:t>
            </w:r>
          </w:p>
        </w:tc>
      </w:tr>
    </w:tbl>
    <w:p w14:paraId="379C01D0" w14:textId="77777777" w:rsidR="00B6012C" w:rsidRDefault="00B6012C" w:rsidP="001955CD">
      <w:pPr>
        <w:tabs>
          <w:tab w:val="left" w:pos="360"/>
        </w:tabs>
        <w:rPr>
          <w:rFonts w:cs="Arial"/>
          <w:highlight w:val="yellow"/>
        </w:rPr>
      </w:pPr>
    </w:p>
    <w:p w14:paraId="129E3E57" w14:textId="77777777" w:rsidR="00CD2BB3" w:rsidRDefault="00CD2BB3" w:rsidP="001955CD">
      <w:pPr>
        <w:tabs>
          <w:tab w:val="left" w:pos="360"/>
        </w:tabs>
        <w:rPr>
          <w:rFonts w:cs="Arial"/>
          <w:highlight w:val="yellow"/>
        </w:rPr>
      </w:pPr>
    </w:p>
    <w:p w14:paraId="00428C2E" w14:textId="77777777" w:rsidR="00402549" w:rsidRDefault="00402549" w:rsidP="005E2D35">
      <w:pPr>
        <w:pStyle w:val="Heading1"/>
        <w:sectPr w:rsidR="00402549" w:rsidSect="00895ECB">
          <w:pgSz w:w="16838" w:h="11906" w:orient="landscape"/>
          <w:pgMar w:top="1021" w:right="1021" w:bottom="1021" w:left="1021" w:header="425" w:footer="425" w:gutter="0"/>
          <w:cols w:space="708"/>
          <w:titlePg/>
          <w:docGrid w:linePitch="360"/>
        </w:sectPr>
      </w:pPr>
    </w:p>
    <w:p w14:paraId="3FD16CD5" w14:textId="34D8E7D4" w:rsidR="00B6012C" w:rsidRPr="006E4EA3" w:rsidRDefault="00DD0EB5" w:rsidP="005E2D35">
      <w:pPr>
        <w:pStyle w:val="Heading1"/>
      </w:pPr>
      <w:bookmarkStart w:id="8" w:name="_Toc506553895"/>
      <w:r>
        <w:lastRenderedPageBreak/>
        <w:t>References</w:t>
      </w:r>
      <w:bookmarkEnd w:id="8"/>
    </w:p>
    <w:p w14:paraId="20D29230" w14:textId="24C21D06" w:rsidR="00DD0EB5" w:rsidRPr="007500A4" w:rsidRDefault="00DD0EB5"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 xml:space="preserve">Commonwealth of Australia 1992 ‘National strategy for ecologically sustainable development’, Prepared by the </w:t>
      </w:r>
      <w:r w:rsidR="00C27553">
        <w:rPr>
          <w:rFonts w:ascii="Arial" w:hAnsi="Arial" w:cs="Arial"/>
          <w:sz w:val="22"/>
          <w:szCs w:val="22"/>
          <w:lang w:val="en-AU"/>
        </w:rPr>
        <w:t>E</w:t>
      </w:r>
      <w:r w:rsidR="00C27553" w:rsidRPr="007500A4">
        <w:rPr>
          <w:rFonts w:ascii="Arial" w:hAnsi="Arial" w:cs="Arial"/>
          <w:sz w:val="22"/>
          <w:szCs w:val="22"/>
          <w:lang w:val="en-AU"/>
        </w:rPr>
        <w:t>cologically</w:t>
      </w:r>
      <w:r w:rsidRPr="007500A4">
        <w:rPr>
          <w:rFonts w:ascii="Arial" w:hAnsi="Arial" w:cs="Arial"/>
          <w:sz w:val="22"/>
          <w:szCs w:val="22"/>
          <w:lang w:val="en-AU"/>
        </w:rPr>
        <w:t xml:space="preserve"> Sustainable Development Steering Committee, </w:t>
      </w:r>
      <w:r w:rsidR="009D3673" w:rsidRPr="007500A4">
        <w:rPr>
          <w:rFonts w:ascii="Arial" w:hAnsi="Arial" w:cs="Arial"/>
          <w:sz w:val="22"/>
          <w:szCs w:val="22"/>
          <w:lang w:val="en-AU"/>
        </w:rPr>
        <w:t xml:space="preserve">Canberra ACT, </w:t>
      </w:r>
      <w:r w:rsidRPr="007500A4">
        <w:rPr>
          <w:rFonts w:ascii="Arial" w:hAnsi="Arial" w:cs="Arial"/>
          <w:sz w:val="22"/>
          <w:szCs w:val="22"/>
          <w:lang w:val="en-AU"/>
        </w:rPr>
        <w:t xml:space="preserve">Available at </w:t>
      </w:r>
      <w:hyperlink r:id="rId37" w:history="1">
        <w:r w:rsidR="0055269E" w:rsidRPr="007500A4">
          <w:rPr>
            <w:rStyle w:val="Hyperlink"/>
            <w:rFonts w:ascii="Arial" w:hAnsi="Arial" w:cs="Arial"/>
            <w:sz w:val="22"/>
            <w:szCs w:val="22"/>
            <w:lang w:val="en-AU"/>
          </w:rPr>
          <w:t>http://www.environment.gov.au/about-us/esd/publications/national-esd-strategy</w:t>
        </w:r>
      </w:hyperlink>
      <w:r w:rsidRPr="007500A4">
        <w:rPr>
          <w:rFonts w:ascii="Arial" w:hAnsi="Arial" w:cs="Arial"/>
          <w:sz w:val="22"/>
          <w:szCs w:val="22"/>
          <w:lang w:val="en-AU"/>
        </w:rPr>
        <w:t>.</w:t>
      </w:r>
      <w:r w:rsidR="0055269E" w:rsidRPr="007500A4">
        <w:rPr>
          <w:rFonts w:ascii="Arial" w:hAnsi="Arial" w:cs="Arial"/>
          <w:sz w:val="22"/>
          <w:szCs w:val="22"/>
          <w:lang w:val="en-AU"/>
        </w:rPr>
        <w:t xml:space="preserve">  </w:t>
      </w:r>
    </w:p>
    <w:p w14:paraId="51A931CD" w14:textId="7185AF18" w:rsidR="0055269E" w:rsidRPr="007500A4" w:rsidRDefault="00596183" w:rsidP="007500A4">
      <w:pPr>
        <w:tabs>
          <w:tab w:val="left" w:pos="360"/>
        </w:tabs>
        <w:rPr>
          <w:rFonts w:cs="Arial"/>
          <w:sz w:val="22"/>
        </w:rPr>
      </w:pPr>
      <w:r w:rsidRPr="007500A4">
        <w:rPr>
          <w:rFonts w:cs="Arial"/>
          <w:sz w:val="22"/>
        </w:rPr>
        <w:t>Department of Environment and Heritage 2000 ‘</w:t>
      </w:r>
      <w:r w:rsidR="00CC1016" w:rsidRPr="007500A4">
        <w:rPr>
          <w:rFonts w:cs="Arial"/>
          <w:sz w:val="22"/>
        </w:rPr>
        <w:t>Coorong, and Lakes Alexandrina and Albert Ramsar Management Plan</w:t>
      </w:r>
      <w:r w:rsidRPr="007500A4">
        <w:rPr>
          <w:rFonts w:cs="Arial"/>
          <w:sz w:val="22"/>
        </w:rPr>
        <w:t>’,</w:t>
      </w:r>
      <w:r w:rsidR="00CC1016" w:rsidRPr="007500A4">
        <w:rPr>
          <w:rFonts w:cs="Arial"/>
          <w:sz w:val="22"/>
        </w:rPr>
        <w:t xml:space="preserve"> Department of Environment and Heritage, Adelaide </w:t>
      </w:r>
      <w:r w:rsidR="009D3673" w:rsidRPr="007500A4">
        <w:rPr>
          <w:rFonts w:cs="Arial"/>
          <w:sz w:val="22"/>
        </w:rPr>
        <w:t>SA</w:t>
      </w:r>
      <w:r w:rsidR="00CC1016" w:rsidRPr="007500A4">
        <w:rPr>
          <w:rFonts w:cs="Arial"/>
          <w:sz w:val="22"/>
        </w:rPr>
        <w:t xml:space="preserve">, Available at </w:t>
      </w:r>
      <w:hyperlink r:id="rId38" w:history="1">
        <w:r w:rsidR="00CC1016" w:rsidRPr="007500A4">
          <w:rPr>
            <w:rStyle w:val="Hyperlink"/>
            <w:rFonts w:cs="Arial"/>
            <w:sz w:val="22"/>
          </w:rPr>
          <w:t>https://www.environment.sa.gov.au/managing-natural-resources/river-murray/improving-river-health/ramsar-management-plan-coorong-lower-lakes</w:t>
        </w:r>
      </w:hyperlink>
      <w:r w:rsidR="00CC1016" w:rsidRPr="007500A4">
        <w:rPr>
          <w:rFonts w:cs="Arial"/>
          <w:sz w:val="22"/>
        </w:rPr>
        <w:t xml:space="preserve">. </w:t>
      </w:r>
    </w:p>
    <w:p w14:paraId="537F25AF" w14:textId="77777777" w:rsidR="00010BE8" w:rsidRPr="007500A4" w:rsidRDefault="00010BE8" w:rsidP="007500A4">
      <w:pPr>
        <w:pStyle w:val="NormalWeb"/>
        <w:spacing w:before="60" w:beforeAutospacing="0" w:after="60" w:afterAutospacing="0"/>
        <w:rPr>
          <w:rFonts w:ascii="Arial" w:hAnsi="Arial" w:cs="Arial"/>
          <w:sz w:val="22"/>
          <w:szCs w:val="22"/>
          <w:lang w:val="en-AU"/>
        </w:rPr>
      </w:pPr>
      <w:bookmarkStart w:id="9" w:name="_Toc316301054"/>
      <w:bookmarkEnd w:id="9"/>
      <w:r w:rsidRPr="007500A4">
        <w:rPr>
          <w:rFonts w:ascii="Arial" w:hAnsi="Arial" w:cs="Arial"/>
          <w:sz w:val="22"/>
          <w:szCs w:val="22"/>
          <w:lang w:val="en-AU"/>
        </w:rPr>
        <w:t>Earl J and Ferguson GJ 2013 ‘Yelloweye mullet (</w:t>
      </w:r>
      <w:r w:rsidRPr="007500A4">
        <w:rPr>
          <w:rFonts w:ascii="Arial" w:hAnsi="Arial" w:cs="Arial"/>
          <w:i/>
          <w:iCs/>
          <w:sz w:val="22"/>
          <w:szCs w:val="22"/>
          <w:lang w:val="en-AU"/>
        </w:rPr>
        <w:t>Aldrichetta forsteri</w:t>
      </w:r>
      <w:r w:rsidRPr="007500A4">
        <w:rPr>
          <w:rFonts w:ascii="Arial" w:hAnsi="Arial" w:cs="Arial"/>
          <w:sz w:val="22"/>
          <w:szCs w:val="22"/>
          <w:lang w:val="en-AU"/>
        </w:rPr>
        <w:t xml:space="preserve">) stock assessment report 2011–12’, Report for PIRSA Fisheries and Aquaculture, </w:t>
      </w:r>
      <w:r w:rsidR="009D3673"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SARDI Publication No. F2007/001048-1, SARDI Report Series No. 737, 54 pp, Adelaide SA.</w:t>
      </w:r>
    </w:p>
    <w:p w14:paraId="5156395D" w14:textId="49299080"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Earl J and Ward TM 2014 ‘Mulloway (</w:t>
      </w:r>
      <w:r w:rsidRPr="007500A4">
        <w:rPr>
          <w:rFonts w:ascii="Arial" w:hAnsi="Arial" w:cs="Arial"/>
          <w:i/>
          <w:iCs/>
          <w:sz w:val="22"/>
          <w:szCs w:val="22"/>
          <w:lang w:val="en-AU"/>
        </w:rPr>
        <w:t>Argyrosomus japonicus</w:t>
      </w:r>
      <w:r w:rsidRPr="007500A4">
        <w:rPr>
          <w:rFonts w:ascii="Arial" w:hAnsi="Arial" w:cs="Arial"/>
          <w:sz w:val="22"/>
          <w:szCs w:val="22"/>
          <w:lang w:val="en-AU"/>
        </w:rPr>
        <w:t xml:space="preserve">) stock assessment report’, Report for PIRSA Fisheries and Aquaculture, </w:t>
      </w:r>
      <w:r w:rsidR="009D3673"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SARDI Report Series No. 814,</w:t>
      </w:r>
      <w:r w:rsidRPr="007500A4">
        <w:rPr>
          <w:rFonts w:ascii="Arial" w:eastAsia="Calibri" w:hAnsi="Arial" w:cs="Arial"/>
          <w:sz w:val="22"/>
          <w:szCs w:val="22"/>
          <w:lang w:val="en-AU"/>
        </w:rPr>
        <w:t xml:space="preserve"> </w:t>
      </w:r>
      <w:r w:rsidRPr="007500A4">
        <w:rPr>
          <w:rFonts w:ascii="Arial" w:hAnsi="Arial" w:cs="Arial"/>
          <w:sz w:val="22"/>
          <w:szCs w:val="22"/>
          <w:lang w:val="en-AU"/>
        </w:rPr>
        <w:t>55 pp, Adelaide SA.</w:t>
      </w:r>
    </w:p>
    <w:p w14:paraId="6596DFFA" w14:textId="6426CF79"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Earl J 2015 ‘Fishery statistics for the South Australian Lakes and Coorong Fishery (1984–85 to 2013–14)’,</w:t>
      </w:r>
      <w:r w:rsidRPr="007500A4">
        <w:rPr>
          <w:rFonts w:ascii="Arial" w:eastAsia="Calibri" w:hAnsi="Arial" w:cs="Arial"/>
          <w:sz w:val="22"/>
          <w:szCs w:val="22"/>
          <w:lang w:val="en-AU"/>
        </w:rPr>
        <w:t xml:space="preserve"> </w:t>
      </w:r>
      <w:r w:rsidRPr="007500A4">
        <w:rPr>
          <w:rFonts w:ascii="Arial" w:hAnsi="Arial" w:cs="Arial"/>
          <w:sz w:val="22"/>
          <w:szCs w:val="22"/>
          <w:lang w:val="en-AU"/>
        </w:rPr>
        <w:t xml:space="preserve">Report for PIRSA Fisheries and Aquaculture, </w:t>
      </w:r>
      <w:r w:rsidR="009D3673"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SARDI Report Series No. 831, 18 pp, Adelaide SA.</w:t>
      </w:r>
    </w:p>
    <w:p w14:paraId="5D7CE0AD" w14:textId="1E4F9F6D"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Earl J, Ward and Ye Q 2016 ‘Black bream (</w:t>
      </w:r>
      <w:r w:rsidRPr="007500A4">
        <w:rPr>
          <w:rFonts w:ascii="Arial" w:hAnsi="Arial" w:cs="Arial"/>
          <w:i/>
          <w:iCs/>
          <w:sz w:val="22"/>
          <w:szCs w:val="22"/>
          <w:lang w:val="en-AU"/>
        </w:rPr>
        <w:t>Acanthopagrus butcheri</w:t>
      </w:r>
      <w:r w:rsidRPr="007500A4">
        <w:rPr>
          <w:rFonts w:ascii="Arial" w:hAnsi="Arial" w:cs="Arial"/>
          <w:sz w:val="22"/>
          <w:szCs w:val="22"/>
          <w:lang w:val="en-AU"/>
        </w:rPr>
        <w:t xml:space="preserve">) stock assessment report 2014/15’, Report for PIRSA Fisheries and Aquaculture, </w:t>
      </w:r>
      <w:r w:rsidR="009D3673"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SARDI Publication No. F2008/000810-2, SARDI Report Series No. 885, 44 pp, Adelaide SA.</w:t>
      </w:r>
    </w:p>
    <w:p w14:paraId="1D8B7160" w14:textId="0527270B"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Earl J and Ye Q 2016 ‘Greenback flounder (</w:t>
      </w:r>
      <w:r w:rsidRPr="007500A4">
        <w:rPr>
          <w:rFonts w:ascii="Arial" w:hAnsi="Arial" w:cs="Arial"/>
          <w:i/>
          <w:iCs/>
          <w:sz w:val="22"/>
          <w:szCs w:val="22"/>
          <w:lang w:val="en-AU"/>
        </w:rPr>
        <w:t>Rhombosolea tapirina</w:t>
      </w:r>
      <w:r w:rsidRPr="007500A4">
        <w:rPr>
          <w:rFonts w:ascii="Arial" w:hAnsi="Arial" w:cs="Arial"/>
          <w:sz w:val="22"/>
          <w:szCs w:val="22"/>
          <w:lang w:val="en-AU"/>
        </w:rPr>
        <w:t>) stock assessment report 2014</w:t>
      </w:r>
      <w:r w:rsidR="00481284" w:rsidRPr="007500A4">
        <w:rPr>
          <w:rFonts w:ascii="Arial" w:hAnsi="Arial" w:cs="Arial"/>
          <w:sz w:val="22"/>
          <w:szCs w:val="22"/>
          <w:lang w:val="en-AU"/>
        </w:rPr>
        <w:t>/</w:t>
      </w:r>
      <w:r w:rsidRPr="007500A4">
        <w:rPr>
          <w:rFonts w:ascii="Arial" w:hAnsi="Arial" w:cs="Arial"/>
          <w:sz w:val="22"/>
          <w:szCs w:val="22"/>
          <w:lang w:val="en-AU"/>
        </w:rPr>
        <w:t>15’, Report to PIRSA Fisheries and Aquaculture, South Australian Research and Development Institute (Aquatic Sciences), SARDI Report Series No. 889, 40 pp, Adelaide SA.</w:t>
      </w:r>
    </w:p>
    <w:p w14:paraId="42C8F360" w14:textId="7A661A85"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 xml:space="preserve">Ferguson GJ 2010 ‘Gear interactions of non-targeted species in the Lakes and Coorong commercial and recreational fisheries of South Australia’, Final report to FRDC for Project No. 2005/061, </w:t>
      </w:r>
      <w:r w:rsidR="009D3673"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F2010/000239-1, SARDI Research Report Series No. 436,</w:t>
      </w:r>
      <w:r w:rsidRPr="007500A4">
        <w:rPr>
          <w:rFonts w:ascii="Arial" w:eastAsia="Calibri" w:hAnsi="Arial" w:cs="Arial"/>
          <w:sz w:val="22"/>
          <w:szCs w:val="22"/>
          <w:lang w:val="en-AU"/>
        </w:rPr>
        <w:t xml:space="preserve"> 56</w:t>
      </w:r>
      <w:r w:rsidRPr="007500A4">
        <w:rPr>
          <w:rFonts w:ascii="Arial" w:hAnsi="Arial" w:cs="Arial"/>
          <w:sz w:val="22"/>
          <w:szCs w:val="22"/>
          <w:lang w:val="en-AU"/>
        </w:rPr>
        <w:t xml:space="preserve"> pp, Adelaide SA.</w:t>
      </w:r>
    </w:p>
    <w:p w14:paraId="302D3A23" w14:textId="51166D4B" w:rsidR="003A1022" w:rsidRPr="007500A4" w:rsidRDefault="003A1022"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Ferguson GJ 2013 ‘Pipi (</w:t>
      </w:r>
      <w:r w:rsidRPr="007500A4">
        <w:rPr>
          <w:rFonts w:ascii="Arial" w:hAnsi="Arial" w:cs="Arial"/>
          <w:i/>
          <w:iCs/>
          <w:sz w:val="22"/>
          <w:szCs w:val="22"/>
          <w:lang w:val="en-AU"/>
        </w:rPr>
        <w:t>Donax deltoides</w:t>
      </w:r>
      <w:r w:rsidRPr="007500A4">
        <w:rPr>
          <w:rFonts w:ascii="Arial" w:hAnsi="Arial" w:cs="Arial"/>
          <w:sz w:val="22"/>
          <w:szCs w:val="22"/>
          <w:lang w:val="en-AU"/>
        </w:rPr>
        <w:t>) Fishery</w:t>
      </w:r>
      <w:r w:rsidR="00481284" w:rsidRPr="007500A4">
        <w:rPr>
          <w:rFonts w:ascii="Arial" w:hAnsi="Arial" w:cs="Arial"/>
          <w:sz w:val="22"/>
          <w:szCs w:val="22"/>
          <w:lang w:val="en-AU"/>
        </w:rPr>
        <w:t>’</w:t>
      </w:r>
      <w:r w:rsidRPr="007500A4">
        <w:rPr>
          <w:rFonts w:ascii="Arial" w:hAnsi="Arial" w:cs="Arial"/>
          <w:sz w:val="22"/>
          <w:szCs w:val="22"/>
          <w:lang w:val="en-AU"/>
        </w:rPr>
        <w:t xml:space="preserve">, Fishery stock assessment report for PIRSA Fisheries and Aquaculture, </w:t>
      </w:r>
      <w:r w:rsidR="009D3673"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SARDI Report Series No. 731,</w:t>
      </w:r>
      <w:r w:rsidRPr="007500A4">
        <w:rPr>
          <w:rFonts w:ascii="Arial" w:eastAsia="Calibri" w:hAnsi="Arial" w:cs="Arial"/>
          <w:sz w:val="22"/>
          <w:szCs w:val="22"/>
          <w:lang w:val="en-AU"/>
        </w:rPr>
        <w:t xml:space="preserve"> 76</w:t>
      </w:r>
      <w:r w:rsidRPr="007500A4">
        <w:rPr>
          <w:rFonts w:ascii="Arial" w:hAnsi="Arial" w:cs="Arial"/>
          <w:sz w:val="22"/>
          <w:szCs w:val="22"/>
          <w:lang w:val="en-AU"/>
        </w:rPr>
        <w:t xml:space="preserve"> pp, Adelaide SA.</w:t>
      </w:r>
    </w:p>
    <w:p w14:paraId="4017A873" w14:textId="77777777" w:rsidR="003A1022" w:rsidRPr="007500A4" w:rsidRDefault="003A1022"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Ferguson GJ and Ward TM 2014 ‘Support for harvest strategy development in South Australia’s Lakes and Coorong Fishery for pipi (</w:t>
      </w:r>
      <w:r w:rsidRPr="007500A4">
        <w:rPr>
          <w:rFonts w:ascii="Arial" w:hAnsi="Arial" w:cs="Arial"/>
          <w:i/>
          <w:iCs/>
          <w:sz w:val="22"/>
          <w:szCs w:val="22"/>
          <w:lang w:val="en-AU"/>
        </w:rPr>
        <w:t>Donax deltoides</w:t>
      </w:r>
      <w:r w:rsidRPr="007500A4">
        <w:rPr>
          <w:rFonts w:ascii="Arial" w:hAnsi="Arial" w:cs="Arial"/>
          <w:sz w:val="22"/>
          <w:szCs w:val="22"/>
          <w:lang w:val="en-AU"/>
        </w:rPr>
        <w:t>)’, South Australian Research and Development Institute (Aquatic Sciences), FRDC No. 2008/008, 153 pp, Adelaide SA.</w:t>
      </w:r>
    </w:p>
    <w:p w14:paraId="694016B0" w14:textId="77777777" w:rsidR="003A1022" w:rsidRPr="007500A4" w:rsidRDefault="003A1022"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 xml:space="preserve">Ferguson GJ, Ward TM, Ivey A and Barnes T 2014 ‘Life history of </w:t>
      </w:r>
      <w:r w:rsidRPr="007500A4">
        <w:rPr>
          <w:rFonts w:ascii="Arial" w:hAnsi="Arial" w:cs="Arial"/>
          <w:i/>
          <w:iCs/>
          <w:sz w:val="22"/>
          <w:szCs w:val="22"/>
          <w:lang w:val="en-AU"/>
        </w:rPr>
        <w:t>Argyrosomus japonicus</w:t>
      </w:r>
      <w:r w:rsidRPr="007500A4">
        <w:rPr>
          <w:rFonts w:ascii="Arial" w:hAnsi="Arial" w:cs="Arial"/>
          <w:sz w:val="22"/>
          <w:szCs w:val="22"/>
          <w:lang w:val="en-AU"/>
        </w:rPr>
        <w:t>, a large sciaenid at the southern part of its global distribution: implications for fisheries management, Fisheries Research, vol. 151, no, pp. 148-157.</w:t>
      </w:r>
    </w:p>
    <w:p w14:paraId="78AC0F36" w14:textId="77777777"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Ferguson GJ and Ye Q 2012 ‘Stock assessment of golden perch (</w:t>
      </w:r>
      <w:r w:rsidRPr="007500A4">
        <w:rPr>
          <w:rFonts w:ascii="Arial" w:hAnsi="Arial" w:cs="Arial"/>
          <w:i/>
          <w:iCs/>
          <w:sz w:val="22"/>
          <w:szCs w:val="22"/>
          <w:lang w:val="en-AU"/>
        </w:rPr>
        <w:t>Macquaria ambigua</w:t>
      </w:r>
      <w:r w:rsidRPr="007500A4">
        <w:rPr>
          <w:rFonts w:ascii="Arial" w:hAnsi="Arial" w:cs="Arial"/>
          <w:sz w:val="22"/>
          <w:szCs w:val="22"/>
          <w:lang w:val="en-AU"/>
        </w:rPr>
        <w:t>)’, Stock assessment report for PIRSA Fisheries and Aquaculture, South Australian Research and Development Institute (Aquatic Sciences), SARDI Report Series No. 656, 55 pp, Adelaide SA.</w:t>
      </w:r>
    </w:p>
    <w:p w14:paraId="0B4AE8C0" w14:textId="78A9AC38" w:rsidR="000E21EA" w:rsidRPr="007500A4" w:rsidRDefault="000E21EA"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 xml:space="preserve">Fletcher WJ, Chesson J, Fisher M, Sainsbury KJ, Hundloe T, Smith ADM, and Whitworth B 2002 ‘National ecologically sustainable development reporting framework for Australian fisheries: the ‘how to’ guide for wild capture fisheries’, Fisheries Research and Development Corporation, FRDC Project 2000/145, Canberra ACT, Available at </w:t>
      </w:r>
      <w:hyperlink r:id="rId39" w:history="1">
        <w:r w:rsidRPr="007500A4">
          <w:rPr>
            <w:rStyle w:val="Hyperlink"/>
            <w:rFonts w:ascii="Arial" w:hAnsi="Arial" w:cs="Arial"/>
            <w:sz w:val="22"/>
            <w:szCs w:val="22"/>
            <w:lang w:val="en-AU"/>
          </w:rPr>
          <w:t>http://www.fisheries-esd.com.au/c/home/index.cfm?CFID=2221211&amp;CFTOKEN=a4473314fbf92d8c-73056818-A212-4ED2-6E9C589AF69DF1A1</w:t>
        </w:r>
      </w:hyperlink>
      <w:r w:rsidRPr="007500A4">
        <w:rPr>
          <w:rFonts w:ascii="Arial" w:hAnsi="Arial" w:cs="Arial"/>
          <w:sz w:val="22"/>
          <w:szCs w:val="22"/>
          <w:lang w:val="en-AU"/>
        </w:rPr>
        <w:t>.</w:t>
      </w:r>
    </w:p>
    <w:p w14:paraId="00F11D7B" w14:textId="4E880892" w:rsidR="00010BE8" w:rsidRPr="007500A4" w:rsidRDefault="00010BE8" w:rsidP="007500A4">
      <w:pPr>
        <w:tabs>
          <w:tab w:val="left" w:pos="360"/>
        </w:tabs>
        <w:rPr>
          <w:rFonts w:cs="Arial"/>
          <w:sz w:val="22"/>
        </w:rPr>
      </w:pPr>
      <w:r w:rsidRPr="007500A4">
        <w:rPr>
          <w:rFonts w:cs="Arial"/>
          <w:sz w:val="22"/>
        </w:rPr>
        <w:t xml:space="preserve">Jones K 2009 ‘South Australian recreational fishing survey 2007–08’, </w:t>
      </w:r>
      <w:r w:rsidR="00576FBB" w:rsidRPr="007500A4">
        <w:rPr>
          <w:rFonts w:cs="Arial"/>
          <w:sz w:val="22"/>
        </w:rPr>
        <w:t>SA</w:t>
      </w:r>
      <w:r w:rsidRPr="007500A4">
        <w:rPr>
          <w:rFonts w:cs="Arial"/>
          <w:sz w:val="22"/>
        </w:rPr>
        <w:t xml:space="preserve"> Fisheries Management Series Paper No 54, Primary Industries and Regions South Australia, Adelaide SA, 84. pp.</w:t>
      </w:r>
    </w:p>
    <w:p w14:paraId="6F249437" w14:textId="535ECC69" w:rsidR="00D8359D" w:rsidRPr="007500A4" w:rsidRDefault="00D8359D" w:rsidP="007500A4">
      <w:pPr>
        <w:tabs>
          <w:tab w:val="left" w:pos="360"/>
        </w:tabs>
        <w:rPr>
          <w:rFonts w:cs="Arial"/>
          <w:sz w:val="22"/>
        </w:rPr>
      </w:pPr>
      <w:r w:rsidRPr="007500A4">
        <w:rPr>
          <w:rFonts w:cs="Arial"/>
          <w:sz w:val="22"/>
        </w:rPr>
        <w:t>Knight, M.A. and Vainickis, A.A (2011). Interactions with Threatened, Endangered or Protected Species in South Australian Managed Fisheries – 2007/08, 2008/09, and 2009/10. Report to PIRSA Fisheries and Aquaculture. South Australian Research and Development Institute (Aquatic Sciences), Adelaide. SARDI Publication No. F2009/000544-1. SARDI Research Report Series No.534. 44pp</w:t>
      </w:r>
    </w:p>
    <w:p w14:paraId="472AC44F" w14:textId="5A2FA692" w:rsidR="00010BE8" w:rsidRPr="007500A4" w:rsidRDefault="00010BE8" w:rsidP="007500A4">
      <w:pPr>
        <w:tabs>
          <w:tab w:val="left" w:pos="360"/>
        </w:tabs>
        <w:rPr>
          <w:rFonts w:cs="Arial"/>
          <w:sz w:val="22"/>
        </w:rPr>
      </w:pPr>
      <w:r w:rsidRPr="007500A4">
        <w:rPr>
          <w:rFonts w:cs="Arial"/>
          <w:sz w:val="22"/>
        </w:rPr>
        <w:lastRenderedPageBreak/>
        <w:t xml:space="preserve">Knuckey I, Sen S, Ward TM, Koopman M, Earl J, McPhail J, MacDonald N and Fistr A 2015 ‘Developing management frameworks and harvest strategies for small-scale, multi-species, multi-method, community-based fisheries, using the SA Lakes and Coorong Fishery as a case study’, FRDC No. 2013/225, Fishwell Consulting, 84 pp. </w:t>
      </w:r>
    </w:p>
    <w:p w14:paraId="5082BD86" w14:textId="42AD9C04" w:rsidR="00887258" w:rsidRPr="007500A4" w:rsidRDefault="00887258" w:rsidP="007500A4">
      <w:pPr>
        <w:pStyle w:val="NormalWeb"/>
        <w:spacing w:before="60" w:beforeAutospacing="0" w:after="60" w:afterAutospacing="0"/>
        <w:rPr>
          <w:rFonts w:ascii="Arial" w:hAnsi="Arial" w:cs="Arial"/>
          <w:sz w:val="22"/>
          <w:szCs w:val="22"/>
        </w:rPr>
      </w:pPr>
      <w:r w:rsidRPr="007500A4">
        <w:rPr>
          <w:rFonts w:ascii="Arial" w:hAnsi="Arial" w:cs="Arial"/>
          <w:sz w:val="22"/>
          <w:szCs w:val="22"/>
          <w:lang w:val="en-AU"/>
        </w:rPr>
        <w:t>McLeay LJ, Tsolos A and Boyle MK 2015 ‘Operational interactions with threatened, endangered or protected species in South Australian managed fisheries: Data summary 2007–08 to 2013–14’,</w:t>
      </w:r>
      <w:r w:rsidRPr="007500A4">
        <w:rPr>
          <w:rFonts w:ascii="Arial" w:eastAsia="Calibri" w:hAnsi="Arial" w:cs="Arial"/>
          <w:sz w:val="22"/>
          <w:szCs w:val="22"/>
          <w:lang w:val="en-AU"/>
        </w:rPr>
        <w:t xml:space="preserve"> Report to PIRSA Fisheries and Aquaculture, SA Research and Development Institute (Aquatic Sciences), </w:t>
      </w:r>
      <w:r w:rsidRPr="007500A4">
        <w:rPr>
          <w:rFonts w:ascii="Arial" w:hAnsi="Arial" w:cs="Arial"/>
          <w:sz w:val="22"/>
          <w:szCs w:val="22"/>
          <w:lang w:val="en-AU"/>
        </w:rPr>
        <w:t>SARDI Publication # F2009/000544-5, SARDI Research Report Series No. 851, 78 pp, Adelaide SA.</w:t>
      </w:r>
    </w:p>
    <w:p w14:paraId="341093B3" w14:textId="290539D8" w:rsidR="00010BE8" w:rsidRPr="007500A4" w:rsidRDefault="00010BE8" w:rsidP="007500A4">
      <w:pPr>
        <w:pStyle w:val="NormalWeb"/>
        <w:spacing w:before="60" w:beforeAutospacing="0" w:after="60" w:afterAutospacing="0"/>
        <w:rPr>
          <w:rFonts w:ascii="Arial" w:hAnsi="Arial" w:cs="Arial"/>
          <w:b/>
          <w:caps/>
          <w:sz w:val="22"/>
          <w:szCs w:val="22"/>
        </w:rPr>
      </w:pPr>
      <w:r w:rsidRPr="007500A4">
        <w:rPr>
          <w:rFonts w:ascii="Arial" w:hAnsi="Arial" w:cs="Arial"/>
          <w:sz w:val="22"/>
          <w:szCs w:val="22"/>
        </w:rPr>
        <w:t xml:space="preserve">Primary Industries and Regions </w:t>
      </w:r>
      <w:r w:rsidR="00655DB9" w:rsidRPr="007500A4">
        <w:rPr>
          <w:rFonts w:ascii="Arial" w:hAnsi="Arial" w:cs="Arial"/>
          <w:sz w:val="22"/>
          <w:szCs w:val="22"/>
        </w:rPr>
        <w:t xml:space="preserve">South Australia </w:t>
      </w:r>
      <w:r w:rsidRPr="007500A4">
        <w:rPr>
          <w:rFonts w:ascii="Arial" w:hAnsi="Arial" w:cs="Arial"/>
          <w:sz w:val="22"/>
          <w:szCs w:val="22"/>
        </w:rPr>
        <w:t>2011 ‘Ecologically sustainable development (ESD) risk assessment of the commercial Lakes and Coorong Fishery’, June 2011, Department of Primary Industries and Regions, Adelaide SA.</w:t>
      </w:r>
    </w:p>
    <w:p w14:paraId="467D9A25" w14:textId="2101259F" w:rsidR="00010BE8" w:rsidRPr="007500A4" w:rsidRDefault="003A1022"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rPr>
        <w:t xml:space="preserve">Primary Industries and Regions </w:t>
      </w:r>
      <w:r w:rsidR="00655DB9" w:rsidRPr="007500A4">
        <w:rPr>
          <w:rFonts w:ascii="Arial" w:hAnsi="Arial" w:cs="Arial"/>
          <w:sz w:val="22"/>
          <w:szCs w:val="22"/>
        </w:rPr>
        <w:t xml:space="preserve">South Australia </w:t>
      </w:r>
      <w:r w:rsidR="00010BE8" w:rsidRPr="007500A4">
        <w:rPr>
          <w:rFonts w:ascii="Arial" w:hAnsi="Arial" w:cs="Arial"/>
          <w:sz w:val="22"/>
          <w:szCs w:val="22"/>
          <w:lang w:val="en-AU"/>
        </w:rPr>
        <w:t>2015 ‘Management plan for the South Australian commercial Lakes and Coorong Fishery’, March 2016, South Australian Fisheries Management Series No. 72, Department of Primary Industries and Regions, Adelaide SA.</w:t>
      </w:r>
    </w:p>
    <w:p w14:paraId="5DA0ABA3" w14:textId="45E3110C" w:rsidR="00010BE8" w:rsidRPr="007500A4" w:rsidRDefault="003A1022"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rPr>
        <w:t xml:space="preserve">Primary Industries and Regions </w:t>
      </w:r>
      <w:r w:rsidR="00655DB9" w:rsidRPr="007500A4">
        <w:rPr>
          <w:rFonts w:ascii="Arial" w:hAnsi="Arial" w:cs="Arial"/>
          <w:sz w:val="22"/>
          <w:szCs w:val="22"/>
        </w:rPr>
        <w:t xml:space="preserve">South Australia </w:t>
      </w:r>
      <w:r w:rsidR="00010BE8" w:rsidRPr="007500A4">
        <w:rPr>
          <w:rFonts w:ascii="Arial" w:hAnsi="Arial" w:cs="Arial"/>
          <w:sz w:val="22"/>
          <w:szCs w:val="22"/>
          <w:lang w:val="en-AU"/>
        </w:rPr>
        <w:t xml:space="preserve">2016 ‘Ecological assessment of the South Australian Lakes and Coorong Fishery: reassessment report’, Prepared for the Department of the Environment, September 2016, </w:t>
      </w:r>
      <w:r w:rsidR="00655DB9" w:rsidRPr="007500A4">
        <w:rPr>
          <w:rFonts w:ascii="Arial" w:hAnsi="Arial" w:cs="Arial"/>
          <w:sz w:val="22"/>
          <w:szCs w:val="22"/>
          <w:lang w:val="en-AU"/>
        </w:rPr>
        <w:t xml:space="preserve">Department of </w:t>
      </w:r>
      <w:r w:rsidR="00010BE8" w:rsidRPr="007500A4">
        <w:rPr>
          <w:rFonts w:ascii="Arial" w:hAnsi="Arial" w:cs="Arial"/>
          <w:sz w:val="22"/>
          <w:szCs w:val="22"/>
          <w:lang w:val="en-AU"/>
        </w:rPr>
        <w:t>Primary Industries and Regions, Adelaide SA.</w:t>
      </w:r>
    </w:p>
    <w:p w14:paraId="06067FF6" w14:textId="4EFA3F3C" w:rsidR="00481284" w:rsidRPr="007500A4" w:rsidRDefault="00481284"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rPr>
        <w:t xml:space="preserve">Sloan S 2005 ‘Management Plan for the South Australian Lakes and Coorong Fishery’, South Australian Fisheries Management Series, </w:t>
      </w:r>
      <w:r w:rsidR="00655DB9" w:rsidRPr="007500A4">
        <w:rPr>
          <w:rFonts w:ascii="Arial" w:hAnsi="Arial" w:cs="Arial"/>
          <w:sz w:val="22"/>
          <w:szCs w:val="22"/>
        </w:rPr>
        <w:t xml:space="preserve">Department of </w:t>
      </w:r>
      <w:r w:rsidRPr="007500A4">
        <w:rPr>
          <w:rFonts w:ascii="Arial" w:hAnsi="Arial" w:cs="Arial"/>
          <w:sz w:val="22"/>
          <w:szCs w:val="22"/>
        </w:rPr>
        <w:t xml:space="preserve">Primary Industries and Resources, South Australian Fisheries Management Series, Paper No. 44, 135 pp, Available at </w:t>
      </w:r>
      <w:hyperlink r:id="rId40" w:history="1">
        <w:r w:rsidR="000E21EA" w:rsidRPr="007500A4">
          <w:rPr>
            <w:rStyle w:val="Hyperlink"/>
            <w:rFonts w:ascii="Arial" w:hAnsi="Arial" w:cs="Arial"/>
            <w:sz w:val="22"/>
            <w:szCs w:val="22"/>
          </w:rPr>
          <w:t>http://www.environment.gov.au/marine/fisheries/sa/coorong/agency-submission-2008</w:t>
        </w:r>
      </w:hyperlink>
      <w:r w:rsidRPr="007500A4">
        <w:rPr>
          <w:rFonts w:ascii="Arial" w:hAnsi="Arial" w:cs="Arial"/>
          <w:sz w:val="22"/>
          <w:szCs w:val="22"/>
        </w:rPr>
        <w:t xml:space="preserve">.  </w:t>
      </w:r>
    </w:p>
    <w:p w14:paraId="6EA4F3C7" w14:textId="2652C2AC"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Stoklosa R 2013 ‘Ecological risk assessment of bird interactions – the Lakes and Coorong fisheries’, Prepared for the Southern Fishermen’s Association, May 2013, E-systems Pty Ltd, Hobart TAS.</w:t>
      </w:r>
    </w:p>
    <w:p w14:paraId="7CB5028D" w14:textId="77777777" w:rsidR="00655DB9"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Smith ADM 2013 ‘Review of the 2011 stock assessment for mulloway in South Australia’, GJ Ferguson and TM Ward 2011 Mulloway (</w:t>
      </w:r>
      <w:r w:rsidRPr="007500A4">
        <w:rPr>
          <w:rFonts w:ascii="Arial" w:hAnsi="Arial" w:cs="Arial"/>
          <w:i/>
          <w:sz w:val="22"/>
          <w:szCs w:val="22"/>
          <w:lang w:val="en-AU"/>
        </w:rPr>
        <w:t>Argyrosomus japonicus</w:t>
      </w:r>
      <w:r w:rsidRPr="007500A4">
        <w:rPr>
          <w:rFonts w:ascii="Arial" w:hAnsi="Arial" w:cs="Arial"/>
          <w:sz w:val="22"/>
          <w:szCs w:val="22"/>
          <w:lang w:val="en-AU"/>
        </w:rPr>
        <w:t>) Fishery, SARDI Research Report Series No. 573, April 2013.</w:t>
      </w:r>
      <w:r w:rsidR="00481284" w:rsidRPr="007500A4" w:rsidDel="00481284">
        <w:rPr>
          <w:rFonts w:ascii="Arial" w:hAnsi="Arial" w:cs="Arial"/>
          <w:sz w:val="22"/>
          <w:szCs w:val="22"/>
          <w:lang w:val="en-AU"/>
        </w:rPr>
        <w:t xml:space="preserve"> </w:t>
      </w:r>
    </w:p>
    <w:p w14:paraId="65002A2D" w14:textId="4774ABA2"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 xml:space="preserve">Threatened Species Scientific Committee 2012 ‘Commonwealth listing advice on Giant Kelp Marine Forests of South East Australia’, Department of Sustainability, Environment, Water, Population and Communities, Canberra ACT, Available at </w:t>
      </w:r>
      <w:hyperlink r:id="rId41" w:history="1">
        <w:r w:rsidR="00481284" w:rsidRPr="007500A4">
          <w:rPr>
            <w:rStyle w:val="Hyperlink"/>
            <w:rFonts w:ascii="Arial" w:hAnsi="Arial" w:cs="Arial"/>
            <w:sz w:val="22"/>
            <w:szCs w:val="22"/>
            <w:lang w:val="en-AU"/>
          </w:rPr>
          <w:t>http://www.environment.gov.au/cgi-bin/sprat/public/publicshowcommunity.pl?id=107</w:t>
        </w:r>
      </w:hyperlink>
      <w:r w:rsidRPr="007500A4">
        <w:rPr>
          <w:rFonts w:ascii="Arial" w:hAnsi="Arial" w:cs="Arial"/>
          <w:sz w:val="22"/>
          <w:szCs w:val="22"/>
          <w:lang w:val="en-AU"/>
        </w:rPr>
        <w:t xml:space="preserve">. </w:t>
      </w:r>
    </w:p>
    <w:p w14:paraId="492901AB" w14:textId="1947133B" w:rsidR="00010BE8" w:rsidRPr="007500A4" w:rsidRDefault="00010BE8" w:rsidP="007500A4">
      <w:pPr>
        <w:pStyle w:val="NormalWeb"/>
        <w:spacing w:before="60" w:beforeAutospacing="0" w:after="60" w:afterAutospacing="0"/>
        <w:rPr>
          <w:rFonts w:ascii="Arial" w:hAnsi="Arial" w:cs="Arial"/>
          <w:sz w:val="22"/>
          <w:szCs w:val="22"/>
          <w:lang w:val="en-AU"/>
        </w:rPr>
      </w:pPr>
      <w:r w:rsidRPr="007500A4">
        <w:rPr>
          <w:rFonts w:ascii="Arial" w:hAnsi="Arial" w:cs="Arial"/>
          <w:sz w:val="22"/>
          <w:szCs w:val="22"/>
          <w:lang w:val="en-AU"/>
        </w:rPr>
        <w:t>Tsolos A and Boyle M</w:t>
      </w:r>
      <w:r w:rsidR="00887258" w:rsidRPr="007500A4">
        <w:rPr>
          <w:rFonts w:ascii="Arial" w:hAnsi="Arial" w:cs="Arial"/>
          <w:sz w:val="22"/>
          <w:szCs w:val="22"/>
          <w:lang w:val="en-AU"/>
        </w:rPr>
        <w:t>K</w:t>
      </w:r>
      <w:r w:rsidRPr="007500A4">
        <w:rPr>
          <w:rFonts w:ascii="Arial" w:hAnsi="Arial" w:cs="Arial"/>
          <w:sz w:val="22"/>
          <w:szCs w:val="22"/>
          <w:lang w:val="en-AU"/>
        </w:rPr>
        <w:t xml:space="preserve"> 2013 ‘Interactions with threatened, endangered or protected species in South Australian managed fisheries – 2009–10, 2010–11 and 2011–12’,</w:t>
      </w:r>
      <w:r w:rsidRPr="007500A4">
        <w:rPr>
          <w:rFonts w:ascii="Arial" w:eastAsia="Calibri" w:hAnsi="Arial" w:cs="Arial"/>
          <w:sz w:val="22"/>
          <w:szCs w:val="22"/>
          <w:lang w:val="en-AU"/>
        </w:rPr>
        <w:t xml:space="preserve"> Report to PIRSA Fisheries and Aquaculture, </w:t>
      </w:r>
      <w:r w:rsidR="00655DB9" w:rsidRPr="007500A4">
        <w:rPr>
          <w:rFonts w:ascii="Arial" w:eastAsia="Calibri" w:hAnsi="Arial" w:cs="Arial"/>
          <w:sz w:val="22"/>
          <w:szCs w:val="22"/>
          <w:lang w:val="en-AU"/>
        </w:rPr>
        <w:t>SA</w:t>
      </w:r>
      <w:r w:rsidRPr="007500A4">
        <w:rPr>
          <w:rFonts w:ascii="Arial" w:eastAsia="Calibri" w:hAnsi="Arial" w:cs="Arial"/>
          <w:sz w:val="22"/>
          <w:szCs w:val="22"/>
          <w:lang w:val="en-AU"/>
        </w:rPr>
        <w:t xml:space="preserve"> Research and Development Institute (Aquatic Sciences), </w:t>
      </w:r>
      <w:r w:rsidRPr="007500A4">
        <w:rPr>
          <w:rFonts w:ascii="Arial" w:hAnsi="Arial" w:cs="Arial"/>
          <w:sz w:val="22"/>
          <w:szCs w:val="22"/>
          <w:lang w:val="en-AU"/>
        </w:rPr>
        <w:t>SARDI Report Series No. 682, 46 pp, Adelaide SA.</w:t>
      </w:r>
    </w:p>
    <w:p w14:paraId="44675FFF" w14:textId="6AE4109E" w:rsidR="006B14DB" w:rsidRPr="007500A4" w:rsidRDefault="00010BE8" w:rsidP="007500A4">
      <w:pPr>
        <w:pStyle w:val="NormalWeb"/>
        <w:spacing w:before="60" w:beforeAutospacing="0" w:after="60" w:afterAutospacing="0"/>
        <w:rPr>
          <w:rFonts w:ascii="Arial" w:hAnsi="Arial" w:cs="Arial"/>
          <w:b/>
          <w:caps/>
          <w:sz w:val="22"/>
          <w:szCs w:val="22"/>
        </w:rPr>
      </w:pPr>
      <w:r w:rsidRPr="007500A4">
        <w:rPr>
          <w:rFonts w:ascii="Arial" w:hAnsi="Arial" w:cs="Arial"/>
          <w:sz w:val="22"/>
          <w:szCs w:val="22"/>
          <w:lang w:val="en-AU"/>
        </w:rPr>
        <w:t xml:space="preserve">Ye Q, Bucater L, Short D and Livore J 2012 ‘Fish response to barrage releases in 2011–12, and recovery following the recent drought in the Coorong’, </w:t>
      </w:r>
      <w:r w:rsidR="00655DB9" w:rsidRPr="007500A4">
        <w:rPr>
          <w:rFonts w:ascii="Arial" w:hAnsi="Arial" w:cs="Arial"/>
          <w:sz w:val="22"/>
          <w:szCs w:val="22"/>
          <w:lang w:val="en-AU"/>
        </w:rPr>
        <w:t>SA</w:t>
      </w:r>
      <w:r w:rsidRPr="007500A4">
        <w:rPr>
          <w:rFonts w:ascii="Arial" w:hAnsi="Arial" w:cs="Arial"/>
          <w:sz w:val="22"/>
          <w:szCs w:val="22"/>
          <w:lang w:val="en-AU"/>
        </w:rPr>
        <w:t xml:space="preserve"> Research and Development Institute (Aquatic Sciences), SARDI Report Series No. 665, 81 pp, Adelaide SA.</w:t>
      </w:r>
    </w:p>
    <w:sectPr w:rsidR="006B14DB" w:rsidRPr="007500A4" w:rsidSect="00895ECB">
      <w:pgSz w:w="11906" w:h="16838"/>
      <w:pgMar w:top="1021" w:right="1021" w:bottom="1021" w:left="1021"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5EC7B" w14:textId="77777777" w:rsidR="00C27553" w:rsidRDefault="00C27553" w:rsidP="00A60185">
      <w:pPr>
        <w:spacing w:after="0"/>
      </w:pPr>
      <w:r>
        <w:separator/>
      </w:r>
    </w:p>
  </w:endnote>
  <w:endnote w:type="continuationSeparator" w:id="0">
    <w:p w14:paraId="414163AA" w14:textId="77777777" w:rsidR="00C27553" w:rsidRDefault="00C27553" w:rsidP="00A60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FBD1F" w14:textId="77777777" w:rsidR="00906B2A" w:rsidRDefault="00906B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C27553" w:rsidRPr="008676DA" w:rsidRDefault="00C2755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906B2A">
      <w:rPr>
        <w:rFonts w:cs="Arial"/>
        <w:noProof/>
      </w:rPr>
      <w:t>i</w:t>
    </w:r>
    <w:r w:rsidRPr="008676DA">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C27553" w:rsidRPr="00E5103E" w:rsidRDefault="00C2755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C27553" w:rsidRDefault="00C2755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C27553" w:rsidRDefault="00C2755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09919" w14:textId="7D8807AA" w:rsidR="00C27553" w:rsidRPr="0002045F" w:rsidRDefault="00C27553" w:rsidP="0002045F">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906B2A">
      <w:rPr>
        <w:rFonts w:cs="Arial"/>
        <w:noProof/>
      </w:rPr>
      <w:t>18</w:t>
    </w:r>
    <w:r w:rsidRPr="008676DA">
      <w:rPr>
        <w:rFonts w:cs="Aria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5A29EF06" w:rsidR="00C27553" w:rsidRPr="0002045F" w:rsidRDefault="00C27553" w:rsidP="0002045F">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906B2A">
      <w:rPr>
        <w:rFonts w:cs="Arial"/>
        <w:noProof/>
      </w:rPr>
      <w:t>15</w:t>
    </w:r>
    <w:r w:rsidRPr="008676D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CB6B3" w14:textId="77777777" w:rsidR="00C27553" w:rsidRDefault="00C27553" w:rsidP="00A60185">
      <w:pPr>
        <w:spacing w:after="0"/>
      </w:pPr>
      <w:r>
        <w:separator/>
      </w:r>
    </w:p>
  </w:footnote>
  <w:footnote w:type="continuationSeparator" w:id="0">
    <w:p w14:paraId="407DF198" w14:textId="77777777" w:rsidR="00C27553" w:rsidRDefault="00C27553" w:rsidP="00A6018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7D019" w14:textId="77777777" w:rsidR="00906B2A" w:rsidRDefault="00906B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147A1" w14:textId="77777777" w:rsidR="00906B2A" w:rsidRDefault="00906B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FB23D" w14:textId="77777777" w:rsidR="00906B2A" w:rsidRDefault="00906B2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C27553" w:rsidRDefault="00C27553" w:rsidP="00E45765">
    <w:pPr>
      <w:pStyle w:val="Classification"/>
    </w:pPr>
    <w:r>
      <w:fldChar w:fldCharType="begin"/>
    </w:r>
    <w:r>
      <w:instrText xml:space="preserve"> DOCPROPERTY SecurityClassification \* MERGEFORMAT </w:instrText>
    </w:r>
    <w:r>
      <w:fldChar w:fldCharType="separate"/>
    </w:r>
    <w:r w:rsidR="000F6BD4">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C27553" w:rsidRDefault="00C275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C27553" w:rsidRDefault="00C275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064A8668"/>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1167AC"/>
    <w:multiLevelType w:val="hybridMultilevel"/>
    <w:tmpl w:val="D8A6F038"/>
    <w:lvl w:ilvl="0" w:tplc="D376EB3C">
      <w:numFmt w:val="bullet"/>
      <w:pStyle w:val="ListBullet5"/>
      <w:lvlText w:val=""/>
      <w:lvlJc w:val="left"/>
      <w:pPr>
        <w:ind w:left="720" w:hanging="360"/>
      </w:pPr>
      <w:rPr>
        <w:rFonts w:ascii="Wingdings 2" w:eastAsia="Times New Roman" w:hAnsi="Wingdings 2" w:cs="Times New Roman"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F745BC2"/>
    <w:multiLevelType w:val="multilevel"/>
    <w:tmpl w:val="064A8668"/>
    <w:numStyleLink w:val="BulletList"/>
  </w:abstractNum>
  <w:abstractNum w:abstractNumId="12"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A22F84"/>
    <w:multiLevelType w:val="hybridMultilevel"/>
    <w:tmpl w:val="B15C8BCA"/>
    <w:lvl w:ilvl="0" w:tplc="51F8262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94A11FA"/>
    <w:multiLevelType w:val="hybridMultilevel"/>
    <w:tmpl w:val="90D6C34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0234F93"/>
    <w:multiLevelType w:val="hybridMultilevel"/>
    <w:tmpl w:val="1F961C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70D749B"/>
    <w:multiLevelType w:val="hybridMultilevel"/>
    <w:tmpl w:val="52B8DEA0"/>
    <w:lvl w:ilvl="0" w:tplc="0C090001">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7A83056"/>
    <w:multiLevelType w:val="hybridMultilevel"/>
    <w:tmpl w:val="2C7A9DD6"/>
    <w:lvl w:ilvl="0" w:tplc="0C090001">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9FD0F0A"/>
    <w:multiLevelType w:val="hybridMultilevel"/>
    <w:tmpl w:val="F6E8EA38"/>
    <w:lvl w:ilvl="0" w:tplc="0630DEC2">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3310E27"/>
    <w:multiLevelType w:val="hybridMultilevel"/>
    <w:tmpl w:val="36A0FE1C"/>
    <w:lvl w:ilvl="0" w:tplc="0C090001">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6D542D1"/>
    <w:multiLevelType w:val="hybridMultilevel"/>
    <w:tmpl w:val="0774705A"/>
    <w:lvl w:ilvl="0" w:tplc="A2BA574E">
      <w:start w:val="1"/>
      <w:numFmt w:val="lowerLetter"/>
      <w:pStyle w:val="ListNumber2Table-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7DE7D09"/>
    <w:multiLevelType w:val="hybridMultilevel"/>
    <w:tmpl w:val="38240F1A"/>
    <w:lvl w:ilvl="0" w:tplc="83388DDE">
      <w:start w:val="8"/>
      <w:numFmt w:val="lowerLetter"/>
      <w:lvlText w:val="(%1)"/>
      <w:lvlJc w:val="left"/>
      <w:pPr>
        <w:tabs>
          <w:tab w:val="num" w:pos="1080"/>
        </w:tabs>
        <w:ind w:left="1080" w:hanging="720"/>
      </w:pPr>
      <w:rPr>
        <w:rFonts w:cs="Times New Roman" w:hint="default"/>
      </w:rPr>
    </w:lvl>
    <w:lvl w:ilvl="1" w:tplc="21D2D0C2" w:tentative="1">
      <w:start w:val="1"/>
      <w:numFmt w:val="lowerLetter"/>
      <w:lvlText w:val="%2."/>
      <w:lvlJc w:val="left"/>
      <w:pPr>
        <w:ind w:left="1440" w:hanging="360"/>
      </w:pPr>
    </w:lvl>
    <w:lvl w:ilvl="2" w:tplc="367EEAC6" w:tentative="1">
      <w:start w:val="1"/>
      <w:numFmt w:val="lowerRoman"/>
      <w:lvlText w:val="%3."/>
      <w:lvlJc w:val="right"/>
      <w:pPr>
        <w:ind w:left="2160" w:hanging="180"/>
      </w:pPr>
    </w:lvl>
    <w:lvl w:ilvl="3" w:tplc="2F74D77E" w:tentative="1">
      <w:start w:val="1"/>
      <w:numFmt w:val="decimal"/>
      <w:lvlText w:val="%4."/>
      <w:lvlJc w:val="left"/>
      <w:pPr>
        <w:ind w:left="2880" w:hanging="360"/>
      </w:pPr>
    </w:lvl>
    <w:lvl w:ilvl="4" w:tplc="9B1E6262" w:tentative="1">
      <w:start w:val="1"/>
      <w:numFmt w:val="lowerLetter"/>
      <w:lvlText w:val="%5."/>
      <w:lvlJc w:val="left"/>
      <w:pPr>
        <w:ind w:left="3600" w:hanging="360"/>
      </w:pPr>
    </w:lvl>
    <w:lvl w:ilvl="5" w:tplc="D8AA905A" w:tentative="1">
      <w:start w:val="1"/>
      <w:numFmt w:val="lowerRoman"/>
      <w:lvlText w:val="%6."/>
      <w:lvlJc w:val="right"/>
      <w:pPr>
        <w:ind w:left="4320" w:hanging="180"/>
      </w:pPr>
    </w:lvl>
    <w:lvl w:ilvl="6" w:tplc="743814B2" w:tentative="1">
      <w:start w:val="1"/>
      <w:numFmt w:val="decimal"/>
      <w:lvlText w:val="%7."/>
      <w:lvlJc w:val="left"/>
      <w:pPr>
        <w:ind w:left="5040" w:hanging="360"/>
      </w:pPr>
    </w:lvl>
    <w:lvl w:ilvl="7" w:tplc="472E4744" w:tentative="1">
      <w:start w:val="1"/>
      <w:numFmt w:val="lowerLetter"/>
      <w:lvlText w:val="%8."/>
      <w:lvlJc w:val="left"/>
      <w:pPr>
        <w:ind w:left="5760" w:hanging="360"/>
      </w:pPr>
    </w:lvl>
    <w:lvl w:ilvl="8" w:tplc="6C906E02" w:tentative="1">
      <w:start w:val="1"/>
      <w:numFmt w:val="lowerRoman"/>
      <w:lvlText w:val="%9."/>
      <w:lvlJc w:val="right"/>
      <w:pPr>
        <w:ind w:left="6480" w:hanging="180"/>
      </w:pPr>
    </w:lvl>
  </w:abstractNum>
  <w:abstractNum w:abstractNumId="40" w15:restartNumberingAfterBreak="0">
    <w:nsid w:val="68000CCA"/>
    <w:multiLevelType w:val="singleLevel"/>
    <w:tmpl w:val="0C090017"/>
    <w:lvl w:ilvl="0">
      <w:start w:val="1"/>
      <w:numFmt w:val="lowerLetter"/>
      <w:pStyle w:val="ListNumber5"/>
      <w:lvlText w:val="%1)"/>
      <w:lvlJc w:val="left"/>
      <w:pPr>
        <w:ind w:left="738" w:hanging="369"/>
      </w:pPr>
      <w:rPr>
        <w:rFonts w:hint="default"/>
      </w:rPr>
    </w:lvl>
  </w:abstractNum>
  <w:abstractNum w:abstractNumId="41" w15:restartNumberingAfterBreak="0">
    <w:nsid w:val="68F7128C"/>
    <w:multiLevelType w:val="hybridMultilevel"/>
    <w:tmpl w:val="DE66873C"/>
    <w:lvl w:ilvl="0" w:tplc="C00AD14A">
      <w:numFmt w:val="bullet"/>
      <w:lvlText w:val=""/>
      <w:lvlJc w:val="left"/>
      <w:pPr>
        <w:tabs>
          <w:tab w:val="num" w:pos="1455"/>
        </w:tabs>
        <w:ind w:left="1455" w:hanging="735"/>
      </w:pPr>
      <w:rPr>
        <w:rFonts w:ascii="Wingdings 2" w:eastAsia="Times New Roman" w:hAnsi="Wingdings 2" w:cs="Times New Roman" w:hint="default"/>
        <w:color w:val="auto"/>
      </w:rPr>
    </w:lvl>
    <w:lvl w:ilvl="1" w:tplc="B1185E82" w:tentative="1">
      <w:start w:val="1"/>
      <w:numFmt w:val="bullet"/>
      <w:lvlText w:val="o"/>
      <w:lvlJc w:val="left"/>
      <w:pPr>
        <w:tabs>
          <w:tab w:val="num" w:pos="1440"/>
        </w:tabs>
        <w:ind w:left="1440" w:hanging="360"/>
      </w:pPr>
      <w:rPr>
        <w:rFonts w:ascii="Courier New" w:hAnsi="Courier New" w:cs="Courier New" w:hint="default"/>
      </w:rPr>
    </w:lvl>
    <w:lvl w:ilvl="2" w:tplc="0472C93E" w:tentative="1">
      <w:start w:val="1"/>
      <w:numFmt w:val="bullet"/>
      <w:lvlText w:val=""/>
      <w:lvlJc w:val="left"/>
      <w:pPr>
        <w:tabs>
          <w:tab w:val="num" w:pos="2160"/>
        </w:tabs>
        <w:ind w:left="2160" w:hanging="360"/>
      </w:pPr>
      <w:rPr>
        <w:rFonts w:ascii="Wingdings" w:hAnsi="Wingdings" w:hint="default"/>
      </w:rPr>
    </w:lvl>
    <w:lvl w:ilvl="3" w:tplc="FA4E2B6C" w:tentative="1">
      <w:start w:val="1"/>
      <w:numFmt w:val="bullet"/>
      <w:lvlText w:val=""/>
      <w:lvlJc w:val="left"/>
      <w:pPr>
        <w:tabs>
          <w:tab w:val="num" w:pos="2880"/>
        </w:tabs>
        <w:ind w:left="2880" w:hanging="360"/>
      </w:pPr>
      <w:rPr>
        <w:rFonts w:ascii="Symbol" w:hAnsi="Symbol" w:hint="default"/>
      </w:rPr>
    </w:lvl>
    <w:lvl w:ilvl="4" w:tplc="478AE144" w:tentative="1">
      <w:start w:val="1"/>
      <w:numFmt w:val="bullet"/>
      <w:lvlText w:val="o"/>
      <w:lvlJc w:val="left"/>
      <w:pPr>
        <w:tabs>
          <w:tab w:val="num" w:pos="3600"/>
        </w:tabs>
        <w:ind w:left="3600" w:hanging="360"/>
      </w:pPr>
      <w:rPr>
        <w:rFonts w:ascii="Courier New" w:hAnsi="Courier New" w:cs="Courier New" w:hint="default"/>
      </w:rPr>
    </w:lvl>
    <w:lvl w:ilvl="5" w:tplc="A82E81A0" w:tentative="1">
      <w:start w:val="1"/>
      <w:numFmt w:val="bullet"/>
      <w:lvlText w:val=""/>
      <w:lvlJc w:val="left"/>
      <w:pPr>
        <w:tabs>
          <w:tab w:val="num" w:pos="4320"/>
        </w:tabs>
        <w:ind w:left="4320" w:hanging="360"/>
      </w:pPr>
      <w:rPr>
        <w:rFonts w:ascii="Wingdings" w:hAnsi="Wingdings" w:hint="default"/>
      </w:rPr>
    </w:lvl>
    <w:lvl w:ilvl="6" w:tplc="6A7A66E8" w:tentative="1">
      <w:start w:val="1"/>
      <w:numFmt w:val="bullet"/>
      <w:lvlText w:val=""/>
      <w:lvlJc w:val="left"/>
      <w:pPr>
        <w:tabs>
          <w:tab w:val="num" w:pos="5040"/>
        </w:tabs>
        <w:ind w:left="5040" w:hanging="360"/>
      </w:pPr>
      <w:rPr>
        <w:rFonts w:ascii="Symbol" w:hAnsi="Symbol" w:hint="default"/>
      </w:rPr>
    </w:lvl>
    <w:lvl w:ilvl="7" w:tplc="51709ACE" w:tentative="1">
      <w:start w:val="1"/>
      <w:numFmt w:val="bullet"/>
      <w:lvlText w:val="o"/>
      <w:lvlJc w:val="left"/>
      <w:pPr>
        <w:tabs>
          <w:tab w:val="num" w:pos="5760"/>
        </w:tabs>
        <w:ind w:left="5760" w:hanging="360"/>
      </w:pPr>
      <w:rPr>
        <w:rFonts w:ascii="Courier New" w:hAnsi="Courier New" w:cs="Courier New" w:hint="default"/>
      </w:rPr>
    </w:lvl>
    <w:lvl w:ilvl="8" w:tplc="38A6914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286015"/>
    <w:multiLevelType w:val="hybridMultilevel"/>
    <w:tmpl w:val="C082B744"/>
    <w:lvl w:ilvl="0" w:tplc="AB323F28">
      <w:start w:val="2"/>
      <w:numFmt w:val="none"/>
      <w:lvlText w:val="(f)"/>
      <w:lvlJc w:val="left"/>
      <w:pPr>
        <w:tabs>
          <w:tab w:val="num" w:pos="1080"/>
        </w:tabs>
        <w:ind w:left="1080" w:hanging="720"/>
      </w:pPr>
      <w:rPr>
        <w:rFonts w:hint="default"/>
      </w:rPr>
    </w:lvl>
    <w:lvl w:ilvl="1" w:tplc="0C090003">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43"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4" w15:restartNumberingAfterBreak="0">
    <w:nsid w:val="6E904864"/>
    <w:multiLevelType w:val="hybridMultilevel"/>
    <w:tmpl w:val="D4A8AE88"/>
    <w:lvl w:ilvl="0" w:tplc="3E8CFDAA">
      <w:start w:val="1"/>
      <w:numFmt w:val="bullet"/>
      <w:lvlText w:val=""/>
      <w:lvlJc w:val="left"/>
      <w:pPr>
        <w:ind w:left="360" w:hanging="360"/>
      </w:pPr>
      <w:rPr>
        <w:rFonts w:ascii="Symbol" w:hAnsi="Symbol" w:hint="default"/>
      </w:rPr>
    </w:lvl>
    <w:lvl w:ilvl="1" w:tplc="0C090019" w:tentative="1">
      <w:start w:val="1"/>
      <w:numFmt w:val="bulle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45" w15:restartNumberingAfterBreak="0">
    <w:nsid w:val="727D682D"/>
    <w:multiLevelType w:val="hybridMultilevel"/>
    <w:tmpl w:val="24263B18"/>
    <w:lvl w:ilvl="0" w:tplc="0C090001">
      <w:start w:val="1"/>
      <w:numFmt w:val="bullet"/>
      <w:lvlText w:val=""/>
      <w:lvlJc w:val="left"/>
      <w:pPr>
        <w:ind w:left="360" w:hanging="360"/>
      </w:pPr>
      <w:rPr>
        <w:rFonts w:ascii="Symbol" w:hAnsi="Symbol" w:hint="default"/>
      </w:rPr>
    </w:lvl>
    <w:lvl w:ilvl="1" w:tplc="8B907A6C">
      <w:start w:val="1"/>
      <w:numFmt w:val="bullet"/>
      <w:pStyle w:val="ListBullet4"/>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7" w15:restartNumberingAfterBreak="0">
    <w:nsid w:val="7A2832DE"/>
    <w:multiLevelType w:val="hybridMultilevel"/>
    <w:tmpl w:val="76BA624E"/>
    <w:lvl w:ilvl="0" w:tplc="CC9C349A">
      <w:start w:val="1"/>
      <w:numFmt w:val="lowerLetter"/>
      <w:lvlText w:val="(%1)"/>
      <w:lvlJc w:val="left"/>
      <w:pPr>
        <w:tabs>
          <w:tab w:val="num" w:pos="1080"/>
        </w:tabs>
        <w:ind w:left="1080" w:hanging="720"/>
      </w:pPr>
      <w:rPr>
        <w:rFonts w:cs="Times New Roman" w:hint="default"/>
      </w:rPr>
    </w:lvl>
    <w:lvl w:ilvl="1" w:tplc="684C985A">
      <w:start w:val="1"/>
      <w:numFmt w:val="bullet"/>
      <w:lvlText w:val=""/>
      <w:lvlJc w:val="left"/>
      <w:pPr>
        <w:tabs>
          <w:tab w:val="num" w:pos="1440"/>
        </w:tabs>
        <w:ind w:left="1440" w:hanging="360"/>
      </w:pPr>
      <w:rPr>
        <w:rFonts w:ascii="Symbol" w:hAnsi="Symbol" w:hint="default"/>
      </w:rPr>
    </w:lvl>
    <w:lvl w:ilvl="2" w:tplc="368E6C08">
      <w:start w:val="1"/>
      <w:numFmt w:val="decimal"/>
      <w:lvlText w:val="(%3)"/>
      <w:lvlJc w:val="left"/>
      <w:pPr>
        <w:tabs>
          <w:tab w:val="num" w:pos="2340"/>
        </w:tabs>
        <w:ind w:left="2340" w:hanging="360"/>
      </w:pPr>
      <w:rPr>
        <w:rFonts w:cs="Times New Roman" w:hint="default"/>
      </w:rPr>
    </w:lvl>
    <w:lvl w:ilvl="3" w:tplc="015CA186">
      <w:start w:val="1"/>
      <w:numFmt w:val="decimal"/>
      <w:lvlText w:val="%4."/>
      <w:lvlJc w:val="left"/>
      <w:pPr>
        <w:tabs>
          <w:tab w:val="num" w:pos="2880"/>
        </w:tabs>
        <w:ind w:left="2880" w:hanging="360"/>
      </w:pPr>
      <w:rPr>
        <w:rFonts w:cs="Times New Roman"/>
      </w:rPr>
    </w:lvl>
    <w:lvl w:ilvl="4" w:tplc="23748D60">
      <w:start w:val="1"/>
      <w:numFmt w:val="lowerLetter"/>
      <w:lvlText w:val="%5."/>
      <w:lvlJc w:val="left"/>
      <w:pPr>
        <w:tabs>
          <w:tab w:val="num" w:pos="3600"/>
        </w:tabs>
        <w:ind w:left="3600" w:hanging="360"/>
      </w:pPr>
      <w:rPr>
        <w:rFonts w:cs="Times New Roman"/>
      </w:rPr>
    </w:lvl>
    <w:lvl w:ilvl="5" w:tplc="3628F0D0">
      <w:start w:val="1"/>
      <w:numFmt w:val="lowerRoman"/>
      <w:lvlText w:val="%6."/>
      <w:lvlJc w:val="right"/>
      <w:pPr>
        <w:tabs>
          <w:tab w:val="num" w:pos="4320"/>
        </w:tabs>
        <w:ind w:left="4320" w:hanging="180"/>
      </w:pPr>
      <w:rPr>
        <w:rFonts w:cs="Times New Roman"/>
      </w:rPr>
    </w:lvl>
    <w:lvl w:ilvl="6" w:tplc="046E3084">
      <w:start w:val="1"/>
      <w:numFmt w:val="decimal"/>
      <w:lvlText w:val="%7."/>
      <w:lvlJc w:val="left"/>
      <w:pPr>
        <w:tabs>
          <w:tab w:val="num" w:pos="5040"/>
        </w:tabs>
        <w:ind w:left="5040" w:hanging="360"/>
      </w:pPr>
      <w:rPr>
        <w:rFonts w:cs="Times New Roman"/>
      </w:rPr>
    </w:lvl>
    <w:lvl w:ilvl="7" w:tplc="81C0287C">
      <w:start w:val="1"/>
      <w:numFmt w:val="lowerLetter"/>
      <w:lvlText w:val="%8."/>
      <w:lvlJc w:val="left"/>
      <w:pPr>
        <w:tabs>
          <w:tab w:val="num" w:pos="5760"/>
        </w:tabs>
        <w:ind w:left="5760" w:hanging="360"/>
      </w:pPr>
      <w:rPr>
        <w:rFonts w:cs="Times New Roman"/>
      </w:rPr>
    </w:lvl>
    <w:lvl w:ilvl="8" w:tplc="7D802ACC">
      <w:start w:val="1"/>
      <w:numFmt w:val="lowerRoman"/>
      <w:lvlText w:val="%9."/>
      <w:lvlJc w:val="right"/>
      <w:pPr>
        <w:tabs>
          <w:tab w:val="num" w:pos="6480"/>
        </w:tabs>
        <w:ind w:left="6480" w:hanging="180"/>
      </w:pPr>
      <w:rPr>
        <w:rFonts w:cs="Times New Roman"/>
      </w:rPr>
    </w:lvl>
  </w:abstractNum>
  <w:abstractNum w:abstractNumId="48" w15:restartNumberingAfterBreak="0">
    <w:nsid w:val="7C19139A"/>
    <w:multiLevelType w:val="hybridMultilevel"/>
    <w:tmpl w:val="8334F282"/>
    <w:lvl w:ilvl="0" w:tplc="82F6C000">
      <w:start w:val="1"/>
      <w:numFmt w:val="bullet"/>
      <w:lvlText w:val=""/>
      <w:lvlJc w:val="left"/>
      <w:pPr>
        <w:ind w:left="720" w:hanging="360"/>
      </w:pPr>
      <w:rPr>
        <w:rFonts w:ascii="Symbol" w:hAnsi="Symbol" w:hint="default"/>
        <w:sz w:val="22"/>
        <w:szCs w:val="22"/>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9" w15:restartNumberingAfterBreak="0">
    <w:nsid w:val="7DD226A8"/>
    <w:multiLevelType w:val="hybridMultilevel"/>
    <w:tmpl w:val="47C262FC"/>
    <w:lvl w:ilvl="0" w:tplc="F2A2BE9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6"/>
  </w:num>
  <w:num w:numId="2">
    <w:abstractNumId w:val="1"/>
  </w:num>
  <w:num w:numId="3">
    <w:abstractNumId w:val="20"/>
  </w:num>
  <w:num w:numId="4">
    <w:abstractNumId w:val="0"/>
  </w:num>
  <w:num w:numId="5">
    <w:abstractNumId w:val="19"/>
  </w:num>
  <w:num w:numId="6">
    <w:abstractNumId w:val="40"/>
  </w:num>
  <w:num w:numId="7">
    <w:abstractNumId w:val="11"/>
  </w:num>
  <w:num w:numId="8">
    <w:abstractNumId w:val="6"/>
  </w:num>
  <w:num w:numId="9">
    <w:abstractNumId w:val="25"/>
  </w:num>
  <w:num w:numId="10">
    <w:abstractNumId w:val="41"/>
  </w:num>
  <w:num w:numId="11">
    <w:abstractNumId w:val="31"/>
  </w:num>
  <w:num w:numId="12">
    <w:abstractNumId w:val="7"/>
  </w:num>
  <w:num w:numId="13">
    <w:abstractNumId w:val="16"/>
  </w:num>
  <w:num w:numId="14">
    <w:abstractNumId w:val="42"/>
  </w:num>
  <w:num w:numId="15">
    <w:abstractNumId w:val="33"/>
  </w:num>
  <w:num w:numId="16">
    <w:abstractNumId w:val="2"/>
  </w:num>
  <w:num w:numId="17">
    <w:abstractNumId w:val="17"/>
  </w:num>
  <w:num w:numId="18">
    <w:abstractNumId w:val="13"/>
  </w:num>
  <w:num w:numId="19">
    <w:abstractNumId w:val="30"/>
  </w:num>
  <w:num w:numId="20">
    <w:abstractNumId w:val="15"/>
  </w:num>
  <w:num w:numId="21">
    <w:abstractNumId w:val="10"/>
  </w:num>
  <w:num w:numId="22">
    <w:abstractNumId w:val="14"/>
  </w:num>
  <w:num w:numId="23">
    <w:abstractNumId w:val="26"/>
  </w:num>
  <w:num w:numId="24">
    <w:abstractNumId w:val="37"/>
  </w:num>
  <w:num w:numId="25">
    <w:abstractNumId w:val="23"/>
  </w:num>
  <w:num w:numId="26">
    <w:abstractNumId w:val="8"/>
  </w:num>
  <w:num w:numId="27">
    <w:abstractNumId w:val="9"/>
  </w:num>
  <w:num w:numId="28">
    <w:abstractNumId w:val="35"/>
  </w:num>
  <w:num w:numId="29">
    <w:abstractNumId w:val="43"/>
  </w:num>
  <w:num w:numId="30">
    <w:abstractNumId w:val="47"/>
  </w:num>
  <w:num w:numId="31">
    <w:abstractNumId w:val="39"/>
  </w:num>
  <w:num w:numId="32">
    <w:abstractNumId w:val="0"/>
    <w:lvlOverride w:ilvl="0">
      <w:startOverride w:val="1"/>
    </w:lvlOverride>
  </w:num>
  <w:num w:numId="33">
    <w:abstractNumId w:val="3"/>
  </w:num>
  <w:num w:numId="34">
    <w:abstractNumId w:val="4"/>
  </w:num>
  <w:num w:numId="35">
    <w:abstractNumId w:val="12"/>
  </w:num>
  <w:num w:numId="36">
    <w:abstractNumId w:val="48"/>
  </w:num>
  <w:num w:numId="37">
    <w:abstractNumId w:val="11"/>
    <w:lvlOverride w:ilvl="0">
      <w:lvl w:ilvl="0">
        <w:start w:val="1"/>
        <w:numFmt w:val="bullet"/>
        <w:pStyle w:val="ListBullet"/>
        <w:lvlText w:val=""/>
        <w:lvlJc w:val="left"/>
        <w:pPr>
          <w:ind w:left="369" w:hanging="369"/>
        </w:pPr>
        <w:rPr>
          <w:rFonts w:ascii="Symbol" w:hAnsi="Symbol" w:hint="default"/>
        </w:rPr>
      </w:lvl>
    </w:lvlOverride>
  </w:num>
  <w:num w:numId="38">
    <w:abstractNumId w:val="34"/>
  </w:num>
  <w:num w:numId="39">
    <w:abstractNumId w:val="24"/>
  </w:num>
  <w:num w:numId="40">
    <w:abstractNumId w:val="18"/>
  </w:num>
  <w:num w:numId="41">
    <w:abstractNumId w:val="32"/>
  </w:num>
  <w:num w:numId="42">
    <w:abstractNumId w:val="32"/>
    <w:lvlOverride w:ilvl="0">
      <w:startOverride w:val="1"/>
    </w:lvlOverride>
  </w:num>
  <w:num w:numId="43">
    <w:abstractNumId w:val="27"/>
  </w:num>
  <w:num w:numId="44">
    <w:abstractNumId w:val="45"/>
  </w:num>
  <w:num w:numId="45">
    <w:abstractNumId w:val="49"/>
  </w:num>
  <w:num w:numId="46">
    <w:abstractNumId w:val="44"/>
  </w:num>
  <w:num w:numId="47">
    <w:abstractNumId w:val="5"/>
  </w:num>
  <w:num w:numId="48">
    <w:abstractNumId w:val="40"/>
    <w:lvlOverride w:ilvl="0">
      <w:startOverride w:val="1"/>
    </w:lvlOverride>
  </w:num>
  <w:num w:numId="49">
    <w:abstractNumId w:val="21"/>
  </w:num>
  <w:num w:numId="50">
    <w:abstractNumId w:val="21"/>
    <w:lvlOverride w:ilvl="0">
      <w:startOverride w:val="1"/>
    </w:lvlOverride>
  </w:num>
  <w:num w:numId="51">
    <w:abstractNumId w:val="38"/>
  </w:num>
  <w:num w:numId="52">
    <w:abstractNumId w:val="38"/>
    <w:lvlOverride w:ilvl="0">
      <w:startOverride w:val="1"/>
    </w:lvlOverride>
  </w:num>
  <w:num w:numId="53">
    <w:abstractNumId w:val="38"/>
    <w:lvlOverride w:ilvl="0">
      <w:startOverride w:val="1"/>
    </w:lvlOverride>
  </w:num>
  <w:num w:numId="54">
    <w:abstractNumId w:val="38"/>
    <w:lvlOverride w:ilvl="0">
      <w:startOverride w:val="1"/>
    </w:lvlOverride>
  </w:num>
  <w:num w:numId="55">
    <w:abstractNumId w:val="38"/>
    <w:lvlOverride w:ilvl="0">
      <w:startOverride w:val="1"/>
    </w:lvlOverride>
  </w:num>
  <w:num w:numId="56">
    <w:abstractNumId w:val="38"/>
    <w:lvlOverride w:ilvl="0">
      <w:startOverride w:val="1"/>
    </w:lvlOverride>
  </w:num>
  <w:num w:numId="57">
    <w:abstractNumId w:val="22"/>
  </w:num>
  <w:num w:numId="58">
    <w:abstractNumId w:val="28"/>
  </w:num>
  <w:num w:numId="59">
    <w:abstractNumId w:val="36"/>
  </w:num>
  <w:num w:numId="60">
    <w:abstractNumId w:val="29"/>
  </w:num>
  <w:num w:numId="61">
    <w:abstractNumId w:val="38"/>
    <w:lvlOverride w:ilvl="0">
      <w:startOverride w:val="1"/>
    </w:lvlOverride>
  </w:num>
  <w:num w:numId="62">
    <w:abstractNumId w:val="38"/>
    <w:lvlOverride w:ilvl="0">
      <w:startOverride w:val="1"/>
    </w:lvlOverride>
  </w:num>
  <w:num w:numId="63">
    <w:abstractNumId w:val="38"/>
    <w:lvlOverride w:ilvl="0">
      <w:startOverride w:val="1"/>
    </w:lvlOverride>
  </w:num>
  <w:num w:numId="64">
    <w:abstractNumId w:val="38"/>
    <w:lvlOverride w:ilvl="0">
      <w:startOverride w:val="1"/>
    </w:lvlOverride>
  </w:num>
  <w:num w:numId="65">
    <w:abstractNumId w:val="38"/>
    <w:lvlOverride w:ilvl="0">
      <w:startOverride w:val="1"/>
    </w:lvlOverride>
  </w:num>
  <w:num w:numId="66">
    <w:abstractNumId w:val="38"/>
    <w:lvlOverride w:ilvl="0">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drawingGridHorizontalSpacing w:val="11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CAA"/>
    <w:rsid w:val="00007C43"/>
    <w:rsid w:val="00010210"/>
    <w:rsid w:val="00010BE8"/>
    <w:rsid w:val="00012D66"/>
    <w:rsid w:val="0001595B"/>
    <w:rsid w:val="00015ADA"/>
    <w:rsid w:val="00016AA6"/>
    <w:rsid w:val="0002045F"/>
    <w:rsid w:val="00020C99"/>
    <w:rsid w:val="00021E92"/>
    <w:rsid w:val="00023ED4"/>
    <w:rsid w:val="00025E44"/>
    <w:rsid w:val="000260EA"/>
    <w:rsid w:val="0002707B"/>
    <w:rsid w:val="000329F3"/>
    <w:rsid w:val="00040999"/>
    <w:rsid w:val="00044624"/>
    <w:rsid w:val="00045A1E"/>
    <w:rsid w:val="00045FDB"/>
    <w:rsid w:val="0005148E"/>
    <w:rsid w:val="0005272D"/>
    <w:rsid w:val="00052C45"/>
    <w:rsid w:val="000606F3"/>
    <w:rsid w:val="000613B5"/>
    <w:rsid w:val="000669EA"/>
    <w:rsid w:val="000700B1"/>
    <w:rsid w:val="000712A8"/>
    <w:rsid w:val="00072C5A"/>
    <w:rsid w:val="000759E5"/>
    <w:rsid w:val="000765E3"/>
    <w:rsid w:val="00077E0E"/>
    <w:rsid w:val="00081D68"/>
    <w:rsid w:val="0008351B"/>
    <w:rsid w:val="0008368B"/>
    <w:rsid w:val="00084AC6"/>
    <w:rsid w:val="000915BE"/>
    <w:rsid w:val="00091608"/>
    <w:rsid w:val="0009333C"/>
    <w:rsid w:val="00095EBB"/>
    <w:rsid w:val="0009704F"/>
    <w:rsid w:val="000A0F11"/>
    <w:rsid w:val="000A125A"/>
    <w:rsid w:val="000A2972"/>
    <w:rsid w:val="000A57CD"/>
    <w:rsid w:val="000A5D28"/>
    <w:rsid w:val="000A6433"/>
    <w:rsid w:val="000A6998"/>
    <w:rsid w:val="000B1254"/>
    <w:rsid w:val="000B2634"/>
    <w:rsid w:val="000B3758"/>
    <w:rsid w:val="000B3BD8"/>
    <w:rsid w:val="000B7681"/>
    <w:rsid w:val="000B7B42"/>
    <w:rsid w:val="000C02B7"/>
    <w:rsid w:val="000C162F"/>
    <w:rsid w:val="000C5100"/>
    <w:rsid w:val="000C5342"/>
    <w:rsid w:val="000C54EB"/>
    <w:rsid w:val="000C62E7"/>
    <w:rsid w:val="000C706A"/>
    <w:rsid w:val="000D2887"/>
    <w:rsid w:val="000D2D4F"/>
    <w:rsid w:val="000D5CB2"/>
    <w:rsid w:val="000D6103"/>
    <w:rsid w:val="000D6D63"/>
    <w:rsid w:val="000E0081"/>
    <w:rsid w:val="000E07CF"/>
    <w:rsid w:val="000E193D"/>
    <w:rsid w:val="000E21EA"/>
    <w:rsid w:val="000E31C1"/>
    <w:rsid w:val="000E4705"/>
    <w:rsid w:val="000E6865"/>
    <w:rsid w:val="000F2CF2"/>
    <w:rsid w:val="000F486F"/>
    <w:rsid w:val="000F6BD4"/>
    <w:rsid w:val="00100BEF"/>
    <w:rsid w:val="001028CF"/>
    <w:rsid w:val="00106063"/>
    <w:rsid w:val="00106A4E"/>
    <w:rsid w:val="00111326"/>
    <w:rsid w:val="0011498E"/>
    <w:rsid w:val="00114B53"/>
    <w:rsid w:val="00117A45"/>
    <w:rsid w:val="00120D57"/>
    <w:rsid w:val="001224AE"/>
    <w:rsid w:val="00127133"/>
    <w:rsid w:val="001337D4"/>
    <w:rsid w:val="00134C7B"/>
    <w:rsid w:val="00142C28"/>
    <w:rsid w:val="00147C12"/>
    <w:rsid w:val="00147EC6"/>
    <w:rsid w:val="001527A1"/>
    <w:rsid w:val="001530DC"/>
    <w:rsid w:val="00154989"/>
    <w:rsid w:val="00155A9F"/>
    <w:rsid w:val="0015659C"/>
    <w:rsid w:val="00157139"/>
    <w:rsid w:val="0015780C"/>
    <w:rsid w:val="00160262"/>
    <w:rsid w:val="0016780A"/>
    <w:rsid w:val="001713FA"/>
    <w:rsid w:val="00173704"/>
    <w:rsid w:val="00173CFF"/>
    <w:rsid w:val="00173EBF"/>
    <w:rsid w:val="00175ED3"/>
    <w:rsid w:val="001842A2"/>
    <w:rsid w:val="001843CC"/>
    <w:rsid w:val="00187FA8"/>
    <w:rsid w:val="00190320"/>
    <w:rsid w:val="00191EC4"/>
    <w:rsid w:val="00192F5E"/>
    <w:rsid w:val="001955CD"/>
    <w:rsid w:val="00197645"/>
    <w:rsid w:val="00197772"/>
    <w:rsid w:val="001A34A7"/>
    <w:rsid w:val="001A3FB5"/>
    <w:rsid w:val="001A51C8"/>
    <w:rsid w:val="001B007B"/>
    <w:rsid w:val="001B3A80"/>
    <w:rsid w:val="001B4CA8"/>
    <w:rsid w:val="001B5EA1"/>
    <w:rsid w:val="001B5EDC"/>
    <w:rsid w:val="001C1741"/>
    <w:rsid w:val="001C4F3D"/>
    <w:rsid w:val="001C5857"/>
    <w:rsid w:val="001C603C"/>
    <w:rsid w:val="001C68E7"/>
    <w:rsid w:val="001D0CDC"/>
    <w:rsid w:val="001D1D82"/>
    <w:rsid w:val="001D55C7"/>
    <w:rsid w:val="001E1182"/>
    <w:rsid w:val="001F0991"/>
    <w:rsid w:val="001F1D21"/>
    <w:rsid w:val="001F296F"/>
    <w:rsid w:val="001F4CAA"/>
    <w:rsid w:val="001F6C8E"/>
    <w:rsid w:val="001F6F75"/>
    <w:rsid w:val="001F7097"/>
    <w:rsid w:val="00202C90"/>
    <w:rsid w:val="00213DE8"/>
    <w:rsid w:val="00214498"/>
    <w:rsid w:val="00215128"/>
    <w:rsid w:val="00216118"/>
    <w:rsid w:val="0021682D"/>
    <w:rsid w:val="00216DC7"/>
    <w:rsid w:val="0021756E"/>
    <w:rsid w:val="002209AB"/>
    <w:rsid w:val="00223C3E"/>
    <w:rsid w:val="00224D38"/>
    <w:rsid w:val="002251E3"/>
    <w:rsid w:val="002257CB"/>
    <w:rsid w:val="00227A95"/>
    <w:rsid w:val="002316BD"/>
    <w:rsid w:val="00231C67"/>
    <w:rsid w:val="0023366D"/>
    <w:rsid w:val="00237419"/>
    <w:rsid w:val="00237D40"/>
    <w:rsid w:val="00244621"/>
    <w:rsid w:val="002473FC"/>
    <w:rsid w:val="00252115"/>
    <w:rsid w:val="00252E3C"/>
    <w:rsid w:val="00252EF5"/>
    <w:rsid w:val="002559FD"/>
    <w:rsid w:val="00256A47"/>
    <w:rsid w:val="00261448"/>
    <w:rsid w:val="00262198"/>
    <w:rsid w:val="00265044"/>
    <w:rsid w:val="00265E7A"/>
    <w:rsid w:val="00266FD3"/>
    <w:rsid w:val="0027138D"/>
    <w:rsid w:val="002725F9"/>
    <w:rsid w:val="002746B4"/>
    <w:rsid w:val="00274B3E"/>
    <w:rsid w:val="00281597"/>
    <w:rsid w:val="00281C94"/>
    <w:rsid w:val="00284EF0"/>
    <w:rsid w:val="00285CE3"/>
    <w:rsid w:val="00285F1B"/>
    <w:rsid w:val="00290753"/>
    <w:rsid w:val="00291E7A"/>
    <w:rsid w:val="002922EF"/>
    <w:rsid w:val="00292B81"/>
    <w:rsid w:val="002943BB"/>
    <w:rsid w:val="0029751A"/>
    <w:rsid w:val="002A0742"/>
    <w:rsid w:val="002B18AE"/>
    <w:rsid w:val="002B2C71"/>
    <w:rsid w:val="002B4561"/>
    <w:rsid w:val="002B5638"/>
    <w:rsid w:val="002B79B0"/>
    <w:rsid w:val="002C1A02"/>
    <w:rsid w:val="002C1C93"/>
    <w:rsid w:val="002C5066"/>
    <w:rsid w:val="002C51E9"/>
    <w:rsid w:val="002C5813"/>
    <w:rsid w:val="002C74F5"/>
    <w:rsid w:val="002D1766"/>
    <w:rsid w:val="002D3244"/>
    <w:rsid w:val="002D4AAC"/>
    <w:rsid w:val="002D6FED"/>
    <w:rsid w:val="002E1807"/>
    <w:rsid w:val="002E453B"/>
    <w:rsid w:val="002E74B7"/>
    <w:rsid w:val="002E7D75"/>
    <w:rsid w:val="002F045A"/>
    <w:rsid w:val="002F0B87"/>
    <w:rsid w:val="002F36C6"/>
    <w:rsid w:val="0030039D"/>
    <w:rsid w:val="0030326F"/>
    <w:rsid w:val="00310701"/>
    <w:rsid w:val="003156EF"/>
    <w:rsid w:val="00315980"/>
    <w:rsid w:val="00316F7F"/>
    <w:rsid w:val="00317609"/>
    <w:rsid w:val="003218E8"/>
    <w:rsid w:val="0032254A"/>
    <w:rsid w:val="003227AD"/>
    <w:rsid w:val="00322BA5"/>
    <w:rsid w:val="00325A2F"/>
    <w:rsid w:val="00325E34"/>
    <w:rsid w:val="0032639F"/>
    <w:rsid w:val="00326536"/>
    <w:rsid w:val="00327DE7"/>
    <w:rsid w:val="00330DCE"/>
    <w:rsid w:val="00331E11"/>
    <w:rsid w:val="00332040"/>
    <w:rsid w:val="00332F90"/>
    <w:rsid w:val="00334761"/>
    <w:rsid w:val="00335E89"/>
    <w:rsid w:val="00337EBC"/>
    <w:rsid w:val="00341DCD"/>
    <w:rsid w:val="003425DD"/>
    <w:rsid w:val="0034563E"/>
    <w:rsid w:val="003518D6"/>
    <w:rsid w:val="00351C5A"/>
    <w:rsid w:val="0035294A"/>
    <w:rsid w:val="0035342F"/>
    <w:rsid w:val="0035460C"/>
    <w:rsid w:val="003556BD"/>
    <w:rsid w:val="0035636F"/>
    <w:rsid w:val="00356E9C"/>
    <w:rsid w:val="00360D05"/>
    <w:rsid w:val="00360D8A"/>
    <w:rsid w:val="00365147"/>
    <w:rsid w:val="00365F93"/>
    <w:rsid w:val="0037016E"/>
    <w:rsid w:val="00371E8B"/>
    <w:rsid w:val="00372908"/>
    <w:rsid w:val="003769A6"/>
    <w:rsid w:val="00380FB0"/>
    <w:rsid w:val="00383020"/>
    <w:rsid w:val="003849BC"/>
    <w:rsid w:val="0038555B"/>
    <w:rsid w:val="003873C4"/>
    <w:rsid w:val="00387D68"/>
    <w:rsid w:val="00393A08"/>
    <w:rsid w:val="00394D7E"/>
    <w:rsid w:val="003975FD"/>
    <w:rsid w:val="003A1022"/>
    <w:rsid w:val="003A15C6"/>
    <w:rsid w:val="003A1B86"/>
    <w:rsid w:val="003A1C2D"/>
    <w:rsid w:val="003A7E3F"/>
    <w:rsid w:val="003B057D"/>
    <w:rsid w:val="003B1F2E"/>
    <w:rsid w:val="003B227D"/>
    <w:rsid w:val="003B5945"/>
    <w:rsid w:val="003B60CC"/>
    <w:rsid w:val="003B6726"/>
    <w:rsid w:val="003C1546"/>
    <w:rsid w:val="003C1B25"/>
    <w:rsid w:val="003C2443"/>
    <w:rsid w:val="003C5DA3"/>
    <w:rsid w:val="003C5EC4"/>
    <w:rsid w:val="003D18E5"/>
    <w:rsid w:val="003D4BCD"/>
    <w:rsid w:val="003D4D18"/>
    <w:rsid w:val="003D6C2B"/>
    <w:rsid w:val="003E01D8"/>
    <w:rsid w:val="003E1BCC"/>
    <w:rsid w:val="003E1F86"/>
    <w:rsid w:val="003E2100"/>
    <w:rsid w:val="003E4571"/>
    <w:rsid w:val="003F2DE6"/>
    <w:rsid w:val="003F4529"/>
    <w:rsid w:val="003F6F5B"/>
    <w:rsid w:val="00400625"/>
    <w:rsid w:val="004024F6"/>
    <w:rsid w:val="00402549"/>
    <w:rsid w:val="0040342D"/>
    <w:rsid w:val="004041E6"/>
    <w:rsid w:val="00405920"/>
    <w:rsid w:val="00411185"/>
    <w:rsid w:val="0041192D"/>
    <w:rsid w:val="00413EE1"/>
    <w:rsid w:val="0041423B"/>
    <w:rsid w:val="004158A2"/>
    <w:rsid w:val="0042128E"/>
    <w:rsid w:val="004269C2"/>
    <w:rsid w:val="004302F4"/>
    <w:rsid w:val="00432744"/>
    <w:rsid w:val="00432B60"/>
    <w:rsid w:val="004347BA"/>
    <w:rsid w:val="00440698"/>
    <w:rsid w:val="00441038"/>
    <w:rsid w:val="00444568"/>
    <w:rsid w:val="00445544"/>
    <w:rsid w:val="00446EEE"/>
    <w:rsid w:val="00446F01"/>
    <w:rsid w:val="00450F8B"/>
    <w:rsid w:val="00452C1C"/>
    <w:rsid w:val="004540E2"/>
    <w:rsid w:val="00454454"/>
    <w:rsid w:val="00455850"/>
    <w:rsid w:val="004606C9"/>
    <w:rsid w:val="00463A45"/>
    <w:rsid w:val="00467924"/>
    <w:rsid w:val="004712A5"/>
    <w:rsid w:val="0047266F"/>
    <w:rsid w:val="004726A9"/>
    <w:rsid w:val="004758B2"/>
    <w:rsid w:val="00476D6B"/>
    <w:rsid w:val="00481284"/>
    <w:rsid w:val="00482AC4"/>
    <w:rsid w:val="00484710"/>
    <w:rsid w:val="00484C62"/>
    <w:rsid w:val="00486062"/>
    <w:rsid w:val="00486C85"/>
    <w:rsid w:val="00492C16"/>
    <w:rsid w:val="00497159"/>
    <w:rsid w:val="0049738E"/>
    <w:rsid w:val="004A0678"/>
    <w:rsid w:val="004A48A3"/>
    <w:rsid w:val="004A6957"/>
    <w:rsid w:val="004B0D92"/>
    <w:rsid w:val="004B0EC0"/>
    <w:rsid w:val="004B66F1"/>
    <w:rsid w:val="004C3EA0"/>
    <w:rsid w:val="004C4525"/>
    <w:rsid w:val="004D2E81"/>
    <w:rsid w:val="004E63CE"/>
    <w:rsid w:val="004E7333"/>
    <w:rsid w:val="004F0396"/>
    <w:rsid w:val="004F3815"/>
    <w:rsid w:val="004F7169"/>
    <w:rsid w:val="00500D66"/>
    <w:rsid w:val="005037E3"/>
    <w:rsid w:val="0050565C"/>
    <w:rsid w:val="00514007"/>
    <w:rsid w:val="00514C8E"/>
    <w:rsid w:val="00520B61"/>
    <w:rsid w:val="0052179B"/>
    <w:rsid w:val="00522BCD"/>
    <w:rsid w:val="00525809"/>
    <w:rsid w:val="005268D1"/>
    <w:rsid w:val="00531B4D"/>
    <w:rsid w:val="00531DBF"/>
    <w:rsid w:val="005325B2"/>
    <w:rsid w:val="00534F5E"/>
    <w:rsid w:val="00537B5C"/>
    <w:rsid w:val="00545419"/>
    <w:rsid w:val="00545759"/>
    <w:rsid w:val="00545BE0"/>
    <w:rsid w:val="00546930"/>
    <w:rsid w:val="0055269E"/>
    <w:rsid w:val="00554C6A"/>
    <w:rsid w:val="00560FBA"/>
    <w:rsid w:val="00562E85"/>
    <w:rsid w:val="0056332F"/>
    <w:rsid w:val="00564D98"/>
    <w:rsid w:val="005719B3"/>
    <w:rsid w:val="0057295E"/>
    <w:rsid w:val="005751AC"/>
    <w:rsid w:val="00576FBB"/>
    <w:rsid w:val="005803AD"/>
    <w:rsid w:val="00581C39"/>
    <w:rsid w:val="00583085"/>
    <w:rsid w:val="00585C24"/>
    <w:rsid w:val="00586908"/>
    <w:rsid w:val="00586EBF"/>
    <w:rsid w:val="005903B6"/>
    <w:rsid w:val="00592C97"/>
    <w:rsid w:val="00596183"/>
    <w:rsid w:val="005A0247"/>
    <w:rsid w:val="005A126E"/>
    <w:rsid w:val="005A452F"/>
    <w:rsid w:val="005A4E9D"/>
    <w:rsid w:val="005A59BB"/>
    <w:rsid w:val="005A680D"/>
    <w:rsid w:val="005A7949"/>
    <w:rsid w:val="005B02A6"/>
    <w:rsid w:val="005B140D"/>
    <w:rsid w:val="005B260E"/>
    <w:rsid w:val="005B5AC6"/>
    <w:rsid w:val="005B6FF3"/>
    <w:rsid w:val="005C0FE3"/>
    <w:rsid w:val="005C1FEA"/>
    <w:rsid w:val="005C3495"/>
    <w:rsid w:val="005C635F"/>
    <w:rsid w:val="005D1583"/>
    <w:rsid w:val="005E2D35"/>
    <w:rsid w:val="005E3DFC"/>
    <w:rsid w:val="005E5942"/>
    <w:rsid w:val="005E60AF"/>
    <w:rsid w:val="005F10BA"/>
    <w:rsid w:val="005F1BCF"/>
    <w:rsid w:val="005F1DEA"/>
    <w:rsid w:val="00607FC9"/>
    <w:rsid w:val="00611557"/>
    <w:rsid w:val="006130C3"/>
    <w:rsid w:val="0061333B"/>
    <w:rsid w:val="0061414B"/>
    <w:rsid w:val="00622FE1"/>
    <w:rsid w:val="00625092"/>
    <w:rsid w:val="0062521C"/>
    <w:rsid w:val="00626179"/>
    <w:rsid w:val="006263EC"/>
    <w:rsid w:val="006274A7"/>
    <w:rsid w:val="00627E54"/>
    <w:rsid w:val="006308C2"/>
    <w:rsid w:val="00630A2B"/>
    <w:rsid w:val="00632DC7"/>
    <w:rsid w:val="006357FB"/>
    <w:rsid w:val="006367D7"/>
    <w:rsid w:val="006406FC"/>
    <w:rsid w:val="00640E57"/>
    <w:rsid w:val="00645C89"/>
    <w:rsid w:val="00646122"/>
    <w:rsid w:val="0064621C"/>
    <w:rsid w:val="00653723"/>
    <w:rsid w:val="00653E16"/>
    <w:rsid w:val="00654567"/>
    <w:rsid w:val="006549CF"/>
    <w:rsid w:val="00655DB9"/>
    <w:rsid w:val="00655E23"/>
    <w:rsid w:val="00657220"/>
    <w:rsid w:val="00657362"/>
    <w:rsid w:val="0066104B"/>
    <w:rsid w:val="00661DB8"/>
    <w:rsid w:val="00662AD7"/>
    <w:rsid w:val="00662FC3"/>
    <w:rsid w:val="006655EE"/>
    <w:rsid w:val="006662A2"/>
    <w:rsid w:val="006676E0"/>
    <w:rsid w:val="00667C10"/>
    <w:rsid w:val="00667EF4"/>
    <w:rsid w:val="00670179"/>
    <w:rsid w:val="00676FCA"/>
    <w:rsid w:val="00677177"/>
    <w:rsid w:val="00680BA7"/>
    <w:rsid w:val="00680FA6"/>
    <w:rsid w:val="00684063"/>
    <w:rsid w:val="0068612E"/>
    <w:rsid w:val="00687C92"/>
    <w:rsid w:val="00690AD3"/>
    <w:rsid w:val="0069534E"/>
    <w:rsid w:val="0069669C"/>
    <w:rsid w:val="006A0C2F"/>
    <w:rsid w:val="006A1200"/>
    <w:rsid w:val="006A1EF5"/>
    <w:rsid w:val="006A2DC8"/>
    <w:rsid w:val="006A32D6"/>
    <w:rsid w:val="006A4875"/>
    <w:rsid w:val="006A4F4E"/>
    <w:rsid w:val="006A576E"/>
    <w:rsid w:val="006A58D7"/>
    <w:rsid w:val="006A6C23"/>
    <w:rsid w:val="006B14DB"/>
    <w:rsid w:val="006B21C4"/>
    <w:rsid w:val="006B7BD9"/>
    <w:rsid w:val="006C2842"/>
    <w:rsid w:val="006C28AA"/>
    <w:rsid w:val="006C3B3F"/>
    <w:rsid w:val="006C4A1A"/>
    <w:rsid w:val="006D0393"/>
    <w:rsid w:val="006D1A83"/>
    <w:rsid w:val="006D268A"/>
    <w:rsid w:val="006D7FF0"/>
    <w:rsid w:val="006E0F01"/>
    <w:rsid w:val="006E1CFE"/>
    <w:rsid w:val="006E47F9"/>
    <w:rsid w:val="006E4AAE"/>
    <w:rsid w:val="006E4EA3"/>
    <w:rsid w:val="006E5DFE"/>
    <w:rsid w:val="006F10C4"/>
    <w:rsid w:val="006F40E9"/>
    <w:rsid w:val="006F5603"/>
    <w:rsid w:val="006F6390"/>
    <w:rsid w:val="006F7B87"/>
    <w:rsid w:val="00701400"/>
    <w:rsid w:val="007037CF"/>
    <w:rsid w:val="00703EC6"/>
    <w:rsid w:val="0070559E"/>
    <w:rsid w:val="00707B07"/>
    <w:rsid w:val="00710186"/>
    <w:rsid w:val="00712801"/>
    <w:rsid w:val="007167C0"/>
    <w:rsid w:val="00720481"/>
    <w:rsid w:val="00732B28"/>
    <w:rsid w:val="00733193"/>
    <w:rsid w:val="00735ABB"/>
    <w:rsid w:val="007361FC"/>
    <w:rsid w:val="00736B39"/>
    <w:rsid w:val="007370F1"/>
    <w:rsid w:val="00741129"/>
    <w:rsid w:val="007430E0"/>
    <w:rsid w:val="00744DDA"/>
    <w:rsid w:val="00745E03"/>
    <w:rsid w:val="00746C63"/>
    <w:rsid w:val="007500A4"/>
    <w:rsid w:val="00755671"/>
    <w:rsid w:val="0075732A"/>
    <w:rsid w:val="007600F8"/>
    <w:rsid w:val="00760262"/>
    <w:rsid w:val="0076310C"/>
    <w:rsid w:val="00765720"/>
    <w:rsid w:val="0076744F"/>
    <w:rsid w:val="00767BCE"/>
    <w:rsid w:val="00767EFC"/>
    <w:rsid w:val="007707DE"/>
    <w:rsid w:val="00770B5D"/>
    <w:rsid w:val="00773697"/>
    <w:rsid w:val="007752F1"/>
    <w:rsid w:val="00776768"/>
    <w:rsid w:val="007777A6"/>
    <w:rsid w:val="007808BA"/>
    <w:rsid w:val="00780C96"/>
    <w:rsid w:val="0078187A"/>
    <w:rsid w:val="00786BFE"/>
    <w:rsid w:val="00786EE0"/>
    <w:rsid w:val="00792ED3"/>
    <w:rsid w:val="007946F0"/>
    <w:rsid w:val="00794820"/>
    <w:rsid w:val="00794855"/>
    <w:rsid w:val="00794ED8"/>
    <w:rsid w:val="007A2573"/>
    <w:rsid w:val="007A4EF2"/>
    <w:rsid w:val="007A6736"/>
    <w:rsid w:val="007A7468"/>
    <w:rsid w:val="007B0347"/>
    <w:rsid w:val="007B106C"/>
    <w:rsid w:val="007B1A4E"/>
    <w:rsid w:val="007B3D05"/>
    <w:rsid w:val="007B5503"/>
    <w:rsid w:val="007B7456"/>
    <w:rsid w:val="007C0D4C"/>
    <w:rsid w:val="007C179C"/>
    <w:rsid w:val="007C21E3"/>
    <w:rsid w:val="007C4B85"/>
    <w:rsid w:val="007C6BB3"/>
    <w:rsid w:val="007D0B98"/>
    <w:rsid w:val="007D14B4"/>
    <w:rsid w:val="007D209F"/>
    <w:rsid w:val="007D398C"/>
    <w:rsid w:val="007D3AD7"/>
    <w:rsid w:val="007E24F6"/>
    <w:rsid w:val="007E33AD"/>
    <w:rsid w:val="007E6086"/>
    <w:rsid w:val="007F1ABC"/>
    <w:rsid w:val="007F7FF3"/>
    <w:rsid w:val="00800F64"/>
    <w:rsid w:val="00801050"/>
    <w:rsid w:val="00802F0B"/>
    <w:rsid w:val="0080417B"/>
    <w:rsid w:val="0080693B"/>
    <w:rsid w:val="00810A67"/>
    <w:rsid w:val="0082636B"/>
    <w:rsid w:val="00833CF7"/>
    <w:rsid w:val="00834CDE"/>
    <w:rsid w:val="00842128"/>
    <w:rsid w:val="00842464"/>
    <w:rsid w:val="0084431D"/>
    <w:rsid w:val="00845601"/>
    <w:rsid w:val="00845E79"/>
    <w:rsid w:val="00850519"/>
    <w:rsid w:val="00850C57"/>
    <w:rsid w:val="00851986"/>
    <w:rsid w:val="0085563A"/>
    <w:rsid w:val="00855C5C"/>
    <w:rsid w:val="00865A2F"/>
    <w:rsid w:val="00867590"/>
    <w:rsid w:val="008679B5"/>
    <w:rsid w:val="008731A5"/>
    <w:rsid w:val="00873630"/>
    <w:rsid w:val="00876600"/>
    <w:rsid w:val="00885298"/>
    <w:rsid w:val="00885C56"/>
    <w:rsid w:val="00887258"/>
    <w:rsid w:val="00887E2B"/>
    <w:rsid w:val="00893305"/>
    <w:rsid w:val="00895ECB"/>
    <w:rsid w:val="008971AC"/>
    <w:rsid w:val="00897628"/>
    <w:rsid w:val="008A2023"/>
    <w:rsid w:val="008A3C96"/>
    <w:rsid w:val="008B4019"/>
    <w:rsid w:val="008B65C9"/>
    <w:rsid w:val="008B6613"/>
    <w:rsid w:val="008C2D4A"/>
    <w:rsid w:val="008C48BF"/>
    <w:rsid w:val="008D1527"/>
    <w:rsid w:val="008D3900"/>
    <w:rsid w:val="008D6E1D"/>
    <w:rsid w:val="008E1A71"/>
    <w:rsid w:val="008F3739"/>
    <w:rsid w:val="008F39B4"/>
    <w:rsid w:val="008F4162"/>
    <w:rsid w:val="008F5AF8"/>
    <w:rsid w:val="008F5CE1"/>
    <w:rsid w:val="008F5F0C"/>
    <w:rsid w:val="009006F0"/>
    <w:rsid w:val="00901FF8"/>
    <w:rsid w:val="00903E02"/>
    <w:rsid w:val="00906B2A"/>
    <w:rsid w:val="00913175"/>
    <w:rsid w:val="00916EDB"/>
    <w:rsid w:val="0092000C"/>
    <w:rsid w:val="00920861"/>
    <w:rsid w:val="00922B13"/>
    <w:rsid w:val="009242EF"/>
    <w:rsid w:val="00931EA7"/>
    <w:rsid w:val="00932291"/>
    <w:rsid w:val="00932861"/>
    <w:rsid w:val="00933B8C"/>
    <w:rsid w:val="0093408E"/>
    <w:rsid w:val="00934EBE"/>
    <w:rsid w:val="00943483"/>
    <w:rsid w:val="0094350C"/>
    <w:rsid w:val="009447FE"/>
    <w:rsid w:val="009462B4"/>
    <w:rsid w:val="00951891"/>
    <w:rsid w:val="009519A8"/>
    <w:rsid w:val="00952DDF"/>
    <w:rsid w:val="00953223"/>
    <w:rsid w:val="00956808"/>
    <w:rsid w:val="00960C01"/>
    <w:rsid w:val="009610A3"/>
    <w:rsid w:val="00963708"/>
    <w:rsid w:val="00963B6A"/>
    <w:rsid w:val="00964A47"/>
    <w:rsid w:val="00966ECB"/>
    <w:rsid w:val="00970950"/>
    <w:rsid w:val="00971EF4"/>
    <w:rsid w:val="00973A7D"/>
    <w:rsid w:val="009748AF"/>
    <w:rsid w:val="00977BF3"/>
    <w:rsid w:val="009812D4"/>
    <w:rsid w:val="009920D8"/>
    <w:rsid w:val="0099224A"/>
    <w:rsid w:val="009952F5"/>
    <w:rsid w:val="00996C4E"/>
    <w:rsid w:val="009A25AB"/>
    <w:rsid w:val="009A4046"/>
    <w:rsid w:val="009B1F22"/>
    <w:rsid w:val="009B31D6"/>
    <w:rsid w:val="009B38BE"/>
    <w:rsid w:val="009C03DD"/>
    <w:rsid w:val="009C3D0F"/>
    <w:rsid w:val="009C4386"/>
    <w:rsid w:val="009C7C18"/>
    <w:rsid w:val="009D3673"/>
    <w:rsid w:val="009D4AC2"/>
    <w:rsid w:val="009D5019"/>
    <w:rsid w:val="009E1B19"/>
    <w:rsid w:val="009E6910"/>
    <w:rsid w:val="009F053A"/>
    <w:rsid w:val="009F2548"/>
    <w:rsid w:val="009F2E5D"/>
    <w:rsid w:val="009F35E2"/>
    <w:rsid w:val="009F65F9"/>
    <w:rsid w:val="009F68BA"/>
    <w:rsid w:val="00A06277"/>
    <w:rsid w:val="00A079DC"/>
    <w:rsid w:val="00A111C2"/>
    <w:rsid w:val="00A12077"/>
    <w:rsid w:val="00A13842"/>
    <w:rsid w:val="00A21EB8"/>
    <w:rsid w:val="00A30468"/>
    <w:rsid w:val="00A3101A"/>
    <w:rsid w:val="00A3142E"/>
    <w:rsid w:val="00A338E7"/>
    <w:rsid w:val="00A35CAA"/>
    <w:rsid w:val="00A35CB5"/>
    <w:rsid w:val="00A36E7F"/>
    <w:rsid w:val="00A411F4"/>
    <w:rsid w:val="00A41E65"/>
    <w:rsid w:val="00A43B6D"/>
    <w:rsid w:val="00A43E0A"/>
    <w:rsid w:val="00A46096"/>
    <w:rsid w:val="00A473C9"/>
    <w:rsid w:val="00A530C7"/>
    <w:rsid w:val="00A54B36"/>
    <w:rsid w:val="00A55311"/>
    <w:rsid w:val="00A55F5B"/>
    <w:rsid w:val="00A57C8D"/>
    <w:rsid w:val="00A60185"/>
    <w:rsid w:val="00A6060C"/>
    <w:rsid w:val="00A661EA"/>
    <w:rsid w:val="00A74176"/>
    <w:rsid w:val="00A74EDE"/>
    <w:rsid w:val="00A754FF"/>
    <w:rsid w:val="00A7622C"/>
    <w:rsid w:val="00A7740B"/>
    <w:rsid w:val="00A80B1C"/>
    <w:rsid w:val="00A830E5"/>
    <w:rsid w:val="00A8487A"/>
    <w:rsid w:val="00A87135"/>
    <w:rsid w:val="00A922CB"/>
    <w:rsid w:val="00A93280"/>
    <w:rsid w:val="00A951EA"/>
    <w:rsid w:val="00A95D2C"/>
    <w:rsid w:val="00AA1CF7"/>
    <w:rsid w:val="00AA2548"/>
    <w:rsid w:val="00AA29EB"/>
    <w:rsid w:val="00AA58C4"/>
    <w:rsid w:val="00AA7003"/>
    <w:rsid w:val="00AA7D8E"/>
    <w:rsid w:val="00AB11C8"/>
    <w:rsid w:val="00AB179E"/>
    <w:rsid w:val="00AB194A"/>
    <w:rsid w:val="00AB607B"/>
    <w:rsid w:val="00AC08A8"/>
    <w:rsid w:val="00AC5CBE"/>
    <w:rsid w:val="00AC7B20"/>
    <w:rsid w:val="00AD316A"/>
    <w:rsid w:val="00AD356C"/>
    <w:rsid w:val="00AD4C29"/>
    <w:rsid w:val="00AD56C8"/>
    <w:rsid w:val="00AD58F2"/>
    <w:rsid w:val="00AD7B61"/>
    <w:rsid w:val="00AE098A"/>
    <w:rsid w:val="00AE1A40"/>
    <w:rsid w:val="00AE61B5"/>
    <w:rsid w:val="00AE6F42"/>
    <w:rsid w:val="00AF4796"/>
    <w:rsid w:val="00AF65A7"/>
    <w:rsid w:val="00B00CFB"/>
    <w:rsid w:val="00B0512A"/>
    <w:rsid w:val="00B0529F"/>
    <w:rsid w:val="00B077B7"/>
    <w:rsid w:val="00B1009F"/>
    <w:rsid w:val="00B114BE"/>
    <w:rsid w:val="00B1179A"/>
    <w:rsid w:val="00B120AD"/>
    <w:rsid w:val="00B1330E"/>
    <w:rsid w:val="00B1418B"/>
    <w:rsid w:val="00B21195"/>
    <w:rsid w:val="00B23A93"/>
    <w:rsid w:val="00B24623"/>
    <w:rsid w:val="00B24B22"/>
    <w:rsid w:val="00B25310"/>
    <w:rsid w:val="00B325AB"/>
    <w:rsid w:val="00B32F8F"/>
    <w:rsid w:val="00B3492A"/>
    <w:rsid w:val="00B4076F"/>
    <w:rsid w:val="00B44388"/>
    <w:rsid w:val="00B450FE"/>
    <w:rsid w:val="00B51861"/>
    <w:rsid w:val="00B5309A"/>
    <w:rsid w:val="00B54DE9"/>
    <w:rsid w:val="00B550D5"/>
    <w:rsid w:val="00B553EC"/>
    <w:rsid w:val="00B555C2"/>
    <w:rsid w:val="00B55E3F"/>
    <w:rsid w:val="00B57D19"/>
    <w:rsid w:val="00B6012C"/>
    <w:rsid w:val="00B63C1E"/>
    <w:rsid w:val="00B703E3"/>
    <w:rsid w:val="00B71166"/>
    <w:rsid w:val="00B71366"/>
    <w:rsid w:val="00B7137B"/>
    <w:rsid w:val="00B76A42"/>
    <w:rsid w:val="00B819AF"/>
    <w:rsid w:val="00B87B6B"/>
    <w:rsid w:val="00B92639"/>
    <w:rsid w:val="00B93DD0"/>
    <w:rsid w:val="00B972C4"/>
    <w:rsid w:val="00B97732"/>
    <w:rsid w:val="00BA08D1"/>
    <w:rsid w:val="00BA0FC6"/>
    <w:rsid w:val="00BA3F76"/>
    <w:rsid w:val="00BA65A8"/>
    <w:rsid w:val="00BA6D19"/>
    <w:rsid w:val="00BA7461"/>
    <w:rsid w:val="00BA7A53"/>
    <w:rsid w:val="00BA7DA9"/>
    <w:rsid w:val="00BB0AA4"/>
    <w:rsid w:val="00BB5E36"/>
    <w:rsid w:val="00BC283B"/>
    <w:rsid w:val="00BC4215"/>
    <w:rsid w:val="00BC5432"/>
    <w:rsid w:val="00BC7B6E"/>
    <w:rsid w:val="00BD1A6F"/>
    <w:rsid w:val="00BD27D0"/>
    <w:rsid w:val="00BE0F48"/>
    <w:rsid w:val="00BE26D4"/>
    <w:rsid w:val="00BE40B4"/>
    <w:rsid w:val="00BE68A0"/>
    <w:rsid w:val="00BE6D3C"/>
    <w:rsid w:val="00BE7852"/>
    <w:rsid w:val="00BF7CEE"/>
    <w:rsid w:val="00C03880"/>
    <w:rsid w:val="00C07500"/>
    <w:rsid w:val="00C10F4E"/>
    <w:rsid w:val="00C1320F"/>
    <w:rsid w:val="00C135CF"/>
    <w:rsid w:val="00C15D38"/>
    <w:rsid w:val="00C203AE"/>
    <w:rsid w:val="00C2683F"/>
    <w:rsid w:val="00C27553"/>
    <w:rsid w:val="00C3184D"/>
    <w:rsid w:val="00C33D1F"/>
    <w:rsid w:val="00C3549B"/>
    <w:rsid w:val="00C37FC9"/>
    <w:rsid w:val="00C40AD0"/>
    <w:rsid w:val="00C412E3"/>
    <w:rsid w:val="00C449F8"/>
    <w:rsid w:val="00C47030"/>
    <w:rsid w:val="00C4714E"/>
    <w:rsid w:val="00C51A96"/>
    <w:rsid w:val="00C51CCA"/>
    <w:rsid w:val="00C5504F"/>
    <w:rsid w:val="00C551BF"/>
    <w:rsid w:val="00C57B55"/>
    <w:rsid w:val="00C63376"/>
    <w:rsid w:val="00C70827"/>
    <w:rsid w:val="00C743A7"/>
    <w:rsid w:val="00C74F97"/>
    <w:rsid w:val="00C8276E"/>
    <w:rsid w:val="00C83B59"/>
    <w:rsid w:val="00C842AC"/>
    <w:rsid w:val="00C85A79"/>
    <w:rsid w:val="00C90D66"/>
    <w:rsid w:val="00C93B12"/>
    <w:rsid w:val="00C95293"/>
    <w:rsid w:val="00C95B43"/>
    <w:rsid w:val="00C9643F"/>
    <w:rsid w:val="00C96688"/>
    <w:rsid w:val="00CA043C"/>
    <w:rsid w:val="00CA0723"/>
    <w:rsid w:val="00CA0799"/>
    <w:rsid w:val="00CA5BD9"/>
    <w:rsid w:val="00CB1690"/>
    <w:rsid w:val="00CB313C"/>
    <w:rsid w:val="00CC1016"/>
    <w:rsid w:val="00CC4365"/>
    <w:rsid w:val="00CD11B0"/>
    <w:rsid w:val="00CD2BB3"/>
    <w:rsid w:val="00CD34F1"/>
    <w:rsid w:val="00CE3F4A"/>
    <w:rsid w:val="00CE5C2A"/>
    <w:rsid w:val="00CE71C2"/>
    <w:rsid w:val="00CF1DE5"/>
    <w:rsid w:val="00CF34E9"/>
    <w:rsid w:val="00CF42D5"/>
    <w:rsid w:val="00CF4EDA"/>
    <w:rsid w:val="00CF7D7F"/>
    <w:rsid w:val="00D021CB"/>
    <w:rsid w:val="00D0280A"/>
    <w:rsid w:val="00D04E7D"/>
    <w:rsid w:val="00D057D0"/>
    <w:rsid w:val="00D1063D"/>
    <w:rsid w:val="00D10F1A"/>
    <w:rsid w:val="00D116F8"/>
    <w:rsid w:val="00D16003"/>
    <w:rsid w:val="00D16C5F"/>
    <w:rsid w:val="00D17596"/>
    <w:rsid w:val="00D21D54"/>
    <w:rsid w:val="00D22640"/>
    <w:rsid w:val="00D2475A"/>
    <w:rsid w:val="00D24AB5"/>
    <w:rsid w:val="00D26D3A"/>
    <w:rsid w:val="00D27CE9"/>
    <w:rsid w:val="00D45EE3"/>
    <w:rsid w:val="00D50618"/>
    <w:rsid w:val="00D509E9"/>
    <w:rsid w:val="00D518A2"/>
    <w:rsid w:val="00D53B1C"/>
    <w:rsid w:val="00D53E3F"/>
    <w:rsid w:val="00D54378"/>
    <w:rsid w:val="00D5698E"/>
    <w:rsid w:val="00D61CBE"/>
    <w:rsid w:val="00D63066"/>
    <w:rsid w:val="00D67A84"/>
    <w:rsid w:val="00D7032C"/>
    <w:rsid w:val="00D7169A"/>
    <w:rsid w:val="00D7399B"/>
    <w:rsid w:val="00D7416C"/>
    <w:rsid w:val="00D77857"/>
    <w:rsid w:val="00D833F6"/>
    <w:rsid w:val="00D8359D"/>
    <w:rsid w:val="00D92976"/>
    <w:rsid w:val="00D9358D"/>
    <w:rsid w:val="00D97CBC"/>
    <w:rsid w:val="00DA0961"/>
    <w:rsid w:val="00DA1B12"/>
    <w:rsid w:val="00DA29A1"/>
    <w:rsid w:val="00DA54C9"/>
    <w:rsid w:val="00DA5646"/>
    <w:rsid w:val="00DA6739"/>
    <w:rsid w:val="00DA6CAE"/>
    <w:rsid w:val="00DB1A9E"/>
    <w:rsid w:val="00DB29D0"/>
    <w:rsid w:val="00DB31D6"/>
    <w:rsid w:val="00DB342C"/>
    <w:rsid w:val="00DB3C92"/>
    <w:rsid w:val="00DB4005"/>
    <w:rsid w:val="00DB4D33"/>
    <w:rsid w:val="00DC1D92"/>
    <w:rsid w:val="00DC34EB"/>
    <w:rsid w:val="00DD0EB5"/>
    <w:rsid w:val="00DD1783"/>
    <w:rsid w:val="00DD762A"/>
    <w:rsid w:val="00DD7A6B"/>
    <w:rsid w:val="00DE03C2"/>
    <w:rsid w:val="00DE5E0A"/>
    <w:rsid w:val="00DE64CF"/>
    <w:rsid w:val="00DF1DCC"/>
    <w:rsid w:val="00DF1E5B"/>
    <w:rsid w:val="00DF2275"/>
    <w:rsid w:val="00DF25A8"/>
    <w:rsid w:val="00DF27FA"/>
    <w:rsid w:val="00DF2B4E"/>
    <w:rsid w:val="00DF3F5E"/>
    <w:rsid w:val="00DF4732"/>
    <w:rsid w:val="00DF5653"/>
    <w:rsid w:val="00DF5D08"/>
    <w:rsid w:val="00DF78CD"/>
    <w:rsid w:val="00E0046F"/>
    <w:rsid w:val="00E00C7E"/>
    <w:rsid w:val="00E03D6A"/>
    <w:rsid w:val="00E05879"/>
    <w:rsid w:val="00E0596E"/>
    <w:rsid w:val="00E06F66"/>
    <w:rsid w:val="00E13ADE"/>
    <w:rsid w:val="00E17BDE"/>
    <w:rsid w:val="00E21050"/>
    <w:rsid w:val="00E25A3B"/>
    <w:rsid w:val="00E2611E"/>
    <w:rsid w:val="00E2675A"/>
    <w:rsid w:val="00E34C39"/>
    <w:rsid w:val="00E356E5"/>
    <w:rsid w:val="00E357E4"/>
    <w:rsid w:val="00E36F81"/>
    <w:rsid w:val="00E3768F"/>
    <w:rsid w:val="00E40A6F"/>
    <w:rsid w:val="00E417F8"/>
    <w:rsid w:val="00E445BD"/>
    <w:rsid w:val="00E45765"/>
    <w:rsid w:val="00E5098C"/>
    <w:rsid w:val="00E56DB8"/>
    <w:rsid w:val="00E60213"/>
    <w:rsid w:val="00E661B2"/>
    <w:rsid w:val="00E67FAE"/>
    <w:rsid w:val="00E70183"/>
    <w:rsid w:val="00E70D14"/>
    <w:rsid w:val="00E7196B"/>
    <w:rsid w:val="00E735E3"/>
    <w:rsid w:val="00E74D29"/>
    <w:rsid w:val="00E77469"/>
    <w:rsid w:val="00E8309B"/>
    <w:rsid w:val="00E83C74"/>
    <w:rsid w:val="00E83CEE"/>
    <w:rsid w:val="00E91232"/>
    <w:rsid w:val="00E91F18"/>
    <w:rsid w:val="00E9226D"/>
    <w:rsid w:val="00E92652"/>
    <w:rsid w:val="00E9304F"/>
    <w:rsid w:val="00E943AB"/>
    <w:rsid w:val="00E96097"/>
    <w:rsid w:val="00E97E35"/>
    <w:rsid w:val="00EA25CF"/>
    <w:rsid w:val="00EA416C"/>
    <w:rsid w:val="00EA48C9"/>
    <w:rsid w:val="00EA5941"/>
    <w:rsid w:val="00EA6DB3"/>
    <w:rsid w:val="00EB0BC0"/>
    <w:rsid w:val="00EB0F48"/>
    <w:rsid w:val="00EB1365"/>
    <w:rsid w:val="00EB1688"/>
    <w:rsid w:val="00EB60CE"/>
    <w:rsid w:val="00EB7D53"/>
    <w:rsid w:val="00EE3146"/>
    <w:rsid w:val="00EF50BB"/>
    <w:rsid w:val="00EF53FF"/>
    <w:rsid w:val="00EF6A50"/>
    <w:rsid w:val="00EF6BFF"/>
    <w:rsid w:val="00EF7023"/>
    <w:rsid w:val="00F00192"/>
    <w:rsid w:val="00F01DF6"/>
    <w:rsid w:val="00F0340D"/>
    <w:rsid w:val="00F059A6"/>
    <w:rsid w:val="00F06665"/>
    <w:rsid w:val="00F165D6"/>
    <w:rsid w:val="00F23756"/>
    <w:rsid w:val="00F2523A"/>
    <w:rsid w:val="00F25FFA"/>
    <w:rsid w:val="00F303B7"/>
    <w:rsid w:val="00F310D2"/>
    <w:rsid w:val="00F32927"/>
    <w:rsid w:val="00F36F3D"/>
    <w:rsid w:val="00F45F0F"/>
    <w:rsid w:val="00F477BD"/>
    <w:rsid w:val="00F52D4E"/>
    <w:rsid w:val="00F530B6"/>
    <w:rsid w:val="00F53491"/>
    <w:rsid w:val="00F53565"/>
    <w:rsid w:val="00F53EBE"/>
    <w:rsid w:val="00F54B0D"/>
    <w:rsid w:val="00F6071D"/>
    <w:rsid w:val="00F60C1A"/>
    <w:rsid w:val="00F62416"/>
    <w:rsid w:val="00F63254"/>
    <w:rsid w:val="00F65A1C"/>
    <w:rsid w:val="00F66F50"/>
    <w:rsid w:val="00F66F59"/>
    <w:rsid w:val="00F726BB"/>
    <w:rsid w:val="00F72ADB"/>
    <w:rsid w:val="00F72DCB"/>
    <w:rsid w:val="00F7370F"/>
    <w:rsid w:val="00F74FEC"/>
    <w:rsid w:val="00F75C52"/>
    <w:rsid w:val="00F82FF8"/>
    <w:rsid w:val="00F8330D"/>
    <w:rsid w:val="00F84305"/>
    <w:rsid w:val="00F8485C"/>
    <w:rsid w:val="00F8613A"/>
    <w:rsid w:val="00F87149"/>
    <w:rsid w:val="00F876B7"/>
    <w:rsid w:val="00F87FFE"/>
    <w:rsid w:val="00F916EE"/>
    <w:rsid w:val="00F94F52"/>
    <w:rsid w:val="00F954C9"/>
    <w:rsid w:val="00FA2A73"/>
    <w:rsid w:val="00FA4CF0"/>
    <w:rsid w:val="00FA61AA"/>
    <w:rsid w:val="00FA69A4"/>
    <w:rsid w:val="00FA796C"/>
    <w:rsid w:val="00FB1279"/>
    <w:rsid w:val="00FB1495"/>
    <w:rsid w:val="00FB70F2"/>
    <w:rsid w:val="00FC1D0D"/>
    <w:rsid w:val="00FC55DE"/>
    <w:rsid w:val="00FD1694"/>
    <w:rsid w:val="00FD6893"/>
    <w:rsid w:val="00FD7636"/>
    <w:rsid w:val="00FE3229"/>
    <w:rsid w:val="00FE74C3"/>
    <w:rsid w:val="00FF215C"/>
    <w:rsid w:val="00FF2916"/>
    <w:rsid w:val="00FF3721"/>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D35"/>
    <w:pPr>
      <w:spacing w:before="60" w:after="60"/>
    </w:pPr>
    <w:rPr>
      <w:sz w:val="18"/>
      <w:szCs w:val="22"/>
      <w:lang w:eastAsia="en-US"/>
    </w:rPr>
  </w:style>
  <w:style w:type="paragraph" w:styleId="Heading1">
    <w:name w:val="heading 1"/>
    <w:basedOn w:val="Normal"/>
    <w:next w:val="Normal"/>
    <w:link w:val="Heading1Char"/>
    <w:qFormat/>
    <w:rsid w:val="005E2D35"/>
    <w:pPr>
      <w:keepNext/>
      <w:outlineLvl w:val="0"/>
    </w:pPr>
    <w:rPr>
      <w:rFonts w:cs="Arial"/>
      <w:b/>
      <w:caps/>
      <w:sz w:val="22"/>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TOCHeading"/>
    <w:next w:val="Normal"/>
    <w:link w:val="Heading5Char"/>
    <w:uiPriority w:val="9"/>
    <w:unhideWhenUsed/>
    <w:rsid w:val="00E21050"/>
    <w:pPr>
      <w:outlineLvl w:val="4"/>
    </w:pPr>
    <w:rPr>
      <w:rFonts w:cs="Times New Roman"/>
      <w:bCs/>
      <w:caps w:val="0"/>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5E2D35"/>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ListBullet"/>
    <w:uiPriority w:val="99"/>
    <w:unhideWhenUsed/>
    <w:rsid w:val="006676E0"/>
    <w:rPr>
      <w:rFonts w:cs="Arial"/>
      <w:sz w:val="22"/>
    </w:rPr>
  </w:style>
  <w:style w:type="paragraph" w:styleId="ListBullet4">
    <w:name w:val="List Bullet 4"/>
    <w:basedOn w:val="ListParagraph"/>
    <w:uiPriority w:val="99"/>
    <w:unhideWhenUsed/>
    <w:rsid w:val="006676E0"/>
    <w:pPr>
      <w:numPr>
        <w:ilvl w:val="1"/>
        <w:numId w:val="44"/>
      </w:numPr>
      <w:spacing w:before="120" w:after="120"/>
      <w:ind w:left="714" w:hanging="357"/>
    </w:pPr>
    <w:rPr>
      <w:rFonts w:cs="Arial"/>
      <w:sz w:val="22"/>
    </w:rPr>
  </w:style>
  <w:style w:type="paragraph" w:styleId="ListBullet5">
    <w:name w:val="List Bullet 5"/>
    <w:basedOn w:val="Normal"/>
    <w:uiPriority w:val="99"/>
    <w:unhideWhenUsed/>
    <w:rsid w:val="00266FD3"/>
    <w:pPr>
      <w:numPr>
        <w:numId w:val="47"/>
      </w:numPr>
      <w:ind w:left="198" w:hanging="198"/>
    </w:pPr>
    <w:rPr>
      <w:sz w:val="20"/>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ListContinue"/>
    <w:uiPriority w:val="99"/>
    <w:qFormat/>
    <w:rsid w:val="0035636F"/>
    <w:pPr>
      <w:numPr>
        <w:numId w:val="0"/>
      </w:numPr>
    </w:pPr>
  </w:style>
  <w:style w:type="paragraph" w:styleId="ListNumber2">
    <w:name w:val="List Number 2"/>
    <w:basedOn w:val="ListContinue2"/>
    <w:uiPriority w:val="99"/>
    <w:rsid w:val="00D77857"/>
    <w:pPr>
      <w:spacing w:after="60"/>
      <w:ind w:left="538" w:hanging="357"/>
      <w:contextualSpacing w:val="0"/>
    </w:pPr>
    <w:rPr>
      <w:rFonts w:cs="Arial"/>
      <w:noProof/>
      <w:szCs w:val="18"/>
    </w:rPr>
  </w:style>
  <w:style w:type="paragraph" w:styleId="ListNumber3">
    <w:name w:val="List Number 3"/>
    <w:basedOn w:val="ListContinue3"/>
    <w:uiPriority w:val="99"/>
    <w:rsid w:val="00D77857"/>
    <w:pPr>
      <w:spacing w:after="60"/>
      <w:ind w:left="896" w:hanging="357"/>
      <w:contextualSpacing w:val="0"/>
    </w:pPr>
    <w:rPr>
      <w:rFonts w:cs="Arial"/>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A754FF"/>
    <w:pPr>
      <w:spacing w:before="120" w:after="120"/>
    </w:pPr>
    <w:rPr>
      <w:rFonts w:cs="Arial"/>
      <w:sz w:val="20"/>
      <w:szCs w:val="20"/>
    </w:r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2D1766"/>
  </w:style>
  <w:style w:type="paragraph" w:styleId="TOC1">
    <w:name w:val="toc 1"/>
    <w:basedOn w:val="Normal"/>
    <w:next w:val="Normal"/>
    <w:autoRedefine/>
    <w:uiPriority w:val="39"/>
    <w:unhideWhenUsed/>
    <w:rsid w:val="00482AC4"/>
    <w:pPr>
      <w:tabs>
        <w:tab w:val="right" w:leader="dot" w:pos="8931"/>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A80B1C"/>
    <w:rPr>
      <w:color w:val="800080" w:themeColor="followedHyperlink"/>
      <w:u w:val="single"/>
    </w:rPr>
  </w:style>
  <w:style w:type="paragraph" w:styleId="ListContinue">
    <w:name w:val="List Continue"/>
    <w:basedOn w:val="ListNumber2Table-text"/>
    <w:uiPriority w:val="99"/>
    <w:rsid w:val="00455850"/>
    <w:pPr>
      <w:spacing w:before="60" w:after="60"/>
    </w:pPr>
  </w:style>
  <w:style w:type="paragraph" w:styleId="List">
    <w:name w:val="List"/>
    <w:basedOn w:val="Normal"/>
    <w:uiPriority w:val="99"/>
    <w:rsid w:val="00266FD3"/>
    <w:pPr>
      <w:ind w:left="283" w:hanging="283"/>
      <w:contextualSpacing/>
    </w:pPr>
  </w:style>
  <w:style w:type="paragraph" w:customStyle="1" w:styleId="ListNumber2Table-text">
    <w:name w:val="List Number 2 Table-text"/>
    <w:basedOn w:val="ListNumber2"/>
    <w:qFormat/>
    <w:rsid w:val="00895ECB"/>
    <w:pPr>
      <w:numPr>
        <w:numId w:val="51"/>
      </w:numPr>
      <w:spacing w:before="120" w:after="120"/>
      <w:ind w:left="357" w:hanging="357"/>
    </w:pPr>
  </w:style>
  <w:style w:type="paragraph" w:customStyle="1" w:styleId="DoEETableheading">
    <w:name w:val="DoEE Table heading"/>
    <w:basedOn w:val="Normal"/>
    <w:qFormat/>
    <w:rsid w:val="00534F5E"/>
    <w:pPr>
      <w:spacing w:after="80"/>
    </w:pPr>
    <w:rPr>
      <w:rFonts w:cs="Arial"/>
      <w:b/>
      <w:lang w:eastAsia="en-AU"/>
    </w:rPr>
  </w:style>
  <w:style w:type="paragraph" w:customStyle="1" w:styleId="Normal-Bold">
    <w:name w:val="Normal-Bold"/>
    <w:basedOn w:val="Tabletext"/>
    <w:qFormat/>
    <w:rsid w:val="00534F5E"/>
    <w:pPr>
      <w:spacing w:before="0" w:after="200" w:line="276" w:lineRule="auto"/>
    </w:pPr>
    <w:rPr>
      <w:b/>
      <w:bCs/>
      <w:sz w:val="22"/>
      <w:szCs w:val="22"/>
    </w:rPr>
  </w:style>
  <w:style w:type="paragraph" w:styleId="ListContinue2">
    <w:name w:val="List Continue 2"/>
    <w:basedOn w:val="Normal"/>
    <w:uiPriority w:val="99"/>
    <w:unhideWhenUsed/>
    <w:rsid w:val="00534F5E"/>
    <w:pPr>
      <w:spacing w:after="120"/>
      <w:ind w:left="566"/>
      <w:contextualSpacing/>
    </w:pPr>
  </w:style>
  <w:style w:type="paragraph" w:styleId="ListContinue3">
    <w:name w:val="List Continue 3"/>
    <w:basedOn w:val="Normal"/>
    <w:uiPriority w:val="99"/>
    <w:semiHidden/>
    <w:unhideWhenUsed/>
    <w:rsid w:val="00534F5E"/>
    <w:pPr>
      <w:spacing w:after="120"/>
      <w:ind w:left="849"/>
      <w:contextualSpacing/>
    </w:pPr>
  </w:style>
  <w:style w:type="paragraph" w:styleId="Revision">
    <w:name w:val="Revision"/>
    <w:hidden/>
    <w:uiPriority w:val="99"/>
    <w:semiHidden/>
    <w:rsid w:val="00281597"/>
    <w:rPr>
      <w:sz w:val="22"/>
      <w:szCs w:val="22"/>
      <w:lang w:eastAsia="en-US"/>
    </w:rPr>
  </w:style>
  <w:style w:type="character" w:customStyle="1" w:styleId="legsubtitle1">
    <w:name w:val="legsubtitle1"/>
    <w:basedOn w:val="DefaultParagraphFont"/>
    <w:rsid w:val="00F916EE"/>
    <w:rPr>
      <w:b/>
      <w:bCs/>
    </w:rPr>
  </w:style>
  <w:style w:type="character" w:customStyle="1" w:styleId="Heading5Char">
    <w:name w:val="Heading 5 Char"/>
    <w:basedOn w:val="DefaultParagraphFont"/>
    <w:link w:val="Heading5"/>
    <w:uiPriority w:val="9"/>
    <w:rsid w:val="00E21050"/>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ir.sa.gov.au/fishing/recreational_fishing" TargetMode="External"/><Relationship Id="rId26" Type="http://schemas.openxmlformats.org/officeDocument/2006/relationships/hyperlink" Target="https://www.legislation.sa.gov.au/LZ/C/R/FISHERIES%20MANAGEMENT%20%28LAKES%20AND%20COORONG%20FISHERY%29%20REGULATIONS%202009.aspx" TargetMode="External"/><Relationship Id="rId39" Type="http://schemas.openxmlformats.org/officeDocument/2006/relationships/hyperlink" Target="http://www.fisheries-esd.com.au/c/home/index.cfm?CFID=2221211&amp;CFTOKEN=a4473314fbf92d8c-73056818-A212-4ED2-6E9C589AF69DF1A1" TargetMode="External"/><Relationship Id="rId3" Type="http://schemas.openxmlformats.org/officeDocument/2006/relationships/settings" Target="settings.xml"/><Relationship Id="rId21" Type="http://schemas.openxmlformats.org/officeDocument/2006/relationships/hyperlink" Target="http://pir.sa.gov.au/research" TargetMode="External"/><Relationship Id="rId34" Type="http://schemas.openxmlformats.org/officeDocument/2006/relationships/header" Target="header6.xml"/><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pir.sa.gov.au/fishing/aboriginal_traditional_fishing" TargetMode="External"/><Relationship Id="rId25" Type="http://schemas.openxmlformats.org/officeDocument/2006/relationships/hyperlink" Target="https://www.legislation.sa.gov.au/LZ/C/A/FISHERIES%20MANAGEMENT%20ACT%202007.aspx" TargetMode="External"/><Relationship Id="rId33" Type="http://schemas.openxmlformats.org/officeDocument/2006/relationships/footer" Target="footer5.xml"/><Relationship Id="rId38" Type="http://schemas.openxmlformats.org/officeDocument/2006/relationships/hyperlink" Target="https://www.environment.sa.gov.au/managing-natural-resources/river-murray/improving-river-health/ramsar-management-plan-coorong-lower-lakes" TargetMode="External"/><Relationship Id="rId2" Type="http://schemas.openxmlformats.org/officeDocument/2006/relationships/styles" Target="styles.xml"/><Relationship Id="rId16" Type="http://schemas.openxmlformats.org/officeDocument/2006/relationships/hyperlink" Target="http://pir.sa.gov.au/fishing" TargetMode="External"/><Relationship Id="rId20" Type="http://schemas.openxmlformats.org/officeDocument/2006/relationships/hyperlink" Target="http://pir.sa.gov.au/__data/assets/pdf_file/0016/12742/Final_Management_Plan_for_the_South_Australian_Lakes_and_Coorong_Fishery_March_2016.pdf" TargetMode="External"/><Relationship Id="rId29" Type="http://schemas.openxmlformats.org/officeDocument/2006/relationships/hyperlink" Target="http://www.environment.sa.gov.au/managing-natural-resources/river-murray/improving-river-health/ramsar-management-plan-coorong-lower-lakes" TargetMode="External"/><Relationship Id="rId41" Type="http://schemas.openxmlformats.org/officeDocument/2006/relationships/hyperlink" Target="http://www.environment.gov.au/cgi-bin/sprat/public/publicshowcommunity.pl?id=1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slation.sa.gov.au/index.aspx" TargetMode="External"/><Relationship Id="rId32" Type="http://schemas.openxmlformats.org/officeDocument/2006/relationships/footer" Target="footer4.xml"/><Relationship Id="rId37" Type="http://schemas.openxmlformats.org/officeDocument/2006/relationships/hyperlink" Target="http://www.environment.gov.au/about-us/esd/publications/national-esd-strategy" TargetMode="External"/><Relationship Id="rId40" Type="http://schemas.openxmlformats.org/officeDocument/2006/relationships/hyperlink" Target="http://www.environment.gov.au/marine/fisheries/sa/coorong/agency-submission-2008" TargetMode="External"/><Relationship Id="rId5" Type="http://schemas.openxmlformats.org/officeDocument/2006/relationships/footnotes" Target="footnotes.xml"/><Relationship Id="rId15" Type="http://schemas.openxmlformats.org/officeDocument/2006/relationships/hyperlink" Target="http://www.environment.gov.au/marine/fisheries/sa/coorong" TargetMode="External"/><Relationship Id="rId23" Type="http://schemas.openxmlformats.org/officeDocument/2006/relationships/hyperlink" Target="https://recfishsa.org.au/" TargetMode="External"/><Relationship Id="rId28" Type="http://schemas.openxmlformats.org/officeDocument/2006/relationships/hyperlink" Target="http://www.environment.gov.au/marine/fisheries/sa/coorong/agency-application-2016" TargetMode="External"/><Relationship Id="rId36" Type="http://schemas.openxmlformats.org/officeDocument/2006/relationships/hyperlink" Target="http://www.environment.gov.au/resource/guidelines-ecologically-sustainable-management-fisheries" TargetMode="External"/><Relationship Id="rId10" Type="http://schemas.openxmlformats.org/officeDocument/2006/relationships/footer" Target="footer1.xml"/><Relationship Id="rId19" Type="http://schemas.openxmlformats.org/officeDocument/2006/relationships/hyperlink" Target="http://pir.sa.gov.au/fishing/commercial_fishing/fisheries/lakes_and_cooring_fishery" TargetMode="Externa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coorongfishery.com/pages/fishery-information/consultative-committee.php" TargetMode="External"/><Relationship Id="rId27" Type="http://schemas.openxmlformats.org/officeDocument/2006/relationships/hyperlink" Target="https://www.legislation.sa.gov.au/LZ/C/R/Fisheries%20Management%20(General)%20Regulations%202017.aspx" TargetMode="External"/><Relationship Id="rId30" Type="http://schemas.openxmlformats.org/officeDocument/2006/relationships/header" Target="header4.xml"/><Relationship Id="rId35" Type="http://schemas.openxmlformats.org/officeDocument/2006/relationships/footer" Target="footer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7B842773.dotm</Template>
  <TotalTime>1</TotalTime>
  <Pages>26</Pages>
  <Words>12223</Words>
  <Characters>69676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South Australian Lakes and Coorong Fishery</dc:title>
  <dc:creator>Department of the Environment and Energy</dc:creator>
  <cp:lastModifiedBy>Durack, Bec</cp:lastModifiedBy>
  <cp:revision>2</cp:revision>
  <dcterms:created xsi:type="dcterms:W3CDTF">2018-04-05T01:52:00Z</dcterms:created>
  <dcterms:modified xsi:type="dcterms:W3CDTF">2018-04-05T01:52:00Z</dcterms:modified>
</cp:coreProperties>
</file>