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A3A1E" w14:textId="77777777" w:rsidR="00071F4A" w:rsidRDefault="00071F4A" w:rsidP="002B2F2C">
      <w:pPr>
        <w:spacing w:after="0"/>
        <w:ind w:left="369" w:hanging="369"/>
      </w:pPr>
      <w:bookmarkStart w:id="0" w:name="Name"/>
    </w:p>
    <w:p w14:paraId="71D5B373" w14:textId="77777777" w:rsidR="00BF7602" w:rsidRDefault="00BF7602" w:rsidP="002B2F2C">
      <w:pPr>
        <w:spacing w:after="0"/>
        <w:ind w:left="369" w:hanging="369"/>
      </w:pPr>
    </w:p>
    <w:p w14:paraId="452942F3" w14:textId="3822DC94" w:rsidR="002B2F2C" w:rsidRDefault="00864C51" w:rsidP="002B2F2C">
      <w:pPr>
        <w:spacing w:after="0"/>
        <w:ind w:left="369" w:hanging="369"/>
      </w:pPr>
      <w:r>
        <w:t>Ms Claire Andersen</w:t>
      </w:r>
    </w:p>
    <w:p w14:paraId="44FE0891" w14:textId="2B113739" w:rsidR="00864C51" w:rsidRDefault="00864C51" w:rsidP="002B2F2C">
      <w:pPr>
        <w:spacing w:after="0"/>
        <w:ind w:left="369" w:hanging="369"/>
      </w:pPr>
      <w:r>
        <w:t xml:space="preserve">Office of the Deputy Director General </w:t>
      </w:r>
    </w:p>
    <w:p w14:paraId="7A3DAC8B" w14:textId="09061F64" w:rsidR="00864C51" w:rsidRDefault="00864C51" w:rsidP="002B2F2C">
      <w:pPr>
        <w:spacing w:after="0"/>
        <w:ind w:left="369" w:hanging="369"/>
      </w:pPr>
      <w:r>
        <w:t>Fisheries and Forestry</w:t>
      </w:r>
    </w:p>
    <w:p w14:paraId="53EB681E" w14:textId="5E585BA9" w:rsidR="00864C51" w:rsidRDefault="00864C51" w:rsidP="002B2F2C">
      <w:pPr>
        <w:spacing w:after="0"/>
        <w:ind w:left="369" w:hanging="369"/>
      </w:pPr>
      <w:bookmarkStart w:id="1" w:name="_GoBack"/>
      <w:r>
        <w:t>Department of Agriculture and Fisheries</w:t>
      </w:r>
    </w:p>
    <w:bookmarkEnd w:id="1"/>
    <w:p w14:paraId="4D4A9547" w14:textId="5B5998B8" w:rsidR="002B2F2C" w:rsidRDefault="00C41305" w:rsidP="002B2F2C">
      <w:pPr>
        <w:spacing w:after="0"/>
        <w:ind w:left="369" w:hanging="369"/>
      </w:pPr>
      <w:r>
        <w:t>G</w:t>
      </w:r>
      <w:r w:rsidR="002B2F2C">
        <w:t xml:space="preserve">PO Box </w:t>
      </w:r>
      <w:r w:rsidR="004F0A9D">
        <w:t>46</w:t>
      </w:r>
    </w:p>
    <w:p w14:paraId="414D9B56" w14:textId="4492B133" w:rsidR="002B2F2C" w:rsidRDefault="004F0A9D" w:rsidP="002B2F2C">
      <w:pPr>
        <w:spacing w:after="0"/>
        <w:ind w:left="369" w:hanging="369"/>
      </w:pPr>
      <w:r>
        <w:t xml:space="preserve">BRISBANE  </w:t>
      </w:r>
      <w:r w:rsidR="002B2F2C">
        <w:t>QLD  400</w:t>
      </w:r>
      <w:r>
        <w:t>1</w:t>
      </w:r>
    </w:p>
    <w:tbl>
      <w:tblPr>
        <w:tblW w:w="0" w:type="auto"/>
        <w:tblBorders>
          <w:top w:val="nil"/>
          <w:left w:val="nil"/>
          <w:right w:val="nil"/>
        </w:tblBorders>
        <w:tblLayout w:type="fixed"/>
        <w:tblLook w:val="0000" w:firstRow="0" w:lastRow="0" w:firstColumn="0" w:lastColumn="0" w:noHBand="0" w:noVBand="0"/>
      </w:tblPr>
      <w:tblGrid>
        <w:gridCol w:w="2299"/>
      </w:tblGrid>
      <w:tr w:rsidR="002B2F2C" w14:paraId="07081BD9" w14:textId="77777777" w:rsidTr="005247AD">
        <w:tc>
          <w:tcPr>
            <w:tcW w:w="2299" w:type="dxa"/>
            <w:tcMar>
              <w:top w:w="120" w:type="nil"/>
              <w:left w:w="120" w:type="nil"/>
              <w:bottom w:w="120" w:type="nil"/>
              <w:right w:w="120" w:type="nil"/>
            </w:tcMar>
          </w:tcPr>
          <w:p w14:paraId="7AA780E0" w14:textId="0677E076" w:rsidR="002B2F2C" w:rsidRDefault="002B2F2C" w:rsidP="004F0A9D">
            <w:pPr>
              <w:autoSpaceDE w:val="0"/>
              <w:autoSpaceDN w:val="0"/>
              <w:adjustRightInd w:val="0"/>
              <w:spacing w:after="0" w:line="240" w:lineRule="auto"/>
              <w:rPr>
                <w:rFonts w:ascii="Verdana" w:hAnsi="Verdana" w:cs="Verdana"/>
                <w:sz w:val="24"/>
                <w:szCs w:val="24"/>
                <w:lang w:eastAsia="en-AU"/>
              </w:rPr>
            </w:pPr>
          </w:p>
        </w:tc>
      </w:tr>
    </w:tbl>
    <w:p w14:paraId="0D2B5191" w14:textId="77777777" w:rsidR="00071F4A" w:rsidRDefault="00071F4A" w:rsidP="002B2F2C"/>
    <w:p w14:paraId="5D20FAB8" w14:textId="1744AE47" w:rsidR="002B2F2C" w:rsidRDefault="002B2F2C" w:rsidP="002B2F2C">
      <w:r>
        <w:t xml:space="preserve">Dear </w:t>
      </w:r>
      <w:r w:rsidR="00864C51">
        <w:t>Ms Andersen</w:t>
      </w:r>
    </w:p>
    <w:p w14:paraId="553F4919" w14:textId="68CA2724" w:rsidR="002B2F2C" w:rsidRDefault="002B2F2C" w:rsidP="002B2F2C">
      <w:pPr>
        <w:widowControl w:val="0"/>
        <w:rPr>
          <w:rFonts w:cs="Arial"/>
        </w:rPr>
      </w:pPr>
      <w:r w:rsidRPr="00822585">
        <w:rPr>
          <w:rFonts w:cs="Arial"/>
          <w:lang w:val="en-US"/>
        </w:rPr>
        <w:t xml:space="preserve">I am writing to you as </w:t>
      </w:r>
      <w:r w:rsidRPr="0050038E">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Pr>
          <w:rFonts w:cs="Arial"/>
          <w:lang w:val="en-US"/>
        </w:rPr>
        <w:t xml:space="preserve">Queensland </w:t>
      </w:r>
      <w:r w:rsidR="00627DAF" w:rsidRPr="003A42E6">
        <w:rPr>
          <w:rFonts w:cs="Arial"/>
          <w:i/>
        </w:rPr>
        <w:t xml:space="preserve">Line fishery </w:t>
      </w:r>
      <w:r w:rsidR="00627DAF" w:rsidRPr="003A42E6">
        <w:rPr>
          <w:i/>
        </w:rPr>
        <w:t>(Gulf of Carpentaria—spanish mackerel and other fin fish)</w:t>
      </w:r>
      <w:r w:rsidR="00627DAF">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r w:rsidR="00627DAF">
        <w:rPr>
          <w:rFonts w:cs="Arial"/>
        </w:rPr>
        <w:t xml:space="preserve">. </w:t>
      </w:r>
    </w:p>
    <w:p w14:paraId="77E41F44" w14:textId="18C838D9" w:rsidR="002B2F2C" w:rsidRPr="00B66855" w:rsidRDefault="002B2F2C" w:rsidP="002B2F2C">
      <w:r>
        <w:rPr>
          <w:rFonts w:cs="Arial"/>
        </w:rPr>
        <w:t xml:space="preserve">The </w:t>
      </w:r>
      <w:r w:rsidR="008D07BD" w:rsidRPr="003A42E6">
        <w:rPr>
          <w:rFonts w:cs="Arial"/>
          <w:i/>
        </w:rPr>
        <w:t xml:space="preserve">Line fishery </w:t>
      </w:r>
      <w:r w:rsidR="008D07BD" w:rsidRPr="003A42E6">
        <w:rPr>
          <w:i/>
        </w:rPr>
        <w:t>(Gulf of Carpentaria—spanish mackerel and other fin fish)</w:t>
      </w:r>
      <w:r w:rsidR="008D07BD">
        <w:rPr>
          <w:i/>
        </w:rPr>
        <w:t xml:space="preserve"> </w:t>
      </w:r>
      <w:r>
        <w:rPr>
          <w:rFonts w:cs="Arial"/>
          <w:lang w:val="en-US"/>
        </w:rPr>
        <w:t xml:space="preserve">was </w:t>
      </w:r>
      <w:r w:rsidR="00AC2567">
        <w:rPr>
          <w:rFonts w:cs="Arial"/>
          <w:lang w:val="en-US"/>
        </w:rPr>
        <w:t xml:space="preserve">previously </w:t>
      </w:r>
      <w:r>
        <w:rPr>
          <w:rFonts w:cs="Arial"/>
          <w:lang w:val="en-US"/>
        </w:rPr>
        <w:t xml:space="preserve">assessed under the </w:t>
      </w:r>
      <w:r w:rsidRPr="00906040">
        <w:rPr>
          <w:iCs/>
        </w:rPr>
        <w:t>international wildlife trade provisions of the EPBC</w:t>
      </w:r>
      <w:r>
        <w:rPr>
          <w:iCs/>
        </w:rPr>
        <w:t xml:space="preserve"> Act</w:t>
      </w:r>
      <w:r w:rsidRPr="00906040">
        <w:rPr>
          <w:iCs/>
        </w:rPr>
        <w:t xml:space="preserve"> </w:t>
      </w:r>
      <w:r w:rsidR="00071F4A">
        <w:rPr>
          <w:iCs/>
        </w:rPr>
        <w:t xml:space="preserve">and </w:t>
      </w:r>
      <w:r w:rsidRPr="00B66855">
        <w:t>subsequently</w:t>
      </w:r>
      <w:r>
        <w:t xml:space="preserve"> </w:t>
      </w:r>
      <w:r w:rsidRPr="00906040">
        <w:t xml:space="preserve">declared an approved wildlife trade operation under </w:t>
      </w:r>
      <w:r>
        <w:t>the EPBC Act</w:t>
      </w:r>
      <w:r w:rsidRPr="00906040">
        <w:t xml:space="preserve"> until </w:t>
      </w:r>
      <w:r>
        <w:t>2</w:t>
      </w:r>
      <w:r w:rsidR="004F0A9D">
        <w:t>2</w:t>
      </w:r>
      <w:r w:rsidR="00C41305">
        <w:t> </w:t>
      </w:r>
      <w:r>
        <w:t>November 201</w:t>
      </w:r>
      <w:r w:rsidR="004F0A9D">
        <w:t>9</w:t>
      </w:r>
      <w:r w:rsidR="008D07BD">
        <w:t xml:space="preserve"> as the Gulf of Carpentaria Line Fishery</w:t>
      </w:r>
      <w:r>
        <w:t>.</w:t>
      </w:r>
    </w:p>
    <w:p w14:paraId="05907615" w14:textId="015EC3F1" w:rsidR="002B2F2C" w:rsidRDefault="002B2F2C" w:rsidP="002B2F2C">
      <w:pPr>
        <w:rPr>
          <w:rFonts w:cs="Arial"/>
        </w:rPr>
      </w:pPr>
      <w:r w:rsidRPr="00822585">
        <w:rPr>
          <w:rFonts w:cs="Arial"/>
        </w:rPr>
        <w:t xml:space="preserve">In </w:t>
      </w:r>
      <w:r w:rsidR="004F0A9D">
        <w:t xml:space="preserve">August </w:t>
      </w:r>
      <w:r>
        <w:t>201</w:t>
      </w:r>
      <w:r w:rsidR="004F0A9D">
        <w:t>9</w:t>
      </w:r>
      <w:r w:rsidRPr="0050038E">
        <w:rPr>
          <w:rFonts w:cs="Arial"/>
        </w:rPr>
        <w:t>,</w:t>
      </w:r>
      <w:r w:rsidRPr="00297D18">
        <w:rPr>
          <w:rFonts w:cs="Arial"/>
        </w:rPr>
        <w:t xml:space="preserve"> the </w:t>
      </w:r>
      <w:r>
        <w:t>Queensland</w:t>
      </w:r>
      <w:r>
        <w:rPr>
          <w:rFonts w:cs="Arial"/>
        </w:rPr>
        <w:t xml:space="preserve"> Department of Agriculture and Fisheries</w:t>
      </w:r>
      <w:r w:rsidRPr="00822585">
        <w:rPr>
          <w:rFonts w:cs="Arial"/>
        </w:rPr>
        <w:t xml:space="preserve"> provided an application to t</w:t>
      </w:r>
      <w:r>
        <w:rPr>
          <w:rFonts w:cs="Arial"/>
        </w:rPr>
        <w:t xml:space="preserve">he Department of the Environment and Energy </w:t>
      </w:r>
      <w:r w:rsidRPr="00822585">
        <w:rPr>
          <w:rFonts w:cs="Arial"/>
        </w:rPr>
        <w:t xml:space="preserve">seeking continued export approval </w:t>
      </w:r>
      <w:r>
        <w:rPr>
          <w:rFonts w:cs="Arial"/>
        </w:rPr>
        <w:t xml:space="preserve">for the </w:t>
      </w:r>
      <w:r w:rsidR="008D07BD" w:rsidRPr="003A42E6">
        <w:rPr>
          <w:rFonts w:cs="Arial"/>
          <w:i/>
        </w:rPr>
        <w:t xml:space="preserve">Line fishery </w:t>
      </w:r>
      <w:r w:rsidR="008D07BD" w:rsidRPr="003A42E6">
        <w:rPr>
          <w:i/>
        </w:rPr>
        <w:t>(Gulf of Carpentaria—spanish mackerel and other fin fish)</w:t>
      </w:r>
      <w:r>
        <w:rPr>
          <w:rFonts w:cs="Arial"/>
          <w:lang w:val="en-US"/>
        </w:rPr>
        <w:t xml:space="preserve">. </w:t>
      </w:r>
    </w:p>
    <w:p w14:paraId="120EB935" w14:textId="7260603B" w:rsidR="002B2F2C" w:rsidRPr="00071F4A" w:rsidRDefault="002B2F2C" w:rsidP="002B2F2C">
      <w:r w:rsidRPr="00822585">
        <w:rPr>
          <w:rFonts w:cs="Arial"/>
        </w:rPr>
        <w:t>The application has been assessed for the purposes of the wildlife trade provisions of Part </w:t>
      </w:r>
      <w:r w:rsidR="00C41305">
        <w:rPr>
          <w:rFonts w:cs="Arial"/>
        </w:rPr>
        <w:t xml:space="preserve">13 and </w:t>
      </w:r>
      <w:r w:rsidRPr="00822585">
        <w:rPr>
          <w:rFonts w:cs="Arial"/>
        </w:rPr>
        <w:t>13A of the EPBC Act</w:t>
      </w:r>
      <w:r>
        <w:rPr>
          <w:rFonts w:cs="Arial"/>
        </w:rPr>
        <w:t xml:space="preserve">. The assessment </w:t>
      </w:r>
      <w:r w:rsidR="00C41305">
        <w:rPr>
          <w:rFonts w:cs="Arial"/>
        </w:rPr>
        <w:t xml:space="preserve">takes </w:t>
      </w:r>
      <w:r>
        <w:rPr>
          <w:rFonts w:cs="Arial"/>
        </w:rPr>
        <w:t xml:space="preserve">into </w:t>
      </w:r>
      <w:r w:rsidRPr="00822585">
        <w:rPr>
          <w:rFonts w:cs="Arial"/>
        </w:rPr>
        <w:t xml:space="preserve">account measures that have been developed by </w:t>
      </w:r>
      <w:r>
        <w:rPr>
          <w:rFonts w:cs="Arial"/>
        </w:rPr>
        <w:t xml:space="preserve">the </w:t>
      </w:r>
      <w:r>
        <w:t>Queensland</w:t>
      </w:r>
      <w:r>
        <w:rPr>
          <w:rFonts w:cs="Arial"/>
        </w:rPr>
        <w:t xml:space="preserve"> Department of Agriculture and Fisheries</w:t>
      </w:r>
      <w:r w:rsidRPr="00822585">
        <w:rPr>
          <w:rFonts w:cs="Arial"/>
        </w:rPr>
        <w:t xml:space="preserve"> in response to </w:t>
      </w:r>
      <w:r>
        <w:rPr>
          <w:rFonts w:cs="Arial"/>
        </w:rPr>
        <w:t xml:space="preserve">the conditions and </w:t>
      </w:r>
      <w:r w:rsidRPr="00822585">
        <w:rPr>
          <w:rFonts w:cs="Arial"/>
        </w:rPr>
        <w:t xml:space="preserve">recommendations made in the </w:t>
      </w:r>
      <w:r>
        <w:rPr>
          <w:rFonts w:cs="Arial"/>
        </w:rPr>
        <w:t>201</w:t>
      </w:r>
      <w:r w:rsidR="004F0A9D">
        <w:rPr>
          <w:rFonts w:cs="Arial"/>
        </w:rPr>
        <w:t>6</w:t>
      </w:r>
      <w:r>
        <w:rPr>
          <w:rFonts w:cs="Arial"/>
        </w:rPr>
        <w:t xml:space="preserve"> export </w:t>
      </w:r>
      <w:r w:rsidRPr="00822585">
        <w:rPr>
          <w:rFonts w:cs="Arial"/>
        </w:rPr>
        <w:t xml:space="preserve">assessment </w:t>
      </w:r>
      <w:r>
        <w:rPr>
          <w:rFonts w:cs="Arial"/>
        </w:rPr>
        <w:t>under the EPBC Act</w:t>
      </w:r>
      <w:r w:rsidRPr="00822585">
        <w:rPr>
          <w:rFonts w:cs="Arial"/>
        </w:rPr>
        <w:t>.</w:t>
      </w:r>
      <w:r>
        <w:rPr>
          <w:rFonts w:cs="Arial"/>
        </w:rPr>
        <w:t xml:space="preserve"> </w:t>
      </w:r>
      <w:r w:rsidR="00071F4A" w:rsidRPr="00822585">
        <w:rPr>
          <w:rFonts w:cs="Arial"/>
        </w:rPr>
        <w:t xml:space="preserve">The </w:t>
      </w:r>
      <w:r w:rsidR="00071F4A">
        <w:rPr>
          <w:rFonts w:cs="Arial"/>
        </w:rPr>
        <w:t xml:space="preserve">new </w:t>
      </w:r>
      <w:r w:rsidR="00071F4A" w:rsidRPr="00822585">
        <w:rPr>
          <w:rFonts w:cs="Arial"/>
        </w:rPr>
        <w:t xml:space="preserve">assessment report will be available on </w:t>
      </w:r>
      <w:r w:rsidR="00071F4A" w:rsidRPr="00BC10E8">
        <w:rPr>
          <w:rFonts w:cs="Arial"/>
        </w:rPr>
        <w:t>the Department of</w:t>
      </w:r>
      <w:r w:rsidR="00071F4A">
        <w:rPr>
          <w:rFonts w:cs="Arial"/>
        </w:rPr>
        <w:t xml:space="preserve"> the </w:t>
      </w:r>
      <w:r w:rsidR="00071F4A" w:rsidRPr="00BC10E8">
        <w:rPr>
          <w:rFonts w:cs="Arial"/>
        </w:rPr>
        <w:t>Environment</w:t>
      </w:r>
      <w:r w:rsidR="00071F4A">
        <w:rPr>
          <w:rFonts w:cs="Arial"/>
        </w:rPr>
        <w:t xml:space="preserve"> and Energy’s </w:t>
      </w:r>
      <w:r w:rsidR="00071F4A" w:rsidRPr="00BC10E8">
        <w:rPr>
          <w:rFonts w:cs="Arial"/>
        </w:rPr>
        <w:t>website at</w:t>
      </w:r>
      <w:r w:rsidR="00071F4A">
        <w:rPr>
          <w:rFonts w:cs="Arial"/>
        </w:rPr>
        <w:t xml:space="preserve">: </w:t>
      </w:r>
      <w:hyperlink r:id="rId7" w:history="1">
        <w:r w:rsidR="00071F4A" w:rsidRPr="00B60C82">
          <w:rPr>
            <w:rStyle w:val="Hyperlink"/>
          </w:rPr>
          <w:t>https://www.environment.gov.au/marine/fisheries/qld/line</w:t>
        </w:r>
      </w:hyperlink>
      <w:r w:rsidR="00071F4A">
        <w:t>.</w:t>
      </w:r>
      <w:r w:rsidR="00071F4A" w:rsidRPr="00287885">
        <w:t xml:space="preserve"> </w:t>
      </w:r>
    </w:p>
    <w:p w14:paraId="14684879" w14:textId="543997CD" w:rsidR="00071F4A" w:rsidRDefault="002B2F2C" w:rsidP="008D07BD">
      <w:pPr>
        <w:widowControl w:val="0"/>
        <w:rPr>
          <w:rFonts w:cs="Arial"/>
        </w:rPr>
      </w:pPr>
      <w:r>
        <w:rPr>
          <w:rFonts w:cs="Arial"/>
        </w:rPr>
        <w:t>I</w:t>
      </w:r>
      <w:r w:rsidRPr="003E7511">
        <w:rPr>
          <w:rFonts w:cs="Arial"/>
        </w:rPr>
        <w:t xml:space="preserve"> </w:t>
      </w:r>
      <w:r w:rsidRPr="00822585">
        <w:rPr>
          <w:rFonts w:cs="Arial"/>
        </w:rPr>
        <w:t xml:space="preserve">have decided to </w:t>
      </w:r>
      <w:r>
        <w:rPr>
          <w:rFonts w:cs="Arial"/>
        </w:rPr>
        <w:t xml:space="preserve">declare the </w:t>
      </w:r>
      <w:r w:rsidRPr="008D07BD">
        <w:rPr>
          <w:rFonts w:cs="Arial"/>
          <w:i/>
          <w:lang w:val="en-US"/>
        </w:rPr>
        <w:t xml:space="preserve">Line </w:t>
      </w:r>
      <w:r w:rsidR="00627DAF" w:rsidRPr="008D07BD">
        <w:rPr>
          <w:rFonts w:cs="Arial"/>
          <w:i/>
          <w:lang w:val="en-US"/>
        </w:rPr>
        <w:t>f</w:t>
      </w:r>
      <w:r w:rsidRPr="008D07BD">
        <w:rPr>
          <w:rFonts w:cs="Arial"/>
          <w:i/>
          <w:lang w:val="en-US"/>
        </w:rPr>
        <w:t>ishery</w:t>
      </w:r>
      <w:r w:rsidR="000442EB" w:rsidRPr="008D07BD">
        <w:rPr>
          <w:rFonts w:cs="Arial"/>
          <w:i/>
          <w:lang w:val="en-US"/>
        </w:rPr>
        <w:t xml:space="preserve"> </w:t>
      </w:r>
      <w:r w:rsidR="000442EB" w:rsidRPr="008D07BD">
        <w:rPr>
          <w:rFonts w:eastAsia="Times New Roman" w:cs="Arial"/>
          <w:i/>
        </w:rPr>
        <w:t>(Gulf of Carpentaria—spanish mackerel and other fin fish)</w:t>
      </w:r>
      <w:r w:rsidR="000442EB" w:rsidRPr="008D07BD">
        <w:rPr>
          <w:rFonts w:ascii="Times New Roman" w:hAnsi="Times New Roman"/>
          <w:i/>
          <w:sz w:val="24"/>
          <w:szCs w:val="24"/>
        </w:rPr>
        <w:t xml:space="preserve"> </w:t>
      </w:r>
      <w:r>
        <w:rPr>
          <w:rFonts w:cs="Arial"/>
          <w:lang w:val="en-US"/>
        </w:rPr>
        <w:t xml:space="preserve">an </w:t>
      </w:r>
      <w:r>
        <w:rPr>
          <w:rFonts w:cs="Arial"/>
        </w:rPr>
        <w:t>approved wildlife trade operation</w:t>
      </w:r>
      <w:r w:rsidRPr="00822585">
        <w:rPr>
          <w:rFonts w:cs="Arial"/>
        </w:rPr>
        <w:t xml:space="preserve"> </w:t>
      </w:r>
      <w:r w:rsidRPr="00297D18">
        <w:rPr>
          <w:rFonts w:cs="Arial"/>
        </w:rPr>
        <w:t xml:space="preserve">until </w:t>
      </w:r>
      <w:r>
        <w:rPr>
          <w:rFonts w:cs="Arial"/>
        </w:rPr>
        <w:t>22</w:t>
      </w:r>
      <w:r w:rsidR="00DC5433">
        <w:rPr>
          <w:rFonts w:cs="Arial"/>
        </w:rPr>
        <w:t> </w:t>
      </w:r>
      <w:r>
        <w:rPr>
          <w:rFonts w:cs="Arial"/>
        </w:rPr>
        <w:t>November</w:t>
      </w:r>
      <w:r w:rsidR="00DC5433">
        <w:rPr>
          <w:rFonts w:cs="Arial"/>
        </w:rPr>
        <w:t> </w:t>
      </w:r>
      <w:r>
        <w:rPr>
          <w:rFonts w:cs="Arial"/>
        </w:rPr>
        <w:t>20</w:t>
      </w:r>
      <w:r w:rsidR="004950FD">
        <w:rPr>
          <w:rFonts w:cs="Arial"/>
        </w:rPr>
        <w:t>22</w:t>
      </w:r>
      <w:r w:rsidRPr="0050038E">
        <w:rPr>
          <w:rFonts w:cs="Arial"/>
        </w:rPr>
        <w:t>.</w:t>
      </w:r>
      <w:r w:rsidRPr="00297D18">
        <w:rPr>
          <w:rFonts w:cs="Arial"/>
        </w:rPr>
        <w:t xml:space="preserve"> The</w:t>
      </w:r>
      <w:r>
        <w:rPr>
          <w:rFonts w:cs="Arial"/>
        </w:rPr>
        <w:t xml:space="preserve"> declaration will apply only to those classes of specimens specified in the instrument of declaration, available from the Department's website, and will be subject to the conditions specified in the instrument of declaration</w:t>
      </w:r>
      <w:r w:rsidR="00EA4D3C">
        <w:rPr>
          <w:rFonts w:cs="Arial"/>
        </w:rPr>
        <w:t xml:space="preserve"> </w:t>
      </w:r>
      <w:r w:rsidR="00EA4D3C" w:rsidRPr="00D14D13">
        <w:rPr>
          <w:rFonts w:cs="Arial"/>
        </w:rPr>
        <w:t>(</w:t>
      </w:r>
      <w:r w:rsidR="00EA4D3C" w:rsidRPr="00D96E71">
        <w:rPr>
          <w:rFonts w:cs="Arial"/>
          <w:u w:val="single"/>
        </w:rPr>
        <w:t>Attachment 1</w:t>
      </w:r>
      <w:r w:rsidR="00EA4D3C" w:rsidRPr="00D96E71">
        <w:rPr>
          <w:rFonts w:cs="Arial"/>
        </w:rPr>
        <w:t>)</w:t>
      </w:r>
      <w:r w:rsidRPr="00D96E71">
        <w:rPr>
          <w:rFonts w:cs="Arial"/>
        </w:rPr>
        <w:t>.</w:t>
      </w:r>
      <w:r>
        <w:rPr>
          <w:rFonts w:cs="Arial"/>
        </w:rPr>
        <w:t xml:space="preserve"> </w:t>
      </w:r>
    </w:p>
    <w:p w14:paraId="40038AF8" w14:textId="77777777" w:rsidR="008D07BD" w:rsidRDefault="008D07BD">
      <w:pPr>
        <w:spacing w:after="0" w:line="240" w:lineRule="auto"/>
        <w:rPr>
          <w:rFonts w:cs="Arial"/>
        </w:rPr>
      </w:pPr>
      <w:r>
        <w:rPr>
          <w:rFonts w:cs="Arial"/>
        </w:rPr>
        <w:br w:type="page"/>
      </w:r>
    </w:p>
    <w:p w14:paraId="7A7F9554" w14:textId="40816B70" w:rsidR="002B2F2C" w:rsidRPr="004D31A7" w:rsidRDefault="002B2F2C" w:rsidP="002B2F2C">
      <w:pPr>
        <w:spacing w:after="360"/>
        <w:rPr>
          <w:rFonts w:cs="Arial"/>
          <w:color w:val="00B050"/>
        </w:rPr>
      </w:pPr>
      <w:r w:rsidRPr="00B00ABE">
        <w:rPr>
          <w:rFonts w:cs="Arial"/>
        </w:rPr>
        <w:lastRenderedPageBreak/>
        <w:t>Please note that any person whose interests are affected by this decision may make an</w:t>
      </w:r>
      <w:r w:rsidRPr="00441D43">
        <w:rPr>
          <w:rFonts w:cs="Arial"/>
        </w:rPr>
        <w:t xml:space="preserve"> application to the Department of the Environment</w:t>
      </w:r>
      <w:r>
        <w:rPr>
          <w:rFonts w:cs="Arial"/>
        </w:rPr>
        <w:t xml:space="preserve"> and Energy</w:t>
      </w:r>
      <w:r w:rsidRPr="00441D43">
        <w:rPr>
          <w:rFonts w:cs="Arial"/>
        </w:rPr>
        <w:t xml:space="preserve">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14:paraId="0B90A1C4" w14:textId="77777777" w:rsidR="002B2F2C" w:rsidRDefault="002B2F2C" w:rsidP="002B2F2C">
      <w:pPr>
        <w:rPr>
          <w:rFonts w:cs="Arial"/>
        </w:rPr>
      </w:pPr>
      <w:bookmarkStart w:id="2" w:name="bkStart"/>
      <w:bookmarkEnd w:id="2"/>
      <w:r w:rsidRPr="00822585">
        <w:rPr>
          <w:rFonts w:cs="Arial"/>
        </w:rPr>
        <w:t>Yours sincerely</w:t>
      </w:r>
    </w:p>
    <w:p w14:paraId="120E8637" w14:textId="77777777" w:rsidR="009D2C54" w:rsidRDefault="009D2C54" w:rsidP="009D2C54">
      <w:pPr>
        <w:tabs>
          <w:tab w:val="left" w:pos="284"/>
        </w:tabs>
      </w:pPr>
      <w:r>
        <w:t>[Signed]</w:t>
      </w:r>
    </w:p>
    <w:p w14:paraId="4E122434" w14:textId="77777777" w:rsidR="000159C6" w:rsidRDefault="000159C6" w:rsidP="002B2F2C">
      <w:pPr>
        <w:tabs>
          <w:tab w:val="left" w:pos="284"/>
        </w:tabs>
      </w:pPr>
    </w:p>
    <w:p w14:paraId="7E430F8A" w14:textId="098FA43F" w:rsidR="00BD0A70" w:rsidRPr="00C1577E" w:rsidRDefault="00F041BE" w:rsidP="00BD0A70">
      <w:pPr>
        <w:spacing w:after="0"/>
      </w:pPr>
      <w:r>
        <w:t>Nathan Sibley</w:t>
      </w:r>
    </w:p>
    <w:p w14:paraId="02574835" w14:textId="0D24F880" w:rsidR="00BD0A70" w:rsidRPr="00C1577E" w:rsidRDefault="000159C6" w:rsidP="00BD0A70">
      <w:pPr>
        <w:spacing w:after="0"/>
      </w:pPr>
      <w:r>
        <w:t>Acting Assistant Secretary</w:t>
      </w:r>
    </w:p>
    <w:p w14:paraId="6979BC8B" w14:textId="75FA46D3" w:rsidR="00BD0A70" w:rsidRPr="00C1577E" w:rsidRDefault="000159C6" w:rsidP="00BD0A70">
      <w:pPr>
        <w:spacing w:after="0"/>
      </w:pPr>
      <w:r>
        <w:t xml:space="preserve">Environmental Assessments and </w:t>
      </w:r>
      <w:r w:rsidR="00BD0A70" w:rsidRPr="00C1577E">
        <w:t xml:space="preserve">Wildlife Trade </w:t>
      </w:r>
    </w:p>
    <w:p w14:paraId="35CE321F" w14:textId="41A1D320" w:rsidR="002B2F2C" w:rsidRDefault="002B2F2C" w:rsidP="002B2F2C">
      <w:pPr>
        <w:tabs>
          <w:tab w:val="left" w:pos="284"/>
        </w:tabs>
      </w:pPr>
      <w:r>
        <w:br/>
      </w:r>
      <w:r w:rsidR="000159C6">
        <w:t>15</w:t>
      </w:r>
      <w:r w:rsidR="00F041BE">
        <w:t xml:space="preserve"> </w:t>
      </w:r>
      <w:r>
        <w:t>November 201</w:t>
      </w:r>
      <w:r w:rsidR="00765748">
        <w:t>9</w:t>
      </w:r>
    </w:p>
    <w:p w14:paraId="42659A91" w14:textId="77777777" w:rsidR="002B2F2C" w:rsidRDefault="002B2F2C" w:rsidP="002B2F2C">
      <w:pPr>
        <w:tabs>
          <w:tab w:val="left" w:pos="284"/>
        </w:tabs>
      </w:pPr>
    </w:p>
    <w:p w14:paraId="4EE77535" w14:textId="6F13BA7E" w:rsidR="000159C6" w:rsidRDefault="000159C6" w:rsidP="002B2F2C">
      <w:pPr>
        <w:tabs>
          <w:tab w:val="left" w:pos="284"/>
        </w:tabs>
        <w:rPr>
          <w:rFonts w:cs="Arial"/>
        </w:rPr>
      </w:pPr>
    </w:p>
    <w:p w14:paraId="2369A437" w14:textId="77777777" w:rsidR="000159C6" w:rsidRPr="000159C6" w:rsidRDefault="000159C6" w:rsidP="000159C6">
      <w:pPr>
        <w:rPr>
          <w:rFonts w:cs="Arial"/>
        </w:rPr>
      </w:pPr>
    </w:p>
    <w:p w14:paraId="62E65481" w14:textId="26CD8D07" w:rsidR="000159C6" w:rsidRDefault="000159C6" w:rsidP="000159C6">
      <w:pPr>
        <w:rPr>
          <w:rFonts w:cs="Arial"/>
        </w:rPr>
      </w:pPr>
    </w:p>
    <w:p w14:paraId="36A7FE1D" w14:textId="65CC7DB1" w:rsidR="000159C6" w:rsidRDefault="000159C6" w:rsidP="000159C6">
      <w:pPr>
        <w:rPr>
          <w:rFonts w:cs="Arial"/>
        </w:rPr>
      </w:pPr>
    </w:p>
    <w:p w14:paraId="70FEE35D" w14:textId="77777777" w:rsidR="002B2F2C" w:rsidRPr="000159C6" w:rsidRDefault="002B2F2C" w:rsidP="000159C6">
      <w:pPr>
        <w:rPr>
          <w:rFonts w:cs="Arial"/>
        </w:rPr>
        <w:sectPr w:rsidR="002B2F2C" w:rsidRPr="000159C6" w:rsidSect="00C325B9">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425" w:footer="425" w:gutter="0"/>
          <w:pgNumType w:start="1"/>
          <w:cols w:space="708"/>
          <w:titlePg/>
          <w:docGrid w:linePitch="360"/>
        </w:sectPr>
      </w:pPr>
    </w:p>
    <w:p w14:paraId="20884580" w14:textId="77777777" w:rsidR="002B2F2C" w:rsidRPr="00BD0A70" w:rsidRDefault="002B2F2C" w:rsidP="00616EEC">
      <w:pPr>
        <w:spacing w:before="120" w:after="120"/>
        <w:rPr>
          <w:rFonts w:cs="Arial"/>
        </w:rPr>
      </w:pPr>
    </w:p>
    <w:p w14:paraId="26DF11C6" w14:textId="77777777" w:rsidR="002B2F2C" w:rsidRPr="00BD0A70" w:rsidRDefault="002B2F2C" w:rsidP="00616EEC">
      <w:pPr>
        <w:spacing w:before="120" w:after="120"/>
        <w:jc w:val="right"/>
        <w:rPr>
          <w:rFonts w:cs="Arial"/>
          <w:b/>
          <w:bCs/>
        </w:rPr>
      </w:pPr>
      <w:r w:rsidRPr="00BD0A70">
        <w:rPr>
          <w:rFonts w:cs="Arial"/>
          <w:b/>
          <w:bCs/>
        </w:rPr>
        <w:t>ATTACHMENT 1</w:t>
      </w:r>
    </w:p>
    <w:p w14:paraId="56B99D57" w14:textId="1FE9BE71" w:rsidR="002B2F2C" w:rsidRPr="00BD0A70" w:rsidRDefault="002B2F2C" w:rsidP="00616EEC">
      <w:pPr>
        <w:spacing w:before="120" w:after="120"/>
        <w:jc w:val="center"/>
        <w:rPr>
          <w:rFonts w:cs="Arial"/>
        </w:rPr>
      </w:pPr>
      <w:r w:rsidRPr="00BD0A70">
        <w:rPr>
          <w:rFonts w:cs="Arial"/>
          <w:b/>
          <w:bCs/>
        </w:rPr>
        <w:t xml:space="preserve">Conditions on the approved wildlife trade operation declaration for the </w:t>
      </w:r>
      <w:r w:rsidRPr="00BD0A70">
        <w:rPr>
          <w:rFonts w:cs="Arial"/>
          <w:b/>
          <w:bCs/>
        </w:rPr>
        <w:br/>
        <w:t xml:space="preserve">Queensland </w:t>
      </w:r>
      <w:r w:rsidR="001E0084" w:rsidRPr="00616EEC">
        <w:rPr>
          <w:rFonts w:cs="Arial"/>
          <w:b/>
          <w:bCs/>
        </w:rPr>
        <w:t xml:space="preserve">Line </w:t>
      </w:r>
      <w:r w:rsidR="00627DAF">
        <w:rPr>
          <w:rFonts w:cs="Arial"/>
          <w:b/>
          <w:bCs/>
        </w:rPr>
        <w:t>f</w:t>
      </w:r>
      <w:r w:rsidR="001E0084" w:rsidRPr="00616EEC">
        <w:rPr>
          <w:rFonts w:cs="Arial"/>
          <w:b/>
          <w:bCs/>
        </w:rPr>
        <w:t>ishery (Gulf of Carpentaria—spanish mackerel and other fin fish</w:t>
      </w:r>
      <w:r w:rsidR="00DB755E">
        <w:rPr>
          <w:rFonts w:cs="Arial"/>
          <w:b/>
          <w:bCs/>
        </w:rPr>
        <w:t>)</w:t>
      </w:r>
      <w:r w:rsidR="001E0084" w:rsidRPr="00BD0A70" w:rsidDel="001E0084">
        <w:rPr>
          <w:rFonts w:cs="Arial"/>
          <w:b/>
          <w:bCs/>
        </w:rPr>
        <w:t xml:space="preserve"> </w:t>
      </w:r>
    </w:p>
    <w:p w14:paraId="08CA790A" w14:textId="77777777" w:rsidR="00401566" w:rsidRPr="00616EEC" w:rsidRDefault="00401566" w:rsidP="00BD0A70">
      <w:pPr>
        <w:spacing w:before="120" w:after="120"/>
        <w:rPr>
          <w:rFonts w:cs="Arial"/>
          <w:b/>
        </w:rPr>
      </w:pPr>
      <w:r w:rsidRPr="00616EEC">
        <w:rPr>
          <w:rFonts w:cs="Arial"/>
          <w:b/>
        </w:rPr>
        <w:t>EPBC Act Part 13A:</w:t>
      </w:r>
    </w:p>
    <w:p w14:paraId="3DFB55F0"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 xml:space="preserve">Condition 1:  </w:t>
      </w:r>
    </w:p>
    <w:p w14:paraId="6E1CAC41" w14:textId="2C6BD71B" w:rsidR="00516326" w:rsidRPr="00516326" w:rsidRDefault="00516326" w:rsidP="00516326">
      <w:pPr>
        <w:spacing w:before="120" w:after="120"/>
        <w:rPr>
          <w:rFonts w:eastAsia="Times New Roman" w:cs="Arial"/>
          <w:lang w:val="en-US"/>
        </w:rPr>
      </w:pPr>
      <w:r w:rsidRPr="00516326">
        <w:rPr>
          <w:rFonts w:eastAsia="Times New Roman" w:cs="Arial"/>
          <w:lang w:val="en-US"/>
        </w:rPr>
        <w:t xml:space="preserve">The Queensland Department of Agriculture and Fisheries must ensure that the operation of the Line </w:t>
      </w:r>
      <w:r w:rsidR="00627DAF">
        <w:rPr>
          <w:rFonts w:eastAsia="Times New Roman" w:cs="Arial"/>
          <w:lang w:val="en-US"/>
        </w:rPr>
        <w:t>f</w:t>
      </w:r>
      <w:r w:rsidRPr="00516326">
        <w:rPr>
          <w:rFonts w:eastAsia="Times New Roman" w:cs="Arial"/>
          <w:lang w:val="en-US"/>
        </w:rPr>
        <w:t xml:space="preserve">ishery (Gulf of Carpentaria—spanish mackerel and other fin fish) is carried out in accordance with the </w:t>
      </w:r>
      <w:r w:rsidRPr="00516326">
        <w:rPr>
          <w:rFonts w:eastAsia="Times New Roman" w:cs="Arial"/>
          <w:iCs/>
          <w:lang w:val="en-US"/>
        </w:rPr>
        <w:t>management regime</w:t>
      </w:r>
      <w:r w:rsidRPr="00516326">
        <w:rPr>
          <w:rFonts w:eastAsia="Times New Roman" w:cs="Arial"/>
          <w:lang w:val="en-US"/>
        </w:rPr>
        <w:t xml:space="preserve"> for the Line </w:t>
      </w:r>
      <w:r w:rsidR="00627DAF">
        <w:rPr>
          <w:rFonts w:eastAsia="Times New Roman" w:cs="Arial"/>
          <w:lang w:val="en-US"/>
        </w:rPr>
        <w:t>f</w:t>
      </w:r>
      <w:r w:rsidRPr="00516326">
        <w:rPr>
          <w:rFonts w:eastAsia="Times New Roman" w:cs="Arial"/>
          <w:lang w:val="en-US"/>
        </w:rPr>
        <w:t xml:space="preserve">ishery (Gulf of Carpentaria—spanish mackerel and other fin fish) in force under the </w:t>
      </w:r>
      <w:r w:rsidRPr="00516326">
        <w:rPr>
          <w:rFonts w:eastAsia="Times New Roman" w:cs="Arial"/>
          <w:i/>
          <w:lang w:val="en-US"/>
        </w:rPr>
        <w:t>Fisheries Act 1994</w:t>
      </w:r>
      <w:r w:rsidRPr="00516326">
        <w:rPr>
          <w:rFonts w:eastAsia="Times New Roman" w:cs="Arial"/>
          <w:lang w:val="en-US"/>
        </w:rPr>
        <w:t xml:space="preserve"> (Queensland), the </w:t>
      </w:r>
      <w:r w:rsidRPr="00516326">
        <w:rPr>
          <w:rFonts w:eastAsia="Times New Roman" w:cs="Arial"/>
          <w:i/>
          <w:lang w:val="en-US"/>
        </w:rPr>
        <w:t>Fisheries (General) Regulation 2019</w:t>
      </w:r>
      <w:r w:rsidRPr="00516326">
        <w:rPr>
          <w:rFonts w:eastAsia="Times New Roman" w:cs="Arial"/>
          <w:lang w:val="en-US"/>
        </w:rPr>
        <w:t xml:space="preserve"> (Queensland), the </w:t>
      </w:r>
      <w:r w:rsidRPr="00516326">
        <w:rPr>
          <w:rFonts w:eastAsia="Times New Roman" w:cs="Arial"/>
          <w:i/>
          <w:lang w:val="en-US"/>
        </w:rPr>
        <w:t>Fisheries (Commercial Fisheries) Regulation</w:t>
      </w:r>
      <w:r w:rsidRPr="00516326">
        <w:rPr>
          <w:rFonts w:eastAsia="Times New Roman" w:cs="Arial"/>
          <w:lang w:val="en-US"/>
        </w:rPr>
        <w:t xml:space="preserve"> 2019 (Queensland), the </w:t>
      </w:r>
      <w:r w:rsidRPr="00516326">
        <w:rPr>
          <w:rFonts w:eastAsia="Times New Roman" w:cs="Arial"/>
          <w:i/>
          <w:lang w:val="en-US"/>
        </w:rPr>
        <w:t>Fisheries Declaration 2019</w:t>
      </w:r>
      <w:r w:rsidRPr="00516326">
        <w:rPr>
          <w:rFonts w:eastAsia="Times New Roman" w:cs="Arial"/>
          <w:lang w:val="en-US"/>
        </w:rPr>
        <w:t xml:space="preserve"> (Queensland) and the </w:t>
      </w:r>
      <w:r w:rsidRPr="00516326">
        <w:rPr>
          <w:rFonts w:eastAsia="Times New Roman" w:cs="Arial"/>
          <w:i/>
          <w:lang w:val="en-US"/>
        </w:rPr>
        <w:t>Fisheries Quota Declaration 2019</w:t>
      </w:r>
      <w:r w:rsidRPr="00516326">
        <w:rPr>
          <w:rFonts w:eastAsia="Times New Roman" w:cs="Arial"/>
          <w:lang w:val="en-US"/>
        </w:rPr>
        <w:t xml:space="preserve"> (Queensland).</w:t>
      </w:r>
    </w:p>
    <w:p w14:paraId="5D09322C"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 xml:space="preserve">Condition 2: </w:t>
      </w:r>
    </w:p>
    <w:p w14:paraId="44D6A5DD" w14:textId="4027E274" w:rsidR="00516326" w:rsidRPr="00516326" w:rsidRDefault="00516326" w:rsidP="00516326">
      <w:pPr>
        <w:spacing w:before="120" w:after="120"/>
        <w:rPr>
          <w:rFonts w:eastAsia="Times New Roman" w:cs="Arial"/>
          <w:lang w:val="en-US"/>
        </w:rPr>
      </w:pPr>
      <w:r w:rsidRPr="00516326">
        <w:rPr>
          <w:rFonts w:eastAsia="Times New Roman" w:cs="Arial"/>
          <w:lang w:val="en-US"/>
        </w:rPr>
        <w:t xml:space="preserve">The Queensland Department of Agriculture and Fisheries must inform the Department of the Environment and Energy of any intended material changes to the Line </w:t>
      </w:r>
      <w:r w:rsidR="00BD6A16">
        <w:rPr>
          <w:rFonts w:eastAsia="Times New Roman" w:cs="Arial"/>
          <w:lang w:val="en-US"/>
        </w:rPr>
        <w:t>f</w:t>
      </w:r>
      <w:r w:rsidRPr="00516326">
        <w:rPr>
          <w:rFonts w:eastAsia="Times New Roman" w:cs="Arial"/>
          <w:lang w:val="en-US"/>
        </w:rPr>
        <w:t xml:space="preserve">ishery (Gulf of Carpentaria—spanish mackerel and other fin fish) management arrangements that were assessed and against which the current </w:t>
      </w:r>
      <w:r w:rsidRPr="00516326">
        <w:rPr>
          <w:rFonts w:eastAsia="Times New Roman" w:cs="Arial"/>
          <w:i/>
          <w:lang w:val="en-US"/>
        </w:rPr>
        <w:t>Environment Protection and Biodiversity Conservation Act 1999</w:t>
      </w:r>
      <w:r w:rsidRPr="00516326">
        <w:rPr>
          <w:rFonts w:eastAsia="Times New Roman" w:cs="Arial"/>
          <w:lang w:val="en-US"/>
        </w:rPr>
        <w:t xml:space="preserve"> decisions were made.</w:t>
      </w:r>
    </w:p>
    <w:p w14:paraId="79A5EDFE"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 xml:space="preserve">Condition 3: </w:t>
      </w:r>
    </w:p>
    <w:p w14:paraId="6DA819E3" w14:textId="55274618" w:rsidR="00516326" w:rsidRPr="00516326" w:rsidRDefault="00516326" w:rsidP="00516326">
      <w:pPr>
        <w:spacing w:before="120" w:after="120"/>
        <w:rPr>
          <w:rFonts w:eastAsia="Times New Roman" w:cs="Arial"/>
          <w:lang w:val="en-US"/>
        </w:rPr>
      </w:pPr>
      <w:r w:rsidRPr="00516326">
        <w:rPr>
          <w:rFonts w:eastAsia="Times New Roman" w:cs="Arial"/>
          <w:lang w:val="en-US"/>
        </w:rPr>
        <w:t xml:space="preserve">The Queensland Department of Agriculture and Fisheries must provide reports to the Department of the Environment and Energy annually on the Line </w:t>
      </w:r>
      <w:r w:rsidR="00BD6A16">
        <w:rPr>
          <w:rFonts w:eastAsia="Times New Roman" w:cs="Arial"/>
          <w:lang w:val="en-US"/>
        </w:rPr>
        <w:t>f</w:t>
      </w:r>
      <w:r w:rsidRPr="00516326">
        <w:rPr>
          <w:rFonts w:eastAsia="Times New Roman" w:cs="Arial"/>
          <w:lang w:val="en-US"/>
        </w:rPr>
        <w:t>ishery (Gulf of Carpentaria—spanish mackerel and other fin fish)</w:t>
      </w:r>
      <w:r w:rsidRPr="00516326">
        <w:rPr>
          <w:rFonts w:eastAsia="Times New Roman" w:cs="Arial"/>
          <w:bCs/>
          <w:lang w:val="en-US"/>
        </w:rPr>
        <w:t xml:space="preserve"> </w:t>
      </w:r>
      <w:r w:rsidRPr="00516326">
        <w:rPr>
          <w:rFonts w:eastAsia="Times New Roman" w:cs="Arial"/>
          <w:lang w:val="en-US"/>
        </w:rPr>
        <w:t xml:space="preserve">as per Appendix B of the </w:t>
      </w:r>
      <w:r w:rsidRPr="00516326">
        <w:rPr>
          <w:rFonts w:eastAsia="Times New Roman" w:cs="Arial"/>
          <w:i/>
          <w:iCs/>
          <w:lang w:val="en-US"/>
        </w:rPr>
        <w:t xml:space="preserve">Guidelines for the Ecologically Sustainable Management of Fisheries - 2nd </w:t>
      </w:r>
      <w:r w:rsidRPr="00516326">
        <w:rPr>
          <w:rFonts w:eastAsia="Times New Roman" w:cs="Arial"/>
          <w:i/>
          <w:lang w:val="en-US"/>
        </w:rPr>
        <w:t>Edition, 2007</w:t>
      </w:r>
      <w:r w:rsidRPr="00516326">
        <w:rPr>
          <w:rFonts w:eastAsia="Times New Roman" w:cs="Arial"/>
          <w:lang w:val="en-US"/>
        </w:rPr>
        <w:t>.</w:t>
      </w:r>
    </w:p>
    <w:p w14:paraId="64F619F7" w14:textId="77777777" w:rsidR="00516326" w:rsidRPr="00516326" w:rsidRDefault="00516326" w:rsidP="00516326">
      <w:pPr>
        <w:spacing w:before="120" w:after="120"/>
        <w:rPr>
          <w:rFonts w:eastAsia="Times New Roman" w:cs="Arial"/>
          <w:lang w:val="en-US"/>
        </w:rPr>
      </w:pPr>
      <w:r w:rsidRPr="00516326">
        <w:rPr>
          <w:rFonts w:eastAsia="Times New Roman" w:cs="Arial"/>
          <w:b/>
          <w:lang w:val="en-US"/>
        </w:rPr>
        <w:t>Condition 4:</w:t>
      </w:r>
      <w:r w:rsidRPr="00516326">
        <w:rPr>
          <w:rFonts w:eastAsia="Times New Roman" w:cs="Arial"/>
          <w:lang w:val="en-US"/>
        </w:rPr>
        <w:t xml:space="preserve"> </w:t>
      </w:r>
    </w:p>
    <w:p w14:paraId="504F065A" w14:textId="5EB8EB45" w:rsidR="00516326" w:rsidRPr="00516326" w:rsidRDefault="00516326" w:rsidP="00516326">
      <w:pPr>
        <w:spacing w:before="120" w:after="120"/>
        <w:contextualSpacing/>
        <w:rPr>
          <w:rFonts w:eastAsia="Times New Roman" w:cs="Arial"/>
          <w:bCs/>
          <w:lang w:val="en-US"/>
        </w:rPr>
      </w:pPr>
      <w:r w:rsidRPr="00516326">
        <w:rPr>
          <w:rFonts w:eastAsia="Times New Roman" w:cs="Arial"/>
          <w:bCs/>
          <w:lang w:val="en-US"/>
        </w:rPr>
        <w:t xml:space="preserve">By </w:t>
      </w:r>
      <w:r w:rsidRPr="00516326">
        <w:rPr>
          <w:rFonts w:eastAsia="Times New Roman" w:cs="Arial"/>
          <w:b/>
          <w:bCs/>
          <w:lang w:val="en-US"/>
        </w:rPr>
        <w:t>30</w:t>
      </w:r>
      <w:r w:rsidRPr="00516326">
        <w:rPr>
          <w:rFonts w:eastAsia="Times New Roman" w:cs="Arial"/>
          <w:bCs/>
          <w:lang w:val="en-US"/>
        </w:rPr>
        <w:t xml:space="preserve"> </w:t>
      </w:r>
      <w:r w:rsidRPr="00516326">
        <w:rPr>
          <w:rFonts w:eastAsia="Times New Roman" w:cs="Arial"/>
          <w:b/>
          <w:bCs/>
          <w:lang w:val="en-US"/>
        </w:rPr>
        <w:t>June 2020</w:t>
      </w:r>
      <w:r w:rsidRPr="00516326">
        <w:rPr>
          <w:rFonts w:eastAsia="Times New Roman" w:cs="Arial"/>
          <w:bCs/>
          <w:lang w:val="en-US"/>
        </w:rPr>
        <w:t xml:space="preserve"> the Queensland Department of Agriculture and Fisheries must implement foundational reforms (actions 1.1-1.4) identified in the </w:t>
      </w:r>
      <w:r w:rsidRPr="00516326">
        <w:rPr>
          <w:rFonts w:eastAsia="Times New Roman" w:cs="Arial"/>
          <w:bCs/>
          <w:i/>
          <w:lang w:val="en-US"/>
        </w:rPr>
        <w:t>Queensland</w:t>
      </w:r>
      <w:r w:rsidRPr="00516326">
        <w:rPr>
          <w:rFonts w:eastAsia="Times New Roman" w:cs="Arial"/>
          <w:bCs/>
          <w:lang w:val="en-US"/>
        </w:rPr>
        <w:t xml:space="preserve"> </w:t>
      </w:r>
      <w:r w:rsidRPr="00516326">
        <w:rPr>
          <w:rFonts w:eastAsia="Times New Roman" w:cs="Arial"/>
          <w:bCs/>
          <w:i/>
          <w:lang w:val="en-US"/>
        </w:rPr>
        <w:t>Sustainable Fisheries Strategy 2017–2027</w:t>
      </w:r>
      <w:r w:rsidRPr="00516326">
        <w:rPr>
          <w:rFonts w:eastAsia="Times New Roman" w:cs="Arial"/>
          <w:bCs/>
          <w:lang w:val="en-US"/>
        </w:rPr>
        <w:t xml:space="preserve"> for the </w:t>
      </w:r>
      <w:r w:rsidRPr="00516326">
        <w:rPr>
          <w:rFonts w:eastAsia="Times New Roman" w:cs="Arial"/>
          <w:lang w:val="en-US"/>
        </w:rPr>
        <w:t>collection of accurate and reliable data. The collection of data must be sufficient, to</w:t>
      </w:r>
      <w:r w:rsidRPr="00516326">
        <w:rPr>
          <w:rFonts w:eastAsia="Times New Roman" w:cs="Arial"/>
          <w:bCs/>
          <w:lang w:val="en-US"/>
        </w:rPr>
        <w:t xml:space="preserve"> monitor and assess the impact of the </w:t>
      </w:r>
      <w:r w:rsidRPr="00516326">
        <w:rPr>
          <w:rFonts w:eastAsia="Times New Roman" w:cs="Arial"/>
          <w:lang w:val="en-US"/>
        </w:rPr>
        <w:t xml:space="preserve">Line </w:t>
      </w:r>
      <w:r w:rsidR="00BD6A16">
        <w:rPr>
          <w:rFonts w:eastAsia="Times New Roman" w:cs="Arial"/>
          <w:lang w:val="en-US"/>
        </w:rPr>
        <w:t>f</w:t>
      </w:r>
      <w:r w:rsidRPr="00516326">
        <w:rPr>
          <w:rFonts w:eastAsia="Times New Roman" w:cs="Arial"/>
          <w:lang w:val="en-US"/>
        </w:rPr>
        <w:t>ishery</w:t>
      </w:r>
      <w:r w:rsidRPr="00516326">
        <w:rPr>
          <w:rFonts w:eastAsia="Times New Roman" w:cs="Arial"/>
          <w:bCs/>
          <w:lang w:val="en-US"/>
        </w:rPr>
        <w:t xml:space="preserve"> </w:t>
      </w:r>
      <w:r w:rsidRPr="00516326">
        <w:rPr>
          <w:rFonts w:eastAsia="Times New Roman" w:cs="Arial"/>
          <w:lang w:val="en-US"/>
        </w:rPr>
        <w:t xml:space="preserve">(Gulf of Carpentaria—spanish mackerel and other fin fish) </w:t>
      </w:r>
      <w:r w:rsidRPr="00516326">
        <w:rPr>
          <w:rFonts w:eastAsia="Times New Roman" w:cs="Arial"/>
          <w:bCs/>
          <w:lang w:val="en-US"/>
        </w:rPr>
        <w:t xml:space="preserve">on target and non-target species, including all eligible listed threatened, migratory, and marine species under the EPBC Act, </w:t>
      </w:r>
      <w:r w:rsidRPr="00516326">
        <w:rPr>
          <w:rFonts w:eastAsia="Times New Roman" w:cs="Arial"/>
          <w:lang w:val="en-US"/>
        </w:rPr>
        <w:t>with a high degree of confidence</w:t>
      </w:r>
      <w:r w:rsidRPr="00516326">
        <w:rPr>
          <w:rFonts w:eastAsia="Times New Roman" w:cs="Arial"/>
          <w:bCs/>
          <w:lang w:val="en-US"/>
        </w:rPr>
        <w:t>.</w:t>
      </w:r>
    </w:p>
    <w:p w14:paraId="02B37A93" w14:textId="77777777" w:rsidR="00516326" w:rsidRPr="00516326" w:rsidRDefault="00516326" w:rsidP="00516326">
      <w:pPr>
        <w:spacing w:before="120" w:after="120"/>
        <w:contextualSpacing/>
        <w:rPr>
          <w:rFonts w:eastAsia="Times New Roman" w:cs="Arial"/>
          <w:bCs/>
          <w:lang w:val="en-US"/>
        </w:rPr>
      </w:pPr>
    </w:p>
    <w:p w14:paraId="3A71FEA4"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Condition 5:</w:t>
      </w:r>
    </w:p>
    <w:p w14:paraId="4242BDFC" w14:textId="77777777" w:rsidR="00516326" w:rsidRPr="00516326" w:rsidRDefault="00516326" w:rsidP="00516326">
      <w:pPr>
        <w:spacing w:before="120" w:after="120"/>
        <w:contextualSpacing/>
        <w:rPr>
          <w:rFonts w:eastAsia="Times New Roman" w:cs="Arial"/>
          <w:bCs/>
          <w:lang w:val="en-US"/>
        </w:rPr>
      </w:pPr>
      <w:r w:rsidRPr="00516326">
        <w:rPr>
          <w:rFonts w:eastAsia="Times New Roman" w:cs="Arial"/>
          <w:bCs/>
          <w:lang w:val="en-US"/>
        </w:rPr>
        <w:t xml:space="preserve">The Queensland Department of Agriculture and Fisheries must develop and implement an independent data collection and validation program that includes: </w:t>
      </w:r>
    </w:p>
    <w:p w14:paraId="157F4650" w14:textId="77777777" w:rsidR="00516326" w:rsidRPr="00516326" w:rsidRDefault="00516326" w:rsidP="00516326">
      <w:pPr>
        <w:numPr>
          <w:ilvl w:val="0"/>
          <w:numId w:val="16"/>
        </w:numPr>
        <w:spacing w:before="120" w:after="120" w:line="240" w:lineRule="auto"/>
        <w:ind w:left="360"/>
        <w:contextualSpacing/>
        <w:rPr>
          <w:rFonts w:eastAsia="Times New Roman" w:cs="Arial"/>
          <w:bCs/>
          <w:lang w:val="en-US"/>
        </w:rPr>
      </w:pPr>
      <w:r w:rsidRPr="00516326">
        <w:rPr>
          <w:rFonts w:eastAsia="Times New Roman" w:cs="Arial"/>
          <w:bCs/>
          <w:lang w:val="en-US"/>
        </w:rPr>
        <w:t>An assessment of the feasibility and complete proof of concept trials for electronic monitoring; and</w:t>
      </w:r>
    </w:p>
    <w:p w14:paraId="4EB935C4" w14:textId="7726AD20" w:rsidR="00516326" w:rsidRPr="00516326" w:rsidRDefault="00516326" w:rsidP="00516326">
      <w:pPr>
        <w:numPr>
          <w:ilvl w:val="0"/>
          <w:numId w:val="16"/>
        </w:numPr>
        <w:spacing w:after="0" w:line="240" w:lineRule="auto"/>
        <w:ind w:left="360"/>
        <w:contextualSpacing/>
        <w:rPr>
          <w:rFonts w:eastAsia="Times New Roman" w:cs="Arial"/>
          <w:bCs/>
          <w:lang w:val="en-US"/>
        </w:rPr>
      </w:pPr>
      <w:r w:rsidRPr="00516326">
        <w:rPr>
          <w:rFonts w:eastAsia="Times New Roman" w:cs="Arial"/>
          <w:bCs/>
          <w:lang w:val="en-US"/>
        </w:rPr>
        <w:t xml:space="preserve">Implementation of an independent data collection and validation program in Line </w:t>
      </w:r>
      <w:r w:rsidR="00BD6A16">
        <w:rPr>
          <w:rFonts w:eastAsia="Times New Roman" w:cs="Arial"/>
          <w:bCs/>
          <w:lang w:val="en-US"/>
        </w:rPr>
        <w:t>f</w:t>
      </w:r>
      <w:r w:rsidRPr="00516326">
        <w:rPr>
          <w:rFonts w:eastAsia="Times New Roman" w:cs="Arial"/>
          <w:bCs/>
          <w:lang w:val="en-US"/>
        </w:rPr>
        <w:t xml:space="preserve">ishery </w:t>
      </w:r>
      <w:r w:rsidRPr="00516326">
        <w:rPr>
          <w:rFonts w:eastAsia="Times New Roman" w:cs="Arial"/>
          <w:lang w:val="en-US"/>
        </w:rPr>
        <w:t>(Gulf of Carpentaria—spanish mackerel and other fin fish). T</w:t>
      </w:r>
      <w:r w:rsidRPr="00516326">
        <w:rPr>
          <w:rFonts w:eastAsia="Times New Roman" w:cs="Arial"/>
          <w:bCs/>
          <w:lang w:val="en-US"/>
        </w:rPr>
        <w:t xml:space="preserve">his may include electronic monitoring or alternative interim solutions. </w:t>
      </w:r>
    </w:p>
    <w:p w14:paraId="32507DB7" w14:textId="77777777" w:rsidR="00516326" w:rsidRPr="00516326" w:rsidRDefault="00516326" w:rsidP="00516326">
      <w:pPr>
        <w:spacing w:before="120" w:after="120"/>
        <w:contextualSpacing/>
        <w:rPr>
          <w:rFonts w:eastAsia="Times New Roman" w:cs="Arial"/>
          <w:bCs/>
          <w:lang w:val="en-US"/>
        </w:rPr>
      </w:pPr>
    </w:p>
    <w:p w14:paraId="27563B4F" w14:textId="77777777" w:rsidR="0027218C" w:rsidRDefault="0027218C" w:rsidP="00516326">
      <w:pPr>
        <w:spacing w:before="120" w:after="120"/>
        <w:rPr>
          <w:rFonts w:eastAsia="Times New Roman" w:cs="Arial"/>
          <w:b/>
          <w:lang w:val="en-US"/>
        </w:rPr>
      </w:pPr>
    </w:p>
    <w:p w14:paraId="23A37590" w14:textId="77777777" w:rsidR="00BD6A16" w:rsidRDefault="00BD6A16" w:rsidP="00516326">
      <w:pPr>
        <w:spacing w:before="120" w:after="120"/>
        <w:rPr>
          <w:rFonts w:eastAsia="Times New Roman" w:cs="Arial"/>
          <w:b/>
          <w:lang w:val="en-US"/>
        </w:rPr>
      </w:pPr>
    </w:p>
    <w:p w14:paraId="54F3A354" w14:textId="77777777" w:rsidR="00516326" w:rsidRPr="00516326" w:rsidRDefault="00516326" w:rsidP="00516326">
      <w:pPr>
        <w:spacing w:before="120" w:after="120"/>
        <w:rPr>
          <w:rFonts w:eastAsia="Times New Roman" w:cs="Arial"/>
          <w:b/>
          <w:bCs/>
          <w:lang w:val="en-US"/>
        </w:rPr>
      </w:pPr>
      <w:r w:rsidRPr="00516326">
        <w:rPr>
          <w:rFonts w:eastAsia="Times New Roman" w:cs="Arial"/>
          <w:b/>
          <w:lang w:val="en-US"/>
        </w:rPr>
        <w:lastRenderedPageBreak/>
        <w:t xml:space="preserve">Condition </w:t>
      </w:r>
      <w:r w:rsidRPr="00516326" w:rsidDel="00671C9C">
        <w:rPr>
          <w:rFonts w:eastAsia="Times New Roman" w:cs="Arial"/>
          <w:b/>
          <w:lang w:val="en-US"/>
        </w:rPr>
        <w:t>6</w:t>
      </w:r>
      <w:r w:rsidRPr="00516326">
        <w:rPr>
          <w:rFonts w:eastAsia="Times New Roman" w:cs="Arial"/>
          <w:b/>
          <w:lang w:val="en-US"/>
        </w:rPr>
        <w:t>:</w:t>
      </w:r>
    </w:p>
    <w:p w14:paraId="21CDC328" w14:textId="21CC9685" w:rsidR="00516326" w:rsidRPr="00516326" w:rsidRDefault="00516326" w:rsidP="00D96E71">
      <w:pPr>
        <w:spacing w:before="120" w:after="120"/>
        <w:rPr>
          <w:rFonts w:eastAsia="Times New Roman" w:cs="Arial"/>
          <w:b/>
          <w:lang w:val="en-US"/>
        </w:rPr>
      </w:pPr>
      <w:r w:rsidRPr="00516326">
        <w:rPr>
          <w:rFonts w:eastAsia="Times New Roman" w:cs="Arial"/>
          <w:lang w:val="en-US"/>
        </w:rPr>
        <w:t>The Queensland Department of Agriculture</w:t>
      </w:r>
      <w:r w:rsidRPr="00516326">
        <w:rPr>
          <w:rFonts w:eastAsia="Times New Roman" w:cs="Arial"/>
          <w:bCs/>
          <w:lang w:val="en-US"/>
        </w:rPr>
        <w:t xml:space="preserve"> and Fisheries must</w:t>
      </w:r>
      <w:r w:rsidRPr="00516326" w:rsidDel="00D6574F">
        <w:rPr>
          <w:rFonts w:eastAsia="Times New Roman" w:cs="Arial"/>
          <w:bCs/>
          <w:lang w:val="en-US"/>
        </w:rPr>
        <w:t xml:space="preserve"> </w:t>
      </w:r>
      <w:r w:rsidRPr="00516326">
        <w:rPr>
          <w:rFonts w:eastAsia="Times New Roman" w:cs="Arial"/>
          <w:bCs/>
          <w:lang w:val="en-US"/>
        </w:rPr>
        <w:t xml:space="preserve">review and implement any necessary improvements to their data collection and validation program, to ensure there is a high degree of confidence in the extent of interactions with all bycatch, including protected species in </w:t>
      </w:r>
      <w:r w:rsidRPr="00516326">
        <w:rPr>
          <w:rFonts w:eastAsia="Times New Roman" w:cs="Arial"/>
          <w:lang w:val="en-US"/>
        </w:rPr>
        <w:t>the</w:t>
      </w:r>
      <w:r w:rsidRPr="00516326">
        <w:rPr>
          <w:rFonts w:eastAsia="Times New Roman" w:cs="Arial"/>
          <w:bCs/>
          <w:lang w:val="en-US"/>
        </w:rPr>
        <w:t xml:space="preserve"> Line </w:t>
      </w:r>
      <w:r w:rsidR="00BD6A16">
        <w:rPr>
          <w:rFonts w:eastAsia="Times New Roman" w:cs="Arial"/>
          <w:bCs/>
          <w:lang w:val="en-US"/>
        </w:rPr>
        <w:t>fishery</w:t>
      </w:r>
      <w:r w:rsidRPr="00516326">
        <w:rPr>
          <w:rFonts w:eastAsia="Times New Roman" w:cs="Arial"/>
          <w:bCs/>
          <w:lang w:val="en-US"/>
        </w:rPr>
        <w:t xml:space="preserve"> </w:t>
      </w:r>
      <w:r w:rsidRPr="00516326">
        <w:rPr>
          <w:rFonts w:eastAsia="Times New Roman" w:cs="Arial"/>
          <w:lang w:val="en-US"/>
        </w:rPr>
        <w:t>(Gulf of Carpentaria—spanish mackerel and other fin fish)</w:t>
      </w:r>
      <w:r w:rsidRPr="00516326">
        <w:rPr>
          <w:rFonts w:eastAsia="Times New Roman" w:cs="Arial"/>
          <w:bCs/>
          <w:lang w:val="en-US"/>
        </w:rPr>
        <w:t xml:space="preserve">. Where species are not accurately reported to species-level, data and </w:t>
      </w:r>
      <w:r w:rsidRPr="00516326">
        <w:rPr>
          <w:rFonts w:eastAsia="Times New Roman" w:cs="Arial"/>
          <w:lang w:val="en-US"/>
        </w:rPr>
        <w:t>risks to these species must</w:t>
      </w:r>
      <w:r w:rsidRPr="00516326">
        <w:rPr>
          <w:rFonts w:eastAsia="Times New Roman" w:cs="Arial"/>
          <w:bCs/>
          <w:lang w:val="en-US"/>
        </w:rPr>
        <w:t xml:space="preserve"> be managed in a timely and precautionary way.</w:t>
      </w:r>
      <w:r w:rsidRPr="00516326">
        <w:rPr>
          <w:rFonts w:eastAsia="Times New Roman" w:cs="Arial"/>
          <w:bCs/>
          <w:lang w:val="en-US"/>
        </w:rPr>
        <w:br/>
      </w:r>
      <w:r w:rsidRPr="00516326">
        <w:rPr>
          <w:rFonts w:eastAsia="Times New Roman" w:cs="Arial"/>
          <w:bCs/>
          <w:lang w:val="en-US"/>
        </w:rPr>
        <w:br/>
      </w:r>
      <w:r w:rsidRPr="00516326">
        <w:rPr>
          <w:rFonts w:eastAsia="Times New Roman" w:cs="Arial"/>
          <w:b/>
          <w:lang w:val="en-US"/>
        </w:rPr>
        <w:t xml:space="preserve">Condition </w:t>
      </w:r>
      <w:r w:rsidRPr="00516326" w:rsidDel="00671C9C">
        <w:rPr>
          <w:rFonts w:eastAsia="Times New Roman" w:cs="Arial"/>
          <w:b/>
          <w:lang w:val="en-US"/>
        </w:rPr>
        <w:t>7</w:t>
      </w:r>
      <w:r w:rsidRPr="00516326">
        <w:rPr>
          <w:rFonts w:eastAsia="Times New Roman" w:cs="Arial"/>
          <w:b/>
          <w:lang w:val="en-US"/>
        </w:rPr>
        <w:t>:</w:t>
      </w:r>
    </w:p>
    <w:p w14:paraId="6DC48FC0" w14:textId="77777777" w:rsidR="00516326" w:rsidRPr="00516326" w:rsidRDefault="00516326" w:rsidP="00D96E71">
      <w:pPr>
        <w:spacing w:before="120" w:after="120"/>
        <w:rPr>
          <w:rFonts w:eastAsia="Times New Roman" w:cs="Arial"/>
          <w:bCs/>
          <w:lang w:val="en-US"/>
        </w:rPr>
      </w:pPr>
      <w:r w:rsidRPr="00516326">
        <w:rPr>
          <w:rFonts w:eastAsia="Times New Roman" w:cs="Arial"/>
          <w:bCs/>
          <w:lang w:val="en-US"/>
        </w:rPr>
        <w:t>The Queensland Department of Agriculture and Fisheries must:</w:t>
      </w:r>
    </w:p>
    <w:p w14:paraId="28CB97C3" w14:textId="77777777" w:rsidR="00516326" w:rsidRPr="00516326" w:rsidRDefault="00516326" w:rsidP="00D96E71">
      <w:pPr>
        <w:numPr>
          <w:ilvl w:val="0"/>
          <w:numId w:val="19"/>
        </w:numPr>
        <w:spacing w:before="120" w:after="120"/>
        <w:rPr>
          <w:rFonts w:eastAsia="Times New Roman" w:cs="Arial"/>
          <w:bCs/>
          <w:lang w:val="en-US"/>
        </w:rPr>
      </w:pPr>
      <w:r w:rsidRPr="00516326">
        <w:rPr>
          <w:rFonts w:eastAsia="Times New Roman" w:cs="Arial"/>
          <w:bCs/>
          <w:lang w:val="en-US"/>
        </w:rPr>
        <w:t>Support fishers to accurately identify and record all sharks at the species-level. This should include assessment and monitoring of reporting performance to identify and target any ongoing improvements.</w:t>
      </w:r>
    </w:p>
    <w:p w14:paraId="2589D39B" w14:textId="77777777" w:rsidR="00516326" w:rsidRPr="00516326" w:rsidRDefault="00516326" w:rsidP="00D96E71">
      <w:pPr>
        <w:numPr>
          <w:ilvl w:val="0"/>
          <w:numId w:val="19"/>
        </w:numPr>
        <w:spacing w:before="120" w:after="120"/>
        <w:rPr>
          <w:rFonts w:eastAsia="Times New Roman" w:cs="Arial"/>
          <w:bCs/>
          <w:lang w:val="en-US"/>
        </w:rPr>
      </w:pPr>
      <w:r w:rsidRPr="00516326">
        <w:rPr>
          <w:rFonts w:eastAsia="Times New Roman" w:cs="Arial"/>
          <w:bCs/>
          <w:lang w:val="en-US"/>
        </w:rPr>
        <w:t>Ensure all commercial catch of shark species of conservation concern can be readily and reliably determined, at a taxonomic level sufficient to monitor and manage risks at the species-level. This may require a prohibition on the removal of head, fins, fillets or other morphological features that assist in identifying species prior to landing</w:t>
      </w:r>
      <w:r w:rsidRPr="00516326" w:rsidDel="004D136B">
        <w:rPr>
          <w:rFonts w:eastAsia="Times New Roman" w:cs="Arial"/>
          <w:bCs/>
          <w:lang w:val="en-US"/>
        </w:rPr>
        <w:t xml:space="preserve"> and the use of on-board, at sea data validation, such as electronic monitoring</w:t>
      </w:r>
      <w:r w:rsidRPr="00516326">
        <w:rPr>
          <w:rFonts w:eastAsia="Times New Roman" w:cs="Arial"/>
          <w:bCs/>
          <w:lang w:val="en-US"/>
        </w:rPr>
        <w:t>.</w:t>
      </w:r>
    </w:p>
    <w:p w14:paraId="3387AAE4"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Condition 8:</w:t>
      </w:r>
    </w:p>
    <w:p w14:paraId="76B3AE8A" w14:textId="4CD57A36" w:rsidR="00516326" w:rsidRPr="00516326" w:rsidRDefault="00516326" w:rsidP="001E0084">
      <w:pPr>
        <w:spacing w:before="120" w:after="120"/>
        <w:contextualSpacing/>
        <w:rPr>
          <w:rFonts w:eastAsia="Times New Roman" w:cs="Arial"/>
          <w:lang w:val="en-US"/>
        </w:rPr>
      </w:pPr>
      <w:r w:rsidRPr="00516326">
        <w:rPr>
          <w:rFonts w:eastAsia="Times New Roman" w:cs="Arial"/>
          <w:lang w:val="en-US"/>
        </w:rPr>
        <w:t xml:space="preserve">The Queensland Department of Agriculture and Fisheries must </w:t>
      </w:r>
      <w:r w:rsidRPr="00516326">
        <w:rPr>
          <w:rFonts w:eastAsia="Times New Roman" w:cs="Arial"/>
          <w:bCs/>
          <w:lang w:val="en-US"/>
        </w:rPr>
        <w:t xml:space="preserve">ensure </w:t>
      </w:r>
      <w:r w:rsidRPr="00516326">
        <w:rPr>
          <w:rFonts w:eastAsia="Times New Roman" w:cs="Arial"/>
          <w:lang w:val="en-US"/>
        </w:rPr>
        <w:t xml:space="preserve">catch composition is sufficiently monitored and understood to ensure that stock impacted by the </w:t>
      </w:r>
      <w:r w:rsidR="00BD6A16" w:rsidRPr="00516326">
        <w:rPr>
          <w:rFonts w:eastAsia="Times New Roman" w:cs="Arial"/>
          <w:bCs/>
          <w:lang w:val="en-US"/>
        </w:rPr>
        <w:t xml:space="preserve">Line </w:t>
      </w:r>
      <w:r w:rsidR="00BD6A16">
        <w:rPr>
          <w:rFonts w:eastAsia="Times New Roman" w:cs="Arial"/>
          <w:bCs/>
          <w:lang w:val="en-US"/>
        </w:rPr>
        <w:t>fishery</w:t>
      </w:r>
      <w:r w:rsidR="00BD6A16" w:rsidRPr="00516326">
        <w:rPr>
          <w:rFonts w:eastAsia="Times New Roman" w:cs="Arial"/>
          <w:bCs/>
          <w:lang w:val="en-US"/>
        </w:rPr>
        <w:t xml:space="preserve"> </w:t>
      </w:r>
      <w:r w:rsidR="00BD6A16" w:rsidRPr="00516326">
        <w:rPr>
          <w:rFonts w:eastAsia="Times New Roman" w:cs="Arial"/>
          <w:lang w:val="en-US"/>
        </w:rPr>
        <w:t xml:space="preserve">(Gulf of Carpentaria—spanish mackerel and other fin fish) </w:t>
      </w:r>
      <w:r w:rsidRPr="00516326">
        <w:rPr>
          <w:rFonts w:eastAsia="Times New Roman" w:cs="Arial"/>
          <w:lang w:val="en-US"/>
        </w:rPr>
        <w:t xml:space="preserve">is sustainably managed and not overfished or subject to overfishing. The Queensland Department of Agriculture and Fisheries must undertake a stock assessment of the Gulf of Carpentaria Spanish mackerel stock by </w:t>
      </w:r>
      <w:r w:rsidRPr="00516326">
        <w:rPr>
          <w:rFonts w:eastAsia="Times New Roman" w:cs="Arial"/>
          <w:b/>
          <w:lang w:val="en-US"/>
        </w:rPr>
        <w:t>31 December 2021</w:t>
      </w:r>
      <w:r w:rsidRPr="00516326">
        <w:rPr>
          <w:rFonts w:eastAsia="Times New Roman" w:cs="Arial"/>
          <w:lang w:val="en-US"/>
        </w:rPr>
        <w:t xml:space="preserve">. </w:t>
      </w:r>
    </w:p>
    <w:p w14:paraId="663BC96F" w14:textId="586F11A7" w:rsidR="00516326" w:rsidRPr="00516326" w:rsidRDefault="001E0084" w:rsidP="00D96E71">
      <w:pPr>
        <w:spacing w:before="120" w:after="120"/>
        <w:rPr>
          <w:rFonts w:eastAsia="Times New Roman" w:cs="Arial"/>
          <w:b/>
          <w:lang w:val="en-US"/>
        </w:rPr>
      </w:pPr>
      <w:r>
        <w:rPr>
          <w:rFonts w:eastAsia="Times New Roman" w:cs="Arial"/>
          <w:b/>
          <w:lang w:val="en-US"/>
        </w:rPr>
        <w:br/>
      </w:r>
      <w:r w:rsidR="00516326" w:rsidRPr="00516326">
        <w:rPr>
          <w:rFonts w:eastAsia="Times New Roman" w:cs="Arial"/>
          <w:b/>
          <w:lang w:val="en-US"/>
        </w:rPr>
        <w:t xml:space="preserve">Condition </w:t>
      </w:r>
      <w:r w:rsidR="00516326" w:rsidRPr="00516326" w:rsidDel="00671C9C">
        <w:rPr>
          <w:rFonts w:eastAsia="Times New Roman" w:cs="Arial"/>
          <w:b/>
          <w:lang w:val="en-US"/>
        </w:rPr>
        <w:t>9</w:t>
      </w:r>
      <w:r w:rsidR="00516326" w:rsidRPr="00516326">
        <w:rPr>
          <w:rFonts w:eastAsia="Times New Roman" w:cs="Arial"/>
          <w:b/>
          <w:lang w:val="en-US"/>
        </w:rPr>
        <w:t>:</w:t>
      </w:r>
    </w:p>
    <w:p w14:paraId="1EAB9758" w14:textId="77777777" w:rsidR="00516326" w:rsidRPr="00516326" w:rsidRDefault="00516326" w:rsidP="00D96E71">
      <w:pPr>
        <w:spacing w:before="120" w:after="120"/>
        <w:rPr>
          <w:rFonts w:eastAsia="Times New Roman" w:cs="Arial"/>
          <w:lang w:val="en-US"/>
        </w:rPr>
      </w:pPr>
      <w:r w:rsidRPr="00516326">
        <w:rPr>
          <w:rFonts w:eastAsia="Times New Roman" w:cs="Arial"/>
          <w:bCs/>
          <w:lang w:val="en-US"/>
        </w:rPr>
        <w:t xml:space="preserve">The </w:t>
      </w:r>
      <w:r w:rsidRPr="00516326">
        <w:rPr>
          <w:rFonts w:eastAsia="Times New Roman" w:cs="Arial"/>
          <w:lang w:val="en-US"/>
        </w:rPr>
        <w:t>Queensland Department of Agriculture and Fisheries must:</w:t>
      </w:r>
    </w:p>
    <w:p w14:paraId="37D9D3A6" w14:textId="34BE3D03" w:rsidR="00516326" w:rsidRPr="00516326" w:rsidRDefault="00516326" w:rsidP="00D96E71">
      <w:pPr>
        <w:numPr>
          <w:ilvl w:val="0"/>
          <w:numId w:val="20"/>
        </w:numPr>
        <w:spacing w:before="120" w:after="120"/>
        <w:rPr>
          <w:rFonts w:eastAsia="Times New Roman" w:cs="Arial"/>
          <w:lang w:val="en-US"/>
        </w:rPr>
      </w:pPr>
      <w:r w:rsidRPr="00516326">
        <w:rPr>
          <w:rFonts w:eastAsia="Times New Roman" w:cs="Arial"/>
          <w:bCs/>
          <w:lang w:val="en-US"/>
        </w:rPr>
        <w:t xml:space="preserve">Publish a Level 1 ecological risk assessment (ERA) for the Line </w:t>
      </w:r>
      <w:r w:rsidR="00BD6A16">
        <w:rPr>
          <w:rFonts w:eastAsia="Times New Roman" w:cs="Arial"/>
          <w:bCs/>
          <w:lang w:val="en-US"/>
        </w:rPr>
        <w:t>fishery</w:t>
      </w:r>
      <w:r w:rsidRPr="00516326">
        <w:rPr>
          <w:rFonts w:eastAsia="Times New Roman" w:cs="Arial"/>
          <w:bCs/>
          <w:lang w:val="en-US"/>
        </w:rPr>
        <w:t xml:space="preserve"> </w:t>
      </w:r>
      <w:r w:rsidRPr="00516326">
        <w:rPr>
          <w:rFonts w:eastAsia="Times New Roman" w:cs="Arial"/>
          <w:lang w:val="en-US"/>
        </w:rPr>
        <w:t xml:space="preserve">(Gulf of Carpentaria—spanish mackerel and other fin fish) </w:t>
      </w:r>
      <w:r w:rsidRPr="00516326">
        <w:rPr>
          <w:rFonts w:eastAsia="Times New Roman" w:cs="Arial"/>
          <w:bCs/>
          <w:lang w:val="en-US"/>
        </w:rPr>
        <w:t>by</w:t>
      </w:r>
      <w:r w:rsidRPr="00516326">
        <w:rPr>
          <w:rFonts w:eastAsia="Times New Roman" w:cs="Arial"/>
          <w:b/>
          <w:bCs/>
          <w:lang w:val="en-US"/>
        </w:rPr>
        <w:t xml:space="preserve"> 31 </w:t>
      </w:r>
      <w:r w:rsidRPr="00516326">
        <w:rPr>
          <w:rFonts w:eastAsia="Times New Roman" w:cs="Arial"/>
          <w:b/>
          <w:lang w:val="en-US"/>
        </w:rPr>
        <w:t>December 2019</w:t>
      </w:r>
      <w:r w:rsidRPr="00516326">
        <w:rPr>
          <w:rFonts w:eastAsia="Times New Roman" w:cs="Arial"/>
          <w:bCs/>
          <w:lang w:val="en-US"/>
        </w:rPr>
        <w:t>.</w:t>
      </w:r>
    </w:p>
    <w:p w14:paraId="2A4A4D71" w14:textId="01377C4D" w:rsidR="00516326" w:rsidRPr="00516326" w:rsidRDefault="00516326" w:rsidP="00D96E71">
      <w:pPr>
        <w:numPr>
          <w:ilvl w:val="0"/>
          <w:numId w:val="20"/>
        </w:numPr>
        <w:spacing w:before="120" w:after="120"/>
        <w:rPr>
          <w:rFonts w:eastAsia="Times New Roman" w:cs="Arial"/>
          <w:b/>
          <w:lang w:val="en-US"/>
        </w:rPr>
      </w:pPr>
      <w:r w:rsidRPr="00516326">
        <w:rPr>
          <w:rFonts w:eastAsia="Times New Roman" w:cs="Arial"/>
          <w:bCs/>
          <w:lang w:val="en-US"/>
        </w:rPr>
        <w:t xml:space="preserve">Develop and publish a Level 2 ERA for the Line </w:t>
      </w:r>
      <w:r w:rsidR="00BD6A16">
        <w:rPr>
          <w:rFonts w:eastAsia="Times New Roman" w:cs="Arial"/>
          <w:bCs/>
          <w:lang w:val="en-US"/>
        </w:rPr>
        <w:t>fishery</w:t>
      </w:r>
      <w:r w:rsidRPr="00516326">
        <w:rPr>
          <w:rFonts w:eastAsia="Times New Roman" w:cs="Arial"/>
          <w:bCs/>
          <w:lang w:val="en-US"/>
        </w:rPr>
        <w:t xml:space="preserve"> </w:t>
      </w:r>
      <w:r w:rsidRPr="00516326">
        <w:rPr>
          <w:rFonts w:eastAsia="Times New Roman" w:cs="Arial"/>
          <w:lang w:val="en-US"/>
        </w:rPr>
        <w:t xml:space="preserve">(Gulf of Carpentaria—spanish mackerel and other fin fish) </w:t>
      </w:r>
      <w:r w:rsidRPr="00516326">
        <w:rPr>
          <w:rFonts w:eastAsia="Times New Roman" w:cs="Arial"/>
          <w:bCs/>
          <w:lang w:val="en-US"/>
        </w:rPr>
        <w:t xml:space="preserve">according to the Queensland Government </w:t>
      </w:r>
      <w:r w:rsidRPr="00516326">
        <w:rPr>
          <w:rFonts w:eastAsia="Times New Roman" w:cs="Arial"/>
          <w:lang w:val="en-US"/>
        </w:rPr>
        <w:t>ERA</w:t>
      </w:r>
      <w:r w:rsidRPr="00516326">
        <w:rPr>
          <w:rFonts w:eastAsia="Times New Roman" w:cs="Arial"/>
          <w:bCs/>
          <w:lang w:val="en-US"/>
        </w:rPr>
        <w:t xml:space="preserve"> guidelines, and implement appropriate risk mitigations strategies by </w:t>
      </w:r>
      <w:r w:rsidRPr="00516326">
        <w:rPr>
          <w:rFonts w:eastAsia="Times New Roman" w:cs="Arial"/>
          <w:b/>
          <w:bCs/>
          <w:lang w:val="en-US"/>
        </w:rPr>
        <w:t>31</w:t>
      </w:r>
      <w:r w:rsidRPr="00516326">
        <w:rPr>
          <w:rFonts w:eastAsia="Times New Roman" w:cs="Arial"/>
          <w:bCs/>
          <w:lang w:val="en-US"/>
        </w:rPr>
        <w:t xml:space="preserve"> </w:t>
      </w:r>
      <w:r w:rsidRPr="00516326">
        <w:rPr>
          <w:rFonts w:eastAsia="Times New Roman" w:cs="Arial"/>
          <w:b/>
          <w:bCs/>
          <w:lang w:val="en-US"/>
        </w:rPr>
        <w:t>December 2020</w:t>
      </w:r>
      <w:r w:rsidRPr="00516326">
        <w:rPr>
          <w:rFonts w:eastAsia="Times New Roman" w:cs="Arial"/>
          <w:bCs/>
          <w:lang w:val="en-US"/>
        </w:rPr>
        <w:t>.</w:t>
      </w:r>
    </w:p>
    <w:p w14:paraId="7F89AD35"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 xml:space="preserve">Condition </w:t>
      </w:r>
      <w:r w:rsidRPr="00516326" w:rsidDel="00671C9C">
        <w:rPr>
          <w:rFonts w:eastAsia="Times New Roman" w:cs="Arial"/>
          <w:b/>
          <w:lang w:val="en-US"/>
        </w:rPr>
        <w:t>10</w:t>
      </w:r>
      <w:r w:rsidRPr="00516326">
        <w:rPr>
          <w:rFonts w:eastAsia="Times New Roman" w:cs="Arial"/>
          <w:b/>
          <w:lang w:val="en-US"/>
        </w:rPr>
        <w:t>:</w:t>
      </w:r>
    </w:p>
    <w:p w14:paraId="5FC6BD31" w14:textId="7C640372" w:rsidR="00516326" w:rsidRPr="00516326" w:rsidRDefault="00516326" w:rsidP="00516326">
      <w:pPr>
        <w:spacing w:before="120" w:after="120"/>
        <w:rPr>
          <w:rFonts w:eastAsia="Times New Roman" w:cs="Arial"/>
          <w:bCs/>
          <w:lang w:val="en-US"/>
        </w:rPr>
      </w:pPr>
      <w:r w:rsidRPr="00516326">
        <w:rPr>
          <w:rFonts w:eastAsia="Times New Roman" w:cs="Arial"/>
          <w:bCs/>
          <w:lang w:val="en-US"/>
        </w:rPr>
        <w:t>The Queensland Department of Agriculture and Fisheries</w:t>
      </w:r>
      <w:r w:rsidR="00D96E71">
        <w:rPr>
          <w:rFonts w:eastAsia="Times New Roman" w:cs="Arial"/>
          <w:bCs/>
          <w:lang w:val="en-US"/>
        </w:rPr>
        <w:t xml:space="preserve"> must</w:t>
      </w:r>
      <w:r w:rsidRPr="00516326">
        <w:rPr>
          <w:rFonts w:eastAsia="Times New Roman" w:cs="Arial"/>
          <w:bCs/>
          <w:lang w:val="en-US"/>
        </w:rPr>
        <w:t xml:space="preserve"> prepare a harvest strategy that monitors and manages impacts associated with the Line </w:t>
      </w:r>
      <w:r w:rsidR="00BD6A16">
        <w:rPr>
          <w:rFonts w:eastAsia="Times New Roman" w:cs="Arial"/>
          <w:bCs/>
          <w:lang w:val="en-US"/>
        </w:rPr>
        <w:t>fishery</w:t>
      </w:r>
      <w:r w:rsidRPr="00516326">
        <w:rPr>
          <w:rFonts w:eastAsia="Times New Roman" w:cs="Arial"/>
          <w:bCs/>
          <w:lang w:val="en-US"/>
        </w:rPr>
        <w:t xml:space="preserve"> </w:t>
      </w:r>
      <w:r w:rsidRPr="00516326">
        <w:rPr>
          <w:rFonts w:eastAsia="Times New Roman" w:cs="Arial"/>
          <w:lang w:val="en-US"/>
        </w:rPr>
        <w:t xml:space="preserve">(Gulf of Carpentaria—spanish mackerel and other fin fish) </w:t>
      </w:r>
      <w:r w:rsidRPr="00516326">
        <w:rPr>
          <w:rFonts w:eastAsia="Times New Roman" w:cs="Arial"/>
          <w:bCs/>
          <w:lang w:val="en-US"/>
        </w:rPr>
        <w:t xml:space="preserve">on target, byproduct and bycatch including protected species in cooperation with a stakeholder-based fishery working group. </w:t>
      </w:r>
    </w:p>
    <w:p w14:paraId="6654F337" w14:textId="77777777" w:rsidR="00516326" w:rsidRDefault="00516326" w:rsidP="00516326">
      <w:pPr>
        <w:spacing w:before="120" w:after="120"/>
        <w:rPr>
          <w:rFonts w:eastAsia="Times New Roman" w:cs="Arial"/>
          <w:bCs/>
          <w:lang w:val="en-US"/>
        </w:rPr>
      </w:pPr>
      <w:r w:rsidRPr="00516326">
        <w:rPr>
          <w:rFonts w:eastAsia="Times New Roman" w:cs="Arial"/>
          <w:bCs/>
          <w:lang w:val="en-US"/>
        </w:rPr>
        <w:t>Performance against this strategy, including proposed timelines for implementation, must be included in annual reports specified at Condition 3.</w:t>
      </w:r>
    </w:p>
    <w:p w14:paraId="380529FB" w14:textId="77777777" w:rsidR="001E0084" w:rsidRDefault="001E0084" w:rsidP="00516326">
      <w:pPr>
        <w:spacing w:before="120" w:after="120"/>
        <w:rPr>
          <w:rFonts w:eastAsia="Times New Roman" w:cs="Arial"/>
          <w:bCs/>
          <w:lang w:val="en-US"/>
        </w:rPr>
      </w:pPr>
    </w:p>
    <w:p w14:paraId="392854C1" w14:textId="77777777" w:rsidR="001E0084" w:rsidRDefault="001E0084" w:rsidP="00516326">
      <w:pPr>
        <w:spacing w:before="120" w:after="120"/>
        <w:rPr>
          <w:rFonts w:eastAsia="Times New Roman" w:cs="Arial"/>
          <w:bCs/>
          <w:lang w:val="en-US"/>
        </w:rPr>
      </w:pPr>
    </w:p>
    <w:p w14:paraId="2678CB1D" w14:textId="31532A9A" w:rsidR="00616EEC" w:rsidRDefault="00616EEC" w:rsidP="00516326">
      <w:pPr>
        <w:spacing w:before="120" w:after="120"/>
        <w:rPr>
          <w:rFonts w:eastAsia="Times New Roman" w:cs="Arial"/>
          <w:bCs/>
          <w:lang w:val="en-US"/>
        </w:rPr>
      </w:pPr>
    </w:p>
    <w:p w14:paraId="64036CD4"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 xml:space="preserve">Condition 11: </w:t>
      </w:r>
    </w:p>
    <w:p w14:paraId="7272F7C6" w14:textId="77777777" w:rsidR="00516326" w:rsidRPr="00516326" w:rsidRDefault="00516326" w:rsidP="00516326">
      <w:pPr>
        <w:spacing w:before="120" w:after="120"/>
        <w:rPr>
          <w:rFonts w:eastAsia="Times New Roman" w:cs="Arial"/>
          <w:bCs/>
          <w:lang w:val="en-US"/>
        </w:rPr>
      </w:pPr>
      <w:r w:rsidRPr="00516326">
        <w:rPr>
          <w:rFonts w:eastAsia="Times New Roman" w:cs="Arial"/>
          <w:bCs/>
          <w:lang w:val="en-US"/>
        </w:rPr>
        <w:t>The Queensland Department of Agriculture and Fisheries must continue to collaborate with other jurisdictions to pursue consistent and complementary research needs and management arrangements for target species and advise on how this has informed management actions.</w:t>
      </w:r>
    </w:p>
    <w:p w14:paraId="3F986350" w14:textId="77777777" w:rsidR="00516326" w:rsidRPr="00516326" w:rsidRDefault="00516326" w:rsidP="00516326">
      <w:pPr>
        <w:spacing w:before="120" w:after="120"/>
        <w:rPr>
          <w:rFonts w:eastAsia="Times New Roman" w:cs="Arial"/>
          <w:bCs/>
          <w:lang w:val="en-US"/>
        </w:rPr>
      </w:pPr>
    </w:p>
    <w:p w14:paraId="5426BB9E"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EPBC Act Part 13:</w:t>
      </w:r>
    </w:p>
    <w:p w14:paraId="6CF88825" w14:textId="77777777" w:rsidR="00516326" w:rsidRPr="00516326" w:rsidRDefault="00516326" w:rsidP="00516326">
      <w:pPr>
        <w:spacing w:before="120" w:after="120"/>
        <w:rPr>
          <w:rFonts w:eastAsia="Times New Roman" w:cs="Arial"/>
          <w:b/>
          <w:lang w:val="en-US"/>
        </w:rPr>
      </w:pPr>
      <w:r w:rsidRPr="00516326">
        <w:rPr>
          <w:rFonts w:eastAsia="Times New Roman" w:cs="Arial"/>
          <w:b/>
          <w:lang w:val="en-US"/>
        </w:rPr>
        <w:t>Condition 1:</w:t>
      </w:r>
    </w:p>
    <w:p w14:paraId="158BD4ED" w14:textId="77777777" w:rsidR="00516326" w:rsidRPr="00516326" w:rsidRDefault="00516326" w:rsidP="00516326">
      <w:pPr>
        <w:spacing w:before="120" w:after="120"/>
        <w:rPr>
          <w:rFonts w:eastAsia="Times New Roman" w:cs="Arial"/>
          <w:bCs/>
          <w:lang w:val="en-US"/>
        </w:rPr>
      </w:pPr>
      <w:r w:rsidRPr="00516326">
        <w:rPr>
          <w:rFonts w:eastAsia="Times New Roman" w:cs="Arial"/>
          <w:bCs/>
          <w:lang w:val="en-US"/>
        </w:rPr>
        <w:t>The Queensland Department of Agriculture and Fisheries must work with relevant stakeholders to determine an improved data collection and validation approach that can validate the number of interactions with all bycatch, including protected species. Where species are not accurately reported to species-level, data and risks to the species must be managed in a timely and precautionary way.</w:t>
      </w:r>
    </w:p>
    <w:p w14:paraId="307447B7" w14:textId="77777777" w:rsidR="00516326" w:rsidRPr="00516326" w:rsidRDefault="00516326" w:rsidP="00516326">
      <w:pPr>
        <w:spacing w:before="120" w:after="120"/>
        <w:contextualSpacing/>
        <w:jc w:val="both"/>
        <w:rPr>
          <w:rFonts w:eastAsia="Times New Roman" w:cs="Arial"/>
          <w:b/>
          <w:lang w:val="en-US"/>
        </w:rPr>
      </w:pPr>
      <w:r w:rsidRPr="00516326">
        <w:rPr>
          <w:rFonts w:eastAsia="Times New Roman" w:cs="Arial"/>
          <w:b/>
          <w:lang w:val="en-US"/>
        </w:rPr>
        <w:t>Condition 2:</w:t>
      </w:r>
    </w:p>
    <w:p w14:paraId="77EFF31F" w14:textId="77777777" w:rsidR="00516326" w:rsidRPr="00516326" w:rsidRDefault="00516326" w:rsidP="00516326">
      <w:pPr>
        <w:spacing w:before="120" w:after="120"/>
        <w:rPr>
          <w:rFonts w:eastAsia="Times New Roman" w:cs="Arial"/>
          <w:bCs/>
          <w:lang w:val="en-US"/>
        </w:rPr>
      </w:pPr>
      <w:r w:rsidRPr="00516326">
        <w:rPr>
          <w:rFonts w:eastAsia="Times New Roman" w:cs="Arial"/>
          <w:bCs/>
          <w:lang w:val="en-US"/>
        </w:rPr>
        <w:t>The Queensland Department of Agriculture and Fisheries must ensure all reasonable steps are taken by commercial fishers to maximise the post-capture survival of bycatch. This may include reviewing the effectiveness of existing risk mitigation measures, and monitoring and enforcement activities.</w:t>
      </w:r>
    </w:p>
    <w:p w14:paraId="6C872B3A" w14:textId="5F402AE1" w:rsidR="002B2F2C" w:rsidRPr="00516326" w:rsidRDefault="002B2F2C" w:rsidP="00616EEC">
      <w:pPr>
        <w:spacing w:before="120" w:after="120"/>
        <w:ind w:left="369" w:hanging="369"/>
        <w:contextualSpacing/>
        <w:rPr>
          <w:rFonts w:cs="Arial"/>
        </w:rPr>
      </w:pPr>
    </w:p>
    <w:p w14:paraId="18923E71" w14:textId="77777777" w:rsidR="002B2F2C" w:rsidRPr="00BD0A70" w:rsidRDefault="002B2F2C" w:rsidP="00616EEC">
      <w:pPr>
        <w:pStyle w:val="ListParagraph"/>
        <w:numPr>
          <w:ilvl w:val="0"/>
          <w:numId w:val="13"/>
        </w:numPr>
        <w:spacing w:before="120" w:after="120"/>
        <w:contextualSpacing/>
        <w:rPr>
          <w:rFonts w:cs="Arial"/>
        </w:rPr>
      </w:pPr>
      <w:r w:rsidRPr="00BD0A70">
        <w:rPr>
          <w:rFonts w:cs="Arial"/>
        </w:rPr>
        <w:br w:type="page"/>
      </w:r>
    </w:p>
    <w:bookmarkEnd w:id="0"/>
    <w:p w14:paraId="45E6729E" w14:textId="7686F6EE" w:rsidR="00AC4B27" w:rsidRDefault="00AC4B27" w:rsidP="00AC4B27">
      <w:pPr>
        <w:pStyle w:val="Heading1"/>
        <w:jc w:val="center"/>
      </w:pPr>
      <w:r w:rsidRPr="005F4AAC">
        <w:rPr>
          <w:noProof/>
          <w:lang w:eastAsia="en-AU"/>
        </w:rPr>
        <w:lastRenderedPageBreak/>
        <w:drawing>
          <wp:inline distT="0" distB="0" distL="0" distR="0" wp14:anchorId="32BC0CB6" wp14:editId="73406C85">
            <wp:extent cx="4229735" cy="732220"/>
            <wp:effectExtent l="19050" t="0" r="0" b="0"/>
            <wp:docPr id="1"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4"/>
                    <a:srcRect/>
                    <a:stretch>
                      <a:fillRect/>
                    </a:stretch>
                  </pic:blipFill>
                  <pic:spPr bwMode="auto">
                    <a:xfrm>
                      <a:off x="0" y="0"/>
                      <a:ext cx="4241363" cy="734233"/>
                    </a:xfrm>
                    <a:prstGeom prst="rect">
                      <a:avLst/>
                    </a:prstGeom>
                    <a:noFill/>
                    <a:ln w="9525">
                      <a:noFill/>
                      <a:miter lim="800000"/>
                      <a:headEnd/>
                      <a:tailEnd/>
                    </a:ln>
                  </pic:spPr>
                </pic:pic>
              </a:graphicData>
            </a:graphic>
          </wp:inline>
        </w:drawing>
      </w:r>
    </w:p>
    <w:p w14:paraId="06F4C659" w14:textId="09901252" w:rsidR="00AC4B27" w:rsidRPr="00303007" w:rsidRDefault="00AC4B27" w:rsidP="00AC4B27">
      <w:pPr>
        <w:pStyle w:val="Heading1"/>
      </w:pPr>
      <w:r>
        <w:br/>
      </w:r>
      <w:r w:rsidRPr="00303007">
        <w:t>Notification of Reviewable Decisions and Rights of Review</w:t>
      </w:r>
      <w:r w:rsidRPr="00303007">
        <w:rPr>
          <w:rStyle w:val="FootnoteReference"/>
          <w:u w:val="single"/>
        </w:rPr>
        <w:footnoteReference w:id="1"/>
      </w:r>
    </w:p>
    <w:p w14:paraId="7769F4E2" w14:textId="77777777" w:rsidR="00AC4B27" w:rsidRPr="00303007" w:rsidRDefault="00AC4B27" w:rsidP="00AC4B2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36E476EA" w14:textId="77777777" w:rsidR="00AC4B27" w:rsidRPr="00303007" w:rsidRDefault="00AC4B27" w:rsidP="00AC4B27">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75B2CFBD" w14:textId="77777777" w:rsidR="00AC4B27" w:rsidRPr="00303007" w:rsidRDefault="00AC4B27" w:rsidP="00AC4B27">
      <w:pPr>
        <w:spacing w:before="60" w:after="60"/>
        <w:ind w:left="720"/>
        <w:jc w:val="both"/>
        <w:rPr>
          <w:rFonts w:cs="Arial"/>
        </w:rPr>
      </w:pPr>
      <w:r w:rsidRPr="00303007">
        <w:rPr>
          <w:rFonts w:cs="Arial"/>
        </w:rPr>
        <w:t xml:space="preserve">(a) to issue or refuse a permit; or </w:t>
      </w:r>
    </w:p>
    <w:p w14:paraId="67D8729B" w14:textId="77777777" w:rsidR="00AC4B27" w:rsidRPr="00303007" w:rsidRDefault="00AC4B27" w:rsidP="00AC4B27">
      <w:pPr>
        <w:spacing w:before="60" w:after="60"/>
        <w:ind w:left="720"/>
        <w:jc w:val="both"/>
        <w:rPr>
          <w:rFonts w:cs="Arial"/>
        </w:rPr>
      </w:pPr>
      <w:r w:rsidRPr="00303007">
        <w:rPr>
          <w:rFonts w:cs="Arial"/>
        </w:rPr>
        <w:t xml:space="preserve">(b) to specify, vary or revoke a condition of a permit; or </w:t>
      </w:r>
    </w:p>
    <w:p w14:paraId="75B18257" w14:textId="77777777" w:rsidR="00AC4B27" w:rsidRPr="00303007" w:rsidRDefault="00AC4B27" w:rsidP="00AC4B27">
      <w:pPr>
        <w:spacing w:before="60" w:after="60"/>
        <w:ind w:left="720"/>
        <w:jc w:val="both"/>
        <w:rPr>
          <w:rFonts w:cs="Arial"/>
        </w:rPr>
      </w:pPr>
      <w:r w:rsidRPr="00303007">
        <w:rPr>
          <w:rFonts w:cs="Arial"/>
        </w:rPr>
        <w:t xml:space="preserve">(c) to impose a further condition of a permit; or </w:t>
      </w:r>
    </w:p>
    <w:p w14:paraId="35E2423C" w14:textId="77777777" w:rsidR="00AC4B27" w:rsidRPr="00303007" w:rsidRDefault="00AC4B27" w:rsidP="00AC4B27">
      <w:pPr>
        <w:spacing w:before="60" w:after="60"/>
        <w:ind w:left="720"/>
        <w:jc w:val="both"/>
        <w:rPr>
          <w:rFonts w:cs="Arial"/>
        </w:rPr>
      </w:pPr>
      <w:r w:rsidRPr="00303007">
        <w:rPr>
          <w:rFonts w:cs="Arial"/>
        </w:rPr>
        <w:t xml:space="preserve">(d) to transfer or refuse to transfer a permit; or </w:t>
      </w:r>
    </w:p>
    <w:p w14:paraId="4413D0BD" w14:textId="77777777" w:rsidR="00AC4B27" w:rsidRPr="00303007" w:rsidRDefault="00AC4B27" w:rsidP="00AC4B27">
      <w:pPr>
        <w:spacing w:before="60" w:after="60"/>
        <w:ind w:left="720"/>
        <w:jc w:val="both"/>
        <w:rPr>
          <w:rFonts w:cs="Arial"/>
        </w:rPr>
      </w:pPr>
      <w:r w:rsidRPr="00303007">
        <w:rPr>
          <w:rFonts w:cs="Arial"/>
        </w:rPr>
        <w:t xml:space="preserve">(e) to suspend or cancel a permit; or </w:t>
      </w:r>
    </w:p>
    <w:p w14:paraId="473BAD70" w14:textId="77777777" w:rsidR="00AC4B27" w:rsidRPr="00303007" w:rsidRDefault="00AC4B27" w:rsidP="00AC4B27">
      <w:pPr>
        <w:spacing w:before="60" w:after="60"/>
        <w:ind w:left="720"/>
        <w:jc w:val="both"/>
        <w:rPr>
          <w:rFonts w:cs="Arial"/>
        </w:rPr>
      </w:pPr>
      <w:r w:rsidRPr="00303007">
        <w:rPr>
          <w:rFonts w:cs="Arial"/>
        </w:rPr>
        <w:t xml:space="preserve">(f) to issue or refuse a certificate under subsection 303CC(5); or </w:t>
      </w:r>
    </w:p>
    <w:p w14:paraId="5779862A" w14:textId="77777777" w:rsidR="00AC4B27" w:rsidRPr="00303007" w:rsidRDefault="00AC4B27" w:rsidP="00AC4B27">
      <w:pPr>
        <w:spacing w:before="60" w:after="60"/>
        <w:ind w:left="720"/>
        <w:jc w:val="both"/>
        <w:rPr>
          <w:rFonts w:cs="Arial"/>
        </w:rPr>
      </w:pPr>
      <w:r w:rsidRPr="00303007">
        <w:rPr>
          <w:rFonts w:cs="Arial"/>
        </w:rPr>
        <w:t xml:space="preserve">(g) of the Secretary under a determination in force under section 303EU; or </w:t>
      </w:r>
    </w:p>
    <w:p w14:paraId="6C1CE959" w14:textId="77777777" w:rsidR="00AC4B27" w:rsidRPr="00303007" w:rsidRDefault="00AC4B27" w:rsidP="00AC4B27">
      <w:pPr>
        <w:spacing w:before="60" w:after="60"/>
        <w:ind w:left="720"/>
        <w:jc w:val="both"/>
        <w:rPr>
          <w:rFonts w:cs="Arial"/>
        </w:rPr>
      </w:pPr>
      <w:r w:rsidRPr="00303007">
        <w:rPr>
          <w:rFonts w:cs="Arial"/>
        </w:rPr>
        <w:t>(h) to make or refuse a declaration under section 303FN, 303FO or 303FP; or</w:t>
      </w:r>
    </w:p>
    <w:p w14:paraId="2C30F158" w14:textId="77777777" w:rsidR="00AC4B27" w:rsidRPr="00303007" w:rsidRDefault="00AC4B27" w:rsidP="00AC4B27">
      <w:pPr>
        <w:spacing w:before="60" w:after="60"/>
        <w:ind w:left="720"/>
        <w:jc w:val="both"/>
        <w:rPr>
          <w:rFonts w:cs="Arial"/>
        </w:rPr>
      </w:pPr>
      <w:r w:rsidRPr="00303007">
        <w:rPr>
          <w:rFonts w:cs="Arial"/>
        </w:rPr>
        <w:t>(i) to vary or revoke a declaration under section 303FN, 303FO or 303FP.</w:t>
      </w:r>
    </w:p>
    <w:p w14:paraId="6CA79A1A" w14:textId="77777777" w:rsidR="00AC4B27" w:rsidRPr="00303007" w:rsidRDefault="00AC4B27" w:rsidP="00AC4B27">
      <w:pPr>
        <w:pStyle w:val="ListBullet"/>
        <w:numPr>
          <w:ilvl w:val="0"/>
          <w:numId w:val="0"/>
        </w:numPr>
        <w:spacing w:before="60" w:after="60"/>
        <w:ind w:left="369" w:hanging="369"/>
      </w:pPr>
      <w:r w:rsidRPr="00303007">
        <w:t>If you are dissatisfied with a decision of a type listed above you may:</w:t>
      </w:r>
    </w:p>
    <w:p w14:paraId="74CFCF2E" w14:textId="77777777" w:rsidR="00AC4B27" w:rsidRPr="00303007" w:rsidRDefault="00AC4B27" w:rsidP="00AC4B2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634BFBBD" w14:textId="77777777" w:rsidR="00AC4B27" w:rsidRPr="00303007" w:rsidRDefault="00AC4B27" w:rsidP="00AC4B2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75056E61" w14:textId="77777777" w:rsidR="00AC4B27" w:rsidRPr="00303007" w:rsidRDefault="00AC4B27" w:rsidP="00AC4B2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5"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C686E94" w14:textId="77777777" w:rsidR="00AC4B27" w:rsidRPr="00303007" w:rsidRDefault="00AC4B27" w:rsidP="00AC4B27">
      <w:pPr>
        <w:pStyle w:val="Heading2"/>
      </w:pPr>
      <w:r w:rsidRPr="00303007">
        <w:t xml:space="preserve">Applications &amp; Costs </w:t>
      </w:r>
    </w:p>
    <w:p w14:paraId="7D6720F8" w14:textId="77777777" w:rsidR="00AC4B27" w:rsidRPr="00303007" w:rsidRDefault="00AC4B27" w:rsidP="00AC4B2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6" w:history="1">
        <w:r w:rsidRPr="00303007">
          <w:rPr>
            <w:rStyle w:val="Hyperlink"/>
            <w:rFonts w:cs="Arial"/>
          </w:rPr>
          <w:t>http://www.aat.gov.au/</w:t>
        </w:r>
      </w:hyperlink>
      <w:r w:rsidRPr="00303007">
        <w:rPr>
          <w:rFonts w:cs="Arial"/>
        </w:rPr>
        <w:t xml:space="preserve">. </w:t>
      </w:r>
    </w:p>
    <w:p w14:paraId="7868B803" w14:textId="77777777" w:rsidR="00AC4B27" w:rsidRPr="00303007" w:rsidRDefault="00AC4B27" w:rsidP="00AC4B27">
      <w:pPr>
        <w:spacing w:before="60" w:after="60"/>
        <w:jc w:val="both"/>
        <w:rPr>
          <w:rFonts w:cs="Arial"/>
        </w:rPr>
      </w:pPr>
      <w:r w:rsidRPr="00303007">
        <w:rPr>
          <w:rFonts w:cs="Arial"/>
          <w:color w:val="000000" w:themeColor="text1"/>
        </w:rPr>
        <w:lastRenderedPageBreak/>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0D0F712C" w14:textId="77777777" w:rsidR="00AC4B27" w:rsidRPr="00303007" w:rsidRDefault="00AC4B27" w:rsidP="00AC4B2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14:paraId="2475675F" w14:textId="77777777" w:rsidR="00AC4B27" w:rsidRPr="00303007" w:rsidRDefault="00AC4B27" w:rsidP="00AC4B27">
      <w:pPr>
        <w:pStyle w:val="ListBullet"/>
        <w:spacing w:before="60" w:after="60"/>
      </w:pPr>
      <w:r w:rsidRPr="00303007">
        <w:t>you are receiving legal aid for your application;</w:t>
      </w:r>
    </w:p>
    <w:p w14:paraId="470B7ECE" w14:textId="77777777" w:rsidR="00AC4B27" w:rsidRPr="00303007" w:rsidRDefault="00AC4B27" w:rsidP="00AC4B2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1F0C6FC4" w14:textId="77777777" w:rsidR="00AC4B27" w:rsidRPr="00303007" w:rsidRDefault="00AC4B27" w:rsidP="00AC4B27">
      <w:pPr>
        <w:pStyle w:val="ListBullet"/>
        <w:spacing w:before="60" w:after="60"/>
      </w:pPr>
      <w:r w:rsidRPr="00303007">
        <w:t>you are in prison or lawfully detained in a public institution;</w:t>
      </w:r>
    </w:p>
    <w:p w14:paraId="3B287E42" w14:textId="77777777" w:rsidR="00AC4B27" w:rsidRPr="00303007" w:rsidRDefault="00AC4B27" w:rsidP="00AC4B27">
      <w:pPr>
        <w:pStyle w:val="ListBullet"/>
        <w:spacing w:before="60" w:after="60"/>
      </w:pPr>
      <w:r w:rsidRPr="00303007">
        <w:t xml:space="preserve">you are under 18 years of age; or </w:t>
      </w:r>
    </w:p>
    <w:p w14:paraId="1B806B77" w14:textId="77777777" w:rsidR="00AC4B27" w:rsidRPr="00303007" w:rsidRDefault="00AC4B27" w:rsidP="00AC4B27">
      <w:pPr>
        <w:pStyle w:val="ListBullet"/>
        <w:spacing w:before="60" w:after="60"/>
      </w:pPr>
      <w:r w:rsidRPr="00303007">
        <w:t xml:space="preserve">you are receiving youth allowance, Austudy or ABSTUDY. </w:t>
      </w:r>
    </w:p>
    <w:p w14:paraId="28A784A1" w14:textId="77777777" w:rsidR="00AC4B27" w:rsidRPr="00303007" w:rsidRDefault="00AC4B27" w:rsidP="00AC4B2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7"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3D97EA82" w14:textId="77777777" w:rsidR="00AC4B27" w:rsidRPr="00303007" w:rsidRDefault="00AC4B27" w:rsidP="00AC4B2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080C44C9" w14:textId="77777777" w:rsidR="00AC4B27" w:rsidRPr="00303007" w:rsidRDefault="00AC4B27" w:rsidP="00090631">
      <w:pPr>
        <w:pStyle w:val="Heading2"/>
        <w:spacing w:after="0"/>
      </w:pPr>
      <w:r w:rsidRPr="00303007">
        <w:t>Contact Details</w:t>
      </w:r>
    </w:p>
    <w:p w14:paraId="59B79867" w14:textId="77777777" w:rsidR="00AC4B27" w:rsidRPr="00303007" w:rsidRDefault="00AC4B27" w:rsidP="00AC4B27">
      <w:pPr>
        <w:spacing w:before="60" w:after="60"/>
        <w:rPr>
          <w:rFonts w:cs="Arial"/>
        </w:rPr>
      </w:pPr>
      <w:r w:rsidRPr="00303007">
        <w:rPr>
          <w:rFonts w:cs="Arial"/>
        </w:rPr>
        <w:t>Further information or enquiries relating to the decision should be directed to:</w:t>
      </w:r>
    </w:p>
    <w:p w14:paraId="735E88E6" w14:textId="77777777" w:rsidR="00AC4B27" w:rsidRPr="00303007" w:rsidRDefault="00AC4B27" w:rsidP="00AC4B27">
      <w:pPr>
        <w:spacing w:before="60" w:after="6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14:paraId="0CB6C576" w14:textId="77777777" w:rsidR="00AC4B27" w:rsidRPr="00303007" w:rsidRDefault="00AC4B27" w:rsidP="00AC4B2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14:paraId="5AC1F48A" w14:textId="77777777" w:rsidR="00AC4B27" w:rsidRPr="00303007" w:rsidRDefault="00AC4B27" w:rsidP="00AC4B2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8"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9" w:history="1">
        <w:r w:rsidRPr="00303007">
          <w:rPr>
            <w:rStyle w:val="Hyperlink"/>
            <w:rFonts w:cs="Arial"/>
          </w:rPr>
          <w:t>http://www.aat.gov.au</w:t>
        </w:r>
      </w:hyperlink>
      <w:r w:rsidRPr="00303007">
        <w:rPr>
          <w:rFonts w:cs="Arial"/>
        </w:rPr>
        <w:t xml:space="preserve"> </w:t>
      </w:r>
    </w:p>
    <w:p w14:paraId="5DCF4692" w14:textId="77777777" w:rsidR="00AC4B27" w:rsidRPr="00632BC5" w:rsidRDefault="00AC4B27" w:rsidP="00090631">
      <w:pPr>
        <w:pStyle w:val="Heading2"/>
        <w:spacing w:after="0"/>
      </w:pPr>
      <w:r w:rsidRPr="00632BC5">
        <w:t>Freedom of Information Request</w:t>
      </w:r>
    </w:p>
    <w:p w14:paraId="4589631B" w14:textId="24041968" w:rsidR="009C333F" w:rsidRDefault="00AC4B27" w:rsidP="00090631">
      <w:pPr>
        <w:spacing w:before="60" w:after="60"/>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0"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1" w:history="1">
        <w:r w:rsidRPr="00303007">
          <w:rPr>
            <w:rStyle w:val="Hyperlink"/>
            <w:rFonts w:cs="Arial"/>
          </w:rPr>
          <w:t>foi@environment.gov.au</w:t>
        </w:r>
      </w:hyperlink>
      <w:r w:rsidRPr="00303007">
        <w:rPr>
          <w:rFonts w:cs="Arial"/>
        </w:rPr>
        <w:t xml:space="preserve"> for more information. </w:t>
      </w:r>
    </w:p>
    <w:sectPr w:rsidR="009C333F" w:rsidSect="00652424">
      <w:headerReference w:type="even" r:id="rId22"/>
      <w:footerReference w:type="default" r:id="rId23"/>
      <w:headerReference w:type="first" r:id="rId24"/>
      <w:footerReference w:type="first" r:id="rId25"/>
      <w:pgSz w:w="11906" w:h="16838"/>
      <w:pgMar w:top="1134" w:right="1134" w:bottom="1134" w:left="1134" w:header="851"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75DC3" w14:textId="77777777" w:rsidR="002B2F2C" w:rsidRDefault="002B2F2C" w:rsidP="00A60185">
      <w:pPr>
        <w:spacing w:after="0" w:line="240" w:lineRule="auto"/>
      </w:pPr>
      <w:r>
        <w:separator/>
      </w:r>
    </w:p>
  </w:endnote>
  <w:endnote w:type="continuationSeparator" w:id="0">
    <w:p w14:paraId="4B10060B" w14:textId="77777777" w:rsidR="002B2F2C" w:rsidRDefault="002B2F2C"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2629E" w14:textId="77777777" w:rsidR="003155E1" w:rsidRDefault="003155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9DA15" w14:textId="77777777" w:rsidR="00F041BE" w:rsidRPr="00C43020" w:rsidRDefault="00F041BE" w:rsidP="00F041BE">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p w14:paraId="4F5D4CF9" w14:textId="77777777" w:rsidR="00F041BE" w:rsidRPr="00F041BE" w:rsidRDefault="00F041BE" w:rsidP="00F041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04968" w14:textId="5AF885A7" w:rsidR="00F041BE" w:rsidRPr="00C43020" w:rsidRDefault="00F041BE" w:rsidP="00F041BE">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p w14:paraId="12664757" w14:textId="251CBFD8" w:rsidR="00F041BE" w:rsidRDefault="00F041BE">
    <w:pPr>
      <w:pStyle w:val="Footer"/>
    </w:pPr>
  </w:p>
  <w:p w14:paraId="12062FD9" w14:textId="77777777" w:rsidR="00F041BE" w:rsidRDefault="00F041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099DC2DD" w14:textId="77777777" w:rsidR="00DF029E" w:rsidRDefault="005868F5">
        <w:pPr>
          <w:pStyle w:val="Footer"/>
        </w:pPr>
        <w:r>
          <w:fldChar w:fldCharType="begin"/>
        </w:r>
        <w:r>
          <w:instrText xml:space="preserve"> PAGE   \* MERGEFORMAT </w:instrText>
        </w:r>
        <w:r>
          <w:fldChar w:fldCharType="separate"/>
        </w:r>
        <w:r w:rsidR="003155E1">
          <w:rPr>
            <w:noProof/>
          </w:rPr>
          <w:t>5</w:t>
        </w:r>
        <w:r>
          <w:rPr>
            <w:noProof/>
          </w:rPr>
          <w:fldChar w:fldCharType="end"/>
        </w:r>
      </w:p>
    </w:sdtContent>
  </w:sdt>
  <w:p w14:paraId="04495A73" w14:textId="77777777" w:rsidR="002955F1" w:rsidRDefault="002955F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8238" w14:textId="77777777" w:rsidR="00DF029E" w:rsidRDefault="00DF029E" w:rsidP="00C43020">
    <w:pPr>
      <w:pStyle w:val="Footer"/>
    </w:pPr>
  </w:p>
  <w:p w14:paraId="18AF8632" w14:textId="77777777" w:rsidR="00DF029E" w:rsidRPr="00C43020" w:rsidRDefault="00DF029E"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DD65D" w14:textId="77777777" w:rsidR="002B2F2C" w:rsidRDefault="002B2F2C" w:rsidP="00A60185">
      <w:pPr>
        <w:spacing w:after="0" w:line="240" w:lineRule="auto"/>
      </w:pPr>
      <w:r>
        <w:separator/>
      </w:r>
    </w:p>
  </w:footnote>
  <w:footnote w:type="continuationSeparator" w:id="0">
    <w:p w14:paraId="34D6C64D" w14:textId="77777777" w:rsidR="002B2F2C" w:rsidRDefault="002B2F2C" w:rsidP="00A60185">
      <w:pPr>
        <w:spacing w:after="0" w:line="240" w:lineRule="auto"/>
      </w:pPr>
      <w:r>
        <w:continuationSeparator/>
      </w:r>
    </w:p>
  </w:footnote>
  <w:footnote w:id="1">
    <w:p w14:paraId="5C7F4E50" w14:textId="77777777" w:rsidR="00AC4B27" w:rsidRDefault="00AC4B27" w:rsidP="00AC4B2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B47D3" w14:textId="77777777" w:rsidR="003155E1" w:rsidRDefault="003155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EC0AD" w14:textId="262DA393" w:rsidR="00F041BE" w:rsidRDefault="00F041BE">
    <w:pPr>
      <w:pStyle w:val="Header"/>
    </w:pPr>
  </w:p>
  <w:p w14:paraId="5724FBB2" w14:textId="77777777" w:rsidR="002B2F2C" w:rsidRPr="008B573B" w:rsidRDefault="002B2F2C" w:rsidP="008B573B">
    <w:pPr>
      <w:pStyle w:val="Header"/>
      <w:jc w:val="right"/>
      <w:rPr>
        <w:cap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11414" w14:textId="77777777" w:rsidR="002B2F2C" w:rsidRPr="00FA0CF5" w:rsidRDefault="002B2F2C" w:rsidP="00FA0CF5">
    <w:pPr>
      <w:pStyle w:val="Header"/>
    </w:pPr>
    <w:r>
      <w:rPr>
        <w:noProof/>
        <w:lang w:eastAsia="en-AU"/>
      </w:rPr>
      <w:drawing>
        <wp:inline distT="0" distB="0" distL="0" distR="0" wp14:anchorId="3393F79B" wp14:editId="4E8EC1BC">
          <wp:extent cx="4216400" cy="723900"/>
          <wp:effectExtent l="0" t="0" r="0" b="12700"/>
          <wp:docPr id="3" name="Picture 3" descr="DotEnE-inline_nosaf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EnE-inline_nosafespa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E2B73" w14:textId="77777777" w:rsidR="00DF029E" w:rsidRDefault="000A44BD" w:rsidP="00E45765">
    <w:pPr>
      <w:pStyle w:val="Classification"/>
    </w:pPr>
    <w:r>
      <w:fldChar w:fldCharType="begin"/>
    </w:r>
    <w:r w:rsidR="00DF029E">
      <w:instrText xml:space="preserve"> DOCPROPERTY SecurityClassification \* MERGEFORMAT </w:instrText>
    </w:r>
    <w:r>
      <w:fldChar w:fldCharType="separate"/>
    </w:r>
    <w:r w:rsidR="00011848">
      <w:rPr>
        <w:b/>
        <w:bCs/>
        <w:lang w:val="en-US"/>
      </w:rPr>
      <w:t>Error! Unknown document property name.</w:t>
    </w:r>
    <w:r>
      <w:fldChar w:fldCharType="end"/>
    </w:r>
  </w:p>
  <w:p w14:paraId="47F5C939" w14:textId="77777777" w:rsidR="002955F1" w:rsidRDefault="002955F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128D" w14:textId="156C5EDD" w:rsidR="00DF029E" w:rsidRDefault="00616EEC" w:rsidP="005E35DC">
    <w:pPr>
      <w:pStyle w:val="Header"/>
      <w:jc w:val="left"/>
    </w:pPr>
    <w:r>
      <w:tab/>
    </w:r>
    <w:r w:rsidR="00DF029E">
      <w:rPr>
        <w:noProof/>
        <w:lang w:eastAsia="en-AU"/>
      </w:rPr>
      <w:drawing>
        <wp:inline distT="0" distB="0" distL="0" distR="0" wp14:anchorId="15B59C06" wp14:editId="732F51B7">
          <wp:extent cx="3384414" cy="576000"/>
          <wp:effectExtent l="0" t="0" r="698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a:stretch>
                    <a:fillRect/>
                  </a:stretch>
                </pic:blipFill>
                <pic:spPr bwMode="auto">
                  <a:xfrm>
                    <a:off x="0" y="0"/>
                    <a:ext cx="3384414" cy="576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DF438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3" w15:restartNumberingAfterBreak="0">
    <w:nsid w:val="1F745BC2"/>
    <w:multiLevelType w:val="multilevel"/>
    <w:tmpl w:val="E5E89F92"/>
    <w:numStyleLink w:val="BulletList"/>
  </w:abstractNum>
  <w:abstractNum w:abstractNumId="4" w15:restartNumberingAfterBreak="0">
    <w:nsid w:val="25E155CF"/>
    <w:multiLevelType w:val="hybridMultilevel"/>
    <w:tmpl w:val="67F0D6C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95C7B93"/>
    <w:multiLevelType w:val="hybridMultilevel"/>
    <w:tmpl w:val="21F86C82"/>
    <w:lvl w:ilvl="0" w:tplc="3BA20116">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E70717"/>
    <w:multiLevelType w:val="hybridMultilevel"/>
    <w:tmpl w:val="49E4FCC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4A7E091F"/>
    <w:multiLevelType w:val="hybridMultilevel"/>
    <w:tmpl w:val="326A86E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15:restartNumberingAfterBreak="0">
    <w:nsid w:val="67EC1038"/>
    <w:multiLevelType w:val="hybridMultilevel"/>
    <w:tmpl w:val="27123874"/>
    <w:lvl w:ilvl="0" w:tplc="42D2EC26">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6"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7" w15:restartNumberingAfterBreak="0">
    <w:nsid w:val="75732159"/>
    <w:multiLevelType w:val="hybridMultilevel"/>
    <w:tmpl w:val="39E6B3F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5"/>
  </w:num>
  <w:num w:numId="4">
    <w:abstractNumId w:val="14"/>
  </w:num>
  <w:num w:numId="5">
    <w:abstractNumId w:val="7"/>
  </w:num>
  <w:num w:numId="6">
    <w:abstractNumId w:val="6"/>
  </w:num>
  <w:num w:numId="7">
    <w:abstractNumId w:val="12"/>
  </w:num>
  <w:num w:numId="8">
    <w:abstractNumId w:val="3"/>
  </w:num>
  <w:num w:numId="9">
    <w:abstractNumId w:val="2"/>
  </w:num>
  <w:num w:numId="10">
    <w:abstractNumId w:val="1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0"/>
  </w:num>
  <w:num w:numId="14">
    <w:abstractNumId w:val="11"/>
  </w:num>
  <w:num w:numId="15">
    <w:abstractNumId w:val="13"/>
  </w:num>
  <w:num w:numId="16">
    <w:abstractNumId w:val="17"/>
  </w:num>
  <w:num w:numId="17">
    <w:abstractNumId w:val="8"/>
  </w:num>
  <w:num w:numId="18">
    <w:abstractNumId w:val="4"/>
  </w:num>
  <w:num w:numId="19">
    <w:abstractNumId w:val="9"/>
  </w:num>
  <w:num w:numId="20">
    <w:abstractNumId w:val="5"/>
  </w:num>
  <w:num w:numId="2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2B2F2C"/>
    <w:rsid w:val="00004AEE"/>
    <w:rsid w:val="00005CAA"/>
    <w:rsid w:val="00010210"/>
    <w:rsid w:val="00011848"/>
    <w:rsid w:val="00014060"/>
    <w:rsid w:val="000159C6"/>
    <w:rsid w:val="00015ADA"/>
    <w:rsid w:val="00017BB8"/>
    <w:rsid w:val="00020C99"/>
    <w:rsid w:val="000260F8"/>
    <w:rsid w:val="0002707B"/>
    <w:rsid w:val="00031219"/>
    <w:rsid w:val="000442EB"/>
    <w:rsid w:val="0005148E"/>
    <w:rsid w:val="0005270A"/>
    <w:rsid w:val="00053EAC"/>
    <w:rsid w:val="00063AF2"/>
    <w:rsid w:val="000642C0"/>
    <w:rsid w:val="00071F4A"/>
    <w:rsid w:val="000759E5"/>
    <w:rsid w:val="00080A47"/>
    <w:rsid w:val="0008356A"/>
    <w:rsid w:val="0008410F"/>
    <w:rsid w:val="00084AC6"/>
    <w:rsid w:val="00085C49"/>
    <w:rsid w:val="00087B76"/>
    <w:rsid w:val="00090631"/>
    <w:rsid w:val="00091608"/>
    <w:rsid w:val="0009257B"/>
    <w:rsid w:val="0009333C"/>
    <w:rsid w:val="0009704F"/>
    <w:rsid w:val="000A0F11"/>
    <w:rsid w:val="000A125A"/>
    <w:rsid w:val="000A44BD"/>
    <w:rsid w:val="000A4D95"/>
    <w:rsid w:val="000A57CD"/>
    <w:rsid w:val="000B3758"/>
    <w:rsid w:val="000B7681"/>
    <w:rsid w:val="000B7B42"/>
    <w:rsid w:val="000C02B7"/>
    <w:rsid w:val="000C5342"/>
    <w:rsid w:val="000C5DFC"/>
    <w:rsid w:val="000C63ED"/>
    <w:rsid w:val="000C706A"/>
    <w:rsid w:val="000C78E4"/>
    <w:rsid w:val="000D2887"/>
    <w:rsid w:val="000D61D0"/>
    <w:rsid w:val="000D6D63"/>
    <w:rsid w:val="000E0081"/>
    <w:rsid w:val="000E07CF"/>
    <w:rsid w:val="000E0B31"/>
    <w:rsid w:val="0011498E"/>
    <w:rsid w:val="00115BF1"/>
    <w:rsid w:val="00117A45"/>
    <w:rsid w:val="001219EE"/>
    <w:rsid w:val="00122471"/>
    <w:rsid w:val="001224AE"/>
    <w:rsid w:val="00123748"/>
    <w:rsid w:val="00130725"/>
    <w:rsid w:val="001337D4"/>
    <w:rsid w:val="00143480"/>
    <w:rsid w:val="00147C12"/>
    <w:rsid w:val="001527A1"/>
    <w:rsid w:val="001530DC"/>
    <w:rsid w:val="00154989"/>
    <w:rsid w:val="00155A9F"/>
    <w:rsid w:val="00160262"/>
    <w:rsid w:val="0016616A"/>
    <w:rsid w:val="0016780A"/>
    <w:rsid w:val="00173EBF"/>
    <w:rsid w:val="0018112F"/>
    <w:rsid w:val="0018325B"/>
    <w:rsid w:val="001842A2"/>
    <w:rsid w:val="00187FA8"/>
    <w:rsid w:val="0019119A"/>
    <w:rsid w:val="00191C5D"/>
    <w:rsid w:val="00192F5E"/>
    <w:rsid w:val="00197772"/>
    <w:rsid w:val="001A51C8"/>
    <w:rsid w:val="001A6852"/>
    <w:rsid w:val="001A76BB"/>
    <w:rsid w:val="001B4CA8"/>
    <w:rsid w:val="001B6A9D"/>
    <w:rsid w:val="001C1D95"/>
    <w:rsid w:val="001C4F3D"/>
    <w:rsid w:val="001D0CDC"/>
    <w:rsid w:val="001D1B03"/>
    <w:rsid w:val="001D1D82"/>
    <w:rsid w:val="001E0084"/>
    <w:rsid w:val="001E0274"/>
    <w:rsid w:val="001E1182"/>
    <w:rsid w:val="001E1CE4"/>
    <w:rsid w:val="001E25B3"/>
    <w:rsid w:val="001F4075"/>
    <w:rsid w:val="001F5719"/>
    <w:rsid w:val="00202C90"/>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7218C"/>
    <w:rsid w:val="00285F1B"/>
    <w:rsid w:val="00292B81"/>
    <w:rsid w:val="002955F1"/>
    <w:rsid w:val="002A11A4"/>
    <w:rsid w:val="002B18AE"/>
    <w:rsid w:val="002B2F2C"/>
    <w:rsid w:val="002B3674"/>
    <w:rsid w:val="002C1C93"/>
    <w:rsid w:val="002C2FB1"/>
    <w:rsid w:val="002C5066"/>
    <w:rsid w:val="002C5CB6"/>
    <w:rsid w:val="002D022C"/>
    <w:rsid w:val="002D37E9"/>
    <w:rsid w:val="002D419A"/>
    <w:rsid w:val="002D4AAC"/>
    <w:rsid w:val="002D5702"/>
    <w:rsid w:val="002E3BAF"/>
    <w:rsid w:val="002E5D24"/>
    <w:rsid w:val="002E7914"/>
    <w:rsid w:val="002F045A"/>
    <w:rsid w:val="002F18F8"/>
    <w:rsid w:val="0030039D"/>
    <w:rsid w:val="0030171F"/>
    <w:rsid w:val="00302B2F"/>
    <w:rsid w:val="0030326F"/>
    <w:rsid w:val="00310701"/>
    <w:rsid w:val="003155E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069A"/>
    <w:rsid w:val="003968BA"/>
    <w:rsid w:val="00396D6E"/>
    <w:rsid w:val="003975FD"/>
    <w:rsid w:val="003A0F88"/>
    <w:rsid w:val="003A4479"/>
    <w:rsid w:val="003B4F5B"/>
    <w:rsid w:val="003B6068"/>
    <w:rsid w:val="003B60CC"/>
    <w:rsid w:val="003B6389"/>
    <w:rsid w:val="003B6EE4"/>
    <w:rsid w:val="003C09B7"/>
    <w:rsid w:val="003C2443"/>
    <w:rsid w:val="003C3953"/>
    <w:rsid w:val="003C5DA3"/>
    <w:rsid w:val="003D3891"/>
    <w:rsid w:val="003D4BCD"/>
    <w:rsid w:val="003D5140"/>
    <w:rsid w:val="003E2100"/>
    <w:rsid w:val="003F6395"/>
    <w:rsid w:val="003F6F5B"/>
    <w:rsid w:val="00401566"/>
    <w:rsid w:val="0040342D"/>
    <w:rsid w:val="0041192D"/>
    <w:rsid w:val="00413D8E"/>
    <w:rsid w:val="00413EE1"/>
    <w:rsid w:val="0042128E"/>
    <w:rsid w:val="00421FEC"/>
    <w:rsid w:val="00430252"/>
    <w:rsid w:val="00432B60"/>
    <w:rsid w:val="00434A49"/>
    <w:rsid w:val="00440698"/>
    <w:rsid w:val="004540E2"/>
    <w:rsid w:val="00455A78"/>
    <w:rsid w:val="0046116B"/>
    <w:rsid w:val="0046173C"/>
    <w:rsid w:val="00464930"/>
    <w:rsid w:val="00470438"/>
    <w:rsid w:val="004712A5"/>
    <w:rsid w:val="0047266F"/>
    <w:rsid w:val="00476D6B"/>
    <w:rsid w:val="00485FF0"/>
    <w:rsid w:val="00492C16"/>
    <w:rsid w:val="004950FD"/>
    <w:rsid w:val="004A0678"/>
    <w:rsid w:val="004A4393"/>
    <w:rsid w:val="004A48A3"/>
    <w:rsid w:val="004B0D92"/>
    <w:rsid w:val="004B0EC0"/>
    <w:rsid w:val="004B1E81"/>
    <w:rsid w:val="004B342C"/>
    <w:rsid w:val="004B4500"/>
    <w:rsid w:val="004B66F1"/>
    <w:rsid w:val="004B74F9"/>
    <w:rsid w:val="004C3EA0"/>
    <w:rsid w:val="004D2555"/>
    <w:rsid w:val="004D42A8"/>
    <w:rsid w:val="004F0A9D"/>
    <w:rsid w:val="004F60AC"/>
    <w:rsid w:val="004F7169"/>
    <w:rsid w:val="00500D66"/>
    <w:rsid w:val="00514C8E"/>
    <w:rsid w:val="00516326"/>
    <w:rsid w:val="00525EF4"/>
    <w:rsid w:val="0052681E"/>
    <w:rsid w:val="00527851"/>
    <w:rsid w:val="00531DBF"/>
    <w:rsid w:val="00543AEC"/>
    <w:rsid w:val="00545759"/>
    <w:rsid w:val="00545BE0"/>
    <w:rsid w:val="00562E85"/>
    <w:rsid w:val="0056332F"/>
    <w:rsid w:val="00566906"/>
    <w:rsid w:val="005675AE"/>
    <w:rsid w:val="00580B86"/>
    <w:rsid w:val="00581C39"/>
    <w:rsid w:val="00585198"/>
    <w:rsid w:val="005868F5"/>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5F380A"/>
    <w:rsid w:val="0060462F"/>
    <w:rsid w:val="0060602D"/>
    <w:rsid w:val="00607FC9"/>
    <w:rsid w:val="0061002D"/>
    <w:rsid w:val="006139B8"/>
    <w:rsid w:val="00616EEC"/>
    <w:rsid w:val="00622FE1"/>
    <w:rsid w:val="0062521C"/>
    <w:rsid w:val="00627DAF"/>
    <w:rsid w:val="00630A2B"/>
    <w:rsid w:val="00632DC7"/>
    <w:rsid w:val="006357FB"/>
    <w:rsid w:val="00635C5E"/>
    <w:rsid w:val="006406FC"/>
    <w:rsid w:val="00643B47"/>
    <w:rsid w:val="00645CB8"/>
    <w:rsid w:val="00652424"/>
    <w:rsid w:val="00653E16"/>
    <w:rsid w:val="00653F7B"/>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32CE"/>
    <w:rsid w:val="00744429"/>
    <w:rsid w:val="007462EB"/>
    <w:rsid w:val="007470BF"/>
    <w:rsid w:val="00751C97"/>
    <w:rsid w:val="00753A80"/>
    <w:rsid w:val="0075732A"/>
    <w:rsid w:val="00757539"/>
    <w:rsid w:val="00760262"/>
    <w:rsid w:val="0076310C"/>
    <w:rsid w:val="00765748"/>
    <w:rsid w:val="0076744F"/>
    <w:rsid w:val="00767BCE"/>
    <w:rsid w:val="007707DE"/>
    <w:rsid w:val="00770B5D"/>
    <w:rsid w:val="007752F1"/>
    <w:rsid w:val="00775583"/>
    <w:rsid w:val="00775DF7"/>
    <w:rsid w:val="00776768"/>
    <w:rsid w:val="007836B5"/>
    <w:rsid w:val="007953DA"/>
    <w:rsid w:val="00795EA3"/>
    <w:rsid w:val="007A2150"/>
    <w:rsid w:val="007A2573"/>
    <w:rsid w:val="007A570A"/>
    <w:rsid w:val="007A6A1A"/>
    <w:rsid w:val="007B106C"/>
    <w:rsid w:val="007B1A4E"/>
    <w:rsid w:val="007B3617"/>
    <w:rsid w:val="007B3D05"/>
    <w:rsid w:val="007C0C81"/>
    <w:rsid w:val="007C114B"/>
    <w:rsid w:val="007C1328"/>
    <w:rsid w:val="007C4A0D"/>
    <w:rsid w:val="007D14B4"/>
    <w:rsid w:val="007D2191"/>
    <w:rsid w:val="007D2FC3"/>
    <w:rsid w:val="007D5962"/>
    <w:rsid w:val="007E24F6"/>
    <w:rsid w:val="007E7612"/>
    <w:rsid w:val="007F2EED"/>
    <w:rsid w:val="00800F64"/>
    <w:rsid w:val="00802F0B"/>
    <w:rsid w:val="00810A67"/>
    <w:rsid w:val="00821A31"/>
    <w:rsid w:val="00821AC5"/>
    <w:rsid w:val="00831030"/>
    <w:rsid w:val="008316C6"/>
    <w:rsid w:val="00833CF7"/>
    <w:rsid w:val="00835703"/>
    <w:rsid w:val="00837D61"/>
    <w:rsid w:val="00843089"/>
    <w:rsid w:val="00845601"/>
    <w:rsid w:val="00853978"/>
    <w:rsid w:val="00855C5C"/>
    <w:rsid w:val="0086185F"/>
    <w:rsid w:val="00864AA3"/>
    <w:rsid w:val="00864C51"/>
    <w:rsid w:val="00882459"/>
    <w:rsid w:val="0089105C"/>
    <w:rsid w:val="008925A3"/>
    <w:rsid w:val="008A2B4A"/>
    <w:rsid w:val="008A3C96"/>
    <w:rsid w:val="008B4019"/>
    <w:rsid w:val="008B65C9"/>
    <w:rsid w:val="008C2D4A"/>
    <w:rsid w:val="008C49DA"/>
    <w:rsid w:val="008D07BD"/>
    <w:rsid w:val="008D3900"/>
    <w:rsid w:val="008D6E1D"/>
    <w:rsid w:val="008E004C"/>
    <w:rsid w:val="008E611A"/>
    <w:rsid w:val="008F39B4"/>
    <w:rsid w:val="008F4162"/>
    <w:rsid w:val="00903E02"/>
    <w:rsid w:val="00907A63"/>
    <w:rsid w:val="009120E4"/>
    <w:rsid w:val="00913175"/>
    <w:rsid w:val="00916EDB"/>
    <w:rsid w:val="009240A6"/>
    <w:rsid w:val="009242EF"/>
    <w:rsid w:val="00932291"/>
    <w:rsid w:val="0093408E"/>
    <w:rsid w:val="00947CBC"/>
    <w:rsid w:val="00952DDF"/>
    <w:rsid w:val="0096170E"/>
    <w:rsid w:val="009700F2"/>
    <w:rsid w:val="00976E4A"/>
    <w:rsid w:val="00992454"/>
    <w:rsid w:val="00995670"/>
    <w:rsid w:val="009B38BE"/>
    <w:rsid w:val="009C333F"/>
    <w:rsid w:val="009C3D0F"/>
    <w:rsid w:val="009D2C54"/>
    <w:rsid w:val="009D2FDC"/>
    <w:rsid w:val="009E1F58"/>
    <w:rsid w:val="009E2913"/>
    <w:rsid w:val="009F35E2"/>
    <w:rsid w:val="009F5BEB"/>
    <w:rsid w:val="009F65F9"/>
    <w:rsid w:val="009F68BA"/>
    <w:rsid w:val="009F7C99"/>
    <w:rsid w:val="00A05947"/>
    <w:rsid w:val="00A06277"/>
    <w:rsid w:val="00A06DBE"/>
    <w:rsid w:val="00A079DC"/>
    <w:rsid w:val="00A111C2"/>
    <w:rsid w:val="00A17D0F"/>
    <w:rsid w:val="00A23425"/>
    <w:rsid w:val="00A27314"/>
    <w:rsid w:val="00A276C6"/>
    <w:rsid w:val="00A338E7"/>
    <w:rsid w:val="00A343B2"/>
    <w:rsid w:val="00A35CAA"/>
    <w:rsid w:val="00A36E7F"/>
    <w:rsid w:val="00A37E9D"/>
    <w:rsid w:val="00A41E65"/>
    <w:rsid w:val="00A4283A"/>
    <w:rsid w:val="00A43E0A"/>
    <w:rsid w:val="00A45659"/>
    <w:rsid w:val="00A47107"/>
    <w:rsid w:val="00A52798"/>
    <w:rsid w:val="00A539B1"/>
    <w:rsid w:val="00A55F5B"/>
    <w:rsid w:val="00A57FB9"/>
    <w:rsid w:val="00A60185"/>
    <w:rsid w:val="00A65959"/>
    <w:rsid w:val="00A661EA"/>
    <w:rsid w:val="00A70809"/>
    <w:rsid w:val="00A76E17"/>
    <w:rsid w:val="00A830E5"/>
    <w:rsid w:val="00A86618"/>
    <w:rsid w:val="00A87135"/>
    <w:rsid w:val="00A919A4"/>
    <w:rsid w:val="00A93280"/>
    <w:rsid w:val="00AA2548"/>
    <w:rsid w:val="00AA58C4"/>
    <w:rsid w:val="00AB11C8"/>
    <w:rsid w:val="00AB60CF"/>
    <w:rsid w:val="00AC08A8"/>
    <w:rsid w:val="00AC2567"/>
    <w:rsid w:val="00AC4B27"/>
    <w:rsid w:val="00AC73E5"/>
    <w:rsid w:val="00AD56C8"/>
    <w:rsid w:val="00AD58F2"/>
    <w:rsid w:val="00AD5BA0"/>
    <w:rsid w:val="00AE02CA"/>
    <w:rsid w:val="00AF3EC2"/>
    <w:rsid w:val="00B00313"/>
    <w:rsid w:val="00B01599"/>
    <w:rsid w:val="00B0197B"/>
    <w:rsid w:val="00B01FD6"/>
    <w:rsid w:val="00B03A27"/>
    <w:rsid w:val="00B0529F"/>
    <w:rsid w:val="00B12E44"/>
    <w:rsid w:val="00B1418B"/>
    <w:rsid w:val="00B14B15"/>
    <w:rsid w:val="00B21195"/>
    <w:rsid w:val="00B24B22"/>
    <w:rsid w:val="00B25310"/>
    <w:rsid w:val="00B32F8F"/>
    <w:rsid w:val="00B404DC"/>
    <w:rsid w:val="00B54DE9"/>
    <w:rsid w:val="00B553EC"/>
    <w:rsid w:val="00B62B98"/>
    <w:rsid w:val="00B65E27"/>
    <w:rsid w:val="00B66EBE"/>
    <w:rsid w:val="00B70ED4"/>
    <w:rsid w:val="00B774CD"/>
    <w:rsid w:val="00B902E9"/>
    <w:rsid w:val="00B93DD0"/>
    <w:rsid w:val="00B97732"/>
    <w:rsid w:val="00BA65A8"/>
    <w:rsid w:val="00BA65B3"/>
    <w:rsid w:val="00BA6D19"/>
    <w:rsid w:val="00BA7461"/>
    <w:rsid w:val="00BA7DA9"/>
    <w:rsid w:val="00BC4215"/>
    <w:rsid w:val="00BC473A"/>
    <w:rsid w:val="00BD0A70"/>
    <w:rsid w:val="00BD1A6F"/>
    <w:rsid w:val="00BD5DB8"/>
    <w:rsid w:val="00BD5F54"/>
    <w:rsid w:val="00BD6A16"/>
    <w:rsid w:val="00BE033E"/>
    <w:rsid w:val="00BE4871"/>
    <w:rsid w:val="00BE6D3C"/>
    <w:rsid w:val="00BE7852"/>
    <w:rsid w:val="00BE7E91"/>
    <w:rsid w:val="00BF3F7C"/>
    <w:rsid w:val="00BF5519"/>
    <w:rsid w:val="00BF671B"/>
    <w:rsid w:val="00BF7602"/>
    <w:rsid w:val="00BF7CEE"/>
    <w:rsid w:val="00C03880"/>
    <w:rsid w:val="00C132E3"/>
    <w:rsid w:val="00C135CF"/>
    <w:rsid w:val="00C173B0"/>
    <w:rsid w:val="00C17F88"/>
    <w:rsid w:val="00C22E15"/>
    <w:rsid w:val="00C2683F"/>
    <w:rsid w:val="00C3184D"/>
    <w:rsid w:val="00C41305"/>
    <w:rsid w:val="00C43020"/>
    <w:rsid w:val="00C4714E"/>
    <w:rsid w:val="00C5366B"/>
    <w:rsid w:val="00C5504F"/>
    <w:rsid w:val="00C63376"/>
    <w:rsid w:val="00C634DE"/>
    <w:rsid w:val="00C74F97"/>
    <w:rsid w:val="00C8276E"/>
    <w:rsid w:val="00C83DEB"/>
    <w:rsid w:val="00C842AC"/>
    <w:rsid w:val="00C85444"/>
    <w:rsid w:val="00C86DC8"/>
    <w:rsid w:val="00C90E71"/>
    <w:rsid w:val="00C91088"/>
    <w:rsid w:val="00C91E5A"/>
    <w:rsid w:val="00CA0723"/>
    <w:rsid w:val="00CA3EE6"/>
    <w:rsid w:val="00CB1690"/>
    <w:rsid w:val="00CC1AE6"/>
    <w:rsid w:val="00CC4365"/>
    <w:rsid w:val="00CD11B0"/>
    <w:rsid w:val="00CD3A95"/>
    <w:rsid w:val="00CD7E72"/>
    <w:rsid w:val="00CE71C2"/>
    <w:rsid w:val="00CF42D5"/>
    <w:rsid w:val="00CF4EDA"/>
    <w:rsid w:val="00CF7F37"/>
    <w:rsid w:val="00D021CB"/>
    <w:rsid w:val="00D0562E"/>
    <w:rsid w:val="00D05A2D"/>
    <w:rsid w:val="00D06682"/>
    <w:rsid w:val="00D10ACD"/>
    <w:rsid w:val="00D10F1A"/>
    <w:rsid w:val="00D116F8"/>
    <w:rsid w:val="00D14BE2"/>
    <w:rsid w:val="00D1559E"/>
    <w:rsid w:val="00D17596"/>
    <w:rsid w:val="00D2323D"/>
    <w:rsid w:val="00D26D3A"/>
    <w:rsid w:val="00D31545"/>
    <w:rsid w:val="00D3508B"/>
    <w:rsid w:val="00D36AAA"/>
    <w:rsid w:val="00D374CF"/>
    <w:rsid w:val="00D45EE3"/>
    <w:rsid w:val="00D461CE"/>
    <w:rsid w:val="00D50618"/>
    <w:rsid w:val="00D509E9"/>
    <w:rsid w:val="00D50A8A"/>
    <w:rsid w:val="00D53B1C"/>
    <w:rsid w:val="00D5575B"/>
    <w:rsid w:val="00D64914"/>
    <w:rsid w:val="00D80F3B"/>
    <w:rsid w:val="00D96E71"/>
    <w:rsid w:val="00DA1B12"/>
    <w:rsid w:val="00DA54C9"/>
    <w:rsid w:val="00DA6739"/>
    <w:rsid w:val="00DA6CAE"/>
    <w:rsid w:val="00DB1A9E"/>
    <w:rsid w:val="00DB31D6"/>
    <w:rsid w:val="00DB4005"/>
    <w:rsid w:val="00DB755E"/>
    <w:rsid w:val="00DC34EB"/>
    <w:rsid w:val="00DC440A"/>
    <w:rsid w:val="00DC5433"/>
    <w:rsid w:val="00DC781A"/>
    <w:rsid w:val="00DE633A"/>
    <w:rsid w:val="00DF029E"/>
    <w:rsid w:val="00DF1E5B"/>
    <w:rsid w:val="00DF2275"/>
    <w:rsid w:val="00DF3F5E"/>
    <w:rsid w:val="00DF7BCD"/>
    <w:rsid w:val="00E0596E"/>
    <w:rsid w:val="00E06F66"/>
    <w:rsid w:val="00E136BA"/>
    <w:rsid w:val="00E138B9"/>
    <w:rsid w:val="00E22AD5"/>
    <w:rsid w:val="00E35436"/>
    <w:rsid w:val="00E356E5"/>
    <w:rsid w:val="00E36F81"/>
    <w:rsid w:val="00E44648"/>
    <w:rsid w:val="00E452FA"/>
    <w:rsid w:val="00E45765"/>
    <w:rsid w:val="00E45E10"/>
    <w:rsid w:val="00E5098C"/>
    <w:rsid w:val="00E50DC9"/>
    <w:rsid w:val="00E578C1"/>
    <w:rsid w:val="00E60213"/>
    <w:rsid w:val="00E74D29"/>
    <w:rsid w:val="00E83C74"/>
    <w:rsid w:val="00E83CEE"/>
    <w:rsid w:val="00E86DB3"/>
    <w:rsid w:val="00E8776C"/>
    <w:rsid w:val="00E9226D"/>
    <w:rsid w:val="00E923D6"/>
    <w:rsid w:val="00EA337A"/>
    <w:rsid w:val="00EA4D3C"/>
    <w:rsid w:val="00EA5941"/>
    <w:rsid w:val="00EB02BE"/>
    <w:rsid w:val="00EB4974"/>
    <w:rsid w:val="00EB4DFB"/>
    <w:rsid w:val="00EB60CE"/>
    <w:rsid w:val="00EB7D53"/>
    <w:rsid w:val="00EC1555"/>
    <w:rsid w:val="00EC24FD"/>
    <w:rsid w:val="00ED2725"/>
    <w:rsid w:val="00EE1E28"/>
    <w:rsid w:val="00EE2A2B"/>
    <w:rsid w:val="00EE3146"/>
    <w:rsid w:val="00EF50BB"/>
    <w:rsid w:val="00EF745C"/>
    <w:rsid w:val="00EF746E"/>
    <w:rsid w:val="00EF7DAD"/>
    <w:rsid w:val="00F00192"/>
    <w:rsid w:val="00F01DF6"/>
    <w:rsid w:val="00F0340D"/>
    <w:rsid w:val="00F041BE"/>
    <w:rsid w:val="00F23756"/>
    <w:rsid w:val="00F2523A"/>
    <w:rsid w:val="00F25FFA"/>
    <w:rsid w:val="00F310D2"/>
    <w:rsid w:val="00F35B89"/>
    <w:rsid w:val="00F35F6C"/>
    <w:rsid w:val="00F36F3D"/>
    <w:rsid w:val="00F3797F"/>
    <w:rsid w:val="00F477BD"/>
    <w:rsid w:val="00F5193E"/>
    <w:rsid w:val="00F52AB6"/>
    <w:rsid w:val="00F52EB7"/>
    <w:rsid w:val="00F53491"/>
    <w:rsid w:val="00F53B59"/>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224"/>
    <w:rsid w:val="00F954C9"/>
    <w:rsid w:val="00F977DD"/>
    <w:rsid w:val="00FA61AA"/>
    <w:rsid w:val="00FA62B5"/>
    <w:rsid w:val="00FA69A4"/>
    <w:rsid w:val="00FB1279"/>
    <w:rsid w:val="00FB1495"/>
    <w:rsid w:val="00FB6171"/>
    <w:rsid w:val="00FC4F89"/>
    <w:rsid w:val="00FC64AE"/>
    <w:rsid w:val="00FC779B"/>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26C2E30D"/>
  <w15:docId w15:val="{23051BAB-A614-4E92-B8F9-11639A150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2B2F2C"/>
    <w:rPr>
      <w:color w:val="0000FF"/>
      <w:u w:val="single"/>
    </w:rPr>
  </w:style>
  <w:style w:type="paragraph" w:styleId="PlainText">
    <w:name w:val="Plain Text"/>
    <w:basedOn w:val="Normal"/>
    <w:link w:val="PlainTextChar"/>
    <w:rsid w:val="002B2F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2B2F2C"/>
    <w:rPr>
      <w:rFonts w:ascii="Courier New" w:eastAsia="Times New Roman" w:hAnsi="Courier New" w:cs="Courier New"/>
      <w:sz w:val="20"/>
      <w:szCs w:val="24"/>
      <w:lang w:val="en-GB" w:eastAsia="en-US"/>
    </w:rPr>
  </w:style>
  <w:style w:type="character" w:styleId="FootnoteReference">
    <w:name w:val="footnote reference"/>
    <w:basedOn w:val="DefaultParagraphFont"/>
    <w:uiPriority w:val="99"/>
    <w:semiHidden/>
    <w:rsid w:val="002B2F2C"/>
    <w:rPr>
      <w:vertAlign w:val="superscript"/>
    </w:rPr>
  </w:style>
  <w:style w:type="paragraph" w:styleId="FootnoteText">
    <w:name w:val="footnote text"/>
    <w:basedOn w:val="Normal"/>
    <w:link w:val="FootnoteTextChar"/>
    <w:uiPriority w:val="99"/>
    <w:semiHidden/>
    <w:rsid w:val="002B2F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2B2F2C"/>
    <w:rPr>
      <w:rFonts w:ascii="Times New Roman" w:eastAsia="Times New Roman" w:hAnsi="Times New Roman"/>
      <w:sz w:val="20"/>
      <w:szCs w:val="24"/>
      <w:lang w:val="en-GB" w:eastAsia="en-US"/>
    </w:rPr>
  </w:style>
  <w:style w:type="paragraph" w:styleId="NormalWeb">
    <w:name w:val="Normal (Web)"/>
    <w:basedOn w:val="Normal"/>
    <w:uiPriority w:val="99"/>
    <w:unhideWhenUsed/>
    <w:rsid w:val="002B2F2C"/>
    <w:pPr>
      <w:spacing w:before="100" w:beforeAutospacing="1" w:after="100" w:afterAutospacing="1" w:line="240" w:lineRule="auto"/>
    </w:pPr>
    <w:rPr>
      <w:rFonts w:ascii="Times New Roman" w:eastAsia="Times New Roman" w:hAnsi="Times New Roman"/>
      <w:sz w:val="24"/>
      <w:szCs w:val="24"/>
      <w:lang w:eastAsia="en-AU"/>
    </w:rPr>
  </w:style>
  <w:style w:type="character" w:styleId="CommentReference">
    <w:name w:val="annotation reference"/>
    <w:basedOn w:val="DefaultParagraphFont"/>
    <w:uiPriority w:val="99"/>
    <w:semiHidden/>
    <w:unhideWhenUsed/>
    <w:rsid w:val="002D37E9"/>
    <w:rPr>
      <w:sz w:val="16"/>
      <w:szCs w:val="16"/>
    </w:rPr>
  </w:style>
  <w:style w:type="paragraph" w:styleId="CommentText">
    <w:name w:val="annotation text"/>
    <w:basedOn w:val="Normal"/>
    <w:link w:val="CommentTextChar"/>
    <w:uiPriority w:val="99"/>
    <w:semiHidden/>
    <w:unhideWhenUsed/>
    <w:rsid w:val="002D37E9"/>
    <w:pPr>
      <w:spacing w:line="240" w:lineRule="auto"/>
    </w:pPr>
    <w:rPr>
      <w:sz w:val="20"/>
      <w:szCs w:val="20"/>
    </w:rPr>
  </w:style>
  <w:style w:type="character" w:customStyle="1" w:styleId="CommentTextChar">
    <w:name w:val="Comment Text Char"/>
    <w:basedOn w:val="DefaultParagraphFont"/>
    <w:link w:val="CommentText"/>
    <w:uiPriority w:val="99"/>
    <w:semiHidden/>
    <w:rsid w:val="002D37E9"/>
    <w:rPr>
      <w:sz w:val="20"/>
      <w:szCs w:val="20"/>
      <w:lang w:eastAsia="en-US"/>
    </w:rPr>
  </w:style>
  <w:style w:type="paragraph" w:styleId="CommentSubject">
    <w:name w:val="annotation subject"/>
    <w:basedOn w:val="CommentText"/>
    <w:next w:val="CommentText"/>
    <w:link w:val="CommentSubjectChar"/>
    <w:uiPriority w:val="99"/>
    <w:semiHidden/>
    <w:unhideWhenUsed/>
    <w:rsid w:val="002D37E9"/>
    <w:rPr>
      <w:b/>
      <w:bCs/>
    </w:rPr>
  </w:style>
  <w:style w:type="character" w:customStyle="1" w:styleId="CommentSubjectChar">
    <w:name w:val="Comment Subject Char"/>
    <w:basedOn w:val="CommentTextChar"/>
    <w:link w:val="CommentSubject"/>
    <w:uiPriority w:val="99"/>
    <w:semiHidden/>
    <w:rsid w:val="002D37E9"/>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eneralreviews@aat.gov.a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hyperlink" Target="https://www.environment.gov.au/marine/fisheries/qld/line" TargetMode="External"/><Relationship Id="rId12" Type="http://schemas.openxmlformats.org/officeDocument/2006/relationships/header" Target="header3.xml"/><Relationship Id="rId17" Type="http://schemas.openxmlformats.org/officeDocument/2006/relationships/hyperlink" Target="https://www.ag.gov.au/LegalSystem/Legalaidprogrammes/Commonwealthlegalfinancialassistance/Documents/LegalFinancialAssistanceInformationSheet.pdf"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eader" Target="head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B84F8248.dotm</Template>
  <TotalTime>1</TotalTime>
  <Pages>7</Pages>
  <Words>2125</Words>
  <Characters>12114</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dc:title>
  <dc:subject/>
  <dc:creator>Department of the Environment and Energy</dc:creator>
  <cp:keywords/>
  <dc:description/>
  <cp:lastModifiedBy>Durack, Bec</cp:lastModifiedBy>
  <cp:revision>2</cp:revision>
  <dcterms:created xsi:type="dcterms:W3CDTF">2019-11-21T00:58:00Z</dcterms:created>
  <dcterms:modified xsi:type="dcterms:W3CDTF">2019-11-21T00:58:00Z</dcterms:modified>
</cp:coreProperties>
</file>