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22EBA" w14:textId="77777777" w:rsidR="00CF5CAE" w:rsidRPr="00B0197B" w:rsidRDefault="00CF5CAE" w:rsidP="00CF5CAE">
      <w:pPr>
        <w:jc w:val="right"/>
      </w:pPr>
      <w:r w:rsidRPr="0012744F">
        <w:t xml:space="preserve">Ref: </w:t>
      </w:r>
      <w:r w:rsidR="00110DED">
        <w:t>1445389</w:t>
      </w:r>
    </w:p>
    <w:p w14:paraId="14922EBB" w14:textId="77777777" w:rsidR="00CF5CAE" w:rsidRDefault="00CF5CAE" w:rsidP="00CF5CAE">
      <w:pPr>
        <w:contextualSpacing/>
      </w:pPr>
    </w:p>
    <w:p w14:paraId="14922EBC" w14:textId="77777777" w:rsidR="00CF5CAE" w:rsidRDefault="00CF5CAE" w:rsidP="00CF5CAE">
      <w:pPr>
        <w:contextualSpacing/>
      </w:pPr>
    </w:p>
    <w:p w14:paraId="14922EBD" w14:textId="31BD3CD0" w:rsidR="00674D9A" w:rsidRDefault="00CF5CAE" w:rsidP="00674D9A">
      <w:pPr>
        <w:spacing w:after="0"/>
        <w:ind w:left="369" w:hanging="369"/>
      </w:pPr>
      <w:r w:rsidRPr="00CB0489">
        <w:t xml:space="preserve">The Hon </w:t>
      </w:r>
      <w:r w:rsidR="00980A44">
        <w:t>Bill Byrne</w:t>
      </w:r>
      <w:r w:rsidR="00674D9A" w:rsidRPr="003702D7">
        <w:t xml:space="preserve"> MP</w:t>
      </w:r>
    </w:p>
    <w:p w14:paraId="14922EBE" w14:textId="77777777" w:rsidR="00674D9A" w:rsidRDefault="00674D9A" w:rsidP="00674D9A">
      <w:pPr>
        <w:spacing w:after="0"/>
        <w:ind w:left="369" w:hanging="369"/>
      </w:pPr>
      <w:r>
        <w:t xml:space="preserve">Minister for </w:t>
      </w:r>
      <w:r w:rsidRPr="003702D7">
        <w:t>Agriculture and Fisheries</w:t>
      </w:r>
    </w:p>
    <w:p w14:paraId="14922EBF" w14:textId="07399E02" w:rsidR="00674D9A" w:rsidRDefault="00674D9A" w:rsidP="00674D9A">
      <w:pPr>
        <w:spacing w:after="0"/>
        <w:ind w:left="369" w:hanging="369"/>
      </w:pPr>
      <w:r>
        <w:t xml:space="preserve">GPO Box </w:t>
      </w:r>
      <w:r w:rsidR="00980A44">
        <w:t>15195</w:t>
      </w:r>
      <w:bookmarkStart w:id="0" w:name="_GoBack"/>
      <w:bookmarkEnd w:id="0"/>
    </w:p>
    <w:p w14:paraId="14922EC0" w14:textId="6949425B" w:rsidR="00674D9A" w:rsidRDefault="00980A44" w:rsidP="00674D9A">
      <w:pPr>
        <w:spacing w:after="0"/>
        <w:ind w:left="369" w:hanging="369"/>
      </w:pPr>
      <w:r>
        <w:t xml:space="preserve">CITY EAST </w:t>
      </w:r>
      <w:r w:rsidR="00674D9A">
        <w:t xml:space="preserve"> QLD</w:t>
      </w:r>
      <w:r w:rsidR="009576C5">
        <w:t xml:space="preserve"> </w:t>
      </w:r>
      <w:r w:rsidR="00674D9A">
        <w:t xml:space="preserve"> 400</w:t>
      </w:r>
      <w:r>
        <w:t>2</w:t>
      </w:r>
    </w:p>
    <w:p w14:paraId="14922EC1" w14:textId="77777777" w:rsidR="00CF5CAE" w:rsidRDefault="00CF5CAE" w:rsidP="0050038E">
      <w:pPr>
        <w:contextualSpacing/>
      </w:pPr>
      <w:r w:rsidRPr="0050038E">
        <w:br/>
      </w:r>
    </w:p>
    <w:tbl>
      <w:tblPr>
        <w:tblW w:w="0" w:type="auto"/>
        <w:tblBorders>
          <w:top w:val="nil"/>
          <w:left w:val="nil"/>
          <w:right w:val="nil"/>
        </w:tblBorders>
        <w:tblLayout w:type="fixed"/>
        <w:tblLook w:val="0000" w:firstRow="0" w:lastRow="0" w:firstColumn="0" w:lastColumn="0" w:noHBand="0" w:noVBand="0"/>
      </w:tblPr>
      <w:tblGrid>
        <w:gridCol w:w="2299"/>
      </w:tblGrid>
      <w:tr w:rsidR="0050038E" w14:paraId="14922EC3" w14:textId="77777777">
        <w:tc>
          <w:tcPr>
            <w:tcW w:w="2299" w:type="dxa"/>
            <w:tcMar>
              <w:top w:w="120" w:type="nil"/>
              <w:left w:w="120" w:type="nil"/>
              <w:bottom w:w="120" w:type="nil"/>
              <w:right w:w="120" w:type="nil"/>
            </w:tcMar>
          </w:tcPr>
          <w:p w14:paraId="14922EC2" w14:textId="77777777" w:rsidR="0050038E" w:rsidRDefault="0050038E">
            <w:pPr>
              <w:autoSpaceDE w:val="0"/>
              <w:autoSpaceDN w:val="0"/>
              <w:adjustRightInd w:val="0"/>
              <w:spacing w:after="0" w:line="240" w:lineRule="auto"/>
              <w:rPr>
                <w:rFonts w:ascii="Verdana" w:hAnsi="Verdana" w:cs="Verdana"/>
                <w:sz w:val="24"/>
                <w:szCs w:val="24"/>
                <w:lang w:eastAsia="en-AU"/>
              </w:rPr>
            </w:pPr>
          </w:p>
        </w:tc>
      </w:tr>
    </w:tbl>
    <w:p w14:paraId="14922EC4" w14:textId="77777777" w:rsidR="00CF5CAE" w:rsidRDefault="00CF5CAE" w:rsidP="00CF5CAE">
      <w:r>
        <w:t>Dear Minister</w:t>
      </w:r>
    </w:p>
    <w:p w14:paraId="14922EC5" w14:textId="77777777" w:rsidR="00CF5CAE" w:rsidRDefault="00CF5CAE" w:rsidP="00CF5CAE">
      <w:pPr>
        <w:widowControl w:val="0"/>
        <w:rPr>
          <w:rFonts w:cs="Arial"/>
        </w:rPr>
      </w:pPr>
      <w:r w:rsidRPr="00822585">
        <w:rPr>
          <w:rFonts w:cs="Arial"/>
          <w:lang w:val="en-US"/>
        </w:rPr>
        <w:t xml:space="preserve">I am writing to you as </w:t>
      </w:r>
      <w:r w:rsidRPr="0050038E">
        <w:rPr>
          <w:rFonts w:cs="Arial"/>
          <w:lang w:val="en-US"/>
        </w:rPr>
        <w:t>Delegate of the</w:t>
      </w:r>
      <w:r w:rsidRPr="00822585">
        <w:rPr>
          <w:rFonts w:cs="Arial"/>
          <w:lang w:val="en-US"/>
        </w:rPr>
        <w:t xml:space="preserve"> Minister for </w:t>
      </w:r>
      <w:r>
        <w:rPr>
          <w:rFonts w:cs="Arial"/>
          <w:lang w:val="en-US"/>
        </w:rPr>
        <w:t>the Environment</w:t>
      </w:r>
      <w:r w:rsidRPr="00822585">
        <w:rPr>
          <w:rFonts w:cs="Arial"/>
          <w:lang w:val="en-US"/>
        </w:rPr>
        <w:t xml:space="preserve"> </w:t>
      </w:r>
      <w:r w:rsidR="00EA61DD">
        <w:rPr>
          <w:rFonts w:cs="Arial"/>
          <w:lang w:val="en-US"/>
        </w:rPr>
        <w:t xml:space="preserve">and Energy </w:t>
      </w:r>
      <w:r w:rsidRPr="00822585">
        <w:rPr>
          <w:rFonts w:cs="Arial"/>
          <w:lang w:val="en-US"/>
        </w:rPr>
        <w:t>in relation to</w:t>
      </w:r>
      <w:r>
        <w:rPr>
          <w:rFonts w:cs="Arial"/>
          <w:lang w:val="en-US"/>
        </w:rPr>
        <w:t xml:space="preserve"> the</w:t>
      </w:r>
      <w:r w:rsidRPr="00822585">
        <w:rPr>
          <w:rFonts w:cs="Arial"/>
          <w:lang w:val="en-US"/>
        </w:rPr>
        <w:t xml:space="preserve"> </w:t>
      </w:r>
      <w:r w:rsidRPr="00F21E5F">
        <w:rPr>
          <w:rFonts w:cs="Arial"/>
          <w:lang w:val="en-US"/>
        </w:rPr>
        <w:t xml:space="preserve">reassessment of the </w:t>
      </w:r>
      <w:r w:rsidR="00674D9A">
        <w:rPr>
          <w:rFonts w:cs="Arial"/>
          <w:lang w:val="en-US"/>
        </w:rPr>
        <w:t>Queensland Gulf of Carpentaria Line Fishery</w:t>
      </w:r>
      <w:r>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p>
    <w:p w14:paraId="14922EC6" w14:textId="77777777" w:rsidR="00CF5CAE" w:rsidRPr="00B66855" w:rsidRDefault="00CF5CAE" w:rsidP="00CF5CAE">
      <w:r>
        <w:rPr>
          <w:rFonts w:cs="Arial"/>
        </w:rPr>
        <w:t xml:space="preserve">The </w:t>
      </w:r>
      <w:r w:rsidR="00674D9A">
        <w:rPr>
          <w:rFonts w:cs="Arial"/>
          <w:lang w:val="en-US"/>
        </w:rPr>
        <w:t>Queensland Gulf of Carpentaria Line Fishery</w:t>
      </w:r>
      <w:r w:rsidR="00674D9A">
        <w:rPr>
          <w:rFonts w:cs="Arial"/>
        </w:rPr>
        <w:t xml:space="preserve"> </w:t>
      </w:r>
      <w:r>
        <w:rPr>
          <w:rFonts w:cs="Arial"/>
          <w:lang w:val="en-US"/>
        </w:rPr>
        <w:t xml:space="preserve">was most recently assessed under the </w:t>
      </w:r>
      <w:r w:rsidRPr="00906040">
        <w:rPr>
          <w:iCs/>
        </w:rPr>
        <w:t>international wildlife trade provisions of Part 13A of the EPBC</w:t>
      </w:r>
      <w:r>
        <w:rPr>
          <w:iCs/>
        </w:rPr>
        <w:t xml:space="preserve"> Act</w:t>
      </w:r>
      <w:r w:rsidRPr="00906040">
        <w:rPr>
          <w:iCs/>
        </w:rPr>
        <w:t xml:space="preserve"> </w:t>
      </w:r>
      <w:r w:rsidRPr="00B66855">
        <w:rPr>
          <w:iCs/>
        </w:rPr>
        <w:t xml:space="preserve">in </w:t>
      </w:r>
      <w:r w:rsidR="00674D9A">
        <w:t>November</w:t>
      </w:r>
      <w:r w:rsidR="0050038E">
        <w:t xml:space="preserve"> 2013.</w:t>
      </w:r>
      <w:r w:rsidRPr="00906040">
        <w:rPr>
          <w:iCs/>
        </w:rPr>
        <w:t xml:space="preserve"> </w:t>
      </w:r>
      <w:r w:rsidR="0050038E">
        <w:rPr>
          <w:iCs/>
        </w:rPr>
        <w:t>The</w:t>
      </w:r>
      <w:r w:rsidRPr="00906040">
        <w:t xml:space="preserve"> </w:t>
      </w:r>
      <w:r w:rsidRPr="0050038E">
        <w:t>Delegate of the then Minister for the Environmen</w:t>
      </w:r>
      <w:r w:rsidR="00E00D0D" w:rsidRPr="0050038E">
        <w:t>t</w:t>
      </w:r>
      <w:r w:rsidRPr="00B66855">
        <w:t xml:space="preserve"> subsequently</w:t>
      </w:r>
      <w:r>
        <w:t xml:space="preserve"> </w:t>
      </w:r>
      <w:r w:rsidRPr="00906040">
        <w:t xml:space="preserve">declared the </w:t>
      </w:r>
      <w:r w:rsidR="00286C19">
        <w:rPr>
          <w:rFonts w:cs="Arial"/>
          <w:lang w:val="en-US"/>
        </w:rPr>
        <w:t>Queensland Gulf of Carpentaria Line Fishery</w:t>
      </w:r>
      <w:r w:rsidR="0050038E">
        <w:rPr>
          <w:rFonts w:cs="Arial"/>
        </w:rPr>
        <w:t xml:space="preserve"> </w:t>
      </w:r>
      <w:r w:rsidRPr="00906040">
        <w:t xml:space="preserve">an approved wildlife trade operation under </w:t>
      </w:r>
      <w:r>
        <w:t>P</w:t>
      </w:r>
      <w:r w:rsidRPr="00906040">
        <w:t>art 1</w:t>
      </w:r>
      <w:r w:rsidR="00A75D3D">
        <w:t>3A of the EPBC Act</w:t>
      </w:r>
      <w:r w:rsidRPr="00906040">
        <w:t xml:space="preserve"> until </w:t>
      </w:r>
      <w:r w:rsidR="00286C19">
        <w:t>24 November</w:t>
      </w:r>
      <w:r w:rsidR="0050038E">
        <w:t xml:space="preserve"> 2016</w:t>
      </w:r>
      <w:r w:rsidR="005055FD">
        <w:t>.</w:t>
      </w:r>
      <w:r w:rsidRPr="00906040">
        <w:t xml:space="preserve"> </w:t>
      </w:r>
      <w:r>
        <w:t>This</w:t>
      </w:r>
      <w:r w:rsidRPr="00906040">
        <w:t xml:space="preserve"> allow</w:t>
      </w:r>
      <w:r>
        <w:t>ed</w:t>
      </w:r>
      <w:r w:rsidRPr="00906040">
        <w:t xml:space="preserve"> export of product from the fishery</w:t>
      </w:r>
      <w:r>
        <w:t xml:space="preserve"> to continue during the period of the declaration.</w:t>
      </w:r>
      <w:r w:rsidR="00674D9A">
        <w:t xml:space="preserve"> </w:t>
      </w:r>
      <w:r w:rsidR="00286C19">
        <w:t xml:space="preserve"> </w:t>
      </w:r>
    </w:p>
    <w:p w14:paraId="14922EC7" w14:textId="77777777" w:rsidR="00CF5CAE" w:rsidRDefault="00CF5CAE" w:rsidP="00CF5CAE">
      <w:pPr>
        <w:rPr>
          <w:rFonts w:cs="Arial"/>
        </w:rPr>
      </w:pPr>
      <w:r w:rsidRPr="00822585">
        <w:rPr>
          <w:rFonts w:cs="Arial"/>
        </w:rPr>
        <w:t xml:space="preserve">In </w:t>
      </w:r>
      <w:r w:rsidR="005E43D1">
        <w:t>July</w:t>
      </w:r>
      <w:r w:rsidR="0050038E">
        <w:t xml:space="preserve"> 2016</w:t>
      </w:r>
      <w:r w:rsidRPr="0050038E">
        <w:rPr>
          <w:rFonts w:cs="Arial"/>
        </w:rPr>
        <w:t>,</w:t>
      </w:r>
      <w:r w:rsidRPr="00297D18">
        <w:rPr>
          <w:rFonts w:cs="Arial"/>
        </w:rPr>
        <w:t xml:space="preserve"> the </w:t>
      </w:r>
      <w:r w:rsidR="005E43D1">
        <w:t>Queensland</w:t>
      </w:r>
      <w:r w:rsidR="005E43D1">
        <w:rPr>
          <w:rFonts w:cs="Arial"/>
        </w:rPr>
        <w:t xml:space="preserve"> Department of Agriculture and Fisheries</w:t>
      </w:r>
      <w:r w:rsidR="005E43D1" w:rsidRPr="00822585">
        <w:rPr>
          <w:rFonts w:cs="Arial"/>
        </w:rPr>
        <w:t xml:space="preserve"> </w:t>
      </w:r>
      <w:r w:rsidRPr="00822585">
        <w:rPr>
          <w:rFonts w:cs="Arial"/>
        </w:rPr>
        <w:t>provided an application to t</w:t>
      </w:r>
      <w:r>
        <w:rPr>
          <w:rFonts w:cs="Arial"/>
        </w:rPr>
        <w:t>he Department of the Environment</w:t>
      </w:r>
      <w:r w:rsidR="00EA61DD">
        <w:rPr>
          <w:rFonts w:cs="Arial"/>
        </w:rPr>
        <w:t xml:space="preserve"> and Energy</w:t>
      </w:r>
      <w:r>
        <w:rPr>
          <w:rFonts w:cs="Arial"/>
        </w:rPr>
        <w:t xml:space="preserve"> </w:t>
      </w:r>
      <w:r w:rsidRPr="00822585">
        <w:rPr>
          <w:rFonts w:cs="Arial"/>
        </w:rPr>
        <w:t xml:space="preserve">seeking continued export approval </w:t>
      </w:r>
      <w:r>
        <w:rPr>
          <w:rFonts w:cs="Arial"/>
        </w:rPr>
        <w:t xml:space="preserve">for the </w:t>
      </w:r>
      <w:r w:rsidR="005E43D1">
        <w:rPr>
          <w:rFonts w:cs="Arial"/>
          <w:lang w:val="en-US"/>
        </w:rPr>
        <w:t>Queensland Gulf of Carpentaria Line Fishery</w:t>
      </w:r>
      <w:r w:rsidR="00A75D3D">
        <w:rPr>
          <w:rFonts w:cs="Arial"/>
          <w:lang w:val="en-US"/>
        </w:rPr>
        <w:t>.</w:t>
      </w:r>
      <w:r w:rsidR="005E43D1">
        <w:rPr>
          <w:rFonts w:cs="Arial"/>
          <w:lang w:val="en-US"/>
        </w:rPr>
        <w:t xml:space="preserve"> </w:t>
      </w:r>
    </w:p>
    <w:p w14:paraId="14922EC8" w14:textId="77777777" w:rsidR="00CF5CAE" w:rsidRDefault="00CF5CAE" w:rsidP="00CF5CAE">
      <w:pPr>
        <w:rPr>
          <w:rFonts w:cs="Arial"/>
        </w:rPr>
      </w:pPr>
      <w:r w:rsidRPr="00822585">
        <w:rPr>
          <w:rFonts w:cs="Arial"/>
        </w:rPr>
        <w:t>The application has been assessed for the purposes of the wildlife trade provisions of Part 13A of the EPBC Act</w:t>
      </w:r>
      <w:r>
        <w:rPr>
          <w:rFonts w:cs="Arial"/>
        </w:rPr>
        <w:t xml:space="preserve">. The assessment took into </w:t>
      </w:r>
      <w:r w:rsidRPr="00822585">
        <w:rPr>
          <w:rFonts w:cs="Arial"/>
        </w:rPr>
        <w:t xml:space="preserve">account measures that have been developed by </w:t>
      </w:r>
      <w:r>
        <w:rPr>
          <w:rFonts w:cs="Arial"/>
        </w:rPr>
        <w:t xml:space="preserve">the </w:t>
      </w:r>
      <w:r w:rsidR="008D21A0">
        <w:t>Queensland</w:t>
      </w:r>
      <w:r w:rsidR="008D21A0">
        <w:rPr>
          <w:rFonts w:cs="Arial"/>
        </w:rPr>
        <w:t xml:space="preserve"> Department of Agriculture and Fisheries</w:t>
      </w:r>
      <w:r w:rsidR="008D21A0" w:rsidRPr="00822585">
        <w:rPr>
          <w:rFonts w:cs="Arial"/>
        </w:rPr>
        <w:t xml:space="preserve"> </w:t>
      </w:r>
      <w:r w:rsidRPr="00822585">
        <w:rPr>
          <w:rFonts w:cs="Arial"/>
        </w:rPr>
        <w:t xml:space="preserve">in response to </w:t>
      </w:r>
      <w:r>
        <w:rPr>
          <w:rFonts w:cs="Arial"/>
        </w:rPr>
        <w:t xml:space="preserve">the conditions and </w:t>
      </w:r>
      <w:r w:rsidRPr="00822585">
        <w:rPr>
          <w:rFonts w:cs="Arial"/>
        </w:rPr>
        <w:t xml:space="preserve">recommendations made in the </w:t>
      </w:r>
      <w:r w:rsidR="0050038E">
        <w:rPr>
          <w:rFonts w:cs="Arial"/>
        </w:rPr>
        <w:t xml:space="preserve">2013 </w:t>
      </w:r>
      <w:r>
        <w:rPr>
          <w:rFonts w:cs="Arial"/>
        </w:rPr>
        <w:t xml:space="preserve">export </w:t>
      </w:r>
      <w:r w:rsidRPr="00822585">
        <w:rPr>
          <w:rFonts w:cs="Arial"/>
        </w:rPr>
        <w:t xml:space="preserve">assessment </w:t>
      </w:r>
      <w:r>
        <w:rPr>
          <w:rFonts w:cs="Arial"/>
        </w:rPr>
        <w:t>under the EPBC Act</w:t>
      </w:r>
      <w:r w:rsidRPr="00822585">
        <w:rPr>
          <w:rFonts w:cs="Arial"/>
        </w:rPr>
        <w:t>.</w:t>
      </w:r>
      <w:r w:rsidR="008D21A0">
        <w:rPr>
          <w:rFonts w:cs="Arial"/>
        </w:rPr>
        <w:t xml:space="preserve"> </w:t>
      </w:r>
    </w:p>
    <w:p w14:paraId="14922EC9" w14:textId="77777777" w:rsidR="00287885" w:rsidRDefault="00CF5CAE" w:rsidP="001568B3">
      <w:r w:rsidRPr="00822585">
        <w:rPr>
          <w:rFonts w:cs="Arial"/>
        </w:rPr>
        <w:t xml:space="preserve">I am pleased to advise that </w:t>
      </w:r>
      <w:r>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Pr>
          <w:rFonts w:cs="Arial"/>
        </w:rPr>
        <w:t xml:space="preserve"> the </w:t>
      </w:r>
      <w:r w:rsidRPr="00BC10E8">
        <w:rPr>
          <w:rFonts w:cs="Arial"/>
        </w:rPr>
        <w:t>Environment</w:t>
      </w:r>
      <w:r w:rsidR="00EA61DD">
        <w:rPr>
          <w:rFonts w:cs="Arial"/>
        </w:rPr>
        <w:t xml:space="preserve"> and Energy</w:t>
      </w:r>
      <w:r>
        <w:rPr>
          <w:rFonts w:cs="Arial"/>
        </w:rPr>
        <w:t xml:space="preserve">’s </w:t>
      </w:r>
      <w:r w:rsidRPr="00BC10E8">
        <w:rPr>
          <w:rFonts w:cs="Arial"/>
        </w:rPr>
        <w:t>website at</w:t>
      </w:r>
      <w:r>
        <w:rPr>
          <w:rFonts w:cs="Arial"/>
        </w:rPr>
        <w:t xml:space="preserve">: </w:t>
      </w:r>
      <w:hyperlink r:id="rId7" w:history="1">
        <w:r w:rsidR="00287885" w:rsidRPr="00287885">
          <w:rPr>
            <w:rStyle w:val="Hyperlink"/>
          </w:rPr>
          <w:t>http://www.environment.gov.au/marine/fisheries/qld/line</w:t>
        </w:r>
      </w:hyperlink>
      <w:r w:rsidR="00F40461">
        <w:t>.</w:t>
      </w:r>
      <w:r w:rsidR="00287885" w:rsidRPr="00287885">
        <w:t xml:space="preserve"> </w:t>
      </w:r>
    </w:p>
    <w:p w14:paraId="14922ECA" w14:textId="59A3A65C" w:rsidR="00CF5CAE" w:rsidRDefault="00CF5CAE" w:rsidP="001568B3">
      <w:pPr>
        <w:rPr>
          <w:rFonts w:ascii="Times New Roman" w:hAnsi="Times New Roman"/>
        </w:rPr>
      </w:pPr>
      <w:r w:rsidRPr="003E7511">
        <w:rPr>
          <w:rFonts w:cs="Arial"/>
        </w:rPr>
        <w:t xml:space="preserve">I consider that the management arrangements for the </w:t>
      </w:r>
      <w:r w:rsidR="00F40461">
        <w:t>Queensland</w:t>
      </w:r>
      <w:r w:rsidR="00F40461">
        <w:rPr>
          <w:rFonts w:cs="Arial"/>
        </w:rPr>
        <w:t xml:space="preserve"> </w:t>
      </w:r>
      <w:r w:rsidR="00832EE6">
        <w:rPr>
          <w:rFonts w:cs="Arial"/>
        </w:rPr>
        <w:t>Gulf of Carpentaria Line Fishery</w:t>
      </w:r>
      <w:r w:rsidR="0050038E">
        <w:rPr>
          <w:rFonts w:cs="Arial"/>
        </w:rPr>
        <w:t xml:space="preserve"> </w:t>
      </w:r>
      <w:r>
        <w:rPr>
          <w:rFonts w:cs="Arial"/>
        </w:rPr>
        <w:t>meet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Pr="00AC5085">
        <w:rPr>
          <w:rFonts w:cs="Arial"/>
        </w:rPr>
        <w:t>Taking into account:</w:t>
      </w:r>
      <w:r w:rsidR="00F40461">
        <w:rPr>
          <w:rFonts w:cs="Arial"/>
        </w:rPr>
        <w:t xml:space="preserve"> </w:t>
      </w:r>
    </w:p>
    <w:p w14:paraId="14922ECB" w14:textId="77777777" w:rsidR="00F40461" w:rsidRPr="004B2DC8" w:rsidRDefault="00F40461" w:rsidP="00F40461">
      <w:pPr>
        <w:pStyle w:val="ListNumber"/>
        <w:numPr>
          <w:ilvl w:val="0"/>
          <w:numId w:val="19"/>
        </w:numPr>
        <w:autoSpaceDE w:val="0"/>
        <w:autoSpaceDN w:val="0"/>
        <w:adjustRightInd w:val="0"/>
      </w:pPr>
      <w:r w:rsidRPr="00822585">
        <w:rPr>
          <w:rFonts w:cs="Arial"/>
        </w:rPr>
        <w:t xml:space="preserve">the management arrangements </w:t>
      </w:r>
      <w:r>
        <w:rPr>
          <w:rFonts w:cs="Arial"/>
        </w:rPr>
        <w:t xml:space="preserve">currently in place in the fishery which include </w:t>
      </w:r>
      <w:r w:rsidRPr="00150672">
        <w:rPr>
          <w:rFonts w:cs="Arial"/>
        </w:rPr>
        <w:t>limited entry, gear restrictions (number of lines and hooks), size and possession limits (species specific), closed area restrictions</w:t>
      </w:r>
      <w:r>
        <w:rPr>
          <w:rFonts w:cs="Arial"/>
        </w:rPr>
        <w:t xml:space="preserve"> and</w:t>
      </w:r>
      <w:r w:rsidRPr="00150672">
        <w:rPr>
          <w:rFonts w:cs="Arial"/>
        </w:rPr>
        <w:t xml:space="preserve"> prohibiti</w:t>
      </w:r>
      <w:r>
        <w:rPr>
          <w:rFonts w:cs="Arial"/>
        </w:rPr>
        <w:t>on on retaining various species, and</w:t>
      </w:r>
    </w:p>
    <w:p w14:paraId="14922ECC" w14:textId="77777777" w:rsidR="004B2DC8" w:rsidRDefault="004B2DC8" w:rsidP="004B2DC8">
      <w:pPr>
        <w:pStyle w:val="ListNumber"/>
        <w:numPr>
          <w:ilvl w:val="0"/>
          <w:numId w:val="0"/>
        </w:numPr>
        <w:autoSpaceDE w:val="0"/>
        <w:autoSpaceDN w:val="0"/>
        <w:adjustRightInd w:val="0"/>
        <w:ind w:left="369" w:hanging="369"/>
        <w:rPr>
          <w:rFonts w:cs="Arial"/>
        </w:rPr>
      </w:pPr>
    </w:p>
    <w:p w14:paraId="14922ECD" w14:textId="77777777" w:rsidR="004B2DC8" w:rsidRDefault="004B2DC8" w:rsidP="004B2DC8">
      <w:pPr>
        <w:pStyle w:val="ListNumber"/>
        <w:numPr>
          <w:ilvl w:val="0"/>
          <w:numId w:val="0"/>
        </w:numPr>
        <w:autoSpaceDE w:val="0"/>
        <w:autoSpaceDN w:val="0"/>
        <w:adjustRightInd w:val="0"/>
        <w:ind w:left="369" w:hanging="369"/>
        <w:rPr>
          <w:rFonts w:cs="Arial"/>
        </w:rPr>
      </w:pPr>
    </w:p>
    <w:p w14:paraId="14922ECE" w14:textId="77777777" w:rsidR="004B2DC8" w:rsidRPr="00BE63DB" w:rsidRDefault="004B2DC8" w:rsidP="004B2DC8">
      <w:pPr>
        <w:pStyle w:val="ListNumber"/>
        <w:numPr>
          <w:ilvl w:val="0"/>
          <w:numId w:val="0"/>
        </w:numPr>
        <w:autoSpaceDE w:val="0"/>
        <w:autoSpaceDN w:val="0"/>
        <w:adjustRightInd w:val="0"/>
        <w:ind w:left="369" w:hanging="369"/>
      </w:pPr>
    </w:p>
    <w:p w14:paraId="14922ECF" w14:textId="3DCC3D82" w:rsidR="004B2DC8" w:rsidRPr="004B2DC8" w:rsidRDefault="004B2DC8" w:rsidP="00E06370">
      <w:pPr>
        <w:pStyle w:val="ListNumber"/>
        <w:numPr>
          <w:ilvl w:val="0"/>
          <w:numId w:val="19"/>
        </w:numPr>
        <w:autoSpaceDE w:val="0"/>
        <w:autoSpaceDN w:val="0"/>
        <w:adjustRightInd w:val="0"/>
        <w:rPr>
          <w:rFonts w:cs="Arial"/>
        </w:rPr>
      </w:pPr>
      <w:r w:rsidRPr="004B2DC8">
        <w:rPr>
          <w:rFonts w:cs="Arial"/>
        </w:rPr>
        <w:lastRenderedPageBreak/>
        <w:t xml:space="preserve">the </w:t>
      </w:r>
      <w:r w:rsidRPr="00E06370">
        <w:rPr>
          <w:rFonts w:cs="Arial"/>
          <w:i/>
        </w:rPr>
        <w:t xml:space="preserve">Non-Detriment Finding for the export of shark species listed in the Convention on International Trade in Endangered Species of </w:t>
      </w:r>
      <w:r w:rsidR="00BC54A5">
        <w:rPr>
          <w:rFonts w:cs="Arial"/>
          <w:i/>
        </w:rPr>
        <w:t>Fauna and Flora</w:t>
      </w:r>
      <w:r w:rsidRPr="00E06370">
        <w:rPr>
          <w:rFonts w:cs="Arial"/>
          <w:i/>
        </w:rPr>
        <w:t xml:space="preserve"> (CITES) and harvested from Australian waters: Sphyrna lewini – scalloped hammerhead shark, Sphyrna mokarran – great hammerhead shark, Sphyrna zygaena – smooth hammerhead shark, Lamna nasus – porbeagle shark, Carcharhinus longimanus – oceanic whitetip shark</w:t>
      </w:r>
      <w:r w:rsidRPr="004B2DC8">
        <w:rPr>
          <w:rFonts w:cs="Arial"/>
        </w:rPr>
        <w:t xml:space="preserve">, by Australia’s CITES Scientific Authority for Marine Species for </w:t>
      </w:r>
      <w:r w:rsidRPr="00E06370">
        <w:rPr>
          <w:rFonts w:cs="Arial"/>
        </w:rPr>
        <w:t xml:space="preserve">the Convention on International Trade in Endangered Species of Wild Fauna and Flora </w:t>
      </w:r>
      <w:r w:rsidRPr="004B2DC8">
        <w:rPr>
          <w:rFonts w:cs="Arial"/>
        </w:rPr>
        <w:t>(CITES),</w:t>
      </w:r>
    </w:p>
    <w:p w14:paraId="14922ED0" w14:textId="77777777" w:rsidR="00CF5CAE" w:rsidRDefault="00CF5CAE" w:rsidP="00CF5CAE">
      <w:pPr>
        <w:widowControl w:val="0"/>
        <w:rPr>
          <w:rFonts w:cs="Arial"/>
        </w:rPr>
      </w:pPr>
      <w:r w:rsidRPr="00AC5085">
        <w:rPr>
          <w:rFonts w:cs="Arial"/>
        </w:rPr>
        <w:t xml:space="preserve">I am satisfied that the operation of the fishery remains consistent with the objects of the wildlife trade provisions of Part 13A of the EPBC Act. </w:t>
      </w:r>
    </w:p>
    <w:p w14:paraId="14922ED1" w14:textId="77777777" w:rsidR="00CF5CAE" w:rsidRPr="00AC5085" w:rsidRDefault="00CF5CAE" w:rsidP="00CF5CAE">
      <w:pPr>
        <w:widowControl w:val="0"/>
        <w:rPr>
          <w:rFonts w:cs="Arial"/>
        </w:rPr>
      </w:pPr>
      <w:r w:rsidRPr="00AC5085">
        <w:rPr>
          <w:rFonts w:cs="Arial"/>
        </w:rPr>
        <w:t xml:space="preserve">I am also satisfied that the operation of the fishery over the </w:t>
      </w:r>
      <w:r w:rsidR="005055FD">
        <w:rPr>
          <w:rFonts w:cs="Arial"/>
        </w:rPr>
        <w:t>next three years</w:t>
      </w:r>
      <w:r w:rsidRPr="00AC5085">
        <w:rPr>
          <w:rFonts w:cs="Arial"/>
        </w:rPr>
        <w:t xml:space="preserve"> is unlikely to be detrimental to the survival or conservation status of any taxon to which the fishery operation relates</w:t>
      </w:r>
      <w:r>
        <w:rPr>
          <w:rFonts w:cs="Arial"/>
        </w:rPr>
        <w:t xml:space="preserve">, including any CITES listed taxon, </w:t>
      </w:r>
      <w:r w:rsidRPr="00AC5085">
        <w:rPr>
          <w:rFonts w:cs="Arial"/>
        </w:rPr>
        <w:t>or threaten any relevant ecosystem.</w:t>
      </w:r>
    </w:p>
    <w:p w14:paraId="14922ED2" w14:textId="77777777" w:rsidR="00CF5CAE" w:rsidRDefault="00CF5CAE" w:rsidP="00CF5CAE">
      <w:pPr>
        <w:widowControl w:val="0"/>
        <w:rPr>
          <w:rFonts w:cs="Arial"/>
        </w:rPr>
      </w:pPr>
      <w:r>
        <w:rPr>
          <w:rFonts w:cs="Arial"/>
        </w:rPr>
        <w:t>Accordingly, I</w:t>
      </w:r>
      <w:r w:rsidRPr="003E7511">
        <w:rPr>
          <w:rFonts w:cs="Arial"/>
        </w:rPr>
        <w:t xml:space="preserve"> </w:t>
      </w:r>
      <w:r w:rsidRPr="00822585">
        <w:rPr>
          <w:rFonts w:cs="Arial"/>
        </w:rPr>
        <w:t xml:space="preserve">have decided to </w:t>
      </w:r>
      <w:r>
        <w:rPr>
          <w:rFonts w:cs="Arial"/>
        </w:rPr>
        <w:t xml:space="preserve">declare the </w:t>
      </w:r>
      <w:r w:rsidR="004511B8">
        <w:rPr>
          <w:rFonts w:cs="Arial"/>
          <w:lang w:val="en-US"/>
        </w:rPr>
        <w:t xml:space="preserve">Queensland Gulf of Carpentaria Line Fishery </w:t>
      </w:r>
      <w:r>
        <w:rPr>
          <w:rFonts w:cs="Arial"/>
          <w:lang w:val="en-US"/>
        </w:rPr>
        <w:t xml:space="preserve">an </w:t>
      </w:r>
      <w:r>
        <w:rPr>
          <w:rFonts w:cs="Arial"/>
        </w:rPr>
        <w:t>approved wildlife trade operation</w:t>
      </w:r>
      <w:r w:rsidRPr="00822585">
        <w:rPr>
          <w:rFonts w:cs="Arial"/>
        </w:rPr>
        <w:t xml:space="preserve"> </w:t>
      </w:r>
      <w:r w:rsidRPr="00297D18">
        <w:rPr>
          <w:rFonts w:cs="Arial"/>
        </w:rPr>
        <w:t xml:space="preserve">until </w:t>
      </w:r>
      <w:r w:rsidR="004511B8">
        <w:rPr>
          <w:rFonts w:cs="Arial"/>
        </w:rPr>
        <w:t>22 November 2019</w:t>
      </w:r>
      <w:r w:rsidRPr="0050038E">
        <w:rPr>
          <w:rFonts w:cs="Arial"/>
        </w:rPr>
        <w:t>.</w:t>
      </w:r>
      <w:r w:rsidRPr="00297D18">
        <w:rPr>
          <w:rFonts w:cs="Arial"/>
        </w:rPr>
        <w:t xml:space="preserve"> The</w:t>
      </w:r>
      <w:r>
        <w:rPr>
          <w:rFonts w:cs="Arial"/>
        </w:rPr>
        <w:t xml:space="preserve"> declaration will apply only to those classes of specimens specified in the instrument of d</w:t>
      </w:r>
      <w:r w:rsidR="005055FD">
        <w:rPr>
          <w:rFonts w:cs="Arial"/>
        </w:rPr>
        <w:t>eclaration, available from the D</w:t>
      </w:r>
      <w:r>
        <w:rPr>
          <w:rFonts w:cs="Arial"/>
        </w:rPr>
        <w:t xml:space="preserve">epartment's website, and will be subject to the conditions </w:t>
      </w:r>
      <w:r w:rsidRPr="00D14D13">
        <w:rPr>
          <w:rFonts w:cs="Arial"/>
        </w:rPr>
        <w:t>(</w:t>
      </w:r>
      <w:r w:rsidRPr="00297D18">
        <w:rPr>
          <w:rFonts w:cs="Arial"/>
          <w:b/>
          <w:u w:val="single"/>
        </w:rPr>
        <w:t>A</w:t>
      </w:r>
      <w:r>
        <w:rPr>
          <w:rFonts w:cs="Arial"/>
          <w:b/>
          <w:u w:val="single"/>
        </w:rPr>
        <w:t>ttachment 1</w:t>
      </w:r>
      <w:r w:rsidRPr="00D14D13">
        <w:rPr>
          <w:rFonts w:cs="Arial"/>
        </w:rPr>
        <w:t>)</w:t>
      </w:r>
      <w:r>
        <w:rPr>
          <w:rFonts w:cs="Arial"/>
          <w:b/>
        </w:rPr>
        <w:t xml:space="preserve"> </w:t>
      </w:r>
      <w:r>
        <w:rPr>
          <w:rFonts w:cs="Arial"/>
        </w:rPr>
        <w:t xml:space="preserve">specified in the instrument of declaration. </w:t>
      </w:r>
    </w:p>
    <w:p w14:paraId="14922ED3" w14:textId="77777777" w:rsidR="000B537A" w:rsidRDefault="00CF5CAE" w:rsidP="00CF5CAE">
      <w:pPr>
        <w:widowControl w:val="0"/>
        <w:rPr>
          <w:rFonts w:cs="Arial"/>
        </w:rPr>
      </w:pPr>
      <w:r w:rsidRPr="00C37862">
        <w:t xml:space="preserve">The assessment considered the possible impacts on </w:t>
      </w:r>
      <w:r w:rsidRPr="00C37862">
        <w:rPr>
          <w:rFonts w:cs="Arial"/>
        </w:rPr>
        <w:t xml:space="preserve">taxa which are harvested in the </w:t>
      </w:r>
      <w:r w:rsidR="005055FD">
        <w:t>fishery</w:t>
      </w:r>
      <w:r w:rsidRPr="00C37862">
        <w:rPr>
          <w:lang w:val="en-US"/>
        </w:rPr>
        <w:t xml:space="preserve"> and which are listed </w:t>
      </w:r>
      <w:r>
        <w:rPr>
          <w:rFonts w:cs="Arial"/>
        </w:rPr>
        <w:t>in the Appendic</w:t>
      </w:r>
      <w:r w:rsidRPr="00C37862">
        <w:rPr>
          <w:rFonts w:cs="Arial"/>
        </w:rPr>
        <w:t xml:space="preserve">es </w:t>
      </w:r>
      <w:r>
        <w:rPr>
          <w:rFonts w:cs="Arial"/>
        </w:rPr>
        <w:t>to</w:t>
      </w:r>
      <w:r w:rsidRPr="00C37862">
        <w:rPr>
          <w:rFonts w:cs="Arial"/>
        </w:rPr>
        <w:t xml:space="preserve"> </w:t>
      </w:r>
      <w:r>
        <w:rPr>
          <w:rFonts w:cs="Arial"/>
        </w:rPr>
        <w:t>CITES</w:t>
      </w:r>
      <w:r w:rsidR="00610B41">
        <w:rPr>
          <w:rFonts w:cs="Arial"/>
        </w:rPr>
        <w:t>, including hammerhead sharks</w:t>
      </w:r>
      <w:r w:rsidRPr="00C37862">
        <w:t xml:space="preserve">. As a party to </w:t>
      </w:r>
      <w:r>
        <w:t>CITES</w:t>
      </w:r>
      <w:r w:rsidRPr="00C37862">
        <w:t xml:space="preserve">, Australia must apply all CITES provisions of the EPBC Act to CITES imports and exports as appropriate. </w:t>
      </w:r>
      <w:r w:rsidRPr="00C37862">
        <w:rPr>
          <w:rFonts w:cs="Arial"/>
        </w:rPr>
        <w:t>Specimens of species listed in Appendix II or Appendix III of CITES may be exported commercially under a CITES export permit, if sourced from an approved wildlife trade operation</w:t>
      </w:r>
      <w:r>
        <w:rPr>
          <w:rFonts w:cs="Arial"/>
        </w:rPr>
        <w:t xml:space="preserve"> and a non-detriment finding has been made by the exporting country's CITES Scientific Authority</w:t>
      </w:r>
      <w:r w:rsidRPr="00C37862">
        <w:rPr>
          <w:rFonts w:cs="Arial"/>
        </w:rPr>
        <w:t xml:space="preserve">. </w:t>
      </w:r>
    </w:p>
    <w:p w14:paraId="14922ED4" w14:textId="77777777" w:rsidR="00CF5CAE" w:rsidRDefault="00CF5CAE" w:rsidP="00CF5CAE">
      <w:pPr>
        <w:widowControl w:val="0"/>
      </w:pPr>
      <w:r w:rsidRPr="00C37862">
        <w:rPr>
          <w:rFonts w:cs="Arial"/>
        </w:rPr>
        <w:t xml:space="preserve">Inclusion of CITES specimens in the list of exempt native specimens is not possible due to international obligations to monitor trade. </w:t>
      </w:r>
      <w:r w:rsidRPr="00C37862">
        <w:t>Under the EPBC Act, individual exporters are required to apply for CITES export permits and export of CITES specimens may only occur where a permit has been issued by Australia's CITES Management Authority</w:t>
      </w:r>
      <w:r>
        <w:t xml:space="preserve"> (Department of the Environment</w:t>
      </w:r>
      <w:r w:rsidR="00EE62DA">
        <w:t xml:space="preserve"> and Energy</w:t>
      </w:r>
      <w:r w:rsidRPr="00C37862">
        <w:t>).</w:t>
      </w:r>
    </w:p>
    <w:p w14:paraId="14922ED5" w14:textId="77777777" w:rsidR="000B537A" w:rsidRDefault="000B537A" w:rsidP="000B537A">
      <w:pPr>
        <w:pStyle w:val="PlainText"/>
        <w:spacing w:after="200" w:line="276" w:lineRule="auto"/>
        <w:rPr>
          <w:rFonts w:ascii="Arial" w:hAnsi="Arial" w:cs="Arial"/>
          <w:sz w:val="22"/>
          <w:szCs w:val="22"/>
          <w:lang w:val="en-AU" w:eastAsia="zh-CN" w:bidi="th-TH"/>
        </w:rPr>
      </w:pPr>
      <w:r w:rsidRPr="00297D18">
        <w:rPr>
          <w:rFonts w:ascii="Arial" w:hAnsi="Arial" w:cs="Arial"/>
          <w:sz w:val="22"/>
          <w:szCs w:val="22"/>
          <w:lang w:val="en-AU" w:eastAsia="zh-CN" w:bidi="th-TH"/>
        </w:rPr>
        <w:t>While there are some environmental risks associated with this</w:t>
      </w:r>
      <w:r w:rsidRPr="0025194B">
        <w:rPr>
          <w:rFonts w:ascii="Arial" w:hAnsi="Arial" w:cs="Arial"/>
          <w:sz w:val="22"/>
          <w:szCs w:val="22"/>
          <w:lang w:val="en-AU" w:eastAsia="zh-CN" w:bidi="th-TH"/>
        </w:rPr>
        <w:t xml:space="preserve"> fishery, I believe that </w:t>
      </w:r>
      <w:r>
        <w:rPr>
          <w:rFonts w:ascii="Arial" w:hAnsi="Arial" w:cs="Arial"/>
          <w:sz w:val="22"/>
          <w:szCs w:val="22"/>
          <w:lang w:val="en-AU" w:eastAsia="zh-CN" w:bidi="th-TH"/>
        </w:rPr>
        <w:t xml:space="preserve">the </w:t>
      </w:r>
      <w:r w:rsidRPr="00610B41">
        <w:rPr>
          <w:rFonts w:ascii="Arial" w:hAnsi="Arial" w:cs="Arial"/>
          <w:sz w:val="22"/>
          <w:szCs w:val="22"/>
          <w:lang w:val="en-AU" w:eastAsia="zh-CN" w:bidi="th-TH"/>
        </w:rPr>
        <w:t>Queensland Department of Agriculture and Fisheries</w:t>
      </w:r>
      <w:r w:rsidRPr="00297D18">
        <w:rPr>
          <w:rFonts w:ascii="Arial" w:hAnsi="Arial" w:cs="Arial"/>
          <w:sz w:val="22"/>
          <w:szCs w:val="22"/>
        </w:rPr>
        <w:t xml:space="preserve"> </w:t>
      </w:r>
      <w:r w:rsidRPr="0025194B">
        <w:rPr>
          <w:rFonts w:ascii="Arial" w:hAnsi="Arial" w:cs="Arial"/>
          <w:sz w:val="22"/>
          <w:szCs w:val="22"/>
          <w:lang w:val="en-AU" w:eastAsia="zh-CN" w:bidi="th-TH"/>
        </w:rPr>
        <w:t xml:space="preserve">is committed to addressing these issues and has already taken proactive measures. </w:t>
      </w:r>
      <w:r>
        <w:rPr>
          <w:rFonts w:ascii="Arial" w:hAnsi="Arial" w:cs="Arial"/>
          <w:sz w:val="22"/>
          <w:szCs w:val="22"/>
          <w:lang w:val="en-AU" w:eastAsia="zh-CN" w:bidi="th-TH"/>
        </w:rPr>
        <w:t xml:space="preserve"> </w:t>
      </w:r>
    </w:p>
    <w:p w14:paraId="14922ED6" w14:textId="5B09ACB0" w:rsidR="00B678AF" w:rsidRDefault="00CF5CAE" w:rsidP="000B537A">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t xml:space="preserve">Officers </w:t>
      </w:r>
      <w:r w:rsidRPr="00297D18">
        <w:rPr>
          <w:rFonts w:ascii="Arial" w:hAnsi="Arial" w:cs="Arial"/>
          <w:sz w:val="22"/>
          <w:szCs w:val="22"/>
          <w:lang w:val="en-AU" w:eastAsia="zh-CN" w:bidi="th-TH"/>
        </w:rPr>
        <w:t xml:space="preserve">from the </w:t>
      </w:r>
      <w:r w:rsidR="00610B41" w:rsidRPr="00610B41">
        <w:rPr>
          <w:rFonts w:ascii="Arial" w:hAnsi="Arial" w:cs="Arial"/>
          <w:sz w:val="22"/>
          <w:szCs w:val="22"/>
          <w:lang w:val="en-AU" w:eastAsia="zh-CN" w:bidi="th-TH"/>
        </w:rPr>
        <w:t>Queensland Department of Agriculture and Fisheries</w:t>
      </w:r>
      <w:r w:rsidRPr="00297D18">
        <w:rPr>
          <w:rFonts w:ascii="Arial" w:hAnsi="Arial" w:cs="Arial"/>
          <w:sz w:val="22"/>
          <w:szCs w:val="22"/>
        </w:rPr>
        <w:t xml:space="preserve"> </w:t>
      </w:r>
      <w:r w:rsidRPr="00297D18">
        <w:rPr>
          <w:rFonts w:ascii="Arial" w:hAnsi="Arial" w:cs="Arial"/>
          <w:sz w:val="22"/>
          <w:szCs w:val="22"/>
          <w:lang w:val="en-AU" w:eastAsia="zh-CN" w:bidi="th-TH"/>
        </w:rPr>
        <w:t xml:space="preserve">and the </w:t>
      </w:r>
      <w:r w:rsidR="00EA61DD">
        <w:rPr>
          <w:rFonts w:ascii="Arial" w:hAnsi="Arial" w:cs="Arial"/>
          <w:sz w:val="22"/>
          <w:szCs w:val="22"/>
          <w:lang w:val="en-AU" w:eastAsia="zh-CN" w:bidi="th-TH"/>
        </w:rPr>
        <w:t>D</w:t>
      </w:r>
      <w:r w:rsidRPr="00297D18">
        <w:rPr>
          <w:rFonts w:ascii="Arial" w:hAnsi="Arial" w:cs="Arial"/>
          <w:sz w:val="22"/>
          <w:szCs w:val="22"/>
          <w:lang w:val="en-AU" w:eastAsia="zh-CN" w:bidi="th-TH"/>
        </w:rPr>
        <w:t>epartment have discussed key areas requiring ongoing attention</w:t>
      </w:r>
      <w:r w:rsidR="00B678AF">
        <w:rPr>
          <w:rFonts w:ascii="Arial" w:hAnsi="Arial" w:cs="Arial"/>
          <w:sz w:val="22"/>
          <w:szCs w:val="22"/>
          <w:lang w:val="en-AU" w:eastAsia="zh-CN" w:bidi="th-TH"/>
        </w:rPr>
        <w:t>, including the need to provide identification tools and education to fishers for accurate recording of sharks at the species level</w:t>
      </w:r>
      <w:r w:rsidR="00326CC2">
        <w:rPr>
          <w:rFonts w:ascii="Arial" w:hAnsi="Arial" w:cs="Arial"/>
          <w:sz w:val="22"/>
          <w:szCs w:val="22"/>
          <w:lang w:val="en-AU" w:eastAsia="zh-CN" w:bidi="th-TH"/>
        </w:rPr>
        <w:t>. Also discussed was</w:t>
      </w:r>
      <w:r w:rsidR="00B678AF">
        <w:rPr>
          <w:rFonts w:ascii="Arial" w:hAnsi="Arial" w:cs="Arial"/>
          <w:sz w:val="22"/>
          <w:szCs w:val="22"/>
          <w:lang w:val="en-AU" w:eastAsia="zh-CN" w:bidi="th-TH"/>
        </w:rPr>
        <w:t xml:space="preserve"> the need to collaborate with other jurisdictions to pursue consistent and complementary research needs and management arrangements for target species.</w:t>
      </w:r>
    </w:p>
    <w:p w14:paraId="14922ED7" w14:textId="5E9B83FC" w:rsidR="000B537A" w:rsidRDefault="000B537A" w:rsidP="000B537A">
      <w:pPr>
        <w:rPr>
          <w:rFonts w:cs="Arial"/>
        </w:rPr>
      </w:pPr>
      <w:r>
        <w:rPr>
          <w:rFonts w:cs="Arial"/>
          <w:lang w:eastAsia="zh-CN" w:bidi="th-TH"/>
        </w:rPr>
        <w:t xml:space="preserve">Officers from the </w:t>
      </w:r>
      <w:r w:rsidRPr="00610B41">
        <w:rPr>
          <w:rFonts w:cs="Arial"/>
          <w:lang w:eastAsia="zh-CN" w:bidi="th-TH"/>
        </w:rPr>
        <w:t>Queensland Department of Agriculture and Fisheries</w:t>
      </w:r>
      <w:r>
        <w:rPr>
          <w:rFonts w:cs="Arial"/>
          <w:lang w:eastAsia="zh-CN" w:bidi="th-TH"/>
        </w:rPr>
        <w:t xml:space="preserve"> and the Department </w:t>
      </w:r>
      <w:r w:rsidRPr="00297D18">
        <w:rPr>
          <w:rFonts w:cs="Arial"/>
          <w:lang w:eastAsia="zh-CN" w:bidi="th-TH"/>
        </w:rPr>
        <w:t xml:space="preserve">have </w:t>
      </w:r>
      <w:r w:rsidR="00126416">
        <w:rPr>
          <w:rFonts w:cs="Arial"/>
          <w:lang w:eastAsia="zh-CN" w:bidi="th-TH"/>
        </w:rPr>
        <w:t>subsequently</w:t>
      </w:r>
      <w:r w:rsidRPr="00822585">
        <w:rPr>
          <w:rFonts w:cs="Arial"/>
        </w:rPr>
        <w:t xml:space="preserve"> agreed to </w:t>
      </w:r>
      <w:r w:rsidR="009576C5">
        <w:rPr>
          <w:rFonts w:cs="Arial"/>
        </w:rPr>
        <w:t>four</w:t>
      </w:r>
      <w:r w:rsidR="00DB2C70">
        <w:rPr>
          <w:rFonts w:cs="Arial"/>
        </w:rPr>
        <w:t xml:space="preserve"> </w:t>
      </w:r>
      <w:r>
        <w:rPr>
          <w:rFonts w:cs="Arial"/>
        </w:rPr>
        <w:t>conditions</w:t>
      </w:r>
      <w:r w:rsidR="0085014E">
        <w:rPr>
          <w:rFonts w:cs="Arial"/>
        </w:rPr>
        <w:t xml:space="preserve"> </w:t>
      </w:r>
      <w:r>
        <w:rPr>
          <w:rFonts w:cs="Arial"/>
        </w:rPr>
        <w:t>and one recommendation</w:t>
      </w:r>
      <w:r w:rsidRPr="00F50D3B">
        <w:rPr>
          <w:rFonts w:cs="Arial"/>
        </w:rPr>
        <w:t xml:space="preserve"> focussing on ensuring the continuation of good management practices. These </w:t>
      </w:r>
      <w:r w:rsidRPr="00822585">
        <w:rPr>
          <w:rFonts w:cs="Arial"/>
        </w:rPr>
        <w:t xml:space="preserve">can be found at </w:t>
      </w:r>
      <w:r w:rsidRPr="00822585">
        <w:rPr>
          <w:rFonts w:cs="Arial"/>
          <w:b/>
          <w:u w:val="single"/>
        </w:rPr>
        <w:t>A</w:t>
      </w:r>
      <w:r>
        <w:rPr>
          <w:rFonts w:cs="Arial"/>
          <w:b/>
          <w:u w:val="single"/>
        </w:rPr>
        <w:t>ttachment 1</w:t>
      </w:r>
      <w:r w:rsidRPr="00822585">
        <w:rPr>
          <w:rFonts w:cs="Arial"/>
        </w:rPr>
        <w:t>.</w:t>
      </w:r>
    </w:p>
    <w:p w14:paraId="14922ED8" w14:textId="77777777" w:rsidR="000B537A" w:rsidRDefault="00CF5CAE" w:rsidP="00CF5CAE">
      <w:pPr>
        <w:rPr>
          <w:rFonts w:cs="Arial"/>
        </w:rPr>
      </w:pPr>
      <w:r w:rsidRPr="00F21E5F">
        <w:rPr>
          <w:rFonts w:cs="Arial"/>
        </w:rPr>
        <w:lastRenderedPageBreak/>
        <w:t xml:space="preserve">The </w:t>
      </w:r>
      <w:r>
        <w:rPr>
          <w:rFonts w:cs="Arial"/>
        </w:rPr>
        <w:t xml:space="preserve">management regime for the </w:t>
      </w:r>
      <w:r w:rsidR="004200D2">
        <w:rPr>
          <w:rFonts w:cs="Arial"/>
          <w:lang w:val="en-US"/>
        </w:rPr>
        <w:t xml:space="preserve">Queensland Gulf of Carpentaria Line Fishery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interactions with protected species</w:t>
      </w:r>
      <w:r w:rsidR="00365F54">
        <w:rPr>
          <w:rFonts w:cs="Arial"/>
        </w:rPr>
        <w:t>,</w:t>
      </w:r>
      <w:r w:rsidRPr="00ED1794">
        <w:rPr>
          <w:rFonts w:cs="Arial"/>
        </w:rPr>
        <w:t xml:space="preserve"> in</w:t>
      </w:r>
      <w:r w:rsidR="00365F54">
        <w:rPr>
          <w:rFonts w:cs="Arial"/>
        </w:rPr>
        <w:t> </w:t>
      </w:r>
      <w:r w:rsidR="004200D2">
        <w:t>November 2013</w:t>
      </w:r>
      <w:r>
        <w:t>.</w:t>
      </w:r>
      <w:r w:rsidRPr="00F21E5F">
        <w:rPr>
          <w:rFonts w:cs="Arial"/>
        </w:rPr>
        <w:t xml:space="preserve"> </w:t>
      </w:r>
    </w:p>
    <w:p w14:paraId="14922ED9" w14:textId="2EE8AF8C" w:rsidR="00365F54" w:rsidRDefault="00CF5CAE" w:rsidP="00CF5CAE">
      <w:pPr>
        <w:rPr>
          <w:rFonts w:cs="Arial"/>
        </w:rPr>
      </w:pPr>
      <w:r w:rsidRPr="00F21E5F">
        <w:rPr>
          <w:rFonts w:cs="Arial"/>
        </w:rPr>
        <w:t xml:space="preserve">I </w:t>
      </w:r>
      <w:r w:rsidR="00C20678">
        <w:rPr>
          <w:rFonts w:cs="Arial"/>
        </w:rPr>
        <w:t>remain s</w:t>
      </w:r>
      <w:r w:rsidRPr="00F21E5F">
        <w:rPr>
          <w:rFonts w:cs="Arial"/>
        </w:rPr>
        <w:t xml:space="preserve">atisfied that it </w:t>
      </w:r>
      <w:r w:rsidR="00126416">
        <w:rPr>
          <w:rFonts w:cs="Arial"/>
        </w:rPr>
        <w:t>remains</w:t>
      </w:r>
      <w:r w:rsidR="00126416" w:rsidRPr="00F21E5F">
        <w:rPr>
          <w:rFonts w:cs="Arial"/>
        </w:rPr>
        <w:t xml:space="preserve"> </w:t>
      </w:r>
      <w:r w:rsidRPr="00F21E5F">
        <w:rPr>
          <w:rFonts w:cs="Arial"/>
        </w:rPr>
        <w:t xml:space="preserve">unlikely that fishing operations conducted in accordance with the </w:t>
      </w:r>
      <w:r>
        <w:rPr>
          <w:rFonts w:cs="Arial"/>
        </w:rPr>
        <w:t xml:space="preserve">management regime </w:t>
      </w:r>
      <w:r w:rsidRPr="00F21E5F">
        <w:rPr>
          <w:rFonts w:cs="Arial"/>
        </w:rPr>
        <w:t>will adversely affect the conservation status of protected species or affect the survival or recovery in nature of listed threatened species or adversely affect the conservation status of listed migratory species, cetaceans or listed marine species.</w:t>
      </w:r>
    </w:p>
    <w:p w14:paraId="14922EDA" w14:textId="2FA36AEC" w:rsidR="00CF5CAE" w:rsidRDefault="00CF5CAE" w:rsidP="00CF5CAE">
      <w:pPr>
        <w:rPr>
          <w:rFonts w:cs="Arial"/>
          <w:color w:val="00B050"/>
        </w:rPr>
      </w:pPr>
      <w:r w:rsidRPr="00F21E5F">
        <w:rPr>
          <w:rFonts w:cs="Arial"/>
        </w:rPr>
        <w:t xml:space="preserve">I also consider that under the current management regime, operators </w:t>
      </w:r>
      <w:r w:rsidR="003D2F44">
        <w:rPr>
          <w:rFonts w:cs="Arial"/>
        </w:rPr>
        <w:t xml:space="preserve">continue to be </w:t>
      </w:r>
      <w:r w:rsidRPr="00F21E5F">
        <w:rPr>
          <w:rFonts w:cs="Arial"/>
        </w:rPr>
        <w:t>required to take all reasonable steps to avoid the killing or injuring of species listed under Part 13 of the EPBC Act</w:t>
      </w:r>
      <w:r w:rsidR="0050038E">
        <w:rPr>
          <w:rFonts w:cs="Arial"/>
        </w:rPr>
        <w:t xml:space="preserve"> when operating in Commonwealth waters</w:t>
      </w:r>
      <w:r w:rsidRPr="00F21E5F">
        <w:rPr>
          <w:rFonts w:cs="Arial"/>
        </w:rPr>
        <w:t>.</w:t>
      </w:r>
      <w:r w:rsidR="004200D2">
        <w:rPr>
          <w:rFonts w:cs="Arial"/>
        </w:rPr>
        <w:t xml:space="preserve"> </w:t>
      </w:r>
      <w:r w:rsidR="00126416">
        <w:rPr>
          <w:rFonts w:cs="Arial"/>
        </w:rPr>
        <w:t xml:space="preserve">I </w:t>
      </w:r>
      <w:r w:rsidR="00365F54">
        <w:rPr>
          <w:rFonts w:cs="Arial"/>
        </w:rPr>
        <w:t>therefore consider the current accredi</w:t>
      </w:r>
      <w:r w:rsidR="00B77119">
        <w:rPr>
          <w:rFonts w:cs="Arial"/>
        </w:rPr>
        <w:t>t</w:t>
      </w:r>
      <w:r w:rsidR="00365F54">
        <w:rPr>
          <w:rFonts w:cs="Arial"/>
        </w:rPr>
        <w:t>ation remains valid.</w:t>
      </w:r>
      <w:r w:rsidRPr="00F21E5F">
        <w:rPr>
          <w:rFonts w:cs="Arial"/>
        </w:rPr>
        <w:t xml:space="preserve"> </w:t>
      </w:r>
    </w:p>
    <w:p w14:paraId="14922EDB" w14:textId="77777777" w:rsidR="00CF5CAE" w:rsidRDefault="00CF5CAE" w:rsidP="00CF5CAE">
      <w:pPr>
        <w:rPr>
          <w:rFonts w:cs="Arial"/>
        </w:rPr>
      </w:pPr>
      <w:r w:rsidRPr="00822585">
        <w:rPr>
          <w:rFonts w:cs="Arial"/>
        </w:rPr>
        <w:t xml:space="preserve">I would like to thank you </w:t>
      </w:r>
      <w:r w:rsidRPr="00455855">
        <w:rPr>
          <w:rFonts w:cs="Arial"/>
        </w:rPr>
        <w:t>for the constructive way in which your officials have approached this assessment.</w:t>
      </w:r>
    </w:p>
    <w:p w14:paraId="14922EDC" w14:textId="77777777" w:rsidR="00CF5CAE" w:rsidRPr="004D31A7" w:rsidRDefault="00CF5CAE" w:rsidP="000C680C">
      <w:pPr>
        <w:spacing w:after="360"/>
        <w:rPr>
          <w:rFonts w:cs="Arial"/>
          <w:color w:val="00B050"/>
        </w:rPr>
      </w:pPr>
      <w:r w:rsidRPr="00B00ABE">
        <w:rPr>
          <w:rFonts w:cs="Arial"/>
        </w:rPr>
        <w:t>Please note that any person whose interests are affected by this decision may make an</w:t>
      </w:r>
      <w:r w:rsidRPr="00441D43">
        <w:rPr>
          <w:rFonts w:cs="Arial"/>
        </w:rPr>
        <w:t xml:space="preserve"> application to the Department of the Environment</w:t>
      </w:r>
      <w:r w:rsidR="00EA61DD">
        <w:rPr>
          <w:rFonts w:cs="Arial"/>
        </w:rPr>
        <w:t xml:space="preserve"> and Energy</w:t>
      </w:r>
      <w:r w:rsidRPr="00441D43">
        <w:rPr>
          <w:rFonts w:cs="Arial"/>
        </w:rPr>
        <w:t xml:space="preserve"> for the reasons for the decision, and may apply to the Administrative Appeals Tribunal to have this decision reviewed. I have enclosed further information</w:t>
      </w:r>
      <w:r>
        <w:rPr>
          <w:rFonts w:cs="Arial"/>
        </w:rPr>
        <w:t xml:space="preserve"> on these processes</w:t>
      </w:r>
      <w:r w:rsidRPr="00441D43">
        <w:rPr>
          <w:rFonts w:cs="Arial"/>
        </w:rPr>
        <w:t>.</w:t>
      </w:r>
    </w:p>
    <w:p w14:paraId="14922EDD" w14:textId="77777777" w:rsidR="00CF5CAE" w:rsidRDefault="00CF5CAE" w:rsidP="00CF5CAE">
      <w:pPr>
        <w:rPr>
          <w:rFonts w:cs="Arial"/>
        </w:rPr>
      </w:pPr>
      <w:bookmarkStart w:id="1" w:name="bkStart"/>
      <w:bookmarkEnd w:id="1"/>
      <w:r w:rsidRPr="00822585">
        <w:rPr>
          <w:rFonts w:cs="Arial"/>
        </w:rPr>
        <w:t>Yours sincerely</w:t>
      </w:r>
    </w:p>
    <w:p w14:paraId="70D83FC1" w14:textId="34D21C09" w:rsidR="0038615D" w:rsidRDefault="0038615D" w:rsidP="00CF5CAE">
      <w:r>
        <w:t>[Signed</w:t>
      </w:r>
      <w:r w:rsidR="009217D5">
        <w:t>]</w:t>
      </w:r>
    </w:p>
    <w:p w14:paraId="14922EE0" w14:textId="6E8CE95B" w:rsidR="00CF5CAE" w:rsidRDefault="00CF5CAE" w:rsidP="00CF5CAE">
      <w:pPr>
        <w:tabs>
          <w:tab w:val="left" w:pos="284"/>
        </w:tabs>
      </w:pPr>
      <w:r w:rsidRPr="005055FD">
        <w:t>Paul Murphy</w:t>
      </w:r>
      <w:r>
        <w:br/>
      </w:r>
      <w:r>
        <w:br/>
      </w:r>
      <w:r w:rsidRPr="005055FD">
        <w:rPr>
          <w:rFonts w:cs="Arial"/>
        </w:rPr>
        <w:t>Delegate of the</w:t>
      </w:r>
      <w:r w:rsidRPr="00822585">
        <w:rPr>
          <w:rFonts w:cs="Arial"/>
        </w:rPr>
        <w:t xml:space="preserve"> Minister for </w:t>
      </w:r>
      <w:r>
        <w:rPr>
          <w:rFonts w:cs="Arial"/>
        </w:rPr>
        <w:t>the Environment</w:t>
      </w:r>
      <w:r w:rsidR="00EA61DD">
        <w:rPr>
          <w:rFonts w:cs="Arial"/>
        </w:rPr>
        <w:t xml:space="preserve"> and Energy</w:t>
      </w:r>
      <w:r>
        <w:br/>
      </w:r>
      <w:r w:rsidR="0038615D">
        <w:t>22</w:t>
      </w:r>
      <w:r w:rsidR="00EB1D9A">
        <w:t xml:space="preserve"> </w:t>
      </w:r>
      <w:r w:rsidR="009576C5">
        <w:t>November</w:t>
      </w:r>
      <w:r w:rsidR="005055FD">
        <w:t xml:space="preserve"> 2016</w:t>
      </w:r>
    </w:p>
    <w:p w14:paraId="14922EE1" w14:textId="77777777" w:rsidR="00CF5CAE" w:rsidRDefault="00CF5CAE" w:rsidP="00CF5CAE">
      <w:pPr>
        <w:tabs>
          <w:tab w:val="left" w:pos="284"/>
        </w:tabs>
      </w:pPr>
    </w:p>
    <w:p w14:paraId="14922EE2" w14:textId="77777777" w:rsidR="00CF5CAE" w:rsidRDefault="00CF5CAE" w:rsidP="00CF5CAE">
      <w:pPr>
        <w:tabs>
          <w:tab w:val="left" w:pos="284"/>
        </w:tabs>
        <w:rPr>
          <w:rFonts w:cs="Arial"/>
        </w:rPr>
        <w:sectPr w:rsidR="00CF5CAE" w:rsidSect="00C325B9">
          <w:headerReference w:type="default" r:id="rId8"/>
          <w:headerReference w:type="first" r:id="rId9"/>
          <w:pgSz w:w="11906" w:h="16838"/>
          <w:pgMar w:top="1134" w:right="1418" w:bottom="1134" w:left="1418" w:header="425" w:footer="425" w:gutter="0"/>
          <w:pgNumType w:start="1"/>
          <w:cols w:space="708"/>
          <w:titlePg/>
          <w:docGrid w:linePitch="360"/>
        </w:sectPr>
      </w:pPr>
    </w:p>
    <w:p w14:paraId="14922EE3" w14:textId="77777777" w:rsidR="00CD3811" w:rsidRDefault="00CD3811" w:rsidP="000C680C">
      <w:pPr>
        <w:spacing w:after="600"/>
        <w:jc w:val="right"/>
        <w:rPr>
          <w:rFonts w:cs="Arial"/>
          <w:b/>
          <w:bCs/>
        </w:rPr>
      </w:pPr>
      <w:r>
        <w:rPr>
          <w:rFonts w:cs="Arial"/>
          <w:b/>
          <w:bCs/>
        </w:rPr>
        <w:lastRenderedPageBreak/>
        <w:t>ATTACHMENT 1</w:t>
      </w:r>
    </w:p>
    <w:p w14:paraId="14922EE4" w14:textId="77777777" w:rsidR="00CF5CAE" w:rsidRPr="00E14857" w:rsidRDefault="00CF5CAE" w:rsidP="000C680C">
      <w:pPr>
        <w:spacing w:after="100" w:afterAutospacing="1"/>
        <w:jc w:val="center"/>
        <w:rPr>
          <w:rFonts w:cs="Arial"/>
        </w:rPr>
      </w:pPr>
      <w:r w:rsidRPr="00E14857">
        <w:rPr>
          <w:rFonts w:cs="Arial"/>
          <w:b/>
          <w:bCs/>
        </w:rPr>
        <w:t xml:space="preserve">Conditions on the approved wildlife trade operation declaration for the </w:t>
      </w:r>
      <w:r w:rsidR="00475A35">
        <w:rPr>
          <w:rFonts w:cs="Arial"/>
          <w:b/>
          <w:bCs/>
        </w:rPr>
        <w:br/>
      </w:r>
      <w:r w:rsidR="002C01AA">
        <w:rPr>
          <w:rFonts w:cs="Arial"/>
          <w:b/>
          <w:bCs/>
        </w:rPr>
        <w:t>Queensland Gulf of Carpentaria Line Fishery</w:t>
      </w:r>
    </w:p>
    <w:p w14:paraId="14922EE5" w14:textId="77777777" w:rsidR="00300074" w:rsidRPr="00300074" w:rsidRDefault="00300074" w:rsidP="00300074">
      <w:pPr>
        <w:pStyle w:val="ListParagraph"/>
        <w:numPr>
          <w:ilvl w:val="0"/>
          <w:numId w:val="37"/>
        </w:numPr>
        <w:spacing w:after="120" w:line="240" w:lineRule="auto"/>
        <w:contextualSpacing/>
        <w:rPr>
          <w:rFonts w:cs="Arial"/>
        </w:rPr>
      </w:pPr>
      <w:r w:rsidRPr="0087012C">
        <w:rPr>
          <w:rFonts w:cs="Arial"/>
        </w:rPr>
        <w:t>Operation of the fishery will be carried out in accordance with</w:t>
      </w:r>
      <w:r w:rsidRPr="00300074">
        <w:rPr>
          <w:rFonts w:cs="Arial"/>
        </w:rPr>
        <w:t xml:space="preserve"> </w:t>
      </w:r>
      <w:r w:rsidRPr="0087012C">
        <w:rPr>
          <w:rFonts w:cs="Arial"/>
        </w:rPr>
        <w:t>the</w:t>
      </w:r>
      <w:r w:rsidRPr="00300074">
        <w:rPr>
          <w:rFonts w:cs="Arial"/>
        </w:rPr>
        <w:t xml:space="preserve"> </w:t>
      </w:r>
      <w:r w:rsidRPr="00B44F1E">
        <w:rPr>
          <w:iCs/>
        </w:rPr>
        <w:t>management regime</w:t>
      </w:r>
      <w:r w:rsidRPr="00300074">
        <w:rPr>
          <w:rFonts w:cs="Arial"/>
        </w:rPr>
        <w:t xml:space="preserve"> </w:t>
      </w:r>
      <w:r w:rsidRPr="0087012C">
        <w:rPr>
          <w:rFonts w:cs="Arial"/>
        </w:rPr>
        <w:t xml:space="preserve">under the </w:t>
      </w:r>
      <w:r w:rsidRPr="00300074">
        <w:rPr>
          <w:rFonts w:cs="Arial"/>
        </w:rPr>
        <w:t xml:space="preserve">Queensland </w:t>
      </w:r>
      <w:r w:rsidRPr="00300074">
        <w:rPr>
          <w:rFonts w:cs="Arial"/>
          <w:i/>
        </w:rPr>
        <w:t>Fisheries Act 1994</w:t>
      </w:r>
      <w:r w:rsidRPr="00300074">
        <w:rPr>
          <w:rFonts w:cs="Arial"/>
        </w:rPr>
        <w:t xml:space="preserve"> and the Fisheries Regulation 2008.</w:t>
      </w:r>
    </w:p>
    <w:p w14:paraId="14922EE6" w14:textId="77777777" w:rsidR="00300074" w:rsidRPr="00300074" w:rsidRDefault="00300074" w:rsidP="00300074">
      <w:pPr>
        <w:pStyle w:val="ListParagraph"/>
        <w:numPr>
          <w:ilvl w:val="0"/>
          <w:numId w:val="0"/>
        </w:numPr>
        <w:spacing w:after="120" w:line="240" w:lineRule="auto"/>
        <w:ind w:left="360"/>
        <w:contextualSpacing/>
        <w:rPr>
          <w:rFonts w:cs="Arial"/>
        </w:rPr>
      </w:pPr>
    </w:p>
    <w:p w14:paraId="14922EE7" w14:textId="77777777" w:rsidR="00300074" w:rsidRPr="00AA4B26" w:rsidRDefault="00300074" w:rsidP="00300074">
      <w:pPr>
        <w:pStyle w:val="ListParagraph"/>
        <w:numPr>
          <w:ilvl w:val="0"/>
          <w:numId w:val="37"/>
        </w:numPr>
        <w:spacing w:after="120" w:line="240" w:lineRule="auto"/>
        <w:contextualSpacing/>
        <w:rPr>
          <w:rFonts w:cs="Arial"/>
        </w:rPr>
      </w:pPr>
      <w:r w:rsidRPr="0087012C">
        <w:rPr>
          <w:rFonts w:cs="Arial"/>
        </w:rPr>
        <w:t xml:space="preserve">The </w:t>
      </w:r>
      <w:r w:rsidRPr="00AA4B26">
        <w:rPr>
          <w:rFonts w:cs="Arial"/>
        </w:rPr>
        <w:t>Queensland Department of Agriculture and Fisheries</w:t>
      </w:r>
      <w:r w:rsidRPr="0087012C">
        <w:rPr>
          <w:rFonts w:cs="Arial"/>
        </w:rPr>
        <w:t xml:space="preserve"> to inform the Department of  </w:t>
      </w:r>
    </w:p>
    <w:p w14:paraId="14922EE8" w14:textId="77777777" w:rsidR="00300074" w:rsidRPr="0087012C" w:rsidRDefault="00300074" w:rsidP="00300074">
      <w:pPr>
        <w:pStyle w:val="ListParagraph"/>
        <w:numPr>
          <w:ilvl w:val="0"/>
          <w:numId w:val="0"/>
        </w:numPr>
        <w:spacing w:after="120" w:line="240" w:lineRule="auto"/>
        <w:ind w:left="360"/>
        <w:contextualSpacing/>
        <w:rPr>
          <w:rFonts w:cs="Arial"/>
        </w:rPr>
      </w:pPr>
      <w:r w:rsidRPr="0087012C">
        <w:rPr>
          <w:rFonts w:cs="Arial"/>
        </w:rPr>
        <w:t xml:space="preserve">any intended material changes to the </w:t>
      </w:r>
      <w:r w:rsidRPr="00AA4B26">
        <w:rPr>
          <w:rFonts w:cs="Arial"/>
        </w:rPr>
        <w:t xml:space="preserve">Queensland </w:t>
      </w:r>
      <w:r w:rsidRPr="0087012C">
        <w:rPr>
          <w:rFonts w:cs="Arial"/>
        </w:rPr>
        <w:t xml:space="preserve">Gulf of Carpentaria Line Fishery </w:t>
      </w:r>
    </w:p>
    <w:p w14:paraId="14922EE9" w14:textId="77777777" w:rsidR="00300074" w:rsidRDefault="00300074" w:rsidP="00300074">
      <w:pPr>
        <w:pStyle w:val="ListParagraph"/>
        <w:numPr>
          <w:ilvl w:val="0"/>
          <w:numId w:val="0"/>
        </w:numPr>
        <w:spacing w:after="480" w:line="240" w:lineRule="auto"/>
        <w:ind w:left="360"/>
        <w:contextualSpacing/>
        <w:rPr>
          <w:rFonts w:cs="Arial"/>
        </w:rPr>
      </w:pPr>
      <w:r w:rsidRPr="0087012C">
        <w:rPr>
          <w:rFonts w:cs="Arial"/>
        </w:rPr>
        <w:t xml:space="preserve">management arrangements that may affect the assessment against which </w:t>
      </w:r>
      <w:r w:rsidRPr="00300074">
        <w:rPr>
          <w:rFonts w:cs="Arial"/>
          <w:i/>
        </w:rPr>
        <w:t>Environment Protection and Biodiversity Conservation Act 1999</w:t>
      </w:r>
      <w:r w:rsidRPr="0087012C">
        <w:rPr>
          <w:rFonts w:cs="Arial"/>
        </w:rPr>
        <w:t xml:space="preserve"> decisions are made.</w:t>
      </w:r>
    </w:p>
    <w:p w14:paraId="14922EEA" w14:textId="77777777" w:rsidR="00300074" w:rsidRPr="00300074" w:rsidRDefault="00300074" w:rsidP="00300074">
      <w:pPr>
        <w:pStyle w:val="ListParagraph"/>
        <w:numPr>
          <w:ilvl w:val="0"/>
          <w:numId w:val="0"/>
        </w:numPr>
        <w:spacing w:after="480" w:line="240" w:lineRule="auto"/>
        <w:ind w:left="360"/>
        <w:contextualSpacing/>
        <w:rPr>
          <w:rFonts w:cs="Arial"/>
        </w:rPr>
      </w:pPr>
    </w:p>
    <w:p w14:paraId="14922EEB" w14:textId="77777777" w:rsidR="00300074" w:rsidRDefault="00300074" w:rsidP="00300074">
      <w:pPr>
        <w:pStyle w:val="ListParagraph"/>
        <w:numPr>
          <w:ilvl w:val="0"/>
          <w:numId w:val="37"/>
        </w:numPr>
        <w:spacing w:after="120" w:line="240" w:lineRule="auto"/>
        <w:contextualSpacing/>
        <w:rPr>
          <w:rFonts w:cs="Arial"/>
        </w:rPr>
      </w:pPr>
      <w:r w:rsidRPr="0087012C">
        <w:rPr>
          <w:rFonts w:cs="Arial"/>
        </w:rPr>
        <w:t>The Queensland Department of Agriculture and Fisheries</w:t>
      </w:r>
      <w:r>
        <w:rPr>
          <w:rFonts w:cs="Arial"/>
        </w:rPr>
        <w:t xml:space="preserve"> </w:t>
      </w:r>
      <w:r w:rsidRPr="0087012C">
        <w:rPr>
          <w:rFonts w:cs="Arial"/>
        </w:rPr>
        <w:t xml:space="preserve">to produce and present reports </w:t>
      </w:r>
      <w:r>
        <w:rPr>
          <w:rFonts w:cs="Arial"/>
        </w:rPr>
        <w:t>to</w:t>
      </w:r>
      <w:r w:rsidRPr="0087012C">
        <w:rPr>
          <w:rFonts w:cs="Arial"/>
        </w:rPr>
        <w:t xml:space="preserve"> the Department of the Environment and Energy ann</w:t>
      </w:r>
      <w:r>
        <w:rPr>
          <w:rFonts w:cs="Arial"/>
        </w:rPr>
        <w:t xml:space="preserve">ually as per Appendix B of the </w:t>
      </w:r>
      <w:r w:rsidRPr="00300074">
        <w:rPr>
          <w:rFonts w:cs="Arial"/>
          <w:i/>
        </w:rPr>
        <w:t>Guidelines for the Ecologically Sustainable Management of Fisheries - 2nd Edition</w:t>
      </w:r>
      <w:r w:rsidRPr="0087012C">
        <w:rPr>
          <w:rFonts w:cs="Arial"/>
        </w:rPr>
        <w:t>.</w:t>
      </w:r>
    </w:p>
    <w:p w14:paraId="14922EEC" w14:textId="77777777" w:rsidR="00300074" w:rsidRPr="0087012C" w:rsidRDefault="00300074" w:rsidP="00300074">
      <w:pPr>
        <w:pStyle w:val="ListParagraph"/>
        <w:numPr>
          <w:ilvl w:val="0"/>
          <w:numId w:val="0"/>
        </w:numPr>
        <w:spacing w:after="120" w:line="240" w:lineRule="auto"/>
        <w:ind w:left="360"/>
        <w:contextualSpacing/>
        <w:rPr>
          <w:rFonts w:cs="Arial"/>
        </w:rPr>
      </w:pPr>
    </w:p>
    <w:p w14:paraId="14922EED" w14:textId="77777777" w:rsidR="00545F4F" w:rsidRPr="000C680C" w:rsidRDefault="00300074" w:rsidP="00953372">
      <w:pPr>
        <w:pStyle w:val="ListParagraph"/>
        <w:numPr>
          <w:ilvl w:val="0"/>
          <w:numId w:val="37"/>
        </w:numPr>
        <w:spacing w:after="120" w:line="240" w:lineRule="auto"/>
        <w:contextualSpacing/>
        <w:rPr>
          <w:rFonts w:cs="Arial"/>
        </w:rPr>
      </w:pPr>
      <w:r w:rsidRPr="000C680C">
        <w:rPr>
          <w:rFonts w:cs="Arial"/>
        </w:rPr>
        <w:t>The Queensland Department of Agriculture and Fisheries to provide appropriate identification tools and education to assist fishers in providing accurate identification and recording of sharks at the species level.</w:t>
      </w:r>
    </w:p>
    <w:p w14:paraId="14922EEE" w14:textId="77777777" w:rsidR="008B573B" w:rsidRDefault="008B573B" w:rsidP="00545F4F">
      <w:pPr>
        <w:pStyle w:val="ListNumber"/>
        <w:numPr>
          <w:ilvl w:val="0"/>
          <w:numId w:val="0"/>
        </w:numPr>
        <w:ind w:left="369"/>
        <w:rPr>
          <w:rFonts w:cs="Arial"/>
        </w:rPr>
      </w:pPr>
    </w:p>
    <w:p w14:paraId="14922EEF" w14:textId="4410E8B7" w:rsidR="00B678AF" w:rsidRDefault="003467DF" w:rsidP="00B678AF">
      <w:pPr>
        <w:spacing w:after="0"/>
        <w:jc w:val="center"/>
        <w:rPr>
          <w:rFonts w:cs="Arial"/>
          <w:b/>
          <w:bCs/>
        </w:rPr>
      </w:pPr>
      <w:r>
        <w:rPr>
          <w:rFonts w:cs="Arial"/>
          <w:b/>
          <w:bCs/>
        </w:rPr>
        <w:t xml:space="preserve">Recommendation to the Queensland Department of Agriculture and Fisheries </w:t>
      </w:r>
      <w:r w:rsidR="00B678AF" w:rsidRPr="00E14857">
        <w:rPr>
          <w:rFonts w:cs="Arial"/>
          <w:b/>
          <w:bCs/>
        </w:rPr>
        <w:t xml:space="preserve">on the </w:t>
      </w:r>
      <w:r>
        <w:rPr>
          <w:rFonts w:cs="Arial"/>
          <w:b/>
          <w:bCs/>
        </w:rPr>
        <w:t xml:space="preserve">ecologically sustainable management of the Queensland </w:t>
      </w:r>
      <w:r w:rsidR="00B678AF">
        <w:rPr>
          <w:rFonts w:cs="Arial"/>
          <w:b/>
          <w:bCs/>
        </w:rPr>
        <w:t>Gulf of Carpentaria Line</w:t>
      </w:r>
      <w:r w:rsidR="000860AE">
        <w:rPr>
          <w:rFonts w:cs="Arial"/>
          <w:b/>
          <w:bCs/>
        </w:rPr>
        <w:t> </w:t>
      </w:r>
      <w:r w:rsidR="00B678AF">
        <w:rPr>
          <w:rFonts w:cs="Arial"/>
          <w:b/>
          <w:bCs/>
        </w:rPr>
        <w:t>Fishery</w:t>
      </w:r>
    </w:p>
    <w:p w14:paraId="14922EF0" w14:textId="77777777" w:rsidR="0061014D" w:rsidRDefault="0061014D" w:rsidP="00B678AF">
      <w:pPr>
        <w:spacing w:after="0"/>
        <w:jc w:val="center"/>
        <w:rPr>
          <w:rFonts w:cs="Arial"/>
        </w:rPr>
      </w:pPr>
    </w:p>
    <w:p w14:paraId="14922EF1" w14:textId="77777777" w:rsidR="0061014D" w:rsidRPr="0061014D" w:rsidRDefault="0061014D" w:rsidP="0061014D">
      <w:pPr>
        <w:spacing w:after="120" w:line="240" w:lineRule="auto"/>
        <w:ind w:left="369" w:hanging="369"/>
        <w:contextualSpacing/>
        <w:rPr>
          <w:rFonts w:cs="Arial"/>
        </w:rPr>
      </w:pPr>
      <w:r w:rsidRPr="0061014D">
        <w:rPr>
          <w:rFonts w:cs="Arial"/>
        </w:rPr>
        <w:t xml:space="preserve">1. The Queensland Department of Agriculture and Fisheries </w:t>
      </w:r>
      <w:r>
        <w:rPr>
          <w:rFonts w:cs="Arial"/>
        </w:rPr>
        <w:t xml:space="preserve">to continue to collaborate with </w:t>
      </w:r>
      <w:r w:rsidRPr="0061014D">
        <w:rPr>
          <w:rFonts w:cs="Arial"/>
        </w:rPr>
        <w:t>other jurisdictions to pursue consistent and complementary research needs and management arrangements for target species.</w:t>
      </w:r>
    </w:p>
    <w:p w14:paraId="14922EF2" w14:textId="77777777" w:rsidR="00B678AF" w:rsidRDefault="00B678AF" w:rsidP="0061014D">
      <w:pPr>
        <w:pStyle w:val="ListParagraph"/>
        <w:numPr>
          <w:ilvl w:val="0"/>
          <w:numId w:val="37"/>
        </w:numPr>
        <w:spacing w:after="120" w:line="240" w:lineRule="auto"/>
        <w:contextualSpacing/>
        <w:rPr>
          <w:rFonts w:cs="Arial"/>
        </w:rPr>
      </w:pPr>
      <w:r>
        <w:rPr>
          <w:rFonts w:cs="Arial"/>
        </w:rPr>
        <w:br w:type="page"/>
      </w:r>
    </w:p>
    <w:p w14:paraId="14922EF3" w14:textId="77777777" w:rsidR="00545F4F" w:rsidRPr="002201D7" w:rsidRDefault="00545F4F" w:rsidP="00EE62DA">
      <w:pPr>
        <w:spacing w:before="120" w:after="120"/>
        <w:jc w:val="center"/>
        <w:rPr>
          <w:rFonts w:cs="Arial"/>
          <w:b/>
          <w:u w:val="single"/>
        </w:rPr>
      </w:pPr>
      <w:r w:rsidRPr="00642837">
        <w:rPr>
          <w:rFonts w:cs="Arial"/>
          <w:b/>
          <w:u w:val="single"/>
        </w:rPr>
        <w:lastRenderedPageBreak/>
        <w:t xml:space="preserve">Notification </w:t>
      </w:r>
      <w:r w:rsidRPr="00504C08">
        <w:rPr>
          <w:rFonts w:cs="Arial"/>
          <w:b/>
          <w:u w:val="single"/>
        </w:rPr>
        <w:t>of Reviewable Decisions and Rights of Review</w:t>
      </w:r>
      <w:r w:rsidRPr="00504C08">
        <w:rPr>
          <w:rStyle w:val="FootnoteReference"/>
          <w:rFonts w:cs="Arial"/>
          <w:b/>
          <w:u w:val="single"/>
        </w:rPr>
        <w:footnoteReference w:id="1"/>
      </w:r>
    </w:p>
    <w:p w14:paraId="14922EF4" w14:textId="77777777" w:rsidR="00545F4F" w:rsidRPr="00F8686F" w:rsidRDefault="00545F4F" w:rsidP="00EE62DA">
      <w:pPr>
        <w:spacing w:before="120" w:after="120"/>
        <w:jc w:val="both"/>
        <w:rPr>
          <w:rFonts w:cs="Arial"/>
        </w:rPr>
      </w:pPr>
      <w:r w:rsidRPr="00F8686F">
        <w:rPr>
          <w:rFonts w:cs="Arial"/>
        </w:rPr>
        <w:t xml:space="preserve">There is a right of review to the Administrative Appeals Tribunal in relation to certain decisions made by the Minister or the Minister’s delegate under the </w:t>
      </w:r>
      <w:r w:rsidR="00AF4DBA" w:rsidRPr="00274A02">
        <w:rPr>
          <w:rFonts w:cs="Arial"/>
          <w:i/>
        </w:rPr>
        <w:t xml:space="preserve">Environment Protection and Biodiversity Conservation </w:t>
      </w:r>
      <w:r w:rsidRPr="00274A02">
        <w:rPr>
          <w:rFonts w:cs="Arial"/>
          <w:i/>
        </w:rPr>
        <w:t>Act</w:t>
      </w:r>
      <w:r w:rsidR="00AF4DBA" w:rsidRPr="00274A02">
        <w:rPr>
          <w:rFonts w:cs="Arial"/>
          <w:i/>
        </w:rPr>
        <w:t> 1999</w:t>
      </w:r>
      <w:r w:rsidR="00AF4DBA" w:rsidRPr="00F8686F">
        <w:rPr>
          <w:rFonts w:cs="Arial"/>
        </w:rPr>
        <w:t xml:space="preserve"> (EPBC Act)</w:t>
      </w:r>
      <w:r w:rsidRPr="00F8686F">
        <w:rPr>
          <w:rFonts w:cs="Arial"/>
        </w:rPr>
        <w:t xml:space="preserve">. </w:t>
      </w:r>
    </w:p>
    <w:p w14:paraId="14922EF5" w14:textId="77777777" w:rsidR="00545F4F" w:rsidRPr="00F8686F" w:rsidRDefault="00AF4DBA" w:rsidP="00B44F1E">
      <w:pPr>
        <w:spacing w:before="120" w:after="240"/>
        <w:jc w:val="both"/>
        <w:rPr>
          <w:rFonts w:cs="Arial"/>
        </w:rPr>
      </w:pPr>
      <w:r w:rsidRPr="00F8686F">
        <w:rPr>
          <w:rFonts w:cs="Arial"/>
        </w:rPr>
        <w:t>S</w:t>
      </w:r>
      <w:r w:rsidR="00545F4F" w:rsidRPr="00F8686F">
        <w:rPr>
          <w:rFonts w:cs="Arial"/>
        </w:rPr>
        <w:t>ection</w:t>
      </w:r>
      <w:r w:rsidRPr="00F8686F">
        <w:rPr>
          <w:rFonts w:cs="Arial"/>
        </w:rPr>
        <w:t xml:space="preserve"> 303</w:t>
      </w:r>
      <w:r w:rsidR="00B95D71" w:rsidRPr="00F8686F">
        <w:rPr>
          <w:rFonts w:cs="Arial"/>
        </w:rPr>
        <w:t>GJ</w:t>
      </w:r>
      <w:r w:rsidR="00545F4F" w:rsidRPr="00F8686F">
        <w:rPr>
          <w:rFonts w:cs="Arial"/>
        </w:rPr>
        <w:t xml:space="preserve"> of the </w:t>
      </w:r>
      <w:r w:rsidRPr="00F8686F">
        <w:rPr>
          <w:rFonts w:cs="Arial"/>
        </w:rPr>
        <w:t>EPBC Act</w:t>
      </w:r>
      <w:r w:rsidRPr="00F8686F" w:rsidDel="00AF4DBA">
        <w:rPr>
          <w:rFonts w:cs="Arial"/>
        </w:rPr>
        <w:t xml:space="preserve"> </w:t>
      </w:r>
      <w:r w:rsidR="00545F4F" w:rsidRPr="00F8686F">
        <w:rPr>
          <w:rFonts w:cs="Arial"/>
        </w:rPr>
        <w:t xml:space="preserve">provides that applications may be made to the Administrative Appeals Tribunal for the review of the following decisions of the Minister: </w:t>
      </w:r>
    </w:p>
    <w:p w14:paraId="14922EF6" w14:textId="77777777" w:rsidR="00B95D71" w:rsidRPr="00F8686F" w:rsidRDefault="00B95D71" w:rsidP="00EE62DA">
      <w:pPr>
        <w:spacing w:before="120" w:after="120"/>
        <w:ind w:left="720"/>
        <w:jc w:val="both"/>
        <w:rPr>
          <w:rFonts w:cs="Arial"/>
        </w:rPr>
      </w:pPr>
      <w:r w:rsidRPr="00F8686F">
        <w:rPr>
          <w:rFonts w:cs="Arial"/>
        </w:rPr>
        <w:t>(a) to issue or refuse a permit; or</w:t>
      </w:r>
    </w:p>
    <w:p w14:paraId="14922EF7" w14:textId="77777777" w:rsidR="00B95D71" w:rsidRPr="00F8686F" w:rsidRDefault="00B95D71" w:rsidP="00EE62DA">
      <w:pPr>
        <w:spacing w:before="120" w:after="120"/>
        <w:ind w:left="720"/>
        <w:jc w:val="both"/>
        <w:rPr>
          <w:rFonts w:cs="Arial"/>
        </w:rPr>
      </w:pPr>
      <w:r w:rsidRPr="00F8686F">
        <w:rPr>
          <w:rFonts w:cs="Arial"/>
        </w:rPr>
        <w:t>(b) to specify, vary or revoke a condition of a permit; or</w:t>
      </w:r>
    </w:p>
    <w:p w14:paraId="14922EF8" w14:textId="77777777" w:rsidR="00F8686F" w:rsidRPr="00F8686F" w:rsidRDefault="00B95D71" w:rsidP="00EE62DA">
      <w:pPr>
        <w:spacing w:before="120" w:after="120"/>
        <w:ind w:left="720"/>
        <w:jc w:val="both"/>
        <w:rPr>
          <w:rFonts w:cs="Arial"/>
        </w:rPr>
      </w:pPr>
      <w:r w:rsidRPr="00F8686F">
        <w:rPr>
          <w:rFonts w:cs="Arial"/>
        </w:rPr>
        <w:t xml:space="preserve">(c) to impose a further condition </w:t>
      </w:r>
      <w:r w:rsidR="00F8686F" w:rsidRPr="00F8686F">
        <w:rPr>
          <w:rFonts w:cs="Arial"/>
        </w:rPr>
        <w:t>of a permit; or</w:t>
      </w:r>
    </w:p>
    <w:p w14:paraId="14922EF9" w14:textId="77777777" w:rsidR="00F8686F" w:rsidRPr="00F8686F" w:rsidRDefault="00F8686F" w:rsidP="00EE62DA">
      <w:pPr>
        <w:spacing w:before="120" w:after="120"/>
        <w:ind w:left="720"/>
        <w:jc w:val="both"/>
        <w:rPr>
          <w:rFonts w:cs="Arial"/>
        </w:rPr>
      </w:pPr>
      <w:r w:rsidRPr="00F8686F">
        <w:rPr>
          <w:rFonts w:cs="Arial"/>
        </w:rPr>
        <w:t>(d) to transfer or refuse to transfer a permit; or</w:t>
      </w:r>
    </w:p>
    <w:p w14:paraId="14922EFA" w14:textId="77777777" w:rsidR="00F8686F" w:rsidRPr="00F8686F" w:rsidRDefault="00F8686F" w:rsidP="00EE62DA">
      <w:pPr>
        <w:spacing w:before="120" w:after="120"/>
        <w:ind w:left="720"/>
        <w:jc w:val="both"/>
        <w:rPr>
          <w:rFonts w:cs="Arial"/>
        </w:rPr>
      </w:pPr>
      <w:r w:rsidRPr="00F8686F">
        <w:rPr>
          <w:rFonts w:cs="Arial"/>
        </w:rPr>
        <w:t>(e) to suspend or cancel a permit; or</w:t>
      </w:r>
    </w:p>
    <w:p w14:paraId="14922EFB" w14:textId="77777777" w:rsidR="00F8686F" w:rsidRPr="00F8686F" w:rsidRDefault="00F8686F" w:rsidP="00EE62DA">
      <w:pPr>
        <w:spacing w:before="120" w:after="120"/>
        <w:ind w:left="720"/>
        <w:jc w:val="both"/>
        <w:rPr>
          <w:rFonts w:cs="Arial"/>
        </w:rPr>
      </w:pPr>
      <w:r w:rsidRPr="00F8686F">
        <w:rPr>
          <w:rFonts w:cs="Arial"/>
        </w:rPr>
        <w:t>(f) to issue or refuse a certificate under subsection 303CC(5); or</w:t>
      </w:r>
    </w:p>
    <w:p w14:paraId="14922EFC" w14:textId="77777777" w:rsidR="00F8686F" w:rsidRPr="00F8686F" w:rsidRDefault="00F8686F" w:rsidP="00EE62DA">
      <w:pPr>
        <w:spacing w:before="120" w:after="120"/>
        <w:ind w:left="720"/>
        <w:jc w:val="both"/>
        <w:rPr>
          <w:rFonts w:cs="Arial"/>
        </w:rPr>
      </w:pPr>
      <w:r w:rsidRPr="00F8686F">
        <w:rPr>
          <w:rFonts w:cs="Arial"/>
        </w:rPr>
        <w:t>(g) of the Secretary under a determination in force under section 303EU; or</w:t>
      </w:r>
    </w:p>
    <w:p w14:paraId="14922EFD" w14:textId="77777777" w:rsidR="00F8686F" w:rsidRPr="00F8686F" w:rsidRDefault="00F8686F" w:rsidP="00EE62DA">
      <w:pPr>
        <w:spacing w:before="120" w:after="120"/>
        <w:ind w:left="720"/>
        <w:jc w:val="both"/>
        <w:rPr>
          <w:rFonts w:cs="Arial"/>
        </w:rPr>
      </w:pPr>
      <w:r w:rsidRPr="00F8686F">
        <w:rPr>
          <w:rFonts w:cs="Arial"/>
        </w:rPr>
        <w:t>(h) to make or refuse a declaration under section 303FN, 303FO or 303FP; or</w:t>
      </w:r>
    </w:p>
    <w:p w14:paraId="14922EFE" w14:textId="77777777" w:rsidR="00545F4F" w:rsidRDefault="00F8686F" w:rsidP="00B44F1E">
      <w:pPr>
        <w:spacing w:before="120" w:after="0"/>
        <w:ind w:left="720"/>
        <w:jc w:val="both"/>
        <w:rPr>
          <w:rFonts w:cs="Arial"/>
        </w:rPr>
      </w:pPr>
      <w:r w:rsidRPr="00F8686F">
        <w:rPr>
          <w:rFonts w:cs="Arial"/>
        </w:rPr>
        <w:t>(i) to vary or revoke a declaration under section 303FN, 303FO or 303FP.</w:t>
      </w:r>
    </w:p>
    <w:p w14:paraId="14922EFF" w14:textId="77777777" w:rsidR="00545F4F" w:rsidRDefault="00545F4F" w:rsidP="00EE62DA">
      <w:pPr>
        <w:spacing w:before="120" w:after="120"/>
        <w:ind w:left="720"/>
        <w:jc w:val="both"/>
        <w:rPr>
          <w:rFonts w:cs="Arial"/>
        </w:rPr>
      </w:pPr>
    </w:p>
    <w:p w14:paraId="14922F00" w14:textId="77777777" w:rsidR="00545F4F" w:rsidRDefault="00545F4F" w:rsidP="00EE62DA">
      <w:pPr>
        <w:pStyle w:val="ListBullet"/>
        <w:numPr>
          <w:ilvl w:val="0"/>
          <w:numId w:val="0"/>
        </w:numPr>
        <w:ind w:left="369" w:hanging="369"/>
      </w:pPr>
      <w:r w:rsidRPr="00504C08">
        <w:t xml:space="preserve">If you are dissatisfied with </w:t>
      </w:r>
      <w:r>
        <w:t>a decision of a type listed above you may:</w:t>
      </w:r>
    </w:p>
    <w:p w14:paraId="14922F01" w14:textId="77777777" w:rsidR="00545F4F" w:rsidRDefault="00545F4F" w:rsidP="00EE62DA">
      <w:pPr>
        <w:pStyle w:val="ListBullet"/>
      </w:pPr>
      <w:r>
        <w:t>by notice, provided in writing, request that the Minister or the Minister’s delegate give you a statement in writing setting out the reasons for the decision; and</w:t>
      </w:r>
    </w:p>
    <w:p w14:paraId="14922F02" w14:textId="77777777" w:rsidR="00545F4F" w:rsidRPr="00FE2720" w:rsidRDefault="00545F4F" w:rsidP="00EE62DA">
      <w:pPr>
        <w:pStyle w:val="ListBullet"/>
      </w:pPr>
      <w:r w:rsidRPr="00504C08">
        <w:t>apply to the Administrative Appeals Tribunal (</w:t>
      </w:r>
      <w:r w:rsidRPr="00FE2720">
        <w:rPr>
          <w:b/>
        </w:rPr>
        <w:t>AAT</w:t>
      </w:r>
      <w:r w:rsidRPr="00504C08">
        <w:t>) for</w:t>
      </w:r>
      <w:r>
        <w:t xml:space="preserve"> independent merits review of the decision. A</w:t>
      </w:r>
      <w:r w:rsidRPr="00504C08">
        <w:t xml:space="preserve">pplication for review of a decision must be made to the AAT within </w:t>
      </w:r>
      <w:r w:rsidRPr="00504C08">
        <w:rPr>
          <w:b/>
        </w:rPr>
        <w:t>28 days</w:t>
      </w:r>
      <w:r w:rsidRPr="00504C08">
        <w:t xml:space="preserve"> after the day on which you have received the reviewable decision.</w:t>
      </w:r>
      <w:r>
        <w:t xml:space="preserve"> </w:t>
      </w:r>
      <w:r w:rsidRPr="00946C44">
        <w:rPr>
          <w:color w:val="000000" w:themeColor="text1"/>
        </w:rPr>
        <w:t xml:space="preserve">However an extension of time for lodging an application may be granted by the AAT under certain circumstances. Please visit the AAT’s website at </w:t>
      </w:r>
      <w:hyperlink r:id="rId10" w:history="1">
        <w:r w:rsidRPr="00946C44">
          <w:rPr>
            <w:rStyle w:val="Hyperlink"/>
            <w:rFonts w:cs="Arial"/>
            <w:color w:val="000000" w:themeColor="text1"/>
          </w:rPr>
          <w:t>http://www.aat.gov.au/</w:t>
        </w:r>
      </w:hyperlink>
      <w:r w:rsidRPr="00946C44">
        <w:rPr>
          <w:color w:val="000000" w:themeColor="text1"/>
        </w:rPr>
        <w:t xml:space="preserve"> </w:t>
      </w:r>
      <w:r>
        <w:rPr>
          <w:color w:val="000000" w:themeColor="text1"/>
        </w:rPr>
        <w:t xml:space="preserve">or telephone 1300 366 700 </w:t>
      </w:r>
      <w:r w:rsidRPr="00946C44">
        <w:rPr>
          <w:color w:val="000000" w:themeColor="text1"/>
        </w:rPr>
        <w:t>for further information.</w:t>
      </w:r>
      <w:r>
        <w:rPr>
          <w:color w:val="000000" w:themeColor="text1"/>
        </w:rPr>
        <w:t xml:space="preserve"> The role of the AAT is to provide a review mechanism that is fair, just, economical, informal and quick.</w:t>
      </w:r>
    </w:p>
    <w:p w14:paraId="14922F03" w14:textId="77777777" w:rsidR="00545F4F" w:rsidRDefault="00545F4F" w:rsidP="00EE62DA">
      <w:pPr>
        <w:spacing w:before="120" w:after="120"/>
        <w:ind w:left="369" w:hanging="369"/>
        <w:jc w:val="both"/>
        <w:rPr>
          <w:rFonts w:cs="Arial"/>
          <w:b/>
        </w:rPr>
      </w:pPr>
      <w:r w:rsidRPr="00504C08">
        <w:rPr>
          <w:rFonts w:cs="Arial"/>
          <w:b/>
        </w:rPr>
        <w:t xml:space="preserve">Applications &amp; Costs </w:t>
      </w:r>
    </w:p>
    <w:p w14:paraId="14922F04" w14:textId="77777777" w:rsidR="00545F4F" w:rsidRDefault="00545F4F" w:rsidP="00EE62DA">
      <w:pPr>
        <w:spacing w:before="120" w:after="120"/>
        <w:jc w:val="both"/>
        <w:rPr>
          <w:rFonts w:cs="Arial"/>
        </w:rPr>
      </w:pPr>
      <w:r w:rsidRPr="00504C08">
        <w:rPr>
          <w:rFonts w:cs="Arial"/>
        </w:rPr>
        <w:t xml:space="preserve">Applications to the AAT are made by lodging an Application Form (Form 1). This can be found on the AAT’s website </w:t>
      </w:r>
      <w:hyperlink r:id="rId11" w:history="1">
        <w:r w:rsidRPr="00504C08">
          <w:rPr>
            <w:rStyle w:val="Hyperlink"/>
            <w:rFonts w:cs="Arial"/>
          </w:rPr>
          <w:t>http://www.aat.gov.au/</w:t>
        </w:r>
      </w:hyperlink>
      <w:r>
        <w:rPr>
          <w:rFonts w:cs="Arial"/>
        </w:rPr>
        <w:t xml:space="preserve">. </w:t>
      </w:r>
    </w:p>
    <w:p w14:paraId="14922F05" w14:textId="77777777" w:rsidR="00545F4F" w:rsidRDefault="00545F4F" w:rsidP="00EE62DA">
      <w:pPr>
        <w:spacing w:before="120" w:after="120"/>
        <w:jc w:val="both"/>
        <w:rPr>
          <w:rFonts w:cs="Arial"/>
        </w:rPr>
      </w:pPr>
      <w:r w:rsidRPr="00946C44">
        <w:rPr>
          <w:rFonts w:cs="Arial"/>
          <w:color w:val="000000" w:themeColor="text1"/>
        </w:rPr>
        <w:t xml:space="preserve">There are no strict timelines in which the AAT must review the decision, however the first Conference between the parties will usually be held within 6-10 weeks of the Application being lodged. </w:t>
      </w:r>
      <w:r>
        <w:rPr>
          <w:rFonts w:cs="Arial"/>
          <w:color w:val="000000" w:themeColor="text1"/>
        </w:rPr>
        <w:t>The time frame for review of certain decisions can be expedited in some circumstances.</w:t>
      </w:r>
    </w:p>
    <w:p w14:paraId="14922F06" w14:textId="77777777" w:rsidR="00545F4F" w:rsidRDefault="00545F4F" w:rsidP="00EE62DA">
      <w:pPr>
        <w:spacing w:before="120" w:after="120"/>
        <w:rPr>
          <w:rFonts w:cs="Arial"/>
        </w:rPr>
      </w:pPr>
      <w:r>
        <w:rPr>
          <w:rFonts w:cs="Arial"/>
        </w:rPr>
        <w:t>T</w:t>
      </w:r>
      <w:r w:rsidRPr="00504C08">
        <w:rPr>
          <w:rFonts w:cs="Arial"/>
        </w:rPr>
        <w:t>he cost of lodging</w:t>
      </w:r>
      <w:r>
        <w:rPr>
          <w:rFonts w:cs="Arial"/>
        </w:rPr>
        <w:t xml:space="preserve"> an application for review is </w:t>
      </w:r>
      <w:r w:rsidRPr="00E81DAF">
        <w:rPr>
          <w:rFonts w:cs="Arial"/>
        </w:rPr>
        <w:t>$8</w:t>
      </w:r>
      <w:r>
        <w:rPr>
          <w:rFonts w:cs="Arial"/>
        </w:rPr>
        <w:t>84 (GST inclusive) (current as of 1</w:t>
      </w:r>
      <w:r w:rsidR="00EE62DA">
        <w:rPr>
          <w:rFonts w:cs="Arial"/>
        </w:rPr>
        <w:t> </w:t>
      </w:r>
      <w:r>
        <w:rPr>
          <w:rFonts w:cs="Arial"/>
        </w:rPr>
        <w:t>July</w:t>
      </w:r>
      <w:r w:rsidR="00EE62DA">
        <w:rPr>
          <w:rFonts w:cs="Arial"/>
        </w:rPr>
        <w:t> </w:t>
      </w:r>
      <w:r>
        <w:rPr>
          <w:rFonts w:cs="Arial"/>
        </w:rPr>
        <w:t>2016)</w:t>
      </w:r>
      <w:r w:rsidRPr="00E81DAF">
        <w:rPr>
          <w:rFonts w:cs="Arial"/>
        </w:rPr>
        <w:t xml:space="preserve">. </w:t>
      </w:r>
    </w:p>
    <w:p w14:paraId="14922F07" w14:textId="77777777" w:rsidR="00545F4F" w:rsidRDefault="00545F4F" w:rsidP="00EE62DA">
      <w:pPr>
        <w:spacing w:before="120" w:after="120"/>
        <w:rPr>
          <w:rFonts w:cs="Arial"/>
        </w:rPr>
      </w:pPr>
      <w:r>
        <w:rPr>
          <w:rFonts w:cs="Arial"/>
        </w:rPr>
        <w:t xml:space="preserve">You may be eligible to pay a reduced fee of $100.00 if:  </w:t>
      </w:r>
    </w:p>
    <w:p w14:paraId="14922F08" w14:textId="77777777" w:rsidR="00545F4F" w:rsidRDefault="00545F4F" w:rsidP="00EE62DA">
      <w:pPr>
        <w:pStyle w:val="ListBullet"/>
        <w:spacing w:before="120" w:after="120"/>
      </w:pPr>
      <w:r>
        <w:t>you are receiving legal aid for your application;</w:t>
      </w:r>
    </w:p>
    <w:p w14:paraId="14922F09" w14:textId="77777777" w:rsidR="00545F4F" w:rsidRDefault="00545F4F" w:rsidP="00EE62DA">
      <w:pPr>
        <w:pStyle w:val="ListBullet"/>
        <w:spacing w:before="120" w:after="120"/>
      </w:pPr>
      <w:r>
        <w:lastRenderedPageBreak/>
        <w:t>you hold a health care card, a Commonwealth seniors health card or any other card issued by the Department of Social Services or the Department of Veteran’s Affairs that entitles the holder to Commonwealth health concessions;</w:t>
      </w:r>
    </w:p>
    <w:p w14:paraId="14922F0A" w14:textId="77777777" w:rsidR="00545F4F" w:rsidRDefault="00545F4F" w:rsidP="00EE62DA">
      <w:pPr>
        <w:pStyle w:val="ListBullet"/>
        <w:spacing w:before="120" w:after="120"/>
      </w:pPr>
      <w:r>
        <w:t>you are in prison or lawfully detained in a public institution;</w:t>
      </w:r>
    </w:p>
    <w:p w14:paraId="14922F0B" w14:textId="77777777" w:rsidR="00545F4F" w:rsidRDefault="00545F4F" w:rsidP="00EE62DA">
      <w:pPr>
        <w:pStyle w:val="ListBullet"/>
        <w:spacing w:before="120" w:after="120"/>
      </w:pPr>
      <w:r>
        <w:t xml:space="preserve">you are under 18 years of age; or </w:t>
      </w:r>
    </w:p>
    <w:p w14:paraId="14922F0C" w14:textId="77777777" w:rsidR="00545F4F" w:rsidRDefault="00545F4F" w:rsidP="00EE62DA">
      <w:pPr>
        <w:pStyle w:val="ListBullet"/>
        <w:spacing w:before="120" w:after="120"/>
      </w:pPr>
      <w:r>
        <w:t xml:space="preserve">you are receiving youth allowance, Austudy or ABSTUDY. </w:t>
      </w:r>
    </w:p>
    <w:p w14:paraId="14922F0D" w14:textId="77777777" w:rsidR="00545F4F" w:rsidRDefault="00545F4F" w:rsidP="00EE62DA">
      <w:pPr>
        <w:pStyle w:val="NormalWeb"/>
        <w:spacing w:before="120" w:after="120"/>
        <w:rPr>
          <w:rFonts w:ascii="Arial" w:hAnsi="Arial" w:cs="Arial"/>
          <w:sz w:val="22"/>
          <w:szCs w:val="22"/>
        </w:rPr>
      </w:pPr>
      <w:r>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14:paraId="14922F0E" w14:textId="77777777" w:rsidR="00545F4F" w:rsidRDefault="00545F4F" w:rsidP="00EE62DA">
      <w:pPr>
        <w:spacing w:before="120" w:after="120"/>
        <w:rPr>
          <w:rFonts w:cs="Arial"/>
          <w:b/>
        </w:rPr>
      </w:pPr>
      <w:r w:rsidRPr="00504C08">
        <w:rPr>
          <w:rFonts w:cs="Arial"/>
          <w:b/>
        </w:rPr>
        <w:t>Contact Details</w:t>
      </w:r>
    </w:p>
    <w:p w14:paraId="14922F0F" w14:textId="77777777" w:rsidR="00545F4F" w:rsidRDefault="00545F4F" w:rsidP="00EE62DA">
      <w:pPr>
        <w:spacing w:before="120" w:after="120"/>
        <w:rPr>
          <w:rFonts w:cs="Arial"/>
        </w:rPr>
      </w:pPr>
      <w:r w:rsidRPr="00504C08">
        <w:rPr>
          <w:rFonts w:cs="Arial"/>
        </w:rPr>
        <w:t>Further informati</w:t>
      </w:r>
      <w:r>
        <w:rPr>
          <w:rFonts w:cs="Arial"/>
        </w:rPr>
        <w:t>on or enquiries relating to the</w:t>
      </w:r>
      <w:r w:rsidRPr="00504C08">
        <w:rPr>
          <w:rFonts w:cs="Arial"/>
        </w:rPr>
        <w:t xml:space="preserve"> decision should be directed to:</w:t>
      </w:r>
    </w:p>
    <w:p w14:paraId="14922F10" w14:textId="77777777" w:rsidR="00AF4DBA" w:rsidRPr="00AF4DBA" w:rsidRDefault="00AF4DBA" w:rsidP="00EE62DA">
      <w:pPr>
        <w:spacing w:after="0"/>
        <w:ind w:left="720"/>
        <w:rPr>
          <w:rFonts w:cs="Arial"/>
        </w:rPr>
      </w:pPr>
      <w:r w:rsidRPr="00AF4DBA">
        <w:rPr>
          <w:rFonts w:cs="Arial"/>
        </w:rPr>
        <w:t>The Director</w:t>
      </w:r>
    </w:p>
    <w:p w14:paraId="14922F11" w14:textId="77777777" w:rsidR="00AF4DBA" w:rsidRPr="00AF4DBA" w:rsidRDefault="00AF4DBA" w:rsidP="00EE62DA">
      <w:pPr>
        <w:spacing w:after="0"/>
        <w:ind w:left="720"/>
        <w:rPr>
          <w:rFonts w:cs="Arial"/>
        </w:rPr>
      </w:pPr>
      <w:r w:rsidRPr="00AF4DBA">
        <w:rPr>
          <w:rFonts w:cs="Arial"/>
        </w:rPr>
        <w:t>Sustainable Fisheries Sec</w:t>
      </w:r>
      <w:r w:rsidR="00CD3811">
        <w:rPr>
          <w:rFonts w:cs="Arial"/>
        </w:rPr>
        <w:t>t</w:t>
      </w:r>
      <w:r w:rsidRPr="00AF4DBA">
        <w:rPr>
          <w:rFonts w:cs="Arial"/>
        </w:rPr>
        <w:t>ion</w:t>
      </w:r>
    </w:p>
    <w:p w14:paraId="14922F12" w14:textId="77777777" w:rsidR="00AF4DBA" w:rsidRPr="00AF4DBA" w:rsidRDefault="00545F4F" w:rsidP="00EE62DA">
      <w:pPr>
        <w:spacing w:after="0"/>
        <w:ind w:left="720"/>
        <w:rPr>
          <w:rFonts w:cs="Arial"/>
        </w:rPr>
      </w:pPr>
      <w:r w:rsidRPr="00AF4DBA">
        <w:rPr>
          <w:rFonts w:cs="Arial"/>
        </w:rPr>
        <w:t>Department</w:t>
      </w:r>
      <w:r w:rsidR="00AF4DBA" w:rsidRPr="00AF4DBA">
        <w:rPr>
          <w:rFonts w:cs="Arial"/>
        </w:rPr>
        <w:t xml:space="preserve"> of the Environment and Energy</w:t>
      </w:r>
    </w:p>
    <w:p w14:paraId="14922F13" w14:textId="77777777" w:rsidR="00AF4DBA" w:rsidRPr="00AF4DBA" w:rsidRDefault="00AF4DBA" w:rsidP="00EE62DA">
      <w:pPr>
        <w:spacing w:after="0"/>
        <w:ind w:left="720"/>
        <w:rPr>
          <w:rFonts w:cs="Arial"/>
        </w:rPr>
      </w:pPr>
      <w:r w:rsidRPr="00AF4DBA">
        <w:rPr>
          <w:rFonts w:cs="Arial"/>
        </w:rPr>
        <w:t>GPO Box 787</w:t>
      </w:r>
    </w:p>
    <w:p w14:paraId="14922F14" w14:textId="77777777" w:rsidR="00AF4DBA" w:rsidRPr="00AF4DBA" w:rsidRDefault="00AF4DBA" w:rsidP="00EE62DA">
      <w:pPr>
        <w:spacing w:after="0"/>
        <w:ind w:left="720"/>
        <w:rPr>
          <w:rFonts w:cs="Arial"/>
        </w:rPr>
      </w:pPr>
      <w:r w:rsidRPr="00AF4DBA">
        <w:rPr>
          <w:rFonts w:cs="Arial"/>
        </w:rPr>
        <w:t>Canberra  ACT  2601</w:t>
      </w:r>
    </w:p>
    <w:p w14:paraId="14922F15" w14:textId="77777777" w:rsidR="00AF4DBA" w:rsidRPr="00AF4DBA" w:rsidRDefault="00AF4DBA" w:rsidP="00EE62DA">
      <w:pPr>
        <w:spacing w:after="0"/>
        <w:ind w:left="720"/>
        <w:rPr>
          <w:rFonts w:cs="Arial"/>
        </w:rPr>
      </w:pPr>
      <w:r w:rsidRPr="00AF4DBA">
        <w:rPr>
          <w:rFonts w:cs="Arial"/>
          <w:b/>
        </w:rPr>
        <w:t>Telephone:</w:t>
      </w:r>
      <w:r w:rsidRPr="00AF4DBA">
        <w:rPr>
          <w:rFonts w:cs="Arial"/>
        </w:rPr>
        <w:t xml:space="preserve"> +61 (0) 2 6274 1917</w:t>
      </w:r>
    </w:p>
    <w:p w14:paraId="14922F16" w14:textId="77777777" w:rsidR="00545F4F" w:rsidRDefault="00AF4DBA" w:rsidP="00EE62DA">
      <w:pPr>
        <w:spacing w:after="0"/>
        <w:ind w:left="720"/>
        <w:rPr>
          <w:rFonts w:cs="Arial"/>
        </w:rPr>
      </w:pPr>
      <w:r w:rsidRPr="00AF4DBA">
        <w:rPr>
          <w:rFonts w:cs="Arial"/>
          <w:b/>
        </w:rPr>
        <w:t>Email:</w:t>
      </w:r>
      <w:r w:rsidRPr="00AF4DBA">
        <w:rPr>
          <w:rFonts w:cs="Arial"/>
        </w:rPr>
        <w:t xml:space="preserve"> sustainablefisheries@environment.gov.au</w:t>
      </w:r>
    </w:p>
    <w:p w14:paraId="14922F17" w14:textId="77777777" w:rsidR="00545F4F" w:rsidRDefault="00545F4F" w:rsidP="00EE62DA">
      <w:pPr>
        <w:spacing w:before="120" w:after="120"/>
        <w:jc w:val="both"/>
        <w:rPr>
          <w:rFonts w:cs="Arial"/>
        </w:rPr>
      </w:pPr>
      <w:r>
        <w:rPr>
          <w:rFonts w:cs="Arial"/>
        </w:rPr>
        <w:t>Alternatively you may</w:t>
      </w:r>
      <w:r w:rsidRPr="00504C08">
        <w:rPr>
          <w:rFonts w:cs="Arial"/>
        </w:rPr>
        <w:t xml:space="preserve"> contact the AAT at their Principal Registry or the Deputy Registrar, Administrative Appeals Tribunal in your Capital City or Territory. </w:t>
      </w:r>
    </w:p>
    <w:p w14:paraId="14922F18" w14:textId="77777777" w:rsidR="00545F4F" w:rsidRDefault="00545F4F" w:rsidP="00EE62DA">
      <w:pPr>
        <w:spacing w:after="0"/>
        <w:ind w:left="720"/>
        <w:rPr>
          <w:rFonts w:cs="Arial"/>
        </w:rPr>
      </w:pPr>
      <w:r w:rsidRPr="00504C08">
        <w:rPr>
          <w:rFonts w:cs="Arial"/>
        </w:rPr>
        <w:t>Administrativ</w:t>
      </w:r>
      <w:r>
        <w:rPr>
          <w:rFonts w:cs="Arial"/>
        </w:rPr>
        <w:t>e Appeals Tribunal</w:t>
      </w:r>
    </w:p>
    <w:p w14:paraId="14922F19" w14:textId="77777777" w:rsidR="00545F4F" w:rsidRDefault="00545F4F" w:rsidP="00EE62DA">
      <w:pPr>
        <w:spacing w:after="0"/>
        <w:ind w:left="720"/>
        <w:rPr>
          <w:rFonts w:cs="Arial"/>
        </w:rPr>
      </w:pPr>
      <w:r>
        <w:rPr>
          <w:rFonts w:cs="Arial"/>
        </w:rPr>
        <w:t>Street address: Level 6, 83 Clarence Street, Sydney</w:t>
      </w:r>
      <w:r w:rsidRPr="00504C08">
        <w:rPr>
          <w:rFonts w:cs="Arial"/>
        </w:rPr>
        <w:br/>
      </w:r>
      <w:r>
        <w:rPr>
          <w:rFonts w:cs="Arial"/>
        </w:rPr>
        <w:t xml:space="preserve">Mailing address: GPO Box 9955, </w:t>
      </w:r>
      <w:r w:rsidRPr="00504C08">
        <w:rPr>
          <w:rFonts w:cs="Arial"/>
        </w:rPr>
        <w:t>Sydney</w:t>
      </w:r>
      <w:r>
        <w:rPr>
          <w:rFonts w:cs="Arial"/>
        </w:rPr>
        <w:t>,</w:t>
      </w:r>
      <w:r w:rsidRPr="00504C08">
        <w:rPr>
          <w:rFonts w:cs="Arial"/>
        </w:rPr>
        <w:t xml:space="preserve"> NSW 2001</w:t>
      </w:r>
    </w:p>
    <w:p w14:paraId="14922F1A" w14:textId="77777777" w:rsidR="00545F4F" w:rsidRDefault="00545F4F" w:rsidP="00EE62DA">
      <w:pPr>
        <w:pStyle w:val="NormalWeb"/>
        <w:spacing w:before="0" w:beforeAutospacing="0" w:after="0" w:afterAutospacing="0"/>
        <w:ind w:left="720"/>
        <w:jc w:val="both"/>
        <w:rPr>
          <w:rFonts w:ascii="Arial" w:hAnsi="Arial" w:cs="Arial"/>
          <w:sz w:val="22"/>
          <w:szCs w:val="22"/>
        </w:rPr>
      </w:pPr>
      <w:r w:rsidRPr="00504C08">
        <w:rPr>
          <w:rFonts w:ascii="Arial" w:hAnsi="Arial" w:cs="Arial"/>
          <w:sz w:val="22"/>
          <w:szCs w:val="22"/>
        </w:rPr>
        <w:t xml:space="preserve">T: </w:t>
      </w:r>
      <w:r>
        <w:rPr>
          <w:rFonts w:ascii="Arial" w:hAnsi="Arial" w:cs="Arial"/>
          <w:sz w:val="22"/>
          <w:szCs w:val="22"/>
        </w:rPr>
        <w:t xml:space="preserve">1800 228 333 and </w:t>
      </w:r>
      <w:r w:rsidR="00AF4DBA" w:rsidRPr="00AF4DBA">
        <w:rPr>
          <w:rFonts w:ascii="Arial" w:hAnsi="Arial" w:cs="Arial"/>
          <w:sz w:val="22"/>
          <w:szCs w:val="22"/>
        </w:rPr>
        <w:t xml:space="preserve">+61 (0) 2 </w:t>
      </w:r>
      <w:r w:rsidRPr="00504C08">
        <w:rPr>
          <w:rFonts w:ascii="Arial" w:hAnsi="Arial" w:cs="Arial"/>
          <w:sz w:val="22"/>
          <w:szCs w:val="22"/>
        </w:rPr>
        <w:t>9</w:t>
      </w:r>
      <w:r>
        <w:rPr>
          <w:rFonts w:ascii="Arial" w:hAnsi="Arial" w:cs="Arial"/>
          <w:sz w:val="22"/>
          <w:szCs w:val="22"/>
        </w:rPr>
        <w:t xml:space="preserve">276 5000 </w:t>
      </w:r>
    </w:p>
    <w:p w14:paraId="14922F1B" w14:textId="77777777" w:rsidR="00545F4F" w:rsidRDefault="00545F4F" w:rsidP="00EE62DA">
      <w:pPr>
        <w:pStyle w:val="NormalWeb"/>
        <w:spacing w:before="0" w:beforeAutospacing="0" w:after="0" w:afterAutospacing="0"/>
        <w:ind w:left="720"/>
        <w:jc w:val="both"/>
        <w:rPr>
          <w:rFonts w:ascii="Arial" w:hAnsi="Arial" w:cs="Arial"/>
          <w:sz w:val="22"/>
          <w:szCs w:val="22"/>
        </w:rPr>
      </w:pPr>
      <w:r>
        <w:rPr>
          <w:rFonts w:ascii="Arial" w:hAnsi="Arial" w:cs="Arial"/>
          <w:sz w:val="22"/>
          <w:szCs w:val="22"/>
        </w:rPr>
        <w:t xml:space="preserve">F: </w:t>
      </w:r>
      <w:r w:rsidR="00AF4DBA">
        <w:rPr>
          <w:rFonts w:ascii="Arial" w:hAnsi="Arial" w:cs="Arial"/>
          <w:sz w:val="22"/>
          <w:szCs w:val="22"/>
        </w:rPr>
        <w:t xml:space="preserve">+61 </w:t>
      </w:r>
      <w:r>
        <w:rPr>
          <w:rFonts w:ascii="Arial" w:hAnsi="Arial" w:cs="Arial"/>
          <w:sz w:val="22"/>
          <w:szCs w:val="22"/>
        </w:rPr>
        <w:t xml:space="preserve">(0) </w:t>
      </w:r>
      <w:r w:rsidR="00AF4DBA">
        <w:rPr>
          <w:rFonts w:ascii="Arial" w:hAnsi="Arial" w:cs="Arial"/>
          <w:sz w:val="22"/>
          <w:szCs w:val="22"/>
        </w:rPr>
        <w:t xml:space="preserve">2 </w:t>
      </w:r>
      <w:r>
        <w:rPr>
          <w:rFonts w:ascii="Arial" w:hAnsi="Arial" w:cs="Arial"/>
          <w:sz w:val="22"/>
          <w:szCs w:val="22"/>
        </w:rPr>
        <w:t>9276</w:t>
      </w:r>
      <w:r w:rsidRPr="00504C08">
        <w:rPr>
          <w:rFonts w:ascii="Arial" w:hAnsi="Arial" w:cs="Arial"/>
          <w:sz w:val="22"/>
          <w:szCs w:val="22"/>
        </w:rPr>
        <w:t xml:space="preserve"> 55</w:t>
      </w:r>
      <w:r>
        <w:rPr>
          <w:rFonts w:ascii="Arial" w:hAnsi="Arial" w:cs="Arial"/>
          <w:sz w:val="22"/>
          <w:szCs w:val="22"/>
        </w:rPr>
        <w:t>99</w:t>
      </w:r>
    </w:p>
    <w:p w14:paraId="14922F1C" w14:textId="77777777" w:rsidR="00545F4F" w:rsidRDefault="00545F4F" w:rsidP="00EE62DA">
      <w:pPr>
        <w:pStyle w:val="NormalWeb"/>
        <w:spacing w:before="0" w:beforeAutospacing="0" w:after="0" w:afterAutospacing="0"/>
        <w:ind w:left="720"/>
        <w:jc w:val="both"/>
        <w:rPr>
          <w:rFonts w:ascii="Arial" w:hAnsi="Arial" w:cs="Arial"/>
          <w:sz w:val="22"/>
          <w:szCs w:val="22"/>
        </w:rPr>
      </w:pPr>
      <w:r w:rsidRPr="00504C08">
        <w:rPr>
          <w:rFonts w:ascii="Arial" w:hAnsi="Arial" w:cs="Arial"/>
          <w:sz w:val="22"/>
          <w:szCs w:val="22"/>
        </w:rPr>
        <w:t xml:space="preserve">E: </w:t>
      </w:r>
      <w:hyperlink r:id="rId12" w:history="1">
        <w:r w:rsidRPr="00991C46">
          <w:rPr>
            <w:rStyle w:val="Hyperlink"/>
            <w:rFonts w:ascii="Arial" w:hAnsi="Arial" w:cs="Arial"/>
            <w:sz w:val="22"/>
            <w:szCs w:val="22"/>
          </w:rPr>
          <w:t>generalreviews@aat.gov.au</w:t>
        </w:r>
      </w:hyperlink>
      <w:r>
        <w:rPr>
          <w:rFonts w:ascii="Arial" w:hAnsi="Arial" w:cs="Arial"/>
          <w:sz w:val="22"/>
          <w:szCs w:val="22"/>
        </w:rPr>
        <w:t xml:space="preserve"> </w:t>
      </w:r>
    </w:p>
    <w:p w14:paraId="14922F1D" w14:textId="77777777" w:rsidR="00545F4F" w:rsidRDefault="00545F4F" w:rsidP="00EE62DA">
      <w:pPr>
        <w:pStyle w:val="NormalWeb"/>
        <w:spacing w:before="0" w:beforeAutospacing="0" w:after="0" w:afterAutospacing="0"/>
        <w:ind w:left="720"/>
        <w:jc w:val="both"/>
      </w:pPr>
      <w:r w:rsidRPr="00504C08">
        <w:rPr>
          <w:rFonts w:ascii="Arial" w:hAnsi="Arial" w:cs="Arial"/>
          <w:sz w:val="22"/>
          <w:szCs w:val="22"/>
        </w:rPr>
        <w:t xml:space="preserve">W: </w:t>
      </w:r>
      <w:hyperlink r:id="rId13" w:history="1">
        <w:r w:rsidRPr="00991C46">
          <w:rPr>
            <w:rStyle w:val="Hyperlink"/>
            <w:rFonts w:ascii="Arial" w:hAnsi="Arial" w:cs="Arial"/>
            <w:sz w:val="22"/>
            <w:szCs w:val="22"/>
          </w:rPr>
          <w:t>http://www.aat.gov.au</w:t>
        </w:r>
      </w:hyperlink>
      <w:r>
        <w:rPr>
          <w:rFonts w:ascii="Arial" w:hAnsi="Arial" w:cs="Arial"/>
          <w:sz w:val="22"/>
          <w:szCs w:val="22"/>
        </w:rPr>
        <w:t xml:space="preserve"> </w:t>
      </w:r>
    </w:p>
    <w:p w14:paraId="14922F1E" w14:textId="77777777" w:rsidR="00545F4F" w:rsidRDefault="00545F4F" w:rsidP="00EE62DA">
      <w:pPr>
        <w:spacing w:before="120" w:after="120"/>
        <w:rPr>
          <w:rFonts w:cs="Arial"/>
          <w:b/>
        </w:rPr>
      </w:pPr>
    </w:p>
    <w:p w14:paraId="14922F1F" w14:textId="77777777" w:rsidR="00545F4F" w:rsidRDefault="00545F4F" w:rsidP="00EE62DA">
      <w:pPr>
        <w:spacing w:before="120" w:after="120"/>
        <w:rPr>
          <w:rFonts w:cs="Arial"/>
          <w:b/>
        </w:rPr>
      </w:pPr>
      <w:r w:rsidRPr="00504C08">
        <w:rPr>
          <w:rFonts w:cs="Arial"/>
          <w:b/>
        </w:rPr>
        <w:t>Freedom of Information Request</w:t>
      </w:r>
    </w:p>
    <w:p w14:paraId="14922F20" w14:textId="77777777" w:rsidR="00545F4F" w:rsidRDefault="00545F4F" w:rsidP="00EE62DA">
      <w:pPr>
        <w:spacing w:before="120" w:after="120"/>
        <w:rPr>
          <w:rFonts w:eastAsia="Times New Roman" w:cs="Arial"/>
        </w:rPr>
      </w:pPr>
      <w:r w:rsidRPr="00504C08">
        <w:rPr>
          <w:rFonts w:eastAsia="Times New Roman" w:cs="Arial"/>
        </w:rPr>
        <w:t xml:space="preserve">You may make an application under the </w:t>
      </w:r>
      <w:r w:rsidRPr="00504C08">
        <w:rPr>
          <w:rFonts w:eastAsia="Times New Roman" w:cs="Arial"/>
          <w:i/>
          <w:iCs/>
        </w:rPr>
        <w:t>Freedom of Information Act 1982</w:t>
      </w:r>
      <w:r w:rsidRPr="00504C08">
        <w:rPr>
          <w:rFonts w:eastAsia="Times New Roman" w:cs="Arial"/>
        </w:rPr>
        <w:t xml:space="preserve"> (FOI Act) to access documents. Further information can be found at </w:t>
      </w:r>
      <w:hyperlink r:id="rId14" w:history="1">
        <w:r w:rsidRPr="00504C08">
          <w:rPr>
            <w:rStyle w:val="Hyperlink"/>
            <w:rFonts w:eastAsia="Times New Roman" w:cs="Arial"/>
          </w:rPr>
          <w:t>http://www.environment.gov.au/foi/index.html</w:t>
        </w:r>
      </w:hyperlink>
    </w:p>
    <w:p w14:paraId="14922F21" w14:textId="77777777" w:rsidR="00545F4F" w:rsidRDefault="00545F4F" w:rsidP="00EE62DA">
      <w:pPr>
        <w:spacing w:before="120" w:after="120"/>
        <w:rPr>
          <w:rFonts w:eastAsia="Times New Roman" w:cs="Arial"/>
        </w:rPr>
      </w:pPr>
      <w:r w:rsidRPr="00504C08">
        <w:rPr>
          <w:rFonts w:eastAsia="Times New Roman" w:cs="Arial"/>
        </w:rPr>
        <w:t xml:space="preserve">Please contact the Freedom of Information Contact Officer at </w:t>
      </w:r>
      <w:hyperlink r:id="rId15" w:history="1">
        <w:r w:rsidRPr="00504C08">
          <w:rPr>
            <w:rStyle w:val="Hyperlink"/>
            <w:rFonts w:cs="Arial"/>
          </w:rPr>
          <w:t>foi@environment.gov.au</w:t>
        </w:r>
      </w:hyperlink>
      <w:r w:rsidRPr="00504C08">
        <w:rPr>
          <w:rFonts w:cs="Arial"/>
        </w:rPr>
        <w:t xml:space="preserve"> for more information. </w:t>
      </w:r>
    </w:p>
    <w:p w14:paraId="14922F22" w14:textId="77777777" w:rsidR="0050646D" w:rsidRPr="00CF5CAE" w:rsidRDefault="0050646D" w:rsidP="00545F4F">
      <w:pPr>
        <w:spacing w:before="200"/>
        <w:jc w:val="center"/>
      </w:pPr>
    </w:p>
    <w:sectPr w:rsidR="0050646D" w:rsidRPr="00CF5CAE" w:rsidSect="00C325B9">
      <w:headerReference w:type="default" r:id="rId16"/>
      <w:footerReference w:type="first" r:id="rId17"/>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922F25" w14:textId="77777777" w:rsidR="006F1909" w:rsidRDefault="006F1909" w:rsidP="00A60185">
      <w:pPr>
        <w:spacing w:after="0" w:line="240" w:lineRule="auto"/>
      </w:pPr>
      <w:r>
        <w:separator/>
      </w:r>
    </w:p>
  </w:endnote>
  <w:endnote w:type="continuationSeparator" w:id="0">
    <w:p w14:paraId="14922F26" w14:textId="77777777" w:rsidR="006F1909" w:rsidRDefault="006F1909"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22F2A" w14:textId="77777777" w:rsidR="008B573B" w:rsidRDefault="008B57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22F23" w14:textId="77777777" w:rsidR="006F1909" w:rsidRDefault="006F1909" w:rsidP="00A60185">
      <w:pPr>
        <w:spacing w:after="0" w:line="240" w:lineRule="auto"/>
      </w:pPr>
      <w:r>
        <w:separator/>
      </w:r>
    </w:p>
  </w:footnote>
  <w:footnote w:type="continuationSeparator" w:id="0">
    <w:p w14:paraId="14922F24" w14:textId="77777777" w:rsidR="006F1909" w:rsidRDefault="006F1909" w:rsidP="00A60185">
      <w:pPr>
        <w:spacing w:after="0" w:line="240" w:lineRule="auto"/>
      </w:pPr>
      <w:r>
        <w:continuationSeparator/>
      </w:r>
    </w:p>
  </w:footnote>
  <w:footnote w:id="1">
    <w:p w14:paraId="14922F2D" w14:textId="77777777" w:rsidR="006F1909" w:rsidRDefault="006F1909"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22F27" w14:textId="77777777" w:rsidR="008B573B" w:rsidRPr="008B573B" w:rsidRDefault="008B573B" w:rsidP="008B573B">
    <w:pPr>
      <w:pStyle w:val="Header"/>
      <w:jc w:val="right"/>
      <w:rPr>
        <w:cap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22F28" w14:textId="77777777" w:rsidR="006F1909" w:rsidRPr="00FA0CF5" w:rsidRDefault="00CD3811" w:rsidP="00FA0CF5">
    <w:pPr>
      <w:pStyle w:val="Header"/>
    </w:pPr>
    <w:r>
      <w:rPr>
        <w:noProof/>
        <w:lang w:eastAsia="en-AU"/>
      </w:rPr>
      <w:drawing>
        <wp:inline distT="0" distB="0" distL="0" distR="0" wp14:anchorId="14922F2B" wp14:editId="14922F2C">
          <wp:extent cx="4216400" cy="723900"/>
          <wp:effectExtent l="0" t="0" r="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6400" cy="7239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22F29" w14:textId="77777777" w:rsidR="008B573B" w:rsidRPr="008B573B" w:rsidRDefault="008B573B" w:rsidP="008B573B">
    <w:pPr>
      <w:pStyle w:val="Header"/>
      <w:jc w:val="right"/>
      <w:rPr>
        <w:cap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B82428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15871AD9"/>
    <w:multiLevelType w:val="multilevel"/>
    <w:tmpl w:val="A15E1D1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6" w15:restartNumberingAfterBreak="0">
    <w:nsid w:val="1F745BC2"/>
    <w:multiLevelType w:val="multilevel"/>
    <w:tmpl w:val="E5E89F92"/>
    <w:numStyleLink w:val="BulletList"/>
  </w:abstractNum>
  <w:abstractNum w:abstractNumId="7" w15:restartNumberingAfterBreak="0">
    <w:nsid w:val="20AF06CF"/>
    <w:multiLevelType w:val="hybridMultilevel"/>
    <w:tmpl w:val="52667E4A"/>
    <w:lvl w:ilvl="0" w:tplc="7C3459D6">
      <w:start w:val="1"/>
      <w:numFmt w:val="decimal"/>
      <w:lvlText w:val="%1."/>
      <w:lvlJc w:val="left"/>
      <w:pPr>
        <w:tabs>
          <w:tab w:val="num" w:pos="720"/>
        </w:tabs>
        <w:ind w:left="720" w:hanging="360"/>
      </w:pPr>
      <w:rPr>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EF0617C"/>
    <w:multiLevelType w:val="hybridMultilevel"/>
    <w:tmpl w:val="9E00F398"/>
    <w:lvl w:ilvl="0" w:tplc="D10EB134">
      <w:start w:val="1"/>
      <w:numFmt w:val="lowerLetter"/>
      <w:lvlText w:val="%1)"/>
      <w:lvlJc w:val="left"/>
      <w:pPr>
        <w:ind w:left="1434" w:hanging="360"/>
      </w:pPr>
      <w:rPr>
        <w:b w:val="0"/>
        <w:i w:val="0"/>
      </w:rPr>
    </w:lvl>
    <w:lvl w:ilvl="1" w:tplc="0C090019" w:tentative="1">
      <w:start w:val="1"/>
      <w:numFmt w:val="lowerLetter"/>
      <w:lvlText w:val="%2."/>
      <w:lvlJc w:val="left"/>
      <w:pPr>
        <w:ind w:left="2154" w:hanging="360"/>
      </w:pPr>
    </w:lvl>
    <w:lvl w:ilvl="2" w:tplc="0C09001B" w:tentative="1">
      <w:start w:val="1"/>
      <w:numFmt w:val="lowerRoman"/>
      <w:lvlText w:val="%3."/>
      <w:lvlJc w:val="right"/>
      <w:pPr>
        <w:ind w:left="2874" w:hanging="180"/>
      </w:pPr>
    </w:lvl>
    <w:lvl w:ilvl="3" w:tplc="0C09000F" w:tentative="1">
      <w:start w:val="1"/>
      <w:numFmt w:val="decimal"/>
      <w:lvlText w:val="%4."/>
      <w:lvlJc w:val="left"/>
      <w:pPr>
        <w:ind w:left="3594" w:hanging="360"/>
      </w:pPr>
    </w:lvl>
    <w:lvl w:ilvl="4" w:tplc="0C090019" w:tentative="1">
      <w:start w:val="1"/>
      <w:numFmt w:val="lowerLetter"/>
      <w:lvlText w:val="%5."/>
      <w:lvlJc w:val="left"/>
      <w:pPr>
        <w:ind w:left="4314" w:hanging="360"/>
      </w:pPr>
    </w:lvl>
    <w:lvl w:ilvl="5" w:tplc="0C09001B" w:tentative="1">
      <w:start w:val="1"/>
      <w:numFmt w:val="lowerRoman"/>
      <w:lvlText w:val="%6."/>
      <w:lvlJc w:val="right"/>
      <w:pPr>
        <w:ind w:left="5034" w:hanging="180"/>
      </w:pPr>
    </w:lvl>
    <w:lvl w:ilvl="6" w:tplc="0C09000F" w:tentative="1">
      <w:start w:val="1"/>
      <w:numFmt w:val="decimal"/>
      <w:lvlText w:val="%7."/>
      <w:lvlJc w:val="left"/>
      <w:pPr>
        <w:ind w:left="5754" w:hanging="360"/>
      </w:pPr>
    </w:lvl>
    <w:lvl w:ilvl="7" w:tplc="0C090019" w:tentative="1">
      <w:start w:val="1"/>
      <w:numFmt w:val="lowerLetter"/>
      <w:lvlText w:val="%8."/>
      <w:lvlJc w:val="left"/>
      <w:pPr>
        <w:ind w:left="6474" w:hanging="360"/>
      </w:pPr>
    </w:lvl>
    <w:lvl w:ilvl="8" w:tplc="0C09001B" w:tentative="1">
      <w:start w:val="1"/>
      <w:numFmt w:val="lowerRoman"/>
      <w:lvlText w:val="%9."/>
      <w:lvlJc w:val="right"/>
      <w:pPr>
        <w:ind w:left="7194" w:hanging="180"/>
      </w:pPr>
    </w:lvl>
  </w:abstractNum>
  <w:abstractNum w:abstractNumId="9"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DB215EC"/>
    <w:multiLevelType w:val="hybridMultilevel"/>
    <w:tmpl w:val="52667E4A"/>
    <w:lvl w:ilvl="0" w:tplc="7C3459D6">
      <w:start w:val="1"/>
      <w:numFmt w:val="decimal"/>
      <w:lvlText w:val="%1."/>
      <w:lvlJc w:val="left"/>
      <w:pPr>
        <w:tabs>
          <w:tab w:val="num" w:pos="720"/>
        </w:tabs>
        <w:ind w:left="720" w:hanging="360"/>
      </w:pPr>
      <w:rPr>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4A5D0CB7"/>
    <w:multiLevelType w:val="hybridMultilevel"/>
    <w:tmpl w:val="CD1400A2"/>
    <w:lvl w:ilvl="0" w:tplc="81BA5476">
      <w:start w:val="1"/>
      <w:numFmt w:val="lowerLetter"/>
      <w:lvlText w:val="%1)"/>
      <w:lvlJc w:val="left"/>
      <w:pPr>
        <w:ind w:left="1434" w:hanging="360"/>
      </w:pPr>
      <w:rPr>
        <w:rFonts w:ascii="Arial" w:hAnsi="Arial" w:cs="Arial" w:hint="default"/>
        <w:b w:val="0"/>
        <w:i w:val="0"/>
      </w:rPr>
    </w:lvl>
    <w:lvl w:ilvl="1" w:tplc="0C090019" w:tentative="1">
      <w:start w:val="1"/>
      <w:numFmt w:val="lowerLetter"/>
      <w:lvlText w:val="%2."/>
      <w:lvlJc w:val="left"/>
      <w:pPr>
        <w:ind w:left="2154" w:hanging="360"/>
      </w:pPr>
    </w:lvl>
    <w:lvl w:ilvl="2" w:tplc="0C09001B" w:tentative="1">
      <w:start w:val="1"/>
      <w:numFmt w:val="lowerRoman"/>
      <w:lvlText w:val="%3."/>
      <w:lvlJc w:val="right"/>
      <w:pPr>
        <w:ind w:left="2874" w:hanging="180"/>
      </w:pPr>
    </w:lvl>
    <w:lvl w:ilvl="3" w:tplc="0C09000F" w:tentative="1">
      <w:start w:val="1"/>
      <w:numFmt w:val="decimal"/>
      <w:lvlText w:val="%4."/>
      <w:lvlJc w:val="left"/>
      <w:pPr>
        <w:ind w:left="3594" w:hanging="360"/>
      </w:pPr>
    </w:lvl>
    <w:lvl w:ilvl="4" w:tplc="0C090019" w:tentative="1">
      <w:start w:val="1"/>
      <w:numFmt w:val="lowerLetter"/>
      <w:lvlText w:val="%5."/>
      <w:lvlJc w:val="left"/>
      <w:pPr>
        <w:ind w:left="4314" w:hanging="360"/>
      </w:pPr>
    </w:lvl>
    <w:lvl w:ilvl="5" w:tplc="0C09001B" w:tentative="1">
      <w:start w:val="1"/>
      <w:numFmt w:val="lowerRoman"/>
      <w:lvlText w:val="%6."/>
      <w:lvlJc w:val="right"/>
      <w:pPr>
        <w:ind w:left="5034" w:hanging="180"/>
      </w:pPr>
    </w:lvl>
    <w:lvl w:ilvl="6" w:tplc="0C09000F" w:tentative="1">
      <w:start w:val="1"/>
      <w:numFmt w:val="decimal"/>
      <w:lvlText w:val="%7."/>
      <w:lvlJc w:val="left"/>
      <w:pPr>
        <w:ind w:left="5754" w:hanging="360"/>
      </w:pPr>
    </w:lvl>
    <w:lvl w:ilvl="7" w:tplc="0C090019" w:tentative="1">
      <w:start w:val="1"/>
      <w:numFmt w:val="lowerLetter"/>
      <w:lvlText w:val="%8."/>
      <w:lvlJc w:val="left"/>
      <w:pPr>
        <w:ind w:left="6474" w:hanging="360"/>
      </w:pPr>
    </w:lvl>
    <w:lvl w:ilvl="8" w:tplc="0C09001B" w:tentative="1">
      <w:start w:val="1"/>
      <w:numFmt w:val="lowerRoman"/>
      <w:lvlText w:val="%9."/>
      <w:lvlJc w:val="right"/>
      <w:pPr>
        <w:ind w:left="7194" w:hanging="180"/>
      </w:pPr>
    </w:lvl>
  </w:abstractNum>
  <w:abstractNum w:abstractNumId="13"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6"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63975BE0"/>
    <w:multiLevelType w:val="singleLevel"/>
    <w:tmpl w:val="AD9AA2AC"/>
    <w:lvl w:ilvl="0">
      <w:start w:val="1"/>
      <w:numFmt w:val="bullet"/>
      <w:pStyle w:val="normal-dot"/>
      <w:lvlText w:val=""/>
      <w:lvlJc w:val="left"/>
      <w:pPr>
        <w:tabs>
          <w:tab w:val="num" w:pos="360"/>
        </w:tabs>
        <w:ind w:left="360" w:hanging="360"/>
      </w:pPr>
      <w:rPr>
        <w:rFonts w:ascii="Symbol" w:hAnsi="Symbol" w:hint="default"/>
      </w:rPr>
    </w:lvl>
  </w:abstractNum>
  <w:abstractNum w:abstractNumId="19"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4"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5"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6"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23"/>
  </w:num>
  <w:num w:numId="4">
    <w:abstractNumId w:val="21"/>
  </w:num>
  <w:num w:numId="5">
    <w:abstractNumId w:val="10"/>
  </w:num>
  <w:num w:numId="6">
    <w:abstractNumId w:val="9"/>
  </w:num>
  <w:num w:numId="7">
    <w:abstractNumId w:val="19"/>
  </w:num>
  <w:num w:numId="8">
    <w:abstractNumId w:val="6"/>
  </w:num>
  <w:num w:numId="9">
    <w:abstractNumId w:val="5"/>
  </w:num>
  <w:num w:numId="10">
    <w:abstractNumId w:val="24"/>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num>
  <w:num w:numId="16">
    <w:abstractNumId w:val="9"/>
  </w:num>
  <w:num w:numId="17">
    <w:abstractNumId w:val="15"/>
  </w:num>
  <w:num w:numId="18">
    <w:abstractNumId w:val="17"/>
  </w:num>
  <w:num w:numId="19">
    <w:abstractNumId w:val="26"/>
  </w:num>
  <w:num w:numId="20">
    <w:abstractNumId w:val="16"/>
  </w:num>
  <w:num w:numId="21">
    <w:abstractNumId w:val="14"/>
  </w:num>
  <w:num w:numId="22">
    <w:abstractNumId w:val="2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num>
  <w:num w:numId="29">
    <w:abstractNumId w:val="9"/>
  </w:num>
  <w:num w:numId="30">
    <w:abstractNumId w:val="9"/>
  </w:num>
  <w:num w:numId="31">
    <w:abstractNumId w:val="6"/>
  </w:num>
  <w:num w:numId="32">
    <w:abstractNumId w:val="6"/>
  </w:num>
  <w:num w:numId="33">
    <w:abstractNumId w:val="6"/>
  </w:num>
  <w:num w:numId="34">
    <w:abstractNumId w:val="6"/>
  </w:num>
  <w:num w:numId="35">
    <w:abstractNumId w:val="4"/>
  </w:num>
  <w:num w:numId="36">
    <w:abstractNumId w:val="0"/>
  </w:num>
  <w:num w:numId="37">
    <w:abstractNumId w:val="13"/>
  </w:num>
  <w:num w:numId="38">
    <w:abstractNumId w:val="19"/>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7"/>
  </w:num>
  <w:num w:numId="42">
    <w:abstractNumId w:val="8"/>
  </w:num>
  <w:num w:numId="43">
    <w:abstractNumId w:val="12"/>
  </w:num>
  <w:num w:numId="44">
    <w:abstractNumId w:val="11"/>
  </w:num>
  <w:num w:numId="45">
    <w:abstractNumId w:val="19"/>
  </w:num>
  <w:num w:numId="46">
    <w:abstractNumId w:val="3"/>
  </w:num>
  <w:num w:numId="47">
    <w:abstractNumId w:val="9"/>
  </w:num>
  <w:num w:numId="48">
    <w:abstractNumId w:val="9"/>
  </w:num>
  <w:num w:numId="49">
    <w:abstractNumId w:val="9"/>
  </w:num>
  <w:num w:numId="5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displayVertic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89A"/>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60AE"/>
    <w:rsid w:val="00087B76"/>
    <w:rsid w:val="00091608"/>
    <w:rsid w:val="0009257B"/>
    <w:rsid w:val="0009333C"/>
    <w:rsid w:val="0009704F"/>
    <w:rsid w:val="000A0F11"/>
    <w:rsid w:val="000A125A"/>
    <w:rsid w:val="000A57CD"/>
    <w:rsid w:val="000B0B48"/>
    <w:rsid w:val="000B3758"/>
    <w:rsid w:val="000B537A"/>
    <w:rsid w:val="000B5852"/>
    <w:rsid w:val="000B74A1"/>
    <w:rsid w:val="000B7681"/>
    <w:rsid w:val="000B7B42"/>
    <w:rsid w:val="000C02B7"/>
    <w:rsid w:val="000C5342"/>
    <w:rsid w:val="000C5DFC"/>
    <w:rsid w:val="000C63ED"/>
    <w:rsid w:val="000C680C"/>
    <w:rsid w:val="000C706A"/>
    <w:rsid w:val="000D2887"/>
    <w:rsid w:val="000D309E"/>
    <w:rsid w:val="000D5528"/>
    <w:rsid w:val="000D61D0"/>
    <w:rsid w:val="000D6D63"/>
    <w:rsid w:val="000E0081"/>
    <w:rsid w:val="000E07CF"/>
    <w:rsid w:val="000E0B31"/>
    <w:rsid w:val="000F1E51"/>
    <w:rsid w:val="001047E4"/>
    <w:rsid w:val="0011030F"/>
    <w:rsid w:val="00110DED"/>
    <w:rsid w:val="00114477"/>
    <w:rsid w:val="0011498E"/>
    <w:rsid w:val="00115BF1"/>
    <w:rsid w:val="00117A45"/>
    <w:rsid w:val="001219EE"/>
    <w:rsid w:val="001224AE"/>
    <w:rsid w:val="00126416"/>
    <w:rsid w:val="0012744F"/>
    <w:rsid w:val="001337D4"/>
    <w:rsid w:val="001369E3"/>
    <w:rsid w:val="00143480"/>
    <w:rsid w:val="00147C12"/>
    <w:rsid w:val="001527A1"/>
    <w:rsid w:val="001530DC"/>
    <w:rsid w:val="00154989"/>
    <w:rsid w:val="00155A9F"/>
    <w:rsid w:val="001568B3"/>
    <w:rsid w:val="00160262"/>
    <w:rsid w:val="0016616A"/>
    <w:rsid w:val="0016780A"/>
    <w:rsid w:val="00173EBF"/>
    <w:rsid w:val="0018112F"/>
    <w:rsid w:val="001812CE"/>
    <w:rsid w:val="001842A2"/>
    <w:rsid w:val="001866C7"/>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1F0C"/>
    <w:rsid w:val="00235467"/>
    <w:rsid w:val="002473FC"/>
    <w:rsid w:val="00252E3C"/>
    <w:rsid w:val="00261931"/>
    <w:rsid w:val="00261EFE"/>
    <w:rsid w:val="00262198"/>
    <w:rsid w:val="00267CD5"/>
    <w:rsid w:val="00274A02"/>
    <w:rsid w:val="00285F1B"/>
    <w:rsid w:val="00286C19"/>
    <w:rsid w:val="00287885"/>
    <w:rsid w:val="00292592"/>
    <w:rsid w:val="00292B81"/>
    <w:rsid w:val="00297D18"/>
    <w:rsid w:val="002A11A4"/>
    <w:rsid w:val="002A4671"/>
    <w:rsid w:val="002B11A5"/>
    <w:rsid w:val="002B18AE"/>
    <w:rsid w:val="002B3674"/>
    <w:rsid w:val="002C01AA"/>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074"/>
    <w:rsid w:val="0030039D"/>
    <w:rsid w:val="0030171F"/>
    <w:rsid w:val="00302B2F"/>
    <w:rsid w:val="0030326F"/>
    <w:rsid w:val="00310675"/>
    <w:rsid w:val="00310701"/>
    <w:rsid w:val="00315980"/>
    <w:rsid w:val="00316F7F"/>
    <w:rsid w:val="00320DFB"/>
    <w:rsid w:val="003218E8"/>
    <w:rsid w:val="003230EE"/>
    <w:rsid w:val="00326CC2"/>
    <w:rsid w:val="00330DCE"/>
    <w:rsid w:val="00331E11"/>
    <w:rsid w:val="00334761"/>
    <w:rsid w:val="00335A95"/>
    <w:rsid w:val="00341DCD"/>
    <w:rsid w:val="00344897"/>
    <w:rsid w:val="0034563E"/>
    <w:rsid w:val="003467DF"/>
    <w:rsid w:val="003518D6"/>
    <w:rsid w:val="0035460C"/>
    <w:rsid w:val="003556BD"/>
    <w:rsid w:val="00365147"/>
    <w:rsid w:val="00365F54"/>
    <w:rsid w:val="00367A20"/>
    <w:rsid w:val="0037016E"/>
    <w:rsid w:val="00372908"/>
    <w:rsid w:val="003764B0"/>
    <w:rsid w:val="00377900"/>
    <w:rsid w:val="00382EEB"/>
    <w:rsid w:val="00383020"/>
    <w:rsid w:val="0038615D"/>
    <w:rsid w:val="00392049"/>
    <w:rsid w:val="003968BA"/>
    <w:rsid w:val="00396D6E"/>
    <w:rsid w:val="00397570"/>
    <w:rsid w:val="003975FD"/>
    <w:rsid w:val="003A0F88"/>
    <w:rsid w:val="003B19E3"/>
    <w:rsid w:val="003B5345"/>
    <w:rsid w:val="003B6068"/>
    <w:rsid w:val="003B60CC"/>
    <w:rsid w:val="003B6EE4"/>
    <w:rsid w:val="003C09B7"/>
    <w:rsid w:val="003C0B60"/>
    <w:rsid w:val="003C2443"/>
    <w:rsid w:val="003C5DA3"/>
    <w:rsid w:val="003D2ECE"/>
    <w:rsid w:val="003D2F44"/>
    <w:rsid w:val="003D4BCD"/>
    <w:rsid w:val="003D5140"/>
    <w:rsid w:val="003E2100"/>
    <w:rsid w:val="003E7511"/>
    <w:rsid w:val="003F6F5B"/>
    <w:rsid w:val="00402F24"/>
    <w:rsid w:val="0040342D"/>
    <w:rsid w:val="0041192D"/>
    <w:rsid w:val="00413D8E"/>
    <w:rsid w:val="00413EE1"/>
    <w:rsid w:val="004200D2"/>
    <w:rsid w:val="0042128E"/>
    <w:rsid w:val="00421FEC"/>
    <w:rsid w:val="00423277"/>
    <w:rsid w:val="00430252"/>
    <w:rsid w:val="00432B60"/>
    <w:rsid w:val="00434A49"/>
    <w:rsid w:val="00440698"/>
    <w:rsid w:val="00441D43"/>
    <w:rsid w:val="00445906"/>
    <w:rsid w:val="00447C7A"/>
    <w:rsid w:val="00450FAE"/>
    <w:rsid w:val="004511B8"/>
    <w:rsid w:val="004540E2"/>
    <w:rsid w:val="00455A78"/>
    <w:rsid w:val="0046116B"/>
    <w:rsid w:val="0046173C"/>
    <w:rsid w:val="00464930"/>
    <w:rsid w:val="00465B32"/>
    <w:rsid w:val="004712A5"/>
    <w:rsid w:val="0047266F"/>
    <w:rsid w:val="00475A35"/>
    <w:rsid w:val="00476D6B"/>
    <w:rsid w:val="0047728F"/>
    <w:rsid w:val="00485FF0"/>
    <w:rsid w:val="00492C16"/>
    <w:rsid w:val="004A0678"/>
    <w:rsid w:val="004A4393"/>
    <w:rsid w:val="004A48A3"/>
    <w:rsid w:val="004A6F22"/>
    <w:rsid w:val="004B0D92"/>
    <w:rsid w:val="004B0EC0"/>
    <w:rsid w:val="004B2DC8"/>
    <w:rsid w:val="004B3738"/>
    <w:rsid w:val="004B4500"/>
    <w:rsid w:val="004B66F1"/>
    <w:rsid w:val="004C3C1E"/>
    <w:rsid w:val="004C3EA0"/>
    <w:rsid w:val="004C4A81"/>
    <w:rsid w:val="004D30E3"/>
    <w:rsid w:val="004D31A7"/>
    <w:rsid w:val="004E0330"/>
    <w:rsid w:val="004E47E7"/>
    <w:rsid w:val="004F445A"/>
    <w:rsid w:val="004F60AC"/>
    <w:rsid w:val="004F7169"/>
    <w:rsid w:val="0050038E"/>
    <w:rsid w:val="00500D66"/>
    <w:rsid w:val="005055FD"/>
    <w:rsid w:val="0050646D"/>
    <w:rsid w:val="00507234"/>
    <w:rsid w:val="00514C8E"/>
    <w:rsid w:val="00520CCE"/>
    <w:rsid w:val="0052361B"/>
    <w:rsid w:val="00525EF4"/>
    <w:rsid w:val="005266C9"/>
    <w:rsid w:val="0052681E"/>
    <w:rsid w:val="00527851"/>
    <w:rsid w:val="00531DBF"/>
    <w:rsid w:val="00535D49"/>
    <w:rsid w:val="0054376F"/>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B140D"/>
    <w:rsid w:val="005B14C1"/>
    <w:rsid w:val="005C1970"/>
    <w:rsid w:val="005C1FEA"/>
    <w:rsid w:val="005C2672"/>
    <w:rsid w:val="005C3495"/>
    <w:rsid w:val="005D0130"/>
    <w:rsid w:val="005D6F37"/>
    <w:rsid w:val="005E31C2"/>
    <w:rsid w:val="005E35DC"/>
    <w:rsid w:val="005E3DFC"/>
    <w:rsid w:val="005E43D1"/>
    <w:rsid w:val="005E5D52"/>
    <w:rsid w:val="005E60AF"/>
    <w:rsid w:val="005F0814"/>
    <w:rsid w:val="005F1DEA"/>
    <w:rsid w:val="0060462F"/>
    <w:rsid w:val="0060602D"/>
    <w:rsid w:val="00607FC9"/>
    <w:rsid w:val="0061002D"/>
    <w:rsid w:val="0061014D"/>
    <w:rsid w:val="00610B41"/>
    <w:rsid w:val="0061374A"/>
    <w:rsid w:val="00621170"/>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4D9A"/>
    <w:rsid w:val="00676FCA"/>
    <w:rsid w:val="00677177"/>
    <w:rsid w:val="0067757A"/>
    <w:rsid w:val="0068612E"/>
    <w:rsid w:val="00687C92"/>
    <w:rsid w:val="0069534E"/>
    <w:rsid w:val="0069669C"/>
    <w:rsid w:val="006A074A"/>
    <w:rsid w:val="006A1200"/>
    <w:rsid w:val="006A1AE4"/>
    <w:rsid w:val="006A27CB"/>
    <w:rsid w:val="006A4915"/>
    <w:rsid w:val="006A4F4E"/>
    <w:rsid w:val="006B1098"/>
    <w:rsid w:val="006B14DB"/>
    <w:rsid w:val="006B1FFD"/>
    <w:rsid w:val="006B21C4"/>
    <w:rsid w:val="006B4FD2"/>
    <w:rsid w:val="006C1A92"/>
    <w:rsid w:val="006C4A1A"/>
    <w:rsid w:val="006D0393"/>
    <w:rsid w:val="006D1A83"/>
    <w:rsid w:val="006D1BA3"/>
    <w:rsid w:val="006D7A2B"/>
    <w:rsid w:val="006E1CFE"/>
    <w:rsid w:val="006E3EB2"/>
    <w:rsid w:val="006E6B38"/>
    <w:rsid w:val="006F10C4"/>
    <w:rsid w:val="006F181F"/>
    <w:rsid w:val="006F1909"/>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3036"/>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EED"/>
    <w:rsid w:val="00800F64"/>
    <w:rsid w:val="00802F0B"/>
    <w:rsid w:val="00810A67"/>
    <w:rsid w:val="00813398"/>
    <w:rsid w:val="00821A31"/>
    <w:rsid w:val="00821AC5"/>
    <w:rsid w:val="00831030"/>
    <w:rsid w:val="008316C6"/>
    <w:rsid w:val="00832EE6"/>
    <w:rsid w:val="00833CF7"/>
    <w:rsid w:val="00843089"/>
    <w:rsid w:val="00845601"/>
    <w:rsid w:val="0085014E"/>
    <w:rsid w:val="008518B4"/>
    <w:rsid w:val="00855C5C"/>
    <w:rsid w:val="008565B9"/>
    <w:rsid w:val="0086185F"/>
    <w:rsid w:val="00882459"/>
    <w:rsid w:val="00890C23"/>
    <w:rsid w:val="00891014"/>
    <w:rsid w:val="008A2B4A"/>
    <w:rsid w:val="008A2D87"/>
    <w:rsid w:val="008A3C96"/>
    <w:rsid w:val="008B4019"/>
    <w:rsid w:val="008B573B"/>
    <w:rsid w:val="008B65C9"/>
    <w:rsid w:val="008C2D4A"/>
    <w:rsid w:val="008C49DA"/>
    <w:rsid w:val="008D21A0"/>
    <w:rsid w:val="008D3900"/>
    <w:rsid w:val="008D6E1D"/>
    <w:rsid w:val="008E611A"/>
    <w:rsid w:val="008F39B4"/>
    <w:rsid w:val="008F4162"/>
    <w:rsid w:val="00903E02"/>
    <w:rsid w:val="009054AD"/>
    <w:rsid w:val="00905A36"/>
    <w:rsid w:val="009120E4"/>
    <w:rsid w:val="00913175"/>
    <w:rsid w:val="00916EDB"/>
    <w:rsid w:val="009217D5"/>
    <w:rsid w:val="009240A6"/>
    <w:rsid w:val="009242EF"/>
    <w:rsid w:val="009252EF"/>
    <w:rsid w:val="00932291"/>
    <w:rsid w:val="0093408E"/>
    <w:rsid w:val="00947CBC"/>
    <w:rsid w:val="0095201C"/>
    <w:rsid w:val="00952DDF"/>
    <w:rsid w:val="00953372"/>
    <w:rsid w:val="009576C5"/>
    <w:rsid w:val="009602A8"/>
    <w:rsid w:val="0096170E"/>
    <w:rsid w:val="0097415B"/>
    <w:rsid w:val="00976E4A"/>
    <w:rsid w:val="00980A44"/>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5C8D"/>
    <w:rsid w:val="00A1671B"/>
    <w:rsid w:val="00A17D0F"/>
    <w:rsid w:val="00A23425"/>
    <w:rsid w:val="00A27314"/>
    <w:rsid w:val="00A338E7"/>
    <w:rsid w:val="00A343B2"/>
    <w:rsid w:val="00A35CAA"/>
    <w:rsid w:val="00A35D18"/>
    <w:rsid w:val="00A36D10"/>
    <w:rsid w:val="00A36E7F"/>
    <w:rsid w:val="00A37E9D"/>
    <w:rsid w:val="00A40B5D"/>
    <w:rsid w:val="00A41E65"/>
    <w:rsid w:val="00A43E0A"/>
    <w:rsid w:val="00A45659"/>
    <w:rsid w:val="00A46F19"/>
    <w:rsid w:val="00A539B1"/>
    <w:rsid w:val="00A55F5B"/>
    <w:rsid w:val="00A57FB9"/>
    <w:rsid w:val="00A60185"/>
    <w:rsid w:val="00A60B0D"/>
    <w:rsid w:val="00A65959"/>
    <w:rsid w:val="00A661EA"/>
    <w:rsid w:val="00A70809"/>
    <w:rsid w:val="00A75D3D"/>
    <w:rsid w:val="00A76E17"/>
    <w:rsid w:val="00A81A91"/>
    <w:rsid w:val="00A830E5"/>
    <w:rsid w:val="00A86618"/>
    <w:rsid w:val="00A87135"/>
    <w:rsid w:val="00A93280"/>
    <w:rsid w:val="00A947DF"/>
    <w:rsid w:val="00AA2548"/>
    <w:rsid w:val="00AA58C4"/>
    <w:rsid w:val="00AB0B10"/>
    <w:rsid w:val="00AB11C8"/>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3389A"/>
    <w:rsid w:val="00B370B4"/>
    <w:rsid w:val="00B404DC"/>
    <w:rsid w:val="00B44F1E"/>
    <w:rsid w:val="00B5278D"/>
    <w:rsid w:val="00B54DE9"/>
    <w:rsid w:val="00B553EC"/>
    <w:rsid w:val="00B62B98"/>
    <w:rsid w:val="00B65E27"/>
    <w:rsid w:val="00B66855"/>
    <w:rsid w:val="00B66EBE"/>
    <w:rsid w:val="00B678AF"/>
    <w:rsid w:val="00B70ED4"/>
    <w:rsid w:val="00B77119"/>
    <w:rsid w:val="00B774CD"/>
    <w:rsid w:val="00B80ECC"/>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C54A5"/>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132E3"/>
    <w:rsid w:val="00C135CF"/>
    <w:rsid w:val="00C15D28"/>
    <w:rsid w:val="00C173B0"/>
    <w:rsid w:val="00C17F88"/>
    <w:rsid w:val="00C20678"/>
    <w:rsid w:val="00C22E15"/>
    <w:rsid w:val="00C2683F"/>
    <w:rsid w:val="00C3184D"/>
    <w:rsid w:val="00C325B9"/>
    <w:rsid w:val="00C37862"/>
    <w:rsid w:val="00C43020"/>
    <w:rsid w:val="00C4714E"/>
    <w:rsid w:val="00C51A9D"/>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A086D"/>
    <w:rsid w:val="00CB0489"/>
    <w:rsid w:val="00CB1690"/>
    <w:rsid w:val="00CB3B43"/>
    <w:rsid w:val="00CB6DC3"/>
    <w:rsid w:val="00CC1AE6"/>
    <w:rsid w:val="00CC39F8"/>
    <w:rsid w:val="00CC4365"/>
    <w:rsid w:val="00CD11B0"/>
    <w:rsid w:val="00CD2830"/>
    <w:rsid w:val="00CD3811"/>
    <w:rsid w:val="00CD3A95"/>
    <w:rsid w:val="00CD49AD"/>
    <w:rsid w:val="00CD4E46"/>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2131"/>
    <w:rsid w:val="00D64914"/>
    <w:rsid w:val="00D77838"/>
    <w:rsid w:val="00D80F3B"/>
    <w:rsid w:val="00D949E4"/>
    <w:rsid w:val="00DA1B12"/>
    <w:rsid w:val="00DA54C9"/>
    <w:rsid w:val="00DA6739"/>
    <w:rsid w:val="00DA6CAE"/>
    <w:rsid w:val="00DB1A9E"/>
    <w:rsid w:val="00DB2C70"/>
    <w:rsid w:val="00DB31D6"/>
    <w:rsid w:val="00DB4005"/>
    <w:rsid w:val="00DB4CBF"/>
    <w:rsid w:val="00DC34EB"/>
    <w:rsid w:val="00DC781A"/>
    <w:rsid w:val="00DD1729"/>
    <w:rsid w:val="00DD2EEB"/>
    <w:rsid w:val="00DD714D"/>
    <w:rsid w:val="00DE633A"/>
    <w:rsid w:val="00DE6446"/>
    <w:rsid w:val="00DF1E5B"/>
    <w:rsid w:val="00DF2275"/>
    <w:rsid w:val="00DF3F5E"/>
    <w:rsid w:val="00DF603D"/>
    <w:rsid w:val="00DF7BCD"/>
    <w:rsid w:val="00E00D0D"/>
    <w:rsid w:val="00E0596E"/>
    <w:rsid w:val="00E06370"/>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306F"/>
    <w:rsid w:val="00E74D29"/>
    <w:rsid w:val="00E82E79"/>
    <w:rsid w:val="00E83C74"/>
    <w:rsid w:val="00E83CEE"/>
    <w:rsid w:val="00E86DB3"/>
    <w:rsid w:val="00E8776C"/>
    <w:rsid w:val="00E903B3"/>
    <w:rsid w:val="00E9226D"/>
    <w:rsid w:val="00E923D6"/>
    <w:rsid w:val="00E94A84"/>
    <w:rsid w:val="00EA337A"/>
    <w:rsid w:val="00EA5941"/>
    <w:rsid w:val="00EA61DD"/>
    <w:rsid w:val="00EB02BE"/>
    <w:rsid w:val="00EB1D9A"/>
    <w:rsid w:val="00EB4974"/>
    <w:rsid w:val="00EB4DFB"/>
    <w:rsid w:val="00EB60CE"/>
    <w:rsid w:val="00EB7D53"/>
    <w:rsid w:val="00EC24FD"/>
    <w:rsid w:val="00ED1794"/>
    <w:rsid w:val="00EE1E28"/>
    <w:rsid w:val="00EE2A2B"/>
    <w:rsid w:val="00EE3146"/>
    <w:rsid w:val="00EE482C"/>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0461"/>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9CF"/>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4922EBA"/>
  <w15:docId w15:val="{689C9027-5DDC-489E-A1A0-119B85484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normal-dot">
    <w:name w:val="normal-dot"/>
    <w:basedOn w:val="Normal"/>
    <w:rsid w:val="00475A35"/>
    <w:pPr>
      <w:numPr>
        <w:numId w:val="40"/>
      </w:numPr>
      <w:spacing w:before="120" w:after="0" w:line="240" w:lineRule="auto"/>
      <w:ind w:left="357" w:hanging="357"/>
    </w:pPr>
    <w:rPr>
      <w:rFonts w:ascii="Times New Roman" w:eastAsia="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aat.gov.a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vironment.gov.au/marine/fisheries/qld/line%20" TargetMode="External"/><Relationship Id="rId12" Type="http://schemas.openxmlformats.org/officeDocument/2006/relationships/hyperlink" Target="mailto:generalreviews@aat.gov.a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at.gov.au/" TargetMode="External"/><Relationship Id="rId5" Type="http://schemas.openxmlformats.org/officeDocument/2006/relationships/footnotes" Target="footnotes.xml"/><Relationship Id="rId15" Type="http://schemas.openxmlformats.org/officeDocument/2006/relationships/hyperlink" Target="mailto:foi@environment.gov.au" TargetMode="External"/><Relationship Id="rId10" Type="http://schemas.openxmlformats.org/officeDocument/2006/relationships/hyperlink" Target="http://www.aat.gov.a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environment.gov.au/foi/index.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907E0F1B.dotm</Template>
  <TotalTime>1</TotalTime>
  <Pages>6</Pages>
  <Words>1890</Words>
  <Characters>10777</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Hon Bill Byrne MP</dc:title>
  <dc:creator>Durack, Bec</dc:creator>
  <cp:lastModifiedBy>Durack, Bec</cp:lastModifiedBy>
  <cp:revision>2</cp:revision>
  <dcterms:created xsi:type="dcterms:W3CDTF">2016-11-25T04:15:00Z</dcterms:created>
  <dcterms:modified xsi:type="dcterms:W3CDTF">2016-11-25T04:15:00Z</dcterms:modified>
</cp:coreProperties>
</file>