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6D14CF" w14:textId="77777777" w:rsidR="000B42C0" w:rsidRDefault="000B42C0" w:rsidP="000B42C0">
      <w:pPr>
        <w:pStyle w:val="Header"/>
        <w:jc w:val="both"/>
      </w:pPr>
      <w:r>
        <w:rPr>
          <w:rFonts w:asciiTheme="majorHAnsi" w:hAnsiTheme="majorHAnsi"/>
          <w:noProof/>
          <w:sz w:val="16"/>
          <w:szCs w:val="16"/>
          <w:lang w:eastAsia="en-AU"/>
        </w:rPr>
        <w:drawing>
          <wp:inline distT="0" distB="0" distL="0" distR="0" wp14:anchorId="0BC43852" wp14:editId="5FDE2FD4">
            <wp:extent cx="5652654" cy="1696509"/>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WE_Inline_BLACK-0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74783" cy="1733163"/>
                    </a:xfrm>
                    <a:prstGeom prst="rect">
                      <a:avLst/>
                    </a:prstGeom>
                  </pic:spPr>
                </pic:pic>
              </a:graphicData>
            </a:graphic>
          </wp:inline>
        </w:drawing>
      </w:r>
    </w:p>
    <w:p w14:paraId="275B6637" w14:textId="77777777" w:rsidR="000B42C0" w:rsidRPr="00FC4A66" w:rsidRDefault="000B42C0" w:rsidP="00FC1B0B">
      <w:pPr>
        <w:widowControl w:val="0"/>
        <w:tabs>
          <w:tab w:val="left" w:pos="6700"/>
        </w:tabs>
        <w:spacing w:after="120"/>
        <w:jc w:val="center"/>
        <w:rPr>
          <w:rFonts w:cs="Arial"/>
          <w:b/>
          <w:sz w:val="48"/>
        </w:rPr>
      </w:pPr>
    </w:p>
    <w:p w14:paraId="4263510D" w14:textId="77777777" w:rsidR="00FC1B0B" w:rsidRPr="00FC4A66" w:rsidRDefault="00FC1B0B" w:rsidP="00FC1B0B">
      <w:pPr>
        <w:widowControl w:val="0"/>
        <w:tabs>
          <w:tab w:val="left" w:pos="6700"/>
        </w:tabs>
        <w:spacing w:after="120"/>
        <w:rPr>
          <w:rFonts w:cs="Arial"/>
          <w:b/>
          <w:sz w:val="48"/>
        </w:rPr>
      </w:pPr>
    </w:p>
    <w:p w14:paraId="4263510E" w14:textId="77777777" w:rsidR="00FC1B0B" w:rsidRPr="00FC4A66" w:rsidRDefault="00FC1B0B" w:rsidP="00FC1B0B">
      <w:pPr>
        <w:widowControl w:val="0"/>
        <w:tabs>
          <w:tab w:val="left" w:pos="6700"/>
        </w:tabs>
        <w:spacing w:after="120"/>
        <w:rPr>
          <w:rFonts w:cs="Arial"/>
          <w:b/>
          <w:sz w:val="48"/>
        </w:rPr>
      </w:pPr>
    </w:p>
    <w:p w14:paraId="4263510F" w14:textId="50F35EF3" w:rsidR="00FC1B0B" w:rsidRPr="000B42C0" w:rsidRDefault="00FC1B0B" w:rsidP="00FC1B0B">
      <w:pPr>
        <w:spacing w:after="120"/>
        <w:jc w:val="center"/>
        <w:rPr>
          <w:rFonts w:cs="Arial"/>
          <w:b/>
          <w:sz w:val="36"/>
        </w:rPr>
      </w:pPr>
      <w:bookmarkStart w:id="0" w:name="_GoBack"/>
      <w:r w:rsidRPr="000B42C0">
        <w:rPr>
          <w:rFonts w:cs="Arial"/>
          <w:b/>
          <w:sz w:val="36"/>
        </w:rPr>
        <w:t>Assessment of</w:t>
      </w:r>
      <w:r w:rsidR="00E022A6">
        <w:rPr>
          <w:rFonts w:cs="Arial"/>
          <w:b/>
          <w:sz w:val="36"/>
        </w:rPr>
        <w:t xml:space="preserve"> the</w:t>
      </w:r>
    </w:p>
    <w:p w14:paraId="30850273" w14:textId="22AD5182" w:rsidR="00C1547A" w:rsidRPr="00FC4A66" w:rsidRDefault="00E022A6" w:rsidP="00C1547A">
      <w:pPr>
        <w:pStyle w:val="Heading6"/>
        <w:spacing w:after="120"/>
        <w:jc w:val="center"/>
        <w:rPr>
          <w:rFonts w:ascii="Arial" w:hAnsi="Arial" w:cs="Arial"/>
          <w:b w:val="0"/>
          <w:i/>
          <w:sz w:val="36"/>
        </w:rPr>
      </w:pPr>
      <w:r>
        <w:rPr>
          <w:rFonts w:ascii="Arial" w:hAnsi="Arial" w:cs="Arial"/>
          <w:sz w:val="36"/>
        </w:rPr>
        <w:t>Queensland</w:t>
      </w:r>
      <w:r w:rsidRPr="005D2C13">
        <w:rPr>
          <w:rFonts w:ascii="Arial" w:hAnsi="Arial" w:cs="Arial"/>
          <w:sz w:val="36"/>
        </w:rPr>
        <w:t xml:space="preserve"> </w:t>
      </w:r>
      <w:r>
        <w:rPr>
          <w:rFonts w:ascii="Arial" w:hAnsi="Arial" w:cs="Arial"/>
          <w:sz w:val="36"/>
        </w:rPr>
        <w:t xml:space="preserve">Jardini </w:t>
      </w:r>
      <w:r w:rsidR="00CF0B06">
        <w:rPr>
          <w:rFonts w:ascii="Arial" w:hAnsi="Arial" w:cs="Arial"/>
          <w:sz w:val="36"/>
        </w:rPr>
        <w:t xml:space="preserve">Pty Ltd </w:t>
      </w:r>
      <w:r>
        <w:rPr>
          <w:rFonts w:ascii="Arial" w:hAnsi="Arial" w:cs="Arial"/>
          <w:sz w:val="36"/>
        </w:rPr>
        <w:t>Lungfish</w:t>
      </w:r>
      <w:r w:rsidRPr="005D2C13">
        <w:rPr>
          <w:rFonts w:ascii="Arial" w:hAnsi="Arial" w:cs="Arial"/>
          <w:sz w:val="36"/>
        </w:rPr>
        <w:t xml:space="preserve"> </w:t>
      </w:r>
      <w:r w:rsidR="005D2C13" w:rsidRPr="005D2C13">
        <w:rPr>
          <w:rFonts w:ascii="Arial" w:hAnsi="Arial" w:cs="Arial"/>
          <w:sz w:val="36"/>
        </w:rPr>
        <w:t>Wildlife Trade Operation</w:t>
      </w:r>
    </w:p>
    <w:bookmarkEnd w:id="0"/>
    <w:p w14:paraId="79BBBE01" w14:textId="77777777" w:rsidR="00C1547A" w:rsidRPr="00FC4A66" w:rsidRDefault="00C1547A" w:rsidP="00C1547A">
      <w:pPr>
        <w:widowControl w:val="0"/>
        <w:tabs>
          <w:tab w:val="left" w:pos="6700"/>
        </w:tabs>
        <w:spacing w:after="120"/>
        <w:jc w:val="center"/>
        <w:rPr>
          <w:rFonts w:cs="Arial"/>
          <w:b/>
          <w:sz w:val="48"/>
        </w:rPr>
      </w:pPr>
    </w:p>
    <w:p w14:paraId="32753077" w14:textId="77777777" w:rsidR="00C1547A" w:rsidRPr="00FC4A66" w:rsidRDefault="00C1547A" w:rsidP="00C1547A">
      <w:pPr>
        <w:widowControl w:val="0"/>
        <w:tabs>
          <w:tab w:val="left" w:pos="6700"/>
        </w:tabs>
        <w:spacing w:after="120"/>
        <w:jc w:val="center"/>
        <w:rPr>
          <w:rFonts w:cs="Arial"/>
          <w:b/>
          <w:sz w:val="48"/>
        </w:rPr>
      </w:pPr>
    </w:p>
    <w:p w14:paraId="54D101B2" w14:textId="77777777" w:rsidR="00C1547A" w:rsidRPr="00FC4A66" w:rsidRDefault="00C1547A" w:rsidP="00C1547A">
      <w:pPr>
        <w:widowControl w:val="0"/>
        <w:tabs>
          <w:tab w:val="left" w:pos="6700"/>
        </w:tabs>
        <w:spacing w:after="120"/>
        <w:jc w:val="center"/>
        <w:rPr>
          <w:rFonts w:cs="Arial"/>
          <w:b/>
          <w:sz w:val="48"/>
        </w:rPr>
      </w:pPr>
    </w:p>
    <w:p w14:paraId="713AF9E7" w14:textId="77777777" w:rsidR="00C1547A" w:rsidRPr="00FC4A66" w:rsidRDefault="00C1547A" w:rsidP="00C1547A">
      <w:pPr>
        <w:widowControl w:val="0"/>
        <w:tabs>
          <w:tab w:val="left" w:pos="6700"/>
        </w:tabs>
        <w:spacing w:after="120"/>
        <w:jc w:val="center"/>
        <w:rPr>
          <w:rFonts w:cs="Arial"/>
          <w:b/>
        </w:rPr>
      </w:pPr>
    </w:p>
    <w:p w14:paraId="7E9216DD" w14:textId="77777777" w:rsidR="00C1547A" w:rsidRPr="00FC4A66" w:rsidRDefault="00C1547A" w:rsidP="00C1547A">
      <w:pPr>
        <w:widowControl w:val="0"/>
        <w:tabs>
          <w:tab w:val="left" w:pos="6700"/>
        </w:tabs>
        <w:spacing w:after="120"/>
        <w:jc w:val="center"/>
        <w:rPr>
          <w:rFonts w:cs="Arial"/>
          <w:b/>
        </w:rPr>
      </w:pPr>
    </w:p>
    <w:p w14:paraId="4584178B" w14:textId="77777777" w:rsidR="00C1547A" w:rsidRPr="00FC4A66" w:rsidRDefault="00C1547A" w:rsidP="00C1547A">
      <w:pPr>
        <w:widowControl w:val="0"/>
        <w:tabs>
          <w:tab w:val="left" w:pos="6700"/>
        </w:tabs>
        <w:spacing w:after="120"/>
        <w:jc w:val="center"/>
        <w:rPr>
          <w:rFonts w:cs="Arial"/>
          <w:b/>
        </w:rPr>
      </w:pPr>
    </w:p>
    <w:p w14:paraId="778801B0" w14:textId="77777777" w:rsidR="00C1547A" w:rsidRPr="00FC4A66" w:rsidRDefault="00C1547A" w:rsidP="00C1547A">
      <w:pPr>
        <w:widowControl w:val="0"/>
        <w:tabs>
          <w:tab w:val="left" w:pos="6700"/>
        </w:tabs>
        <w:spacing w:after="120"/>
        <w:jc w:val="center"/>
        <w:rPr>
          <w:rFonts w:cs="Arial"/>
          <w:b/>
        </w:rPr>
      </w:pPr>
    </w:p>
    <w:p w14:paraId="37B5C71B" w14:textId="77777777" w:rsidR="00C1547A" w:rsidRPr="00FC4A66" w:rsidRDefault="00C1547A" w:rsidP="00C1547A">
      <w:pPr>
        <w:widowControl w:val="0"/>
        <w:tabs>
          <w:tab w:val="left" w:pos="6700"/>
        </w:tabs>
        <w:spacing w:after="120"/>
        <w:jc w:val="center"/>
        <w:rPr>
          <w:rFonts w:cs="Arial"/>
          <w:b/>
        </w:rPr>
      </w:pPr>
    </w:p>
    <w:p w14:paraId="53A42E8C" w14:textId="77777777" w:rsidR="00C1547A" w:rsidRPr="00FC4A66" w:rsidRDefault="00C1547A" w:rsidP="00C1547A">
      <w:pPr>
        <w:widowControl w:val="0"/>
        <w:tabs>
          <w:tab w:val="left" w:pos="6700"/>
        </w:tabs>
        <w:spacing w:after="120"/>
        <w:jc w:val="center"/>
        <w:rPr>
          <w:rFonts w:cs="Arial"/>
          <w:b/>
        </w:rPr>
      </w:pPr>
    </w:p>
    <w:p w14:paraId="5C9AA599" w14:textId="6D5CC895" w:rsidR="00C1547A" w:rsidRPr="00FC4A66" w:rsidRDefault="00E022A6" w:rsidP="00C1547A">
      <w:pPr>
        <w:pStyle w:val="Heading7"/>
        <w:rPr>
          <w:rFonts w:ascii="Arial" w:hAnsi="Arial" w:cs="Arial"/>
          <w:lang w:val="en-AU"/>
        </w:rPr>
      </w:pPr>
      <w:r>
        <w:rPr>
          <w:rFonts w:ascii="Arial" w:hAnsi="Arial" w:cs="Arial"/>
          <w:lang w:val="en-AU"/>
        </w:rPr>
        <w:t>April</w:t>
      </w:r>
      <w:r w:rsidR="00222D71">
        <w:rPr>
          <w:rFonts w:ascii="Arial" w:hAnsi="Arial" w:cs="Arial"/>
          <w:lang w:val="en-AU"/>
        </w:rPr>
        <w:t xml:space="preserve"> </w:t>
      </w:r>
      <w:r w:rsidR="00977E13" w:rsidRPr="00FC4A66">
        <w:rPr>
          <w:rFonts w:ascii="Arial" w:hAnsi="Arial" w:cs="Arial"/>
          <w:lang w:val="en-AU"/>
        </w:rPr>
        <w:t>20</w:t>
      </w:r>
      <w:r w:rsidR="00222D71">
        <w:rPr>
          <w:rFonts w:ascii="Arial" w:hAnsi="Arial" w:cs="Arial"/>
          <w:lang w:val="en-AU"/>
        </w:rPr>
        <w:t>20</w:t>
      </w:r>
    </w:p>
    <w:p w14:paraId="4263511C" w14:textId="77777777" w:rsidR="00BC72A5" w:rsidRPr="00FC4A66" w:rsidRDefault="00BC72A5" w:rsidP="00BC72A5"/>
    <w:p w14:paraId="4263511D" w14:textId="77777777" w:rsidR="00BC72A5" w:rsidRPr="00FC4A66" w:rsidRDefault="00BC72A5">
      <w:pPr>
        <w:spacing w:after="0" w:line="240" w:lineRule="auto"/>
      </w:pPr>
      <w:r w:rsidRPr="00FC4A66">
        <w:br w:type="page"/>
      </w:r>
    </w:p>
    <w:sdt>
      <w:sdtPr>
        <w:rPr>
          <w:rFonts w:ascii="Arial" w:eastAsia="Calibri" w:hAnsi="Arial" w:cs="Arial"/>
          <w:b/>
          <w:bCs/>
          <w:color w:val="auto"/>
          <w:sz w:val="22"/>
          <w:szCs w:val="22"/>
          <w:lang w:val="en-AU"/>
        </w:rPr>
        <w:id w:val="992149566"/>
        <w:docPartObj>
          <w:docPartGallery w:val="Table of Contents"/>
          <w:docPartUnique/>
        </w:docPartObj>
      </w:sdtPr>
      <w:sdtEndPr>
        <w:rPr>
          <w:b w:val="0"/>
          <w:bCs w:val="0"/>
          <w:noProof/>
        </w:rPr>
      </w:sdtEndPr>
      <w:sdtContent>
        <w:p w14:paraId="746CA361" w14:textId="77777777" w:rsidR="00567592" w:rsidRPr="00FC4A66" w:rsidRDefault="00567592" w:rsidP="00567592">
          <w:pPr>
            <w:pStyle w:val="TOCHeading"/>
            <w:jc w:val="center"/>
            <w:rPr>
              <w:rFonts w:ascii="Arial" w:hAnsi="Arial" w:cs="Arial"/>
              <w:b/>
              <w:color w:val="auto"/>
              <w:sz w:val="24"/>
              <w:szCs w:val="24"/>
            </w:rPr>
          </w:pPr>
          <w:r w:rsidRPr="00FC4A66">
            <w:rPr>
              <w:rFonts w:ascii="Arial" w:hAnsi="Arial" w:cs="Arial"/>
              <w:b/>
              <w:color w:val="auto"/>
              <w:sz w:val="24"/>
              <w:szCs w:val="24"/>
            </w:rPr>
            <w:t>CONTENTS</w:t>
          </w:r>
        </w:p>
        <w:p w14:paraId="06C4BF9F" w14:textId="77777777" w:rsidR="00567592" w:rsidRPr="00FC4A66" w:rsidRDefault="00567592" w:rsidP="00567592">
          <w:pPr>
            <w:pStyle w:val="TOC1"/>
          </w:pPr>
        </w:p>
        <w:p w14:paraId="1AD37A6E" w14:textId="079A1D91" w:rsidR="00537403" w:rsidRDefault="00567592">
          <w:pPr>
            <w:pStyle w:val="TOC1"/>
            <w:rPr>
              <w:rFonts w:asciiTheme="minorHAnsi" w:eastAsiaTheme="minorEastAsia" w:hAnsiTheme="minorHAnsi" w:cstheme="minorBidi"/>
              <w:noProof/>
              <w:lang w:eastAsia="en-AU"/>
            </w:rPr>
          </w:pPr>
          <w:r w:rsidRPr="00FC4A66">
            <w:rPr>
              <w:rFonts w:eastAsia="Times New Roman" w:cs="Arial"/>
              <w:b/>
              <w:lang w:eastAsia="en-AU"/>
            </w:rPr>
            <w:fldChar w:fldCharType="begin"/>
          </w:r>
          <w:r w:rsidRPr="00FC4A66">
            <w:rPr>
              <w:rFonts w:cs="Arial"/>
              <w:b/>
            </w:rPr>
            <w:instrText xml:space="preserve"> TOC \o "1-3" \h \z \u </w:instrText>
          </w:r>
          <w:r w:rsidRPr="00FC4A66">
            <w:rPr>
              <w:rFonts w:eastAsia="Times New Roman" w:cs="Arial"/>
              <w:b/>
              <w:lang w:eastAsia="en-AU"/>
            </w:rPr>
            <w:fldChar w:fldCharType="separate"/>
          </w:r>
          <w:hyperlink w:anchor="_Toc38527434" w:history="1">
            <w:r w:rsidR="00537403" w:rsidRPr="000E4C8B">
              <w:rPr>
                <w:rStyle w:val="Hyperlink"/>
                <w:noProof/>
              </w:rPr>
              <w:t>Executive Summary</w:t>
            </w:r>
            <w:r w:rsidR="00537403">
              <w:rPr>
                <w:noProof/>
                <w:webHidden/>
              </w:rPr>
              <w:tab/>
            </w:r>
            <w:r w:rsidR="00537403">
              <w:rPr>
                <w:noProof/>
                <w:webHidden/>
              </w:rPr>
              <w:fldChar w:fldCharType="begin"/>
            </w:r>
            <w:r w:rsidR="00537403">
              <w:rPr>
                <w:noProof/>
                <w:webHidden/>
              </w:rPr>
              <w:instrText xml:space="preserve"> PAGEREF _Toc38527434 \h </w:instrText>
            </w:r>
            <w:r w:rsidR="00537403">
              <w:rPr>
                <w:noProof/>
                <w:webHidden/>
              </w:rPr>
            </w:r>
            <w:r w:rsidR="00537403">
              <w:rPr>
                <w:noProof/>
                <w:webHidden/>
              </w:rPr>
              <w:fldChar w:fldCharType="separate"/>
            </w:r>
            <w:r w:rsidR="00930B86">
              <w:rPr>
                <w:noProof/>
                <w:webHidden/>
              </w:rPr>
              <w:t>3</w:t>
            </w:r>
            <w:r w:rsidR="00537403">
              <w:rPr>
                <w:noProof/>
                <w:webHidden/>
              </w:rPr>
              <w:fldChar w:fldCharType="end"/>
            </w:r>
          </w:hyperlink>
        </w:p>
        <w:p w14:paraId="3E0C8555" w14:textId="3C96AD74" w:rsidR="00537403" w:rsidRDefault="00E2047B">
          <w:pPr>
            <w:pStyle w:val="TOC2"/>
            <w:tabs>
              <w:tab w:val="right" w:leader="dot" w:pos="9202"/>
            </w:tabs>
            <w:rPr>
              <w:rFonts w:asciiTheme="minorHAnsi" w:eastAsiaTheme="minorEastAsia" w:hAnsiTheme="minorHAnsi" w:cstheme="minorBidi"/>
              <w:noProof/>
              <w:lang w:eastAsia="en-AU"/>
            </w:rPr>
          </w:pPr>
          <w:hyperlink w:anchor="_Toc38527435" w:history="1">
            <w:r w:rsidR="00537403" w:rsidRPr="000E4C8B">
              <w:rPr>
                <w:rStyle w:val="Hyperlink"/>
                <w:noProof/>
              </w:rPr>
              <w:t>Section 1: Part 13A Assessment</w:t>
            </w:r>
            <w:r w:rsidR="00537403">
              <w:rPr>
                <w:noProof/>
                <w:webHidden/>
              </w:rPr>
              <w:tab/>
            </w:r>
            <w:r w:rsidR="00537403">
              <w:rPr>
                <w:noProof/>
                <w:webHidden/>
              </w:rPr>
              <w:fldChar w:fldCharType="begin"/>
            </w:r>
            <w:r w:rsidR="00537403">
              <w:rPr>
                <w:noProof/>
                <w:webHidden/>
              </w:rPr>
              <w:instrText xml:space="preserve"> PAGEREF _Toc38527435 \h </w:instrText>
            </w:r>
            <w:r w:rsidR="00537403">
              <w:rPr>
                <w:noProof/>
                <w:webHidden/>
              </w:rPr>
            </w:r>
            <w:r w:rsidR="00537403">
              <w:rPr>
                <w:noProof/>
                <w:webHidden/>
              </w:rPr>
              <w:fldChar w:fldCharType="separate"/>
            </w:r>
            <w:r w:rsidR="00930B86">
              <w:rPr>
                <w:noProof/>
                <w:webHidden/>
              </w:rPr>
              <w:t>5</w:t>
            </w:r>
            <w:r w:rsidR="00537403">
              <w:rPr>
                <w:noProof/>
                <w:webHidden/>
              </w:rPr>
              <w:fldChar w:fldCharType="end"/>
            </w:r>
          </w:hyperlink>
        </w:p>
        <w:p w14:paraId="0163F0A3" w14:textId="51815AB0" w:rsidR="00537403" w:rsidRDefault="00E2047B">
          <w:pPr>
            <w:pStyle w:val="TOC2"/>
            <w:tabs>
              <w:tab w:val="right" w:leader="dot" w:pos="9202"/>
            </w:tabs>
            <w:rPr>
              <w:rFonts w:asciiTheme="minorHAnsi" w:eastAsiaTheme="minorEastAsia" w:hAnsiTheme="minorHAnsi" w:cstheme="minorBidi"/>
              <w:noProof/>
              <w:lang w:eastAsia="en-AU"/>
            </w:rPr>
          </w:pPr>
          <w:hyperlink w:anchor="_Toc38527436" w:history="1">
            <w:r w:rsidR="00537403" w:rsidRPr="000E4C8B">
              <w:rPr>
                <w:rStyle w:val="Hyperlink"/>
                <w:noProof/>
              </w:rPr>
              <w:t>Section 2: Recommended conditions</w:t>
            </w:r>
            <w:r w:rsidR="00537403">
              <w:rPr>
                <w:noProof/>
                <w:webHidden/>
              </w:rPr>
              <w:tab/>
            </w:r>
            <w:r w:rsidR="00537403">
              <w:rPr>
                <w:noProof/>
                <w:webHidden/>
              </w:rPr>
              <w:fldChar w:fldCharType="begin"/>
            </w:r>
            <w:r w:rsidR="00537403">
              <w:rPr>
                <w:noProof/>
                <w:webHidden/>
              </w:rPr>
              <w:instrText xml:space="preserve"> PAGEREF _Toc38527436 \h </w:instrText>
            </w:r>
            <w:r w:rsidR="00537403">
              <w:rPr>
                <w:noProof/>
                <w:webHidden/>
              </w:rPr>
            </w:r>
            <w:r w:rsidR="00537403">
              <w:rPr>
                <w:noProof/>
                <w:webHidden/>
              </w:rPr>
              <w:fldChar w:fldCharType="separate"/>
            </w:r>
            <w:r w:rsidR="00930B86">
              <w:rPr>
                <w:noProof/>
                <w:webHidden/>
              </w:rPr>
              <w:t>14</w:t>
            </w:r>
            <w:r w:rsidR="00537403">
              <w:rPr>
                <w:noProof/>
                <w:webHidden/>
              </w:rPr>
              <w:fldChar w:fldCharType="end"/>
            </w:r>
          </w:hyperlink>
        </w:p>
        <w:p w14:paraId="28DD219E" w14:textId="24EFB3DA" w:rsidR="00567592" w:rsidRPr="00FC4A66" w:rsidRDefault="00567592" w:rsidP="00567592">
          <w:pPr>
            <w:rPr>
              <w:rFonts w:cs="Arial"/>
              <w:noProof/>
            </w:rPr>
          </w:pPr>
          <w:r w:rsidRPr="00FC4A66">
            <w:rPr>
              <w:rFonts w:cs="Arial"/>
              <w:b/>
              <w:bCs/>
              <w:noProof/>
            </w:rPr>
            <w:fldChar w:fldCharType="end"/>
          </w:r>
        </w:p>
      </w:sdtContent>
    </w:sdt>
    <w:p w14:paraId="42635129" w14:textId="77777777" w:rsidR="00BC72A5" w:rsidRPr="00FC4A66" w:rsidRDefault="00BC72A5" w:rsidP="00BC72A5">
      <w:pPr>
        <w:pStyle w:val="NormalWeb"/>
        <w:rPr>
          <w:rFonts w:ascii="Arial" w:hAnsi="Arial" w:cs="Arial"/>
          <w:sz w:val="16"/>
          <w:szCs w:val="16"/>
        </w:rPr>
      </w:pPr>
    </w:p>
    <w:p w14:paraId="4263512B" w14:textId="77777777" w:rsidR="00661057" w:rsidRPr="00FC4A66" w:rsidRDefault="00661057" w:rsidP="00BC72A5">
      <w:pPr>
        <w:pStyle w:val="NormalWeb"/>
        <w:rPr>
          <w:rFonts w:ascii="Arial" w:hAnsi="Arial" w:cs="Arial"/>
          <w:sz w:val="16"/>
          <w:szCs w:val="16"/>
        </w:rPr>
      </w:pPr>
    </w:p>
    <w:p w14:paraId="4263512C" w14:textId="77777777" w:rsidR="00661057" w:rsidRPr="00FC4A66" w:rsidRDefault="00661057" w:rsidP="00BC72A5">
      <w:pPr>
        <w:pStyle w:val="NormalWeb"/>
        <w:rPr>
          <w:rFonts w:ascii="Arial" w:hAnsi="Arial" w:cs="Arial"/>
          <w:sz w:val="16"/>
          <w:szCs w:val="16"/>
        </w:rPr>
      </w:pPr>
    </w:p>
    <w:p w14:paraId="4263512D" w14:textId="77777777" w:rsidR="00661057" w:rsidRPr="00FC4A66" w:rsidRDefault="00661057" w:rsidP="00BC72A5">
      <w:pPr>
        <w:pStyle w:val="NormalWeb"/>
        <w:rPr>
          <w:rFonts w:ascii="Arial" w:hAnsi="Arial" w:cs="Arial"/>
          <w:sz w:val="16"/>
          <w:szCs w:val="16"/>
        </w:rPr>
      </w:pPr>
    </w:p>
    <w:p w14:paraId="4263512E" w14:textId="77777777" w:rsidR="00BC72A5" w:rsidRPr="00FC4A66" w:rsidRDefault="00BC72A5" w:rsidP="00BC72A5">
      <w:pPr>
        <w:pStyle w:val="NormalWeb"/>
        <w:rPr>
          <w:rFonts w:ascii="Arial" w:hAnsi="Arial" w:cs="Arial"/>
          <w:sz w:val="16"/>
          <w:szCs w:val="16"/>
        </w:rPr>
      </w:pPr>
    </w:p>
    <w:p w14:paraId="16031611" w14:textId="0CEFE08C" w:rsidR="00567592" w:rsidRPr="00FC4A66" w:rsidRDefault="00567592" w:rsidP="00BC72A5">
      <w:pPr>
        <w:pStyle w:val="NormalWeb"/>
        <w:rPr>
          <w:rFonts w:ascii="Arial" w:hAnsi="Arial" w:cs="Arial"/>
          <w:sz w:val="16"/>
          <w:szCs w:val="16"/>
        </w:rPr>
      </w:pPr>
    </w:p>
    <w:p w14:paraId="0702AE93" w14:textId="77777777" w:rsidR="00567592" w:rsidRPr="00FC4A66" w:rsidRDefault="00567592" w:rsidP="00BC72A5">
      <w:pPr>
        <w:pStyle w:val="NormalWeb"/>
        <w:rPr>
          <w:rFonts w:ascii="Arial" w:hAnsi="Arial" w:cs="Arial"/>
          <w:sz w:val="16"/>
          <w:szCs w:val="16"/>
        </w:rPr>
      </w:pPr>
    </w:p>
    <w:p w14:paraId="39CB16F3" w14:textId="77777777" w:rsidR="00567592" w:rsidRPr="00FC4A66" w:rsidRDefault="00567592" w:rsidP="00BC72A5">
      <w:pPr>
        <w:pStyle w:val="NormalWeb"/>
        <w:rPr>
          <w:rFonts w:ascii="Arial" w:hAnsi="Arial" w:cs="Arial"/>
          <w:sz w:val="16"/>
          <w:szCs w:val="16"/>
        </w:rPr>
      </w:pPr>
    </w:p>
    <w:p w14:paraId="088B6AE8" w14:textId="77777777" w:rsidR="00567592" w:rsidRPr="00FC4A66" w:rsidRDefault="00567592" w:rsidP="00BC72A5">
      <w:pPr>
        <w:pStyle w:val="NormalWeb"/>
        <w:rPr>
          <w:rFonts w:ascii="Arial" w:hAnsi="Arial" w:cs="Arial"/>
          <w:sz w:val="16"/>
          <w:szCs w:val="16"/>
        </w:rPr>
      </w:pPr>
    </w:p>
    <w:p w14:paraId="6C20AD99" w14:textId="77777777" w:rsidR="00567592" w:rsidRPr="00FC4A66" w:rsidRDefault="00567592" w:rsidP="00BC72A5">
      <w:pPr>
        <w:pStyle w:val="NormalWeb"/>
        <w:rPr>
          <w:rFonts w:ascii="Arial" w:hAnsi="Arial" w:cs="Arial"/>
          <w:sz w:val="16"/>
          <w:szCs w:val="16"/>
        </w:rPr>
      </w:pPr>
    </w:p>
    <w:p w14:paraId="75870684" w14:textId="77777777" w:rsidR="00567592" w:rsidRPr="00FC4A66" w:rsidRDefault="00567592" w:rsidP="00BC72A5">
      <w:pPr>
        <w:pStyle w:val="NormalWeb"/>
        <w:rPr>
          <w:rFonts w:ascii="Arial" w:hAnsi="Arial" w:cs="Arial"/>
          <w:sz w:val="16"/>
          <w:szCs w:val="16"/>
        </w:rPr>
      </w:pPr>
    </w:p>
    <w:p w14:paraId="116E232F" w14:textId="533E04B5" w:rsidR="00C1547A" w:rsidRPr="00FC4A66" w:rsidRDefault="00C1547A" w:rsidP="00C1547A">
      <w:pPr>
        <w:pStyle w:val="NormalWeb"/>
        <w:rPr>
          <w:rFonts w:ascii="Arial" w:hAnsi="Arial" w:cs="Arial"/>
          <w:sz w:val="16"/>
          <w:szCs w:val="16"/>
        </w:rPr>
      </w:pPr>
      <w:r w:rsidRPr="00FC4A66">
        <w:rPr>
          <w:rFonts w:ascii="Arial" w:hAnsi="Arial" w:cs="Arial"/>
          <w:sz w:val="16"/>
          <w:szCs w:val="16"/>
        </w:rPr>
        <w:t xml:space="preserve">© Copyright Commonwealth of Australia, </w:t>
      </w:r>
      <w:r w:rsidR="00E945F4" w:rsidRPr="00FC4A66">
        <w:rPr>
          <w:rFonts w:ascii="Arial" w:hAnsi="Arial" w:cs="Arial"/>
          <w:sz w:val="16"/>
          <w:szCs w:val="16"/>
        </w:rPr>
        <w:t>20</w:t>
      </w:r>
      <w:r w:rsidR="00222D71">
        <w:rPr>
          <w:rFonts w:ascii="Arial" w:hAnsi="Arial" w:cs="Arial"/>
          <w:sz w:val="16"/>
          <w:szCs w:val="16"/>
        </w:rPr>
        <w:t>20</w:t>
      </w:r>
      <w:r w:rsidRPr="00FC4A66">
        <w:rPr>
          <w:rFonts w:ascii="Arial" w:hAnsi="Arial" w:cs="Arial"/>
          <w:sz w:val="16"/>
          <w:szCs w:val="16"/>
        </w:rPr>
        <w:t>.</w:t>
      </w:r>
    </w:p>
    <w:p w14:paraId="494883A3" w14:textId="77777777" w:rsidR="00C1547A" w:rsidRPr="00FC4A66" w:rsidRDefault="00C1547A" w:rsidP="00C1547A">
      <w:pPr>
        <w:pStyle w:val="NormalWeb"/>
        <w:rPr>
          <w:rFonts w:ascii="Arial" w:hAnsi="Arial" w:cs="Arial"/>
          <w:i/>
          <w:sz w:val="16"/>
          <w:szCs w:val="16"/>
        </w:rPr>
      </w:pPr>
      <w:r w:rsidRPr="00FC4A66">
        <w:rPr>
          <w:rFonts w:ascii="Arial" w:hAnsi="Arial" w:cs="Arial"/>
          <w:noProof/>
          <w:sz w:val="16"/>
          <w:szCs w:val="16"/>
          <w:lang w:val="en-AU" w:eastAsia="en-AU"/>
        </w:rPr>
        <w:drawing>
          <wp:inline distT="0" distB="0" distL="0" distR="0" wp14:anchorId="3ACC29E3" wp14:editId="456FAF00">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8"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7DEEDB94" w14:textId="0A1001A4" w:rsidR="00C1547A" w:rsidRPr="00FC4A66" w:rsidRDefault="00E022A6" w:rsidP="00C1547A">
      <w:pPr>
        <w:pStyle w:val="NormalWeb"/>
        <w:rPr>
          <w:rFonts w:ascii="Arial" w:hAnsi="Arial" w:cs="Arial"/>
          <w:sz w:val="16"/>
          <w:szCs w:val="16"/>
        </w:rPr>
      </w:pPr>
      <w:r>
        <w:rPr>
          <w:rFonts w:ascii="Arial" w:hAnsi="Arial" w:cs="Arial"/>
          <w:bCs/>
          <w:i/>
          <w:sz w:val="16"/>
          <w:szCs w:val="16"/>
          <w:lang w:val="en-AU"/>
        </w:rPr>
        <w:t xml:space="preserve">Assessment of the Jardini Pty </w:t>
      </w:r>
      <w:r w:rsidR="00CF0B06">
        <w:rPr>
          <w:rFonts w:ascii="Arial" w:hAnsi="Arial" w:cs="Arial"/>
          <w:bCs/>
          <w:i/>
          <w:sz w:val="16"/>
          <w:szCs w:val="16"/>
          <w:lang w:val="en-AU"/>
        </w:rPr>
        <w:t>Ltd L</w:t>
      </w:r>
      <w:r>
        <w:rPr>
          <w:rFonts w:ascii="Arial" w:hAnsi="Arial" w:cs="Arial"/>
          <w:bCs/>
          <w:i/>
          <w:sz w:val="16"/>
          <w:szCs w:val="16"/>
          <w:lang w:val="en-AU"/>
        </w:rPr>
        <w:t>ungfish</w:t>
      </w:r>
      <w:r w:rsidRPr="006A225D">
        <w:rPr>
          <w:rFonts w:ascii="Arial" w:hAnsi="Arial" w:cs="Arial"/>
          <w:bCs/>
          <w:i/>
          <w:sz w:val="16"/>
          <w:szCs w:val="16"/>
          <w:lang w:val="en-AU"/>
        </w:rPr>
        <w:t xml:space="preserve"> </w:t>
      </w:r>
      <w:r w:rsidR="005D2C13" w:rsidRPr="006A225D">
        <w:rPr>
          <w:rFonts w:ascii="Arial" w:hAnsi="Arial" w:cs="Arial"/>
          <w:bCs/>
          <w:i/>
          <w:sz w:val="16"/>
          <w:szCs w:val="16"/>
          <w:lang w:val="en-AU"/>
        </w:rPr>
        <w:t xml:space="preserve">Wildlife Trade Operation, </w:t>
      </w:r>
      <w:r w:rsidR="00CF0B06">
        <w:rPr>
          <w:rFonts w:ascii="Arial" w:hAnsi="Arial" w:cs="Arial"/>
          <w:bCs/>
          <w:i/>
          <w:sz w:val="16"/>
          <w:szCs w:val="16"/>
          <w:lang w:val="en-AU"/>
        </w:rPr>
        <w:t xml:space="preserve">April </w:t>
      </w:r>
      <w:r w:rsidR="005D2C13" w:rsidRPr="006A225D">
        <w:rPr>
          <w:rFonts w:ascii="Arial" w:hAnsi="Arial" w:cs="Arial"/>
          <w:bCs/>
          <w:i/>
          <w:sz w:val="16"/>
          <w:szCs w:val="16"/>
          <w:lang w:val="en-AU"/>
        </w:rPr>
        <w:t>20</w:t>
      </w:r>
      <w:r w:rsidR="000B42C0">
        <w:rPr>
          <w:rFonts w:ascii="Arial" w:hAnsi="Arial" w:cs="Arial"/>
          <w:bCs/>
          <w:i/>
          <w:sz w:val="16"/>
          <w:szCs w:val="16"/>
          <w:lang w:val="en-AU"/>
        </w:rPr>
        <w:t>20</w:t>
      </w:r>
      <w:r w:rsidR="00C1547A" w:rsidRPr="00FC4A66">
        <w:rPr>
          <w:rFonts w:ascii="Arial" w:hAnsi="Arial" w:cs="Arial"/>
          <w:sz w:val="16"/>
          <w:szCs w:val="16"/>
        </w:rPr>
        <w:t xml:space="preserve"> 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14:paraId="00FC0179" w14:textId="5ED1234C" w:rsidR="0075720F" w:rsidRPr="009B0354" w:rsidRDefault="00C1547A" w:rsidP="0075720F">
      <w:pPr>
        <w:pStyle w:val="NormalWeb"/>
        <w:rPr>
          <w:rFonts w:ascii="Arial" w:hAnsi="Arial" w:cs="Arial"/>
          <w:sz w:val="16"/>
          <w:szCs w:val="16"/>
        </w:rPr>
      </w:pPr>
      <w:r w:rsidRPr="00FC4A66">
        <w:rPr>
          <w:rFonts w:ascii="Arial" w:hAnsi="Arial" w:cs="Arial"/>
          <w:sz w:val="16"/>
          <w:szCs w:val="16"/>
        </w:rPr>
        <w:t>This report should be attributed as ‘</w:t>
      </w:r>
      <w:r w:rsidR="00CF0B06">
        <w:rPr>
          <w:rFonts w:ascii="Arial" w:hAnsi="Arial" w:cs="Arial"/>
          <w:bCs/>
          <w:i/>
          <w:sz w:val="16"/>
          <w:szCs w:val="16"/>
          <w:lang w:val="en-AU"/>
        </w:rPr>
        <w:t>Assessment of the Jardini Pty Ltd Lungfish</w:t>
      </w:r>
      <w:r w:rsidR="00CF0B06" w:rsidRPr="006A225D">
        <w:rPr>
          <w:rFonts w:ascii="Arial" w:hAnsi="Arial" w:cs="Arial"/>
          <w:bCs/>
          <w:i/>
          <w:sz w:val="16"/>
          <w:szCs w:val="16"/>
          <w:lang w:val="en-AU"/>
        </w:rPr>
        <w:t xml:space="preserve"> Wildlife Trade Operation, </w:t>
      </w:r>
      <w:r w:rsidR="00CF0B06">
        <w:rPr>
          <w:rFonts w:ascii="Arial" w:hAnsi="Arial" w:cs="Arial"/>
          <w:bCs/>
          <w:i/>
          <w:sz w:val="16"/>
          <w:szCs w:val="16"/>
          <w:lang w:val="en-AU"/>
        </w:rPr>
        <w:t xml:space="preserve">April </w:t>
      </w:r>
      <w:r w:rsidR="00CF0B06" w:rsidRPr="006A225D">
        <w:rPr>
          <w:rFonts w:ascii="Arial" w:hAnsi="Arial" w:cs="Arial"/>
          <w:bCs/>
          <w:i/>
          <w:sz w:val="16"/>
          <w:szCs w:val="16"/>
          <w:lang w:val="en-AU"/>
        </w:rPr>
        <w:t>20</w:t>
      </w:r>
      <w:r w:rsidR="00CF0B06">
        <w:rPr>
          <w:rFonts w:ascii="Arial" w:hAnsi="Arial" w:cs="Arial"/>
          <w:bCs/>
          <w:i/>
          <w:sz w:val="16"/>
          <w:szCs w:val="16"/>
          <w:lang w:val="en-AU"/>
        </w:rPr>
        <w:t>20</w:t>
      </w:r>
      <w:r w:rsidR="0038794B">
        <w:rPr>
          <w:rFonts w:ascii="Arial" w:hAnsi="Arial" w:cs="Arial"/>
          <w:bCs/>
          <w:i/>
          <w:sz w:val="16"/>
          <w:szCs w:val="16"/>
          <w:lang w:val="en-AU"/>
        </w:rPr>
        <w:t>,</w:t>
      </w:r>
      <w:r w:rsidR="0075720F" w:rsidRPr="0075720F">
        <w:rPr>
          <w:rFonts w:ascii="Arial" w:hAnsi="Arial" w:cs="Arial"/>
          <w:i/>
          <w:sz w:val="16"/>
          <w:szCs w:val="16"/>
        </w:rPr>
        <w:t xml:space="preserve"> </w:t>
      </w:r>
      <w:r w:rsidR="0075720F" w:rsidRPr="002502CC">
        <w:rPr>
          <w:rFonts w:ascii="Arial" w:hAnsi="Arial" w:cs="Arial"/>
          <w:i/>
          <w:sz w:val="16"/>
          <w:szCs w:val="16"/>
        </w:rPr>
        <w:t>Commonwealth of Australia 2020</w:t>
      </w:r>
      <w:r w:rsidR="0075720F" w:rsidRPr="008A0844">
        <w:rPr>
          <w:rFonts w:ascii="Arial" w:hAnsi="Arial" w:cs="Arial"/>
          <w:sz w:val="16"/>
          <w:szCs w:val="16"/>
        </w:rPr>
        <w:t>.</w:t>
      </w:r>
    </w:p>
    <w:p w14:paraId="2A090B0E" w14:textId="77777777" w:rsidR="00C1547A" w:rsidRPr="00FC4A66" w:rsidRDefault="00C1547A" w:rsidP="00C1547A">
      <w:pPr>
        <w:spacing w:after="120"/>
        <w:rPr>
          <w:rFonts w:cs="Arial"/>
          <w:b/>
          <w:sz w:val="16"/>
          <w:szCs w:val="16"/>
        </w:rPr>
      </w:pPr>
      <w:r w:rsidRPr="00FC4A66">
        <w:rPr>
          <w:rFonts w:cs="Arial"/>
          <w:b/>
          <w:sz w:val="16"/>
          <w:szCs w:val="16"/>
        </w:rPr>
        <w:t>Disclaimer</w:t>
      </w:r>
    </w:p>
    <w:p w14:paraId="37F9E0D8" w14:textId="5F1404FA" w:rsidR="00C1547A" w:rsidRPr="00FC4A66" w:rsidRDefault="00C1547A" w:rsidP="00C1547A">
      <w:pPr>
        <w:pStyle w:val="NormalWeb"/>
        <w:rPr>
          <w:rFonts w:ascii="Arial" w:hAnsi="Arial" w:cs="Arial"/>
          <w:sz w:val="16"/>
          <w:szCs w:val="16"/>
          <w:lang w:val="en-AU"/>
        </w:rPr>
      </w:pPr>
      <w:r w:rsidRPr="00FC4A66">
        <w:rPr>
          <w:rFonts w:ascii="Arial" w:hAnsi="Arial" w:cs="Arial"/>
          <w:sz w:val="16"/>
          <w:szCs w:val="16"/>
          <w:lang w:val="en-AU"/>
        </w:rPr>
        <w:t xml:space="preserve">This document is an assessment carried out by the Department of </w:t>
      </w:r>
      <w:r w:rsidR="000B42C0">
        <w:rPr>
          <w:rFonts w:ascii="Arial" w:hAnsi="Arial" w:cs="Arial"/>
          <w:sz w:val="16"/>
          <w:szCs w:val="16"/>
          <w:lang w:val="en-AU"/>
        </w:rPr>
        <w:t xml:space="preserve">Agriculture, Water and the </w:t>
      </w:r>
      <w:r w:rsidRPr="00FC4A66">
        <w:rPr>
          <w:rFonts w:ascii="Arial" w:hAnsi="Arial" w:cs="Arial"/>
          <w:sz w:val="16"/>
          <w:szCs w:val="16"/>
          <w:lang w:val="en-AU"/>
        </w:rPr>
        <w:t xml:space="preserve">Environment of a commercial </w:t>
      </w:r>
      <w:r w:rsidR="006A225D">
        <w:rPr>
          <w:rFonts w:ascii="Arial" w:hAnsi="Arial" w:cs="Arial"/>
          <w:sz w:val="16"/>
          <w:szCs w:val="16"/>
          <w:lang w:val="en-AU"/>
        </w:rPr>
        <w:t>wildlife trade operation</w:t>
      </w:r>
      <w:r w:rsidRPr="00FC4A66">
        <w:rPr>
          <w:rFonts w:ascii="Arial" w:hAnsi="Arial" w:cs="Arial"/>
          <w:sz w:val="16"/>
          <w:szCs w:val="16"/>
          <w:lang w:val="en-AU"/>
        </w:rPr>
        <w:t xml:space="preserve">. It forms part of the advice provided to the Minister for the Environment on the </w:t>
      </w:r>
      <w:r w:rsidR="00DE52D7">
        <w:rPr>
          <w:rFonts w:ascii="Arial" w:hAnsi="Arial" w:cs="Arial"/>
          <w:sz w:val="16"/>
          <w:szCs w:val="16"/>
          <w:lang w:val="en-AU"/>
        </w:rPr>
        <w:t>operation</w:t>
      </w:r>
      <w:r w:rsidRPr="00FC4A66">
        <w:rPr>
          <w:rFonts w:ascii="Arial" w:hAnsi="Arial" w:cs="Arial"/>
          <w:sz w:val="16"/>
          <w:szCs w:val="16"/>
          <w:lang w:val="en-AU"/>
        </w:rPr>
        <w:t xml:space="preserve"> in relation to decisions under Part</w:t>
      </w:r>
      <w:r w:rsidR="007C045F">
        <w:rPr>
          <w:rFonts w:ascii="Arial" w:hAnsi="Arial" w:cs="Arial"/>
          <w:sz w:val="16"/>
          <w:szCs w:val="16"/>
          <w:lang w:val="en-AU"/>
        </w:rPr>
        <w:t>s 13 and</w:t>
      </w:r>
      <w:r w:rsidRPr="00FC4A66">
        <w:rPr>
          <w:rFonts w:ascii="Arial" w:hAnsi="Arial" w:cs="Arial"/>
          <w:sz w:val="16"/>
          <w:szCs w:val="16"/>
          <w:lang w:val="en-AU"/>
        </w:rPr>
        <w:t xml:space="preserve"> 13A of the </w:t>
      </w:r>
      <w:r w:rsidRPr="00FC4A66">
        <w:rPr>
          <w:rFonts w:ascii="Arial" w:hAnsi="Arial" w:cs="Arial"/>
          <w:i/>
          <w:iCs/>
          <w:sz w:val="16"/>
          <w:szCs w:val="16"/>
          <w:lang w:val="en-AU"/>
        </w:rPr>
        <w:t>Environment Protection and Biodiversity Conservation Act 1999</w:t>
      </w:r>
      <w:r w:rsidRPr="00FC4A66">
        <w:rPr>
          <w:rFonts w:ascii="Arial" w:hAnsi="Arial" w:cs="Arial"/>
          <w:sz w:val="16"/>
          <w:szCs w:val="16"/>
          <w:lang w:val="en-AU"/>
        </w:rPr>
        <w:t>. The views expressed do not necessarily reflect those of the Minister for the Environment or the Australian Government.</w:t>
      </w:r>
    </w:p>
    <w:p w14:paraId="08338042" w14:textId="77777777" w:rsidR="00C1547A" w:rsidRPr="0038794B" w:rsidRDefault="00C1547A" w:rsidP="0038794B">
      <w:pPr>
        <w:pStyle w:val="NormalWeb"/>
        <w:rPr>
          <w:rFonts w:ascii="Arial" w:hAnsi="Arial" w:cs="Arial"/>
          <w:sz w:val="16"/>
          <w:szCs w:val="16"/>
          <w:lang w:val="en-AU"/>
        </w:rPr>
      </w:pPr>
      <w:r w:rsidRPr="0038794B">
        <w:rPr>
          <w:rFonts w:ascii="Arial" w:hAnsi="Arial" w:cs="Arial"/>
          <w:sz w:val="16"/>
          <w:szCs w:val="16"/>
          <w:lang w:val="en-AU"/>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42635137" w14:textId="31C309E7" w:rsidR="00567592" w:rsidRPr="00FC4A66" w:rsidRDefault="00567592">
      <w:pPr>
        <w:spacing w:after="0" w:line="240" w:lineRule="auto"/>
      </w:pPr>
      <w:r w:rsidRPr="00FC4A66">
        <w:br w:type="page"/>
      </w:r>
    </w:p>
    <w:p w14:paraId="225FA90E" w14:textId="77777777" w:rsidR="00BC72A5" w:rsidRPr="00FC4A66" w:rsidRDefault="00BC72A5" w:rsidP="00BC72A5"/>
    <w:p w14:paraId="42635138" w14:textId="3568A94D" w:rsidR="00BC72A5" w:rsidRPr="00FC4A66" w:rsidRDefault="00BC72A5" w:rsidP="00BC72A5">
      <w:pPr>
        <w:pStyle w:val="Heading1"/>
        <w:spacing w:after="120"/>
        <w:jc w:val="center"/>
      </w:pPr>
      <w:bookmarkStart w:id="1" w:name="_Toc38527434"/>
      <w:r w:rsidRPr="00FC4A66">
        <w:t>Executive Summary</w:t>
      </w:r>
      <w:bookmarkEnd w:id="1"/>
      <w:r w:rsidRPr="00FC4A66">
        <w:t xml:space="preserve"> </w:t>
      </w:r>
    </w:p>
    <w:p w14:paraId="308A4CF2" w14:textId="7A50ABC6" w:rsidR="00243812" w:rsidRPr="00FC4A66" w:rsidRDefault="00243812" w:rsidP="00243812">
      <w:r w:rsidRPr="00FC4A66">
        <w:rPr>
          <w:rFonts w:cs="Arial"/>
          <w:noProof/>
        </w:rPr>
        <w:t xml:space="preserve">On </w:t>
      </w:r>
      <w:r w:rsidR="00222D71">
        <w:rPr>
          <w:rFonts w:cs="Arial"/>
          <w:noProof/>
        </w:rPr>
        <w:t>8</w:t>
      </w:r>
      <w:r w:rsidR="00C113D6">
        <w:rPr>
          <w:rFonts w:cs="Arial"/>
          <w:noProof/>
        </w:rPr>
        <w:t xml:space="preserve"> </w:t>
      </w:r>
      <w:r w:rsidR="001C18BF">
        <w:rPr>
          <w:rFonts w:cs="Arial"/>
          <w:noProof/>
        </w:rPr>
        <w:t xml:space="preserve">January </w:t>
      </w:r>
      <w:r w:rsidR="00C113D6">
        <w:rPr>
          <w:rFonts w:cs="Arial"/>
          <w:noProof/>
        </w:rPr>
        <w:t>20</w:t>
      </w:r>
      <w:r w:rsidR="001C18BF">
        <w:rPr>
          <w:rFonts w:cs="Arial"/>
          <w:noProof/>
        </w:rPr>
        <w:t>20</w:t>
      </w:r>
      <w:r w:rsidR="00C113D6">
        <w:rPr>
          <w:rFonts w:cs="Arial"/>
          <w:noProof/>
        </w:rPr>
        <w:t xml:space="preserve"> Mr </w:t>
      </w:r>
      <w:r w:rsidR="00222D71">
        <w:rPr>
          <w:rFonts w:cs="Arial"/>
          <w:noProof/>
        </w:rPr>
        <w:t>Jason Coe</w:t>
      </w:r>
      <w:r w:rsidR="004C0BE7">
        <w:rPr>
          <w:rFonts w:cs="Arial"/>
          <w:noProof/>
        </w:rPr>
        <w:t>, on behalf of</w:t>
      </w:r>
      <w:r w:rsidR="00222D71">
        <w:rPr>
          <w:rFonts w:cs="Arial"/>
          <w:noProof/>
        </w:rPr>
        <w:t xml:space="preserve"> Jardini Pty Ltd</w:t>
      </w:r>
      <w:r w:rsidR="00392154">
        <w:rPr>
          <w:rFonts w:cs="Arial"/>
          <w:noProof/>
        </w:rPr>
        <w:t xml:space="preserve"> </w:t>
      </w:r>
      <w:r w:rsidR="004C0BE7">
        <w:rPr>
          <w:rFonts w:cs="Arial"/>
          <w:noProof/>
        </w:rPr>
        <w:t>(</w:t>
      </w:r>
      <w:r w:rsidR="00392154">
        <w:rPr>
          <w:rFonts w:cs="Arial"/>
          <w:noProof/>
        </w:rPr>
        <w:t>Jardini</w:t>
      </w:r>
      <w:r w:rsidR="00222D71">
        <w:rPr>
          <w:rFonts w:cs="Arial"/>
          <w:noProof/>
        </w:rPr>
        <w:t xml:space="preserve">) </w:t>
      </w:r>
      <w:r w:rsidR="00C113D6">
        <w:rPr>
          <w:rFonts w:cs="Arial"/>
          <w:noProof/>
        </w:rPr>
        <w:t>submitted</w:t>
      </w:r>
      <w:r w:rsidRPr="00FC4A66">
        <w:rPr>
          <w:rFonts w:cs="Arial"/>
          <w:noProof/>
        </w:rPr>
        <w:t xml:space="preserve"> </w:t>
      </w:r>
      <w:r w:rsidR="00C113D6">
        <w:rPr>
          <w:rFonts w:cs="Arial"/>
          <w:noProof/>
        </w:rPr>
        <w:t>a</w:t>
      </w:r>
      <w:r w:rsidR="00E30146">
        <w:rPr>
          <w:rFonts w:cs="Arial"/>
          <w:noProof/>
        </w:rPr>
        <w:t>n</w:t>
      </w:r>
      <w:r w:rsidR="00C113D6">
        <w:rPr>
          <w:rFonts w:cs="Arial"/>
          <w:noProof/>
        </w:rPr>
        <w:t xml:space="preserve"> </w:t>
      </w:r>
      <w:r w:rsidR="00E30146">
        <w:rPr>
          <w:rFonts w:cs="Arial"/>
          <w:noProof/>
        </w:rPr>
        <w:t xml:space="preserve">application </w:t>
      </w:r>
      <w:r w:rsidRPr="00FC4A66">
        <w:rPr>
          <w:rFonts w:cs="Arial"/>
          <w:noProof/>
        </w:rPr>
        <w:t>to the Department of Environment and Energy (</w:t>
      </w:r>
      <w:r w:rsidR="00454BAE">
        <w:rPr>
          <w:rFonts w:cs="Arial"/>
          <w:noProof/>
        </w:rPr>
        <w:t xml:space="preserve">now the Department of Agriculture, Water and the Environment, hereafter referred to as </w:t>
      </w:r>
      <w:r w:rsidRPr="00FC4A66">
        <w:rPr>
          <w:rFonts w:cs="Arial"/>
          <w:noProof/>
        </w:rPr>
        <w:t xml:space="preserve">the Department) to be assessed under the </w:t>
      </w:r>
      <w:r w:rsidR="000D2BF5" w:rsidRPr="000D2BF5">
        <w:rPr>
          <w:rFonts w:cs="Arial"/>
          <w:i/>
          <w:noProof/>
        </w:rPr>
        <w:t>Environment Protection and Biodiversity Conservation Act 1999</w:t>
      </w:r>
      <w:r w:rsidR="000D2BF5">
        <w:rPr>
          <w:rFonts w:cs="Arial"/>
          <w:noProof/>
        </w:rPr>
        <w:t xml:space="preserve"> (</w:t>
      </w:r>
      <w:r w:rsidRPr="00FC4A66">
        <w:rPr>
          <w:rFonts w:cs="Arial"/>
          <w:noProof/>
        </w:rPr>
        <w:t>EPBC Act</w:t>
      </w:r>
      <w:r w:rsidR="000D2BF5">
        <w:rPr>
          <w:rFonts w:cs="Arial"/>
          <w:noProof/>
        </w:rPr>
        <w:t>)</w:t>
      </w:r>
      <w:r w:rsidRPr="00FC4A66">
        <w:rPr>
          <w:rFonts w:cs="Arial"/>
          <w:noProof/>
        </w:rPr>
        <w:t xml:space="preserve"> </w:t>
      </w:r>
      <w:r w:rsidR="00222D71">
        <w:rPr>
          <w:rFonts w:cs="Arial"/>
          <w:noProof/>
        </w:rPr>
        <w:t xml:space="preserve">to renew </w:t>
      </w:r>
      <w:r w:rsidRPr="00FC4A66">
        <w:rPr>
          <w:rFonts w:cs="Arial"/>
          <w:noProof/>
        </w:rPr>
        <w:t xml:space="preserve">an approved </w:t>
      </w:r>
      <w:r w:rsidR="006A225D">
        <w:t>wildlife trade operation</w:t>
      </w:r>
      <w:r w:rsidR="00222D71">
        <w:t xml:space="preserve"> </w:t>
      </w:r>
      <w:r w:rsidR="001E1C0A">
        <w:t xml:space="preserve">(WTO) </w:t>
      </w:r>
      <w:r w:rsidR="00222D71">
        <w:t>and approved aquaculture program</w:t>
      </w:r>
      <w:r w:rsidR="001E1C0A">
        <w:t xml:space="preserve"> (AQP)</w:t>
      </w:r>
      <w:r w:rsidR="00E30146">
        <w:t xml:space="preserve"> for Australian lungfish (</w:t>
      </w:r>
      <w:r w:rsidR="00E30146" w:rsidRPr="002D14DF">
        <w:rPr>
          <w:rFonts w:cs="Arial"/>
          <w:i/>
        </w:rPr>
        <w:t>Neoceratodus forsteri</w:t>
      </w:r>
      <w:r w:rsidR="00E30146">
        <w:rPr>
          <w:rFonts w:cs="Arial"/>
        </w:rPr>
        <w:t>)</w:t>
      </w:r>
      <w:r w:rsidRPr="00FC4A66">
        <w:t xml:space="preserve">. </w:t>
      </w:r>
      <w:r w:rsidR="00AA4FD7">
        <w:rPr>
          <w:lang w:eastAsia="en-AU"/>
        </w:rPr>
        <w:t xml:space="preserve">Lungfish </w:t>
      </w:r>
      <w:r w:rsidR="00AA4FD7" w:rsidRPr="004A06BD">
        <w:rPr>
          <w:lang w:val="en-GB"/>
        </w:rPr>
        <w:t>are kept and bred in a closed, controlled environment</w:t>
      </w:r>
      <w:r w:rsidR="00AA4FD7">
        <w:rPr>
          <w:lang w:val="en-GB"/>
        </w:rPr>
        <w:t xml:space="preserve"> in two locations under Queensland </w:t>
      </w:r>
      <w:r w:rsidR="002C1220">
        <w:rPr>
          <w:lang w:val="en-GB"/>
        </w:rPr>
        <w:t xml:space="preserve">Department of Agriculture and Fisheries </w:t>
      </w:r>
      <w:r w:rsidR="00AA4FD7" w:rsidRPr="002F3BB5">
        <w:t>Aquaculture</w:t>
      </w:r>
      <w:r w:rsidR="00AA4FD7" w:rsidRPr="004A06BD">
        <w:rPr>
          <w:lang w:val="en-GB"/>
        </w:rPr>
        <w:t xml:space="preserve"> </w:t>
      </w:r>
      <w:r w:rsidR="00AA4FD7">
        <w:rPr>
          <w:lang w:val="en-GB"/>
        </w:rPr>
        <w:t xml:space="preserve">Development Approvals. </w:t>
      </w:r>
    </w:p>
    <w:p w14:paraId="7190AF8F" w14:textId="06B8F804" w:rsidR="001E1C0A" w:rsidRDefault="00C113D6" w:rsidP="00243812">
      <w:r>
        <w:rPr>
          <w:rFonts w:cs="Arial"/>
          <w:noProof/>
        </w:rPr>
        <w:t xml:space="preserve">The </w:t>
      </w:r>
      <w:r w:rsidR="00454BAE">
        <w:rPr>
          <w:rFonts w:cs="Arial"/>
          <w:noProof/>
        </w:rPr>
        <w:t xml:space="preserve">Jardini </w:t>
      </w:r>
      <w:r>
        <w:rPr>
          <w:rFonts w:cs="Arial"/>
          <w:noProof/>
        </w:rPr>
        <w:t xml:space="preserve">operation involves </w:t>
      </w:r>
      <w:r w:rsidR="00454BAE">
        <w:t xml:space="preserve">the breeding </w:t>
      </w:r>
      <w:r w:rsidR="002B3A45">
        <w:t xml:space="preserve">in an aquaculture facility </w:t>
      </w:r>
      <w:r w:rsidR="00454BAE">
        <w:t xml:space="preserve">of </w:t>
      </w:r>
      <w:r w:rsidR="001E1C0A" w:rsidRPr="00EE0ED2">
        <w:t xml:space="preserve">adult Australian lungfish </w:t>
      </w:r>
      <w:r w:rsidR="00454BAE">
        <w:t xml:space="preserve">originally </w:t>
      </w:r>
      <w:r w:rsidR="001E1C0A" w:rsidRPr="00EE0ED2">
        <w:t>harvested from</w:t>
      </w:r>
      <w:r w:rsidR="001E1C0A">
        <w:t xml:space="preserve"> the wild </w:t>
      </w:r>
      <w:r w:rsidR="00CA433B">
        <w:t xml:space="preserve">in 2016 and 2017 </w:t>
      </w:r>
      <w:r w:rsidR="00454BAE">
        <w:t xml:space="preserve">with </w:t>
      </w:r>
      <w:r w:rsidR="001E1C0A">
        <w:t>juveniles bred fro</w:t>
      </w:r>
      <w:r w:rsidR="001E1C0A" w:rsidRPr="00EE0ED2">
        <w:t xml:space="preserve">m these </w:t>
      </w:r>
      <w:r w:rsidR="002B3A45">
        <w:t xml:space="preserve">adult </w:t>
      </w:r>
      <w:r w:rsidR="001E1C0A" w:rsidRPr="00EE0ED2">
        <w:t xml:space="preserve">broodstock. </w:t>
      </w:r>
      <w:r w:rsidR="00F05D03">
        <w:t xml:space="preserve">Jardini </w:t>
      </w:r>
      <w:r w:rsidR="001E1C0A" w:rsidRPr="00EE0ED2">
        <w:t xml:space="preserve">is concurrently applying for approval as an AQP and </w:t>
      </w:r>
      <w:r w:rsidR="00705537">
        <w:t xml:space="preserve">for approval as </w:t>
      </w:r>
      <w:r w:rsidR="00AC70E6">
        <w:t xml:space="preserve">a </w:t>
      </w:r>
      <w:r w:rsidR="001E1C0A" w:rsidRPr="00EE0ED2">
        <w:t>WTO</w:t>
      </w:r>
      <w:r w:rsidR="00E30146">
        <w:t xml:space="preserve"> as Australian lungfish are listed as vulnerable under the EPBC Act and on Appendix II of the Convention on International Trade in Endangered Species (CITES)</w:t>
      </w:r>
      <w:r w:rsidR="001E1C0A" w:rsidRPr="00EE0ED2">
        <w:t>.</w:t>
      </w:r>
      <w:r w:rsidR="00AC70E6">
        <w:t xml:space="preserve"> </w:t>
      </w:r>
      <w:bookmarkStart w:id="2" w:name="_Hlk34906689"/>
      <w:r w:rsidR="00AC70E6" w:rsidRPr="002D14DF">
        <w:rPr>
          <w:rFonts w:cs="Arial"/>
          <w:lang w:eastAsia="en-AU"/>
        </w:rPr>
        <w:t xml:space="preserve">Approval as an aquaculture program will satisfy the requirement for export of an EPBC Act </w:t>
      </w:r>
      <w:r w:rsidR="00790BFB">
        <w:rPr>
          <w:rFonts w:cs="Arial"/>
          <w:lang w:eastAsia="en-AU"/>
        </w:rPr>
        <w:t xml:space="preserve">listed </w:t>
      </w:r>
      <w:r w:rsidR="00AC70E6" w:rsidRPr="002D14DF">
        <w:rPr>
          <w:rFonts w:cs="Arial"/>
          <w:lang w:eastAsia="en-AU"/>
        </w:rPr>
        <w:t>threatened species</w:t>
      </w:r>
      <w:r w:rsidR="00705537">
        <w:rPr>
          <w:rFonts w:cs="Arial"/>
          <w:lang w:eastAsia="en-AU"/>
        </w:rPr>
        <w:t xml:space="preserve"> </w:t>
      </w:r>
      <w:bookmarkEnd w:id="2"/>
      <w:r w:rsidR="00705537">
        <w:rPr>
          <w:rFonts w:cs="Arial"/>
          <w:lang w:eastAsia="en-AU"/>
        </w:rPr>
        <w:t>and a</w:t>
      </w:r>
      <w:r w:rsidR="00705537" w:rsidRPr="002D14DF">
        <w:rPr>
          <w:rFonts w:cs="Arial"/>
          <w:lang w:eastAsia="en-AU"/>
        </w:rPr>
        <w:t>pproval as a</w:t>
      </w:r>
      <w:r w:rsidR="00705537">
        <w:rPr>
          <w:rFonts w:cs="Arial"/>
          <w:lang w:eastAsia="en-AU"/>
        </w:rPr>
        <w:t xml:space="preserve"> WTO </w:t>
      </w:r>
      <w:r w:rsidR="00705537" w:rsidRPr="002D14DF">
        <w:rPr>
          <w:rFonts w:cs="Arial"/>
          <w:lang w:eastAsia="en-AU"/>
        </w:rPr>
        <w:t>will satisfy the requirement for export of a</w:t>
      </w:r>
      <w:r w:rsidR="00705537">
        <w:rPr>
          <w:rFonts w:cs="Arial"/>
          <w:lang w:eastAsia="en-AU"/>
        </w:rPr>
        <w:t xml:space="preserve"> CITES II listed species.</w:t>
      </w:r>
    </w:p>
    <w:p w14:paraId="16CC1862" w14:textId="04E29765" w:rsidR="00CA433B" w:rsidRDefault="003B5D60" w:rsidP="002F3BB5">
      <w:r>
        <w:t xml:space="preserve">In 2017 </w:t>
      </w:r>
      <w:r w:rsidR="009E7917">
        <w:t xml:space="preserve">the Jardini operation was approved as </w:t>
      </w:r>
      <w:r>
        <w:t>both an existing</w:t>
      </w:r>
      <w:r w:rsidR="00E30146">
        <w:t xml:space="preserve"> stock</w:t>
      </w:r>
      <w:r>
        <w:t xml:space="preserve"> </w:t>
      </w:r>
      <w:r w:rsidR="00CD23B9">
        <w:t xml:space="preserve">WTO </w:t>
      </w:r>
      <w:r>
        <w:t xml:space="preserve">and </w:t>
      </w:r>
      <w:r w:rsidR="00CD23B9">
        <w:t xml:space="preserve">a </w:t>
      </w:r>
      <w:r>
        <w:t>small scale WTO.</w:t>
      </w:r>
      <w:r w:rsidR="00FE1B2A">
        <w:t xml:space="preserve"> </w:t>
      </w:r>
      <w:r>
        <w:t xml:space="preserve">The existing </w:t>
      </w:r>
      <w:r w:rsidR="00E30146">
        <w:t xml:space="preserve">stock </w:t>
      </w:r>
      <w:r>
        <w:t xml:space="preserve">WTO </w:t>
      </w:r>
      <w:r w:rsidR="0053529E">
        <w:t xml:space="preserve">was in place to </w:t>
      </w:r>
      <w:r>
        <w:t xml:space="preserve">cover </w:t>
      </w:r>
      <w:r w:rsidR="009E7917">
        <w:t xml:space="preserve">11 </w:t>
      </w:r>
      <w:r w:rsidR="00EA4068">
        <w:t xml:space="preserve">lungfish </w:t>
      </w:r>
      <w:r w:rsidR="00065353">
        <w:t xml:space="preserve">legally </w:t>
      </w:r>
      <w:r>
        <w:t xml:space="preserve">collected </w:t>
      </w:r>
      <w:r w:rsidR="00CD23B9">
        <w:t xml:space="preserve">under </w:t>
      </w:r>
      <w:r w:rsidR="00F643FC">
        <w:rPr>
          <w:lang w:eastAsia="en-AU"/>
        </w:rPr>
        <w:t xml:space="preserve">a Queensland </w:t>
      </w:r>
      <w:r w:rsidR="006F5122">
        <w:rPr>
          <w:lang w:eastAsia="en-AU"/>
        </w:rPr>
        <w:t>g</w:t>
      </w:r>
      <w:r w:rsidR="00F643FC">
        <w:rPr>
          <w:lang w:eastAsia="en-AU"/>
        </w:rPr>
        <w:t xml:space="preserve">eneral </w:t>
      </w:r>
      <w:r w:rsidR="002C1220">
        <w:rPr>
          <w:lang w:eastAsia="en-AU"/>
        </w:rPr>
        <w:t>f</w:t>
      </w:r>
      <w:r w:rsidR="00F643FC">
        <w:rPr>
          <w:lang w:eastAsia="en-AU"/>
        </w:rPr>
        <w:t xml:space="preserve">isheries </w:t>
      </w:r>
      <w:r w:rsidR="002C1220">
        <w:rPr>
          <w:lang w:eastAsia="en-AU"/>
        </w:rPr>
        <w:t>p</w:t>
      </w:r>
      <w:r w:rsidR="00F643FC">
        <w:rPr>
          <w:lang w:eastAsia="en-AU"/>
        </w:rPr>
        <w:t xml:space="preserve">ermit </w:t>
      </w:r>
      <w:r w:rsidR="005775BE">
        <w:rPr>
          <w:lang w:eastAsia="en-AU"/>
        </w:rPr>
        <w:t xml:space="preserve">from the Brisbane River </w:t>
      </w:r>
      <w:r>
        <w:t>prior to the approval of Jardini as a WTO in February 2017</w:t>
      </w:r>
      <w:r w:rsidR="00CD23B9">
        <w:t xml:space="preserve">. The small scale </w:t>
      </w:r>
      <w:r w:rsidR="00EA4068">
        <w:t xml:space="preserve">WTO </w:t>
      </w:r>
      <w:r w:rsidR="0053529E">
        <w:t xml:space="preserve">was in place to </w:t>
      </w:r>
      <w:r w:rsidR="00EA4068">
        <w:t xml:space="preserve">cover collection </w:t>
      </w:r>
      <w:r w:rsidR="0053529E">
        <w:t xml:space="preserve">of </w:t>
      </w:r>
      <w:r w:rsidR="00EA4068">
        <w:t>lungfish</w:t>
      </w:r>
      <w:r>
        <w:t xml:space="preserve"> </w:t>
      </w:r>
      <w:r w:rsidR="0053529E">
        <w:t xml:space="preserve">from the wild </w:t>
      </w:r>
      <w:r w:rsidR="00EA4068">
        <w:t xml:space="preserve">under Queensland permit from the </w:t>
      </w:r>
      <w:r w:rsidR="002C1220">
        <w:t xml:space="preserve">Brisbane River and the </w:t>
      </w:r>
      <w:r w:rsidR="00EA4068">
        <w:t>Pine River</w:t>
      </w:r>
      <w:r w:rsidR="00F643FC">
        <w:t xml:space="preserve"> during the course of the 2017 approved WTO</w:t>
      </w:r>
      <w:r w:rsidR="00EA4068">
        <w:t xml:space="preserve">. </w:t>
      </w:r>
      <w:r w:rsidR="005775BE">
        <w:t xml:space="preserve">No further wild harvest is proposed under the 2020 WTO application. Approval as an existing stocks WTO is sought </w:t>
      </w:r>
      <w:r w:rsidR="00AA4FD7">
        <w:t xml:space="preserve">for the current </w:t>
      </w:r>
      <w:r w:rsidR="005775BE">
        <w:t xml:space="preserve">operation </w:t>
      </w:r>
      <w:r w:rsidR="00AA4FD7">
        <w:t xml:space="preserve">as it </w:t>
      </w:r>
      <w:r w:rsidR="005775BE">
        <w:t xml:space="preserve">will </w:t>
      </w:r>
      <w:r w:rsidR="00CA433B">
        <w:t xml:space="preserve">only </w:t>
      </w:r>
      <w:r w:rsidR="005775BE">
        <w:t xml:space="preserve">be </w:t>
      </w:r>
      <w:r w:rsidR="00CA433B">
        <w:t xml:space="preserve">handling stock that is already part of its internal operation </w:t>
      </w:r>
      <w:r w:rsidR="005775BE">
        <w:t>and not any new stock</w:t>
      </w:r>
      <w:r w:rsidR="00CA433B">
        <w:t xml:space="preserve"> from the wild</w:t>
      </w:r>
      <w:r w:rsidR="005775BE">
        <w:t xml:space="preserve">. </w:t>
      </w:r>
    </w:p>
    <w:p w14:paraId="31F3F0E3" w14:textId="3CDAD9B3" w:rsidR="002F3BB5" w:rsidRDefault="002F3BB5" w:rsidP="002F3BB5">
      <w:pPr>
        <w:rPr>
          <w:lang w:eastAsia="en-AU"/>
        </w:rPr>
      </w:pPr>
      <w:r w:rsidRPr="002F3BB5">
        <w:rPr>
          <w:lang w:eastAsia="en-AU"/>
        </w:rPr>
        <w:t xml:space="preserve">All live specimens of Australian lungfish exported from the applicant's premises will be produced from broodstock kept on the premises and will be </w:t>
      </w:r>
      <w:r w:rsidR="00F1650C">
        <w:rPr>
          <w:lang w:eastAsia="en-AU"/>
        </w:rPr>
        <w:t xml:space="preserve">required under the conditions to be </w:t>
      </w:r>
      <w:r w:rsidRPr="002F3BB5">
        <w:rPr>
          <w:lang w:eastAsia="en-AU"/>
        </w:rPr>
        <w:t>tagged with an internal Passive Integrated Transponder (PIT) tag</w:t>
      </w:r>
      <w:r w:rsidR="003F3C72">
        <w:rPr>
          <w:lang w:eastAsia="en-AU"/>
        </w:rPr>
        <w:t xml:space="preserve"> that </w:t>
      </w:r>
      <w:bookmarkStart w:id="3" w:name="_Hlk36807409"/>
      <w:r w:rsidR="00EF6E75">
        <w:rPr>
          <w:lang w:eastAsia="en-AU"/>
        </w:rPr>
        <w:t xml:space="preserve">helps to </w:t>
      </w:r>
      <w:r w:rsidR="003F3C72">
        <w:rPr>
          <w:lang w:eastAsia="en-AU"/>
        </w:rPr>
        <w:t xml:space="preserve">authenticate </w:t>
      </w:r>
      <w:r w:rsidR="00881E1D">
        <w:rPr>
          <w:lang w:eastAsia="en-AU"/>
        </w:rPr>
        <w:t>the legal source of</w:t>
      </w:r>
      <w:r w:rsidR="003F3C72">
        <w:rPr>
          <w:lang w:eastAsia="en-AU"/>
        </w:rPr>
        <w:t xml:space="preserve"> fish</w:t>
      </w:r>
      <w:r w:rsidR="00A04188">
        <w:rPr>
          <w:lang w:eastAsia="en-AU"/>
        </w:rPr>
        <w:t xml:space="preserve"> i</w:t>
      </w:r>
      <w:r w:rsidR="00104CC3">
        <w:rPr>
          <w:lang w:eastAsia="en-AU"/>
        </w:rPr>
        <w:t>.</w:t>
      </w:r>
      <w:r w:rsidR="00A04188">
        <w:rPr>
          <w:lang w:eastAsia="en-AU"/>
        </w:rPr>
        <w:t>e</w:t>
      </w:r>
      <w:r w:rsidR="00104CC3">
        <w:rPr>
          <w:lang w:eastAsia="en-AU"/>
        </w:rPr>
        <w:t>.</w:t>
      </w:r>
      <w:r w:rsidR="00A04188">
        <w:rPr>
          <w:lang w:eastAsia="en-AU"/>
        </w:rPr>
        <w:t xml:space="preserve"> </w:t>
      </w:r>
      <w:r w:rsidR="004D7240">
        <w:rPr>
          <w:lang w:eastAsia="en-AU"/>
        </w:rPr>
        <w:t>it</w:t>
      </w:r>
      <w:r w:rsidR="00A04188">
        <w:rPr>
          <w:lang w:eastAsia="en-AU"/>
        </w:rPr>
        <w:t xml:space="preserve"> i</w:t>
      </w:r>
      <w:r w:rsidR="004D7240">
        <w:rPr>
          <w:lang w:eastAsia="en-AU"/>
        </w:rPr>
        <w:t xml:space="preserve">s from an authorised </w:t>
      </w:r>
      <w:r w:rsidR="00A7497C">
        <w:rPr>
          <w:lang w:eastAsia="en-AU"/>
        </w:rPr>
        <w:t xml:space="preserve">sustainable </w:t>
      </w:r>
      <w:r w:rsidR="004D7240">
        <w:rPr>
          <w:lang w:eastAsia="en-AU"/>
        </w:rPr>
        <w:t xml:space="preserve">aquaculture facility and not illegally </w:t>
      </w:r>
      <w:r w:rsidR="00445CB6">
        <w:rPr>
          <w:lang w:eastAsia="en-AU"/>
        </w:rPr>
        <w:t xml:space="preserve">taken </w:t>
      </w:r>
      <w:r w:rsidR="004D7240">
        <w:rPr>
          <w:lang w:eastAsia="en-AU"/>
        </w:rPr>
        <w:t>from the wild</w:t>
      </w:r>
      <w:r w:rsidR="00B85A80">
        <w:rPr>
          <w:lang w:eastAsia="en-AU"/>
        </w:rPr>
        <w:t xml:space="preserve">. The tag will also </w:t>
      </w:r>
      <w:bookmarkEnd w:id="3"/>
      <w:r w:rsidR="00881E1D">
        <w:rPr>
          <w:lang w:eastAsia="en-AU"/>
        </w:rPr>
        <w:t xml:space="preserve">provide </w:t>
      </w:r>
      <w:r w:rsidR="003F3C72">
        <w:rPr>
          <w:lang w:eastAsia="en-AU"/>
        </w:rPr>
        <w:t>improved transparency</w:t>
      </w:r>
      <w:r w:rsidR="00A22CE1">
        <w:rPr>
          <w:lang w:eastAsia="en-AU"/>
        </w:rPr>
        <w:t xml:space="preserve"> </w:t>
      </w:r>
      <w:r w:rsidR="00881E1D">
        <w:rPr>
          <w:lang w:eastAsia="en-AU"/>
        </w:rPr>
        <w:t xml:space="preserve">in relation to </w:t>
      </w:r>
      <w:r w:rsidR="00A22CE1">
        <w:rPr>
          <w:lang w:eastAsia="en-AU"/>
        </w:rPr>
        <w:t>business practices</w:t>
      </w:r>
      <w:r w:rsidR="00881E1D">
        <w:rPr>
          <w:lang w:eastAsia="en-AU"/>
        </w:rPr>
        <w:t xml:space="preserve"> through</w:t>
      </w:r>
      <w:r w:rsidR="00F3636D">
        <w:rPr>
          <w:lang w:eastAsia="en-AU"/>
        </w:rPr>
        <w:t xml:space="preserve"> annual </w:t>
      </w:r>
      <w:r w:rsidR="00881E1D">
        <w:rPr>
          <w:lang w:eastAsia="en-AU"/>
        </w:rPr>
        <w:t>reporting</w:t>
      </w:r>
      <w:r w:rsidR="00F3636D">
        <w:rPr>
          <w:lang w:eastAsia="en-AU"/>
        </w:rPr>
        <w:t xml:space="preserve"> to the Department o</w:t>
      </w:r>
      <w:r w:rsidR="00104CC3">
        <w:rPr>
          <w:lang w:eastAsia="en-AU"/>
        </w:rPr>
        <w:t>f</w:t>
      </w:r>
      <w:r w:rsidR="00F97128">
        <w:rPr>
          <w:lang w:eastAsia="en-AU"/>
        </w:rPr>
        <w:t xml:space="preserve"> lungfish exports including their PIT tag numbers</w:t>
      </w:r>
      <w:r w:rsidRPr="002F3BB5">
        <w:rPr>
          <w:lang w:eastAsia="en-AU"/>
        </w:rPr>
        <w:t xml:space="preserve">. </w:t>
      </w:r>
    </w:p>
    <w:p w14:paraId="4A9BD282" w14:textId="27C2DA8C" w:rsidR="009803A5" w:rsidRPr="002F3BB5" w:rsidRDefault="00AA4FD7" w:rsidP="002F3BB5">
      <w:pPr>
        <w:rPr>
          <w:lang w:eastAsia="en-AU"/>
        </w:rPr>
      </w:pPr>
      <w:r w:rsidRPr="00FC4A66">
        <w:t xml:space="preserve">A public comment period </w:t>
      </w:r>
      <w:r w:rsidR="00A22CE1">
        <w:t xml:space="preserve">on the proposed operation </w:t>
      </w:r>
      <w:r w:rsidRPr="00FC4A66">
        <w:t xml:space="preserve">was open from </w:t>
      </w:r>
      <w:r>
        <w:t xml:space="preserve">22 January </w:t>
      </w:r>
      <w:r w:rsidRPr="00C113D6">
        <w:t>20</w:t>
      </w:r>
      <w:r>
        <w:t>20</w:t>
      </w:r>
      <w:r w:rsidRPr="00C113D6">
        <w:t xml:space="preserve"> </w:t>
      </w:r>
      <w:r>
        <w:t>to</w:t>
      </w:r>
      <w:r w:rsidRPr="00C113D6">
        <w:t xml:space="preserve"> </w:t>
      </w:r>
      <w:r>
        <w:t>21</w:t>
      </w:r>
      <w:r w:rsidR="00A22CE1">
        <w:t> </w:t>
      </w:r>
      <w:r>
        <w:t xml:space="preserve">February </w:t>
      </w:r>
      <w:r w:rsidRPr="00C113D6">
        <w:t>20</w:t>
      </w:r>
      <w:r>
        <w:t xml:space="preserve">20. </w:t>
      </w:r>
      <w:r w:rsidR="00AC70E6">
        <w:t>Two submissions were received</w:t>
      </w:r>
      <w:r w:rsidR="00036B3F">
        <w:t>,</w:t>
      </w:r>
      <w:r w:rsidR="00AC70E6">
        <w:t xml:space="preserve"> </w:t>
      </w:r>
      <w:r w:rsidR="00A22CE1">
        <w:t>both relating to</w:t>
      </w:r>
      <w:r w:rsidR="00AC70E6">
        <w:t xml:space="preserve"> </w:t>
      </w:r>
      <w:r w:rsidR="00A22CE1">
        <w:t xml:space="preserve">the importance of </w:t>
      </w:r>
      <w:r w:rsidR="00AC70E6">
        <w:t>authenticating a fish’s origins</w:t>
      </w:r>
      <w:r w:rsidR="00A22CE1">
        <w:t xml:space="preserve"> in terms of them coming from a legal operation compared to the black market</w:t>
      </w:r>
      <w:r w:rsidR="00AC70E6">
        <w:t xml:space="preserve">. </w:t>
      </w:r>
      <w:r w:rsidR="00AC70E6">
        <w:rPr>
          <w:rFonts w:cs="Arial"/>
        </w:rPr>
        <w:t xml:space="preserve">Both requested passive integrated transponder (PIT) tags remain a requirement for exported lungfish </w:t>
      </w:r>
      <w:r w:rsidR="00B0050A" w:rsidRPr="00B0050A">
        <w:rPr>
          <w:rFonts w:cs="Arial"/>
        </w:rPr>
        <w:t>as a way to verify legal source</w:t>
      </w:r>
      <w:r w:rsidR="00AC70E6">
        <w:rPr>
          <w:rFonts w:cs="Arial"/>
        </w:rPr>
        <w:t>.</w:t>
      </w:r>
      <w:r w:rsidR="00A22CE1">
        <w:rPr>
          <w:rFonts w:cs="Arial"/>
        </w:rPr>
        <w:t xml:space="preserve"> A PIT tag is a small radio transponder that contains a specific code </w:t>
      </w:r>
      <w:r w:rsidR="009803A5">
        <w:rPr>
          <w:rFonts w:cs="Arial"/>
        </w:rPr>
        <w:t>which allows individual fish to be assigned a unique identification number.</w:t>
      </w:r>
      <w:r w:rsidR="00A22CE1">
        <w:rPr>
          <w:rFonts w:cs="Arial"/>
        </w:rPr>
        <w:t xml:space="preserve"> </w:t>
      </w:r>
      <w:r w:rsidR="00351401">
        <w:rPr>
          <w:rFonts w:cs="Arial"/>
        </w:rPr>
        <w:t xml:space="preserve">A submission from the proponent, Jardini, </w:t>
      </w:r>
      <w:r w:rsidR="004C284B">
        <w:rPr>
          <w:rFonts w:cs="Arial"/>
        </w:rPr>
        <w:t xml:space="preserve">received </w:t>
      </w:r>
      <w:r w:rsidR="00351401">
        <w:rPr>
          <w:rFonts w:cs="Arial"/>
        </w:rPr>
        <w:t xml:space="preserve">after the public comment closing date was </w:t>
      </w:r>
      <w:r w:rsidR="004C284B">
        <w:rPr>
          <w:rFonts w:cs="Arial"/>
        </w:rPr>
        <w:t xml:space="preserve">accepted </w:t>
      </w:r>
      <w:r w:rsidR="00351401">
        <w:rPr>
          <w:rFonts w:cs="Arial"/>
        </w:rPr>
        <w:t xml:space="preserve">by the Department and provides contested commentary </w:t>
      </w:r>
      <w:r w:rsidR="004C284B">
        <w:rPr>
          <w:rFonts w:cs="Arial"/>
        </w:rPr>
        <w:t xml:space="preserve">claiming </w:t>
      </w:r>
      <w:r w:rsidR="00036B3F">
        <w:rPr>
          <w:rFonts w:cs="Arial"/>
        </w:rPr>
        <w:t>the</w:t>
      </w:r>
      <w:r w:rsidR="00B0050A">
        <w:rPr>
          <w:rFonts w:cs="Arial"/>
        </w:rPr>
        <w:t xml:space="preserve"> </w:t>
      </w:r>
      <w:r w:rsidR="00036B3F" w:rsidRPr="00036B3F">
        <w:rPr>
          <w:rFonts w:cs="Arial"/>
        </w:rPr>
        <w:t>Queensland Broodstock and Culture Stock Collection Policy</w:t>
      </w:r>
      <w:r w:rsidR="00036B3F">
        <w:rPr>
          <w:rFonts w:cs="Arial"/>
        </w:rPr>
        <w:t xml:space="preserve"> (2018)</w:t>
      </w:r>
      <w:r w:rsidR="00036B3F" w:rsidRPr="00036B3F">
        <w:rPr>
          <w:rFonts w:cs="Arial"/>
        </w:rPr>
        <w:t xml:space="preserve"> </w:t>
      </w:r>
      <w:r w:rsidR="00C27877">
        <w:rPr>
          <w:rFonts w:cs="Arial"/>
        </w:rPr>
        <w:t>requiring PIT tags on progeny prior to sale</w:t>
      </w:r>
      <w:r w:rsidR="00F1650C">
        <w:rPr>
          <w:rFonts w:cs="Arial"/>
        </w:rPr>
        <w:t xml:space="preserve"> </w:t>
      </w:r>
      <w:r w:rsidR="004C284B">
        <w:rPr>
          <w:rFonts w:cs="Arial"/>
        </w:rPr>
        <w:t xml:space="preserve">does not apply to </w:t>
      </w:r>
      <w:r w:rsidR="00391537">
        <w:rPr>
          <w:rFonts w:cs="Arial"/>
        </w:rPr>
        <w:t>the Jardini lungfish</w:t>
      </w:r>
      <w:r w:rsidR="00C27877">
        <w:rPr>
          <w:rFonts w:cs="Arial"/>
        </w:rPr>
        <w:t xml:space="preserve"> operation and is not applicable to live fish export. </w:t>
      </w:r>
      <w:r w:rsidR="00C27877" w:rsidRPr="00A053AD">
        <w:rPr>
          <w:rFonts w:cs="Arial"/>
        </w:rPr>
        <w:t xml:space="preserve">In its recommendation to </w:t>
      </w:r>
      <w:r w:rsidR="00B909F2">
        <w:rPr>
          <w:rFonts w:cs="Arial"/>
        </w:rPr>
        <w:t xml:space="preserve">continue with </w:t>
      </w:r>
      <w:r w:rsidR="00C27877" w:rsidRPr="00A053AD">
        <w:rPr>
          <w:rFonts w:cs="Arial"/>
        </w:rPr>
        <w:t xml:space="preserve">tagging the Department </w:t>
      </w:r>
      <w:r w:rsidR="00036B3F">
        <w:rPr>
          <w:rFonts w:cs="Arial"/>
        </w:rPr>
        <w:t>considered</w:t>
      </w:r>
      <w:r w:rsidR="00B909F2">
        <w:rPr>
          <w:rFonts w:cs="Arial"/>
        </w:rPr>
        <w:t xml:space="preserve"> </w:t>
      </w:r>
      <w:r w:rsidR="00036B3F">
        <w:rPr>
          <w:rFonts w:cs="Arial"/>
        </w:rPr>
        <w:t xml:space="preserve">the requirements of </w:t>
      </w:r>
      <w:r w:rsidR="00B909F2" w:rsidRPr="00A053AD">
        <w:rPr>
          <w:rFonts w:cs="Arial"/>
        </w:rPr>
        <w:t>Queensland’s tagging policy</w:t>
      </w:r>
      <w:r w:rsidR="00B909F2">
        <w:rPr>
          <w:rFonts w:cs="Arial"/>
        </w:rPr>
        <w:t>,</w:t>
      </w:r>
      <w:r w:rsidR="00C27877" w:rsidRPr="00A053AD">
        <w:rPr>
          <w:rFonts w:cs="Arial"/>
        </w:rPr>
        <w:t xml:space="preserve"> consistency with other </w:t>
      </w:r>
      <w:r w:rsidR="00036B3F">
        <w:rPr>
          <w:rFonts w:cs="Arial"/>
        </w:rPr>
        <w:t xml:space="preserve">approvals for </w:t>
      </w:r>
      <w:r w:rsidR="00C27877" w:rsidRPr="00A053AD">
        <w:rPr>
          <w:rFonts w:cs="Arial"/>
        </w:rPr>
        <w:t xml:space="preserve">lungfish </w:t>
      </w:r>
      <w:r w:rsidR="00036B3F">
        <w:rPr>
          <w:rFonts w:cs="Arial"/>
        </w:rPr>
        <w:lastRenderedPageBreak/>
        <w:t>programs under the EPBC Act, and that the</w:t>
      </w:r>
      <w:r w:rsidR="00C27877">
        <w:rPr>
          <w:rFonts w:cs="Arial"/>
          <w:b/>
          <w:bCs/>
        </w:rPr>
        <w:t xml:space="preserve"> </w:t>
      </w:r>
      <w:r w:rsidR="00036B3F" w:rsidRPr="00A053AD">
        <w:rPr>
          <w:rFonts w:cs="Arial"/>
        </w:rPr>
        <w:t xml:space="preserve">tagging </w:t>
      </w:r>
      <w:r w:rsidR="00036B3F">
        <w:rPr>
          <w:rFonts w:cs="Arial"/>
        </w:rPr>
        <w:t xml:space="preserve">of lungfish will </w:t>
      </w:r>
      <w:r w:rsidR="00036B3F" w:rsidRPr="00A053AD">
        <w:rPr>
          <w:rFonts w:cs="Arial"/>
        </w:rPr>
        <w:t>provid</w:t>
      </w:r>
      <w:r w:rsidR="00036B3F">
        <w:rPr>
          <w:rFonts w:cs="Arial"/>
        </w:rPr>
        <w:t>e evidence of a</w:t>
      </w:r>
      <w:r w:rsidR="00036B3F" w:rsidRPr="00A053AD">
        <w:rPr>
          <w:rFonts w:cs="Arial"/>
        </w:rPr>
        <w:t xml:space="preserve"> legal source and a </w:t>
      </w:r>
      <w:r w:rsidR="00036B3F">
        <w:rPr>
          <w:rFonts w:cs="Arial"/>
        </w:rPr>
        <w:t>mechanism to minimise</w:t>
      </w:r>
      <w:r w:rsidR="00036B3F" w:rsidRPr="00A053AD">
        <w:rPr>
          <w:rFonts w:cs="Arial"/>
        </w:rPr>
        <w:t xml:space="preserve"> illegal trade</w:t>
      </w:r>
      <w:r w:rsidR="00036B3F">
        <w:rPr>
          <w:rFonts w:cs="Arial"/>
        </w:rPr>
        <w:t>.</w:t>
      </w:r>
    </w:p>
    <w:p w14:paraId="101C1F05" w14:textId="31C29CE5" w:rsidR="00567592" w:rsidRPr="00FC4A66" w:rsidRDefault="000F32CA" w:rsidP="00567592">
      <w:pPr>
        <w:rPr>
          <w:rFonts w:cs="Arial"/>
          <w:noProof/>
        </w:rPr>
      </w:pPr>
      <w:r>
        <w:rPr>
          <w:rFonts w:cs="Arial"/>
          <w:noProof/>
        </w:rPr>
        <w:t>T</w:t>
      </w:r>
      <w:r w:rsidR="00567592" w:rsidRPr="00FC4A66">
        <w:rPr>
          <w:rFonts w:cs="Arial"/>
          <w:noProof/>
        </w:rPr>
        <w:t xml:space="preserve">he Department considers that a </w:t>
      </w:r>
      <w:r w:rsidR="00243812" w:rsidRPr="00FC4A66">
        <w:rPr>
          <w:rFonts w:cs="Arial"/>
          <w:noProof/>
        </w:rPr>
        <w:t>declaration of the proposal as an approved</w:t>
      </w:r>
      <w:r w:rsidR="00567592" w:rsidRPr="00FC4A66">
        <w:rPr>
          <w:rFonts w:cs="Arial"/>
          <w:noProof/>
        </w:rPr>
        <w:t xml:space="preserve"> </w:t>
      </w:r>
      <w:r>
        <w:rPr>
          <w:rFonts w:cs="Arial"/>
          <w:noProof/>
        </w:rPr>
        <w:t xml:space="preserve">existing stocks </w:t>
      </w:r>
      <w:r w:rsidR="006A225D">
        <w:rPr>
          <w:rFonts w:cs="Arial"/>
          <w:noProof/>
        </w:rPr>
        <w:t>wildlife trade operation</w:t>
      </w:r>
      <w:r w:rsidR="00C113D6">
        <w:rPr>
          <w:rFonts w:cs="Arial"/>
          <w:noProof/>
        </w:rPr>
        <w:t xml:space="preserve"> </w:t>
      </w:r>
      <w:r w:rsidR="00567592" w:rsidRPr="00FC4A66">
        <w:rPr>
          <w:rFonts w:cs="Arial"/>
          <w:noProof/>
        </w:rPr>
        <w:t xml:space="preserve">for three years, until </w:t>
      </w:r>
      <w:r w:rsidR="00F2443B">
        <w:rPr>
          <w:rFonts w:cs="Arial"/>
          <w:noProof/>
        </w:rPr>
        <w:t xml:space="preserve">23 </w:t>
      </w:r>
      <w:r w:rsidR="00026042">
        <w:rPr>
          <w:rFonts w:cs="Arial"/>
          <w:noProof/>
        </w:rPr>
        <w:t>April</w:t>
      </w:r>
      <w:r>
        <w:rPr>
          <w:rFonts w:cs="Arial"/>
          <w:noProof/>
        </w:rPr>
        <w:t xml:space="preserve"> </w:t>
      </w:r>
      <w:r w:rsidR="00C113D6">
        <w:rPr>
          <w:rFonts w:cs="Arial"/>
          <w:noProof/>
        </w:rPr>
        <w:t>202</w:t>
      </w:r>
      <w:r>
        <w:rPr>
          <w:rFonts w:cs="Arial"/>
          <w:noProof/>
        </w:rPr>
        <w:t>3</w:t>
      </w:r>
      <w:r w:rsidR="00567592" w:rsidRPr="00FC4A66">
        <w:rPr>
          <w:rFonts w:cs="Arial"/>
          <w:noProof/>
        </w:rPr>
        <w:t xml:space="preserve">, is appropriate. </w:t>
      </w:r>
    </w:p>
    <w:p w14:paraId="42635141" w14:textId="77777777" w:rsidR="00BC72A5" w:rsidRPr="00FC4A66" w:rsidRDefault="00BC72A5">
      <w:pPr>
        <w:spacing w:after="0" w:line="240" w:lineRule="auto"/>
        <w:rPr>
          <w:rFonts w:cs="Arial"/>
          <w:b/>
        </w:rPr>
        <w:sectPr w:rsidR="00BC72A5" w:rsidRPr="00FC4A66" w:rsidSect="00567592">
          <w:headerReference w:type="even" r:id="rId9"/>
          <w:headerReference w:type="default" r:id="rId10"/>
          <w:footerReference w:type="even" r:id="rId11"/>
          <w:footerReference w:type="default" r:id="rId12"/>
          <w:headerReference w:type="first" r:id="rId13"/>
          <w:footerReference w:type="first" r:id="rId14"/>
          <w:pgSz w:w="11906" w:h="16838"/>
          <w:pgMar w:top="1418" w:right="1276" w:bottom="567" w:left="1418" w:header="425" w:footer="425" w:gutter="0"/>
          <w:cols w:space="708"/>
          <w:titlePg/>
          <w:docGrid w:linePitch="360"/>
        </w:sectPr>
      </w:pPr>
    </w:p>
    <w:p w14:paraId="42635152" w14:textId="3C35B8B3" w:rsidR="00507F51" w:rsidRPr="00C9658A" w:rsidRDefault="00C95F71" w:rsidP="00567592">
      <w:pPr>
        <w:pStyle w:val="Heading2"/>
        <w:rPr>
          <w:sz w:val="24"/>
          <w:szCs w:val="24"/>
        </w:rPr>
      </w:pPr>
      <w:bookmarkStart w:id="4" w:name="_Toc38527435"/>
      <w:r w:rsidRPr="00C9658A">
        <w:rPr>
          <w:sz w:val="24"/>
          <w:szCs w:val="24"/>
        </w:rPr>
        <w:lastRenderedPageBreak/>
        <w:t xml:space="preserve">Section </w:t>
      </w:r>
      <w:r w:rsidR="00964BC5">
        <w:rPr>
          <w:sz w:val="24"/>
          <w:szCs w:val="24"/>
        </w:rPr>
        <w:t>1</w:t>
      </w:r>
      <w:r w:rsidR="009C1407" w:rsidRPr="00C9658A">
        <w:rPr>
          <w:sz w:val="24"/>
          <w:szCs w:val="24"/>
        </w:rPr>
        <w:t>:</w:t>
      </w:r>
      <w:r w:rsidRPr="00C9658A">
        <w:rPr>
          <w:sz w:val="24"/>
          <w:szCs w:val="24"/>
        </w:rPr>
        <w:t xml:space="preserve"> </w:t>
      </w:r>
      <w:r w:rsidR="003823C7" w:rsidRPr="00C9658A">
        <w:rPr>
          <w:sz w:val="24"/>
          <w:szCs w:val="24"/>
        </w:rPr>
        <w:t xml:space="preserve">Part 13A </w:t>
      </w:r>
      <w:r w:rsidR="003D1BD7" w:rsidRPr="00C9658A">
        <w:rPr>
          <w:sz w:val="24"/>
          <w:szCs w:val="24"/>
        </w:rPr>
        <w:t>A</w:t>
      </w:r>
      <w:r w:rsidRPr="00C9658A">
        <w:rPr>
          <w:sz w:val="24"/>
          <w:szCs w:val="24"/>
        </w:rPr>
        <w:t>ssessment</w:t>
      </w:r>
      <w:bookmarkEnd w:id="4"/>
    </w:p>
    <w:p w14:paraId="5D503B7E" w14:textId="75CE4692" w:rsidR="003D1BD7" w:rsidRPr="00964BC5" w:rsidRDefault="00964BC5" w:rsidP="003D1BD7">
      <w:pPr>
        <w:spacing w:before="120" w:after="0" w:line="240" w:lineRule="auto"/>
        <w:rPr>
          <w:rFonts w:cs="Arial"/>
          <w:b/>
        </w:rPr>
      </w:pPr>
      <w:r w:rsidRPr="00964BC5">
        <w:rPr>
          <w:rFonts w:cs="Arial"/>
          <w:b/>
        </w:rPr>
        <w:t>Operation history</w:t>
      </w:r>
    </w:p>
    <w:p w14:paraId="5D243DE9" w14:textId="4FC351B2" w:rsidR="00103386" w:rsidRDefault="00103386" w:rsidP="003D1BD7">
      <w:pPr>
        <w:spacing w:before="120" w:after="0" w:line="240" w:lineRule="auto"/>
        <w:rPr>
          <w:bCs/>
        </w:rPr>
      </w:pPr>
      <w:r w:rsidRPr="00172704">
        <w:rPr>
          <w:bCs/>
        </w:rPr>
        <w:t>1</w:t>
      </w:r>
      <w:r w:rsidRPr="00172704">
        <w:rPr>
          <w:bCs/>
          <w:vertAlign w:val="superscript"/>
        </w:rPr>
        <w:t>st</w:t>
      </w:r>
      <w:r w:rsidRPr="00172704">
        <w:rPr>
          <w:bCs/>
        </w:rPr>
        <w:t xml:space="preserve">  assessment (Small Scale and existing stocks Wildlife Trade Operations) finalised February 2017.</w:t>
      </w:r>
    </w:p>
    <w:p w14:paraId="13220830" w14:textId="560D33DC" w:rsidR="00103386" w:rsidRDefault="00103386" w:rsidP="003D1BD7">
      <w:pPr>
        <w:spacing w:before="120" w:after="0" w:line="240" w:lineRule="auto"/>
        <w:rPr>
          <w:bCs/>
        </w:rPr>
      </w:pPr>
    </w:p>
    <w:p w14:paraId="538B589A" w14:textId="7CF0E521" w:rsidR="00103386" w:rsidRPr="00964BC5" w:rsidRDefault="00103386" w:rsidP="00303111">
      <w:pPr>
        <w:spacing w:before="120" w:after="120" w:line="240" w:lineRule="auto"/>
        <w:rPr>
          <w:b/>
        </w:rPr>
      </w:pPr>
      <w:r w:rsidRPr="00964BC5">
        <w:rPr>
          <w:b/>
        </w:rPr>
        <w:t>Assessment Summary</w:t>
      </w:r>
    </w:p>
    <w:tbl>
      <w:tblPr>
        <w:tblStyle w:val="TableGrid"/>
        <w:tblW w:w="5000" w:type="pct"/>
        <w:tblLook w:val="04A0" w:firstRow="1" w:lastRow="0" w:firstColumn="1" w:lastColumn="0" w:noHBand="0" w:noVBand="1"/>
      </w:tblPr>
      <w:tblGrid>
        <w:gridCol w:w="1956"/>
        <w:gridCol w:w="1087"/>
        <w:gridCol w:w="1089"/>
        <w:gridCol w:w="1087"/>
        <w:gridCol w:w="9624"/>
      </w:tblGrid>
      <w:tr w:rsidR="00103386" w:rsidRPr="004B023E" w14:paraId="10B2F5A4" w14:textId="77777777" w:rsidTr="00E31F68">
        <w:trPr>
          <w:cnfStyle w:val="100000000000" w:firstRow="1" w:lastRow="0" w:firstColumn="0" w:lastColumn="0" w:oddVBand="0" w:evenVBand="0" w:oddHBand="0" w:evenHBand="0" w:firstRowFirstColumn="0" w:firstRowLastColumn="0" w:lastRowFirstColumn="0" w:lastRowLastColumn="0"/>
        </w:trPr>
        <w:tc>
          <w:tcPr>
            <w:tcW w:w="659" w:type="pct"/>
            <w:vAlign w:val="center"/>
          </w:tcPr>
          <w:p w14:paraId="13D4D3B4" w14:textId="77777777" w:rsidR="00103386" w:rsidRPr="00F30F9F" w:rsidRDefault="00103386" w:rsidP="00E31F68">
            <w:pPr>
              <w:spacing w:before="60" w:after="60" w:line="240" w:lineRule="auto"/>
              <w:rPr>
                <w:rFonts w:cs="Arial"/>
                <w:b/>
              </w:rPr>
            </w:pPr>
            <w:r w:rsidRPr="00F30F9F">
              <w:rPr>
                <w:rFonts w:cs="Arial"/>
                <w:b/>
              </w:rPr>
              <w:t>EPBC requirements</w:t>
            </w:r>
          </w:p>
        </w:tc>
        <w:tc>
          <w:tcPr>
            <w:tcW w:w="366" w:type="pct"/>
            <w:shd w:val="clear" w:color="auto" w:fill="92D050"/>
            <w:vAlign w:val="center"/>
          </w:tcPr>
          <w:p w14:paraId="66CA6373" w14:textId="77777777" w:rsidR="00103386" w:rsidRPr="00F30F9F" w:rsidRDefault="00103386" w:rsidP="00E31F68">
            <w:pPr>
              <w:spacing w:before="60" w:after="60" w:line="240" w:lineRule="auto"/>
              <w:rPr>
                <w:rFonts w:cs="Arial"/>
                <w:b/>
              </w:rPr>
            </w:pPr>
            <w:r w:rsidRPr="00F30F9F">
              <w:rPr>
                <w:rFonts w:cs="Arial"/>
                <w:b/>
              </w:rPr>
              <w:t>Meets</w:t>
            </w:r>
          </w:p>
        </w:tc>
        <w:tc>
          <w:tcPr>
            <w:tcW w:w="367" w:type="pct"/>
            <w:shd w:val="clear" w:color="auto" w:fill="FFC000"/>
            <w:vAlign w:val="center"/>
          </w:tcPr>
          <w:p w14:paraId="7D56226B" w14:textId="77777777" w:rsidR="00103386" w:rsidRPr="00F30F9F" w:rsidRDefault="00103386" w:rsidP="00E31F68">
            <w:pPr>
              <w:spacing w:before="60" w:after="60" w:line="240" w:lineRule="auto"/>
              <w:rPr>
                <w:rFonts w:cs="Arial"/>
                <w:b/>
              </w:rPr>
            </w:pPr>
            <w:r w:rsidRPr="00F30F9F">
              <w:rPr>
                <w:rFonts w:cs="Arial"/>
                <w:b/>
              </w:rPr>
              <w:t>Partially</w:t>
            </w:r>
            <w:r w:rsidRPr="00F30F9F">
              <w:rPr>
                <w:rFonts w:cs="Arial"/>
                <w:b/>
              </w:rPr>
              <w:br/>
              <w:t>meets</w:t>
            </w:r>
          </w:p>
        </w:tc>
        <w:tc>
          <w:tcPr>
            <w:tcW w:w="366" w:type="pct"/>
            <w:shd w:val="clear" w:color="auto" w:fill="FF0000"/>
            <w:vAlign w:val="center"/>
          </w:tcPr>
          <w:p w14:paraId="6C73556F" w14:textId="77777777" w:rsidR="00103386" w:rsidRPr="00F30F9F" w:rsidRDefault="00103386" w:rsidP="00E31F68">
            <w:pPr>
              <w:spacing w:before="60" w:after="60" w:line="240" w:lineRule="auto"/>
              <w:rPr>
                <w:rFonts w:cs="Arial"/>
                <w:b/>
              </w:rPr>
            </w:pPr>
            <w:r w:rsidRPr="00F30F9F">
              <w:rPr>
                <w:rFonts w:cs="Arial"/>
                <w:b/>
              </w:rPr>
              <w:t>Does not</w:t>
            </w:r>
            <w:r w:rsidRPr="00F30F9F">
              <w:rPr>
                <w:rFonts w:cs="Arial"/>
                <w:b/>
              </w:rPr>
              <w:br/>
              <w:t>meet</w:t>
            </w:r>
          </w:p>
        </w:tc>
        <w:tc>
          <w:tcPr>
            <w:tcW w:w="3241" w:type="pct"/>
            <w:vAlign w:val="center"/>
          </w:tcPr>
          <w:p w14:paraId="1FA17930" w14:textId="77777777" w:rsidR="00103386" w:rsidRPr="00F30F9F" w:rsidRDefault="00103386" w:rsidP="00E31F68">
            <w:pPr>
              <w:spacing w:before="60" w:after="60" w:line="240" w:lineRule="auto"/>
              <w:rPr>
                <w:rFonts w:cs="Arial"/>
                <w:b/>
              </w:rPr>
            </w:pPr>
            <w:r w:rsidRPr="00F30F9F">
              <w:rPr>
                <w:rFonts w:cs="Arial"/>
                <w:b/>
              </w:rPr>
              <w:t>Details</w:t>
            </w:r>
          </w:p>
        </w:tc>
      </w:tr>
      <w:tr w:rsidR="00103386" w:rsidRPr="004B023E" w14:paraId="55833126" w14:textId="77777777" w:rsidTr="00E31F68">
        <w:trPr>
          <w:cnfStyle w:val="000000100000" w:firstRow="0" w:lastRow="0" w:firstColumn="0" w:lastColumn="0" w:oddVBand="0" w:evenVBand="0" w:oddHBand="1" w:evenHBand="0" w:firstRowFirstColumn="0" w:firstRowLastColumn="0" w:lastRowFirstColumn="0" w:lastRowLastColumn="0"/>
        </w:trPr>
        <w:tc>
          <w:tcPr>
            <w:tcW w:w="659" w:type="pct"/>
            <w:vAlign w:val="center"/>
          </w:tcPr>
          <w:p w14:paraId="3C8647D4" w14:textId="77777777" w:rsidR="00103386" w:rsidRPr="00F30F9F" w:rsidRDefault="00103386" w:rsidP="00E31F68">
            <w:pPr>
              <w:spacing w:before="60" w:after="60" w:line="240" w:lineRule="auto"/>
              <w:ind w:left="426" w:hanging="426"/>
              <w:rPr>
                <w:rFonts w:cs="Arial"/>
              </w:rPr>
            </w:pPr>
            <w:r w:rsidRPr="00F30F9F">
              <w:rPr>
                <w:rFonts w:cs="Arial"/>
              </w:rPr>
              <w:t>Part 13A</w:t>
            </w:r>
          </w:p>
        </w:tc>
        <w:tc>
          <w:tcPr>
            <w:tcW w:w="366" w:type="pct"/>
            <w:shd w:val="clear" w:color="auto" w:fill="92D050"/>
            <w:vAlign w:val="center"/>
          </w:tcPr>
          <w:p w14:paraId="067E7326" w14:textId="77777777" w:rsidR="00103386" w:rsidRPr="00F30F9F" w:rsidRDefault="00103386" w:rsidP="00E31F68">
            <w:pPr>
              <w:spacing w:before="60" w:after="60" w:line="240" w:lineRule="auto"/>
              <w:rPr>
                <w:rFonts w:cs="Arial"/>
              </w:rPr>
            </w:pPr>
            <w:r w:rsidRPr="00F30F9F">
              <w:rPr>
                <w:rFonts w:cs="Arial"/>
              </w:rPr>
              <w:t>Meets</w:t>
            </w:r>
          </w:p>
        </w:tc>
        <w:tc>
          <w:tcPr>
            <w:tcW w:w="367" w:type="pct"/>
            <w:shd w:val="clear" w:color="auto" w:fill="auto"/>
            <w:vAlign w:val="center"/>
          </w:tcPr>
          <w:p w14:paraId="3C143832" w14:textId="77777777" w:rsidR="00103386" w:rsidRPr="00F30F9F" w:rsidRDefault="00103386" w:rsidP="00E31F68">
            <w:pPr>
              <w:spacing w:before="60" w:after="60" w:line="240" w:lineRule="auto"/>
              <w:rPr>
                <w:rFonts w:cs="Arial"/>
              </w:rPr>
            </w:pPr>
          </w:p>
        </w:tc>
        <w:tc>
          <w:tcPr>
            <w:tcW w:w="366" w:type="pct"/>
            <w:shd w:val="clear" w:color="auto" w:fill="auto"/>
            <w:vAlign w:val="center"/>
          </w:tcPr>
          <w:p w14:paraId="6EBCA343" w14:textId="77777777" w:rsidR="00103386" w:rsidRPr="00F30F9F" w:rsidRDefault="00103386" w:rsidP="00E31F68">
            <w:pPr>
              <w:spacing w:before="60" w:after="60" w:line="240" w:lineRule="auto"/>
              <w:rPr>
                <w:rFonts w:cs="Arial"/>
                <w:b/>
              </w:rPr>
            </w:pPr>
          </w:p>
        </w:tc>
        <w:tc>
          <w:tcPr>
            <w:tcW w:w="3241" w:type="pct"/>
            <w:vAlign w:val="center"/>
          </w:tcPr>
          <w:p w14:paraId="55D03E05" w14:textId="77777777" w:rsidR="00103386" w:rsidRPr="00F30F9F" w:rsidRDefault="00103386" w:rsidP="00E31F68">
            <w:pPr>
              <w:pStyle w:val="ListBullet"/>
              <w:numPr>
                <w:ilvl w:val="0"/>
                <w:numId w:val="0"/>
              </w:numPr>
            </w:pPr>
            <w:r w:rsidRPr="00F30F9F">
              <w:t xml:space="preserve">The operation is consistent with the Objects of Part 13A. </w:t>
            </w:r>
          </w:p>
          <w:p w14:paraId="30E8293F" w14:textId="69310897" w:rsidR="00103386" w:rsidRPr="00F30F9F" w:rsidRDefault="00103386" w:rsidP="00E31F68">
            <w:pPr>
              <w:pStyle w:val="ListBullet"/>
              <w:numPr>
                <w:ilvl w:val="0"/>
                <w:numId w:val="0"/>
              </w:numPr>
              <w:rPr>
                <w:bCs/>
                <w:i/>
                <w:iCs/>
                <w:color w:val="808080" w:themeColor="background1" w:themeShade="80"/>
              </w:rPr>
            </w:pPr>
            <w:r w:rsidRPr="00F30F9F">
              <w:t xml:space="preserve">Declaration of the wildlife trade operation is recommended for three years, until </w:t>
            </w:r>
            <w:r w:rsidRPr="00F30F9F">
              <w:rPr>
                <w:rFonts w:cs="Arial"/>
                <w:noProof/>
              </w:rPr>
              <w:t>March 2023</w:t>
            </w:r>
            <w:r w:rsidRPr="00F30F9F">
              <w:t xml:space="preserve">, subject to conditions detailed in Section </w:t>
            </w:r>
            <w:r w:rsidR="001B57D4">
              <w:t>2</w:t>
            </w:r>
            <w:r w:rsidRPr="00F30F9F">
              <w:t xml:space="preserve"> of this report.</w:t>
            </w:r>
          </w:p>
        </w:tc>
      </w:tr>
    </w:tbl>
    <w:p w14:paraId="302FE85F" w14:textId="77777777" w:rsidR="00036B3F" w:rsidRDefault="00036B3F" w:rsidP="00303111">
      <w:pPr>
        <w:spacing w:before="120" w:after="120" w:line="240" w:lineRule="auto"/>
        <w:rPr>
          <w:b/>
        </w:rPr>
      </w:pPr>
    </w:p>
    <w:p w14:paraId="42A210D2" w14:textId="77777777" w:rsidR="00036B3F" w:rsidRDefault="00036B3F">
      <w:pPr>
        <w:spacing w:after="0" w:line="240" w:lineRule="auto"/>
        <w:rPr>
          <w:b/>
        </w:rPr>
      </w:pPr>
      <w:r>
        <w:rPr>
          <w:b/>
        </w:rPr>
        <w:br w:type="page"/>
      </w:r>
    </w:p>
    <w:p w14:paraId="40931A20" w14:textId="38F24DDE" w:rsidR="00103386" w:rsidRPr="00303111" w:rsidRDefault="00303111" w:rsidP="00303111">
      <w:pPr>
        <w:spacing w:before="120" w:after="120" w:line="240" w:lineRule="auto"/>
        <w:rPr>
          <w:b/>
        </w:rPr>
      </w:pPr>
      <w:r w:rsidRPr="00303111">
        <w:rPr>
          <w:b/>
        </w:rPr>
        <w:lastRenderedPageBreak/>
        <w:t>Assessment</w:t>
      </w:r>
    </w:p>
    <w:tbl>
      <w:tblPr>
        <w:tblStyle w:val="TableGrid12"/>
        <w:tblW w:w="5000" w:type="pct"/>
        <w:tblLook w:val="04A0" w:firstRow="1" w:lastRow="0" w:firstColumn="1" w:lastColumn="0" w:noHBand="0" w:noVBand="1"/>
      </w:tblPr>
      <w:tblGrid>
        <w:gridCol w:w="4690"/>
        <w:gridCol w:w="10153"/>
      </w:tblGrid>
      <w:tr w:rsidR="00CC4C93" w:rsidRPr="004B023E" w14:paraId="346727C1" w14:textId="5A3C035C" w:rsidTr="002210B3">
        <w:trPr>
          <w:cnfStyle w:val="100000000000" w:firstRow="1" w:lastRow="0" w:firstColumn="0" w:lastColumn="0" w:oddVBand="0" w:evenVBand="0" w:oddHBand="0" w:evenHBand="0" w:firstRowFirstColumn="0" w:firstRowLastColumn="0" w:lastRowFirstColumn="0" w:lastRowLastColumn="0"/>
          <w:cantSplit/>
        </w:trPr>
        <w:tc>
          <w:tcPr>
            <w:tcW w:w="5000" w:type="pct"/>
            <w:gridSpan w:val="2"/>
            <w:tcBorders>
              <w:bottom w:val="single" w:sz="4" w:space="0" w:color="auto"/>
            </w:tcBorders>
            <w:shd w:val="clear" w:color="auto" w:fill="D9D9D9" w:themeFill="background1" w:themeFillShade="D9"/>
            <w:vAlign w:val="center"/>
          </w:tcPr>
          <w:p w14:paraId="4B59D04A" w14:textId="4FA3AAB2" w:rsidR="00CC4C93" w:rsidRPr="00F30F9F" w:rsidRDefault="00CC4C93" w:rsidP="002210B3">
            <w:pPr>
              <w:spacing w:after="120"/>
              <w:rPr>
                <w:rFonts w:cs="Arial"/>
                <w:b/>
                <w:bCs/>
                <w:noProof/>
              </w:rPr>
            </w:pPr>
            <w:r w:rsidRPr="00F30F9F">
              <w:rPr>
                <w:rFonts w:cs="Arial"/>
                <w:b/>
                <w:bCs/>
                <w:noProof/>
              </w:rPr>
              <w:t>Section 303BA Objects of Part 13A</w:t>
            </w:r>
          </w:p>
        </w:tc>
      </w:tr>
      <w:tr w:rsidR="003752ED" w:rsidRPr="00F30F9F" w14:paraId="12CEDD55" w14:textId="77777777" w:rsidTr="00E31F68">
        <w:trPr>
          <w:cnfStyle w:val="000000100000" w:firstRow="0" w:lastRow="0" w:firstColumn="0" w:lastColumn="0" w:oddVBand="0" w:evenVBand="0" w:oddHBand="1" w:evenHBand="0" w:firstRowFirstColumn="0" w:firstRowLastColumn="0" w:lastRowFirstColumn="0" w:lastRowLastColumn="0"/>
          <w:cantSplit/>
          <w:trHeight w:val="3971"/>
        </w:trPr>
        <w:tc>
          <w:tcPr>
            <w:tcW w:w="1580" w:type="pct"/>
            <w:vMerge w:val="restart"/>
            <w:tcBorders>
              <w:bottom w:val="single" w:sz="4" w:space="0" w:color="auto"/>
              <w:right w:val="single" w:sz="4" w:space="0" w:color="auto"/>
            </w:tcBorders>
          </w:tcPr>
          <w:p w14:paraId="57539DEA" w14:textId="77777777" w:rsidR="003752ED" w:rsidRDefault="003752ED" w:rsidP="002210B3">
            <w:pPr>
              <w:tabs>
                <w:tab w:val="num" w:pos="360"/>
              </w:tabs>
              <w:spacing w:after="120"/>
              <w:ind w:left="720" w:hanging="720"/>
              <w:rPr>
                <w:rFonts w:cs="Arial"/>
                <w:noProof/>
                <w:lang w:val="en-GB"/>
              </w:rPr>
            </w:pPr>
            <w:r w:rsidRPr="002F1909">
              <w:rPr>
                <w:rFonts w:cs="Arial"/>
                <w:noProof/>
                <w:lang w:val="en-GB"/>
              </w:rPr>
              <w:t>(1)</w:t>
            </w:r>
            <w:r w:rsidRPr="002F1909">
              <w:rPr>
                <w:rFonts w:cs="Arial"/>
                <w:noProof/>
                <w:lang w:val="en-GB"/>
              </w:rPr>
              <w:tab/>
              <w:t>The objects of this Part are as follows:</w:t>
            </w:r>
            <w:r>
              <w:rPr>
                <w:rFonts w:cs="Arial"/>
                <w:noProof/>
                <w:lang w:val="en-GB"/>
              </w:rPr>
              <w:br/>
            </w:r>
          </w:p>
          <w:p w14:paraId="3DDDF81E" w14:textId="37688648" w:rsidR="003752ED" w:rsidRDefault="003752ED" w:rsidP="002210B3">
            <w:pPr>
              <w:tabs>
                <w:tab w:val="left" w:pos="360"/>
                <w:tab w:val="num" w:pos="1080"/>
              </w:tabs>
              <w:spacing w:after="120"/>
              <w:ind w:left="1077" w:hanging="720"/>
              <w:rPr>
                <w:rFonts w:cs="Arial"/>
                <w:noProof/>
                <w:lang w:val="en-GB"/>
              </w:rPr>
            </w:pPr>
            <w:r w:rsidRPr="002B3A45">
              <w:rPr>
                <w:rFonts w:cs="Arial"/>
                <w:noProof/>
                <w:lang w:val="en-GB"/>
              </w:rPr>
              <w:t>(a)</w:t>
            </w:r>
            <w:r w:rsidRPr="002B3A45">
              <w:rPr>
                <w:rFonts w:cs="Arial"/>
                <w:noProof/>
                <w:lang w:val="en-GB"/>
              </w:rPr>
              <w:tab/>
              <w:t>to ensure that Australia complies with its obligations under CITES and the Biodiversity Convention;</w:t>
            </w:r>
          </w:p>
          <w:p w14:paraId="3FF4366C" w14:textId="16D8A4E7" w:rsidR="003752ED" w:rsidRDefault="003752ED" w:rsidP="002210B3">
            <w:pPr>
              <w:tabs>
                <w:tab w:val="left" w:pos="360"/>
                <w:tab w:val="num" w:pos="1080"/>
              </w:tabs>
              <w:spacing w:after="120"/>
              <w:ind w:left="1077" w:hanging="720"/>
              <w:rPr>
                <w:rFonts w:cs="Arial"/>
                <w:noProof/>
                <w:lang w:val="en-GB"/>
              </w:rPr>
            </w:pPr>
          </w:p>
          <w:p w14:paraId="103AF954" w14:textId="1D241781" w:rsidR="003752ED" w:rsidRDefault="003752ED" w:rsidP="002210B3">
            <w:pPr>
              <w:tabs>
                <w:tab w:val="left" w:pos="360"/>
                <w:tab w:val="num" w:pos="1080"/>
              </w:tabs>
              <w:spacing w:after="120"/>
              <w:ind w:left="1077" w:hanging="720"/>
              <w:rPr>
                <w:rFonts w:cs="Arial"/>
                <w:noProof/>
                <w:lang w:val="en-GB"/>
              </w:rPr>
            </w:pPr>
          </w:p>
          <w:p w14:paraId="0CA66A16" w14:textId="674086A3" w:rsidR="005C6EDD" w:rsidRDefault="005C6EDD" w:rsidP="002210B3">
            <w:pPr>
              <w:tabs>
                <w:tab w:val="left" w:pos="360"/>
                <w:tab w:val="num" w:pos="1080"/>
              </w:tabs>
              <w:spacing w:after="120"/>
              <w:ind w:left="1077" w:hanging="720"/>
              <w:rPr>
                <w:rFonts w:cs="Arial"/>
                <w:noProof/>
                <w:lang w:val="en-GB"/>
              </w:rPr>
            </w:pPr>
          </w:p>
          <w:p w14:paraId="43F34117" w14:textId="14E80A12" w:rsidR="003752ED" w:rsidRDefault="002922A2" w:rsidP="002210B3">
            <w:pPr>
              <w:tabs>
                <w:tab w:val="left" w:pos="360"/>
                <w:tab w:val="num" w:pos="1080"/>
              </w:tabs>
              <w:spacing w:after="120"/>
              <w:ind w:left="1077" w:hanging="720"/>
              <w:rPr>
                <w:rFonts w:cs="Arial"/>
                <w:noProof/>
                <w:lang w:val="en-GB"/>
              </w:rPr>
            </w:pPr>
            <w:r>
              <w:rPr>
                <w:rFonts w:cs="Arial"/>
                <w:noProof/>
                <w:lang w:val="en-GB"/>
              </w:rPr>
              <w:br/>
            </w:r>
          </w:p>
          <w:p w14:paraId="07847623" w14:textId="77777777" w:rsidR="003752ED" w:rsidRPr="002B3A45" w:rsidRDefault="003752ED" w:rsidP="002922A2">
            <w:pPr>
              <w:tabs>
                <w:tab w:val="left" w:pos="360"/>
                <w:tab w:val="num" w:pos="1080"/>
              </w:tabs>
              <w:spacing w:before="360" w:after="120"/>
              <w:ind w:left="1077" w:hanging="720"/>
              <w:rPr>
                <w:rFonts w:cs="Arial"/>
                <w:noProof/>
                <w:lang w:val="en-GB"/>
              </w:rPr>
            </w:pPr>
            <w:r w:rsidRPr="002B3A45">
              <w:rPr>
                <w:rFonts w:cs="Arial"/>
                <w:noProof/>
                <w:lang w:val="en-GB"/>
              </w:rPr>
              <w:t>(b)</w:t>
            </w:r>
            <w:r w:rsidRPr="002B3A45">
              <w:rPr>
                <w:rFonts w:cs="Arial"/>
                <w:noProof/>
                <w:lang w:val="en-GB"/>
              </w:rPr>
              <w:tab/>
              <w:t>to protect wildlife that may be adversely affected by trade;</w:t>
            </w:r>
          </w:p>
          <w:p w14:paraId="7FB4CB04" w14:textId="7B39DDF1" w:rsidR="003752ED" w:rsidRPr="002B3A45" w:rsidRDefault="003752ED" w:rsidP="002210B3">
            <w:pPr>
              <w:tabs>
                <w:tab w:val="left" w:pos="360"/>
                <w:tab w:val="num" w:pos="1080"/>
              </w:tabs>
              <w:spacing w:after="120"/>
              <w:ind w:left="1077" w:hanging="720"/>
              <w:rPr>
                <w:rFonts w:cs="Arial"/>
                <w:noProof/>
                <w:lang w:val="en-GB"/>
              </w:rPr>
            </w:pPr>
            <w:r w:rsidRPr="002B3A45">
              <w:rPr>
                <w:rFonts w:cs="Arial"/>
                <w:noProof/>
                <w:lang w:val="en-GB"/>
              </w:rPr>
              <w:t>(c)</w:t>
            </w:r>
            <w:r w:rsidRPr="002B3A45">
              <w:rPr>
                <w:rFonts w:cs="Arial"/>
                <w:noProof/>
                <w:lang w:val="en-GB"/>
              </w:rPr>
              <w:tab/>
              <w:t>to promote the conservation of biodiversity in Australia and other countries;</w:t>
            </w:r>
            <w:r>
              <w:rPr>
                <w:rFonts w:cs="Arial"/>
                <w:noProof/>
                <w:lang w:val="en-GB"/>
              </w:rPr>
              <w:br/>
            </w:r>
          </w:p>
          <w:p w14:paraId="55DD6265" w14:textId="6ED71EB7" w:rsidR="003752ED" w:rsidRDefault="003752ED" w:rsidP="002210B3">
            <w:pPr>
              <w:tabs>
                <w:tab w:val="left" w:pos="360"/>
                <w:tab w:val="num" w:pos="1080"/>
              </w:tabs>
              <w:spacing w:after="120"/>
              <w:ind w:left="1077" w:hanging="720"/>
              <w:rPr>
                <w:rFonts w:cs="Arial"/>
                <w:noProof/>
                <w:lang w:val="en-GB"/>
              </w:rPr>
            </w:pPr>
            <w:r w:rsidRPr="002B3A45">
              <w:rPr>
                <w:rFonts w:cs="Arial"/>
                <w:noProof/>
                <w:lang w:val="en-GB"/>
              </w:rPr>
              <w:t>(d)</w:t>
            </w:r>
            <w:r w:rsidRPr="002B3A45">
              <w:rPr>
                <w:rFonts w:cs="Arial"/>
                <w:noProof/>
                <w:lang w:val="en-GB"/>
              </w:rPr>
              <w:tab/>
              <w:t>to ensure that any commercial utilisation of Australian native wildlife for the purposes of export is managed in an ecologically sustainable way;</w:t>
            </w:r>
          </w:p>
          <w:p w14:paraId="4DC23456" w14:textId="2E5EA9C6" w:rsidR="003752ED" w:rsidRDefault="003752ED" w:rsidP="002210B3">
            <w:pPr>
              <w:tabs>
                <w:tab w:val="left" w:pos="360"/>
                <w:tab w:val="num" w:pos="1080"/>
              </w:tabs>
              <w:spacing w:after="120"/>
              <w:ind w:left="1077" w:hanging="720"/>
              <w:rPr>
                <w:rFonts w:cs="Arial"/>
                <w:noProof/>
                <w:lang w:val="en-GB"/>
              </w:rPr>
            </w:pPr>
          </w:p>
          <w:p w14:paraId="0550EF17" w14:textId="20CCA8E7" w:rsidR="003752ED" w:rsidRDefault="003752ED" w:rsidP="002210B3">
            <w:pPr>
              <w:tabs>
                <w:tab w:val="left" w:pos="360"/>
                <w:tab w:val="num" w:pos="1080"/>
              </w:tabs>
              <w:spacing w:after="120"/>
              <w:ind w:left="1077" w:hanging="720"/>
              <w:rPr>
                <w:rFonts w:cs="Arial"/>
                <w:noProof/>
                <w:lang w:val="en-GB"/>
              </w:rPr>
            </w:pPr>
          </w:p>
        </w:tc>
        <w:tc>
          <w:tcPr>
            <w:tcW w:w="3420" w:type="pct"/>
            <w:tcBorders>
              <w:left w:val="single" w:sz="4" w:space="0" w:color="auto"/>
              <w:bottom w:val="single" w:sz="4" w:space="0" w:color="auto"/>
            </w:tcBorders>
            <w:shd w:val="clear" w:color="auto" w:fill="92D050"/>
          </w:tcPr>
          <w:p w14:paraId="3AD4095B" w14:textId="77777777" w:rsidR="003752ED" w:rsidRPr="00172704" w:rsidRDefault="003752ED" w:rsidP="002210B3">
            <w:pPr>
              <w:tabs>
                <w:tab w:val="num" w:pos="360"/>
              </w:tabs>
              <w:spacing w:after="120"/>
              <w:ind w:left="720" w:hanging="720"/>
              <w:rPr>
                <w:rFonts w:cs="Arial"/>
                <w:b/>
                <w:bCs/>
                <w:noProof/>
                <w:lang w:val="en-GB"/>
              </w:rPr>
            </w:pPr>
            <w:r w:rsidRPr="00172704">
              <w:rPr>
                <w:rFonts w:cs="Arial"/>
                <w:b/>
                <w:bCs/>
                <w:noProof/>
                <w:lang w:val="en-GB"/>
              </w:rPr>
              <w:t>Meets</w:t>
            </w:r>
            <w:r w:rsidRPr="00743C34">
              <w:rPr>
                <w:b/>
              </w:rPr>
              <w:t xml:space="preserve"> –</w:t>
            </w:r>
            <w:r>
              <w:rPr>
                <w:b/>
              </w:rPr>
              <w:t xml:space="preserve"> </w:t>
            </w:r>
            <w:r w:rsidRPr="00743C34">
              <w:rPr>
                <w:b/>
              </w:rPr>
              <w:t>the fishery meets the objects of the Part 13A of the EPBC Act</w:t>
            </w:r>
          </w:p>
          <w:p w14:paraId="7C33F19E" w14:textId="77777777" w:rsidR="002F2A5E" w:rsidRDefault="003752ED" w:rsidP="002922A2">
            <w:pPr>
              <w:tabs>
                <w:tab w:val="left" w:pos="360"/>
              </w:tabs>
              <w:spacing w:after="120"/>
              <w:rPr>
                <w:rFonts w:cs="Arial"/>
                <w:noProof/>
                <w:lang w:val="en-GB"/>
              </w:rPr>
            </w:pPr>
            <w:r>
              <w:rPr>
                <w:rFonts w:cs="Arial"/>
                <w:noProof/>
                <w:lang w:val="en-GB"/>
              </w:rPr>
              <w:br/>
              <w:t>Australian lungfish are a CITES II listed species. A</w:t>
            </w:r>
            <w:r w:rsidR="002F2A5E">
              <w:rPr>
                <w:rFonts w:cs="Arial"/>
                <w:noProof/>
                <w:lang w:val="en-GB"/>
              </w:rPr>
              <w:t xml:space="preserve">n </w:t>
            </w:r>
            <w:r w:rsidR="002F2A5E" w:rsidRPr="002D14DF">
              <w:rPr>
                <w:rFonts w:cs="Arial"/>
                <w:lang w:eastAsia="en-AU"/>
              </w:rPr>
              <w:t>approval</w:t>
            </w:r>
            <w:r w:rsidRPr="002D14DF">
              <w:rPr>
                <w:rFonts w:cs="Arial"/>
                <w:lang w:eastAsia="en-AU"/>
              </w:rPr>
              <w:t xml:space="preserve"> </w:t>
            </w:r>
            <w:r>
              <w:rPr>
                <w:rFonts w:cs="Arial"/>
                <w:lang w:eastAsia="en-AU"/>
              </w:rPr>
              <w:t xml:space="preserve">of the fish breeding operation </w:t>
            </w:r>
            <w:r w:rsidRPr="002D14DF">
              <w:rPr>
                <w:rFonts w:cs="Arial"/>
                <w:lang w:eastAsia="en-AU"/>
              </w:rPr>
              <w:t>as a</w:t>
            </w:r>
            <w:r>
              <w:rPr>
                <w:rFonts w:cs="Arial"/>
                <w:lang w:eastAsia="en-AU"/>
              </w:rPr>
              <w:t xml:space="preserve"> WTO </w:t>
            </w:r>
            <w:r w:rsidRPr="002D14DF">
              <w:rPr>
                <w:rFonts w:cs="Arial"/>
                <w:lang w:eastAsia="en-AU"/>
              </w:rPr>
              <w:t>satisf</w:t>
            </w:r>
            <w:r>
              <w:rPr>
                <w:rFonts w:cs="Arial"/>
                <w:lang w:eastAsia="en-AU"/>
              </w:rPr>
              <w:t>ies</w:t>
            </w:r>
            <w:r w:rsidRPr="002D14DF">
              <w:rPr>
                <w:rFonts w:cs="Arial"/>
                <w:lang w:eastAsia="en-AU"/>
              </w:rPr>
              <w:t xml:space="preserve"> </w:t>
            </w:r>
            <w:r>
              <w:rPr>
                <w:rFonts w:cs="Arial"/>
                <w:lang w:eastAsia="en-AU"/>
              </w:rPr>
              <w:t xml:space="preserve">CITES </w:t>
            </w:r>
            <w:r w:rsidRPr="002D14DF">
              <w:rPr>
                <w:rFonts w:cs="Arial"/>
                <w:lang w:eastAsia="en-AU"/>
              </w:rPr>
              <w:t>requirement</w:t>
            </w:r>
            <w:r>
              <w:rPr>
                <w:rFonts w:cs="Arial"/>
                <w:lang w:eastAsia="en-AU"/>
              </w:rPr>
              <w:t>s</w:t>
            </w:r>
            <w:r w:rsidRPr="002D14DF">
              <w:rPr>
                <w:rFonts w:cs="Arial"/>
                <w:lang w:eastAsia="en-AU"/>
              </w:rPr>
              <w:t xml:space="preserve"> for export of a</w:t>
            </w:r>
            <w:r>
              <w:rPr>
                <w:rFonts w:cs="Arial"/>
                <w:lang w:eastAsia="en-AU"/>
              </w:rPr>
              <w:t xml:space="preserve"> CITES II listed species. </w:t>
            </w:r>
            <w:r w:rsidRPr="002B3A45">
              <w:rPr>
                <w:rFonts w:cs="Arial"/>
                <w:noProof/>
                <w:lang w:val="en-GB"/>
              </w:rPr>
              <w:t xml:space="preserve">The </w:t>
            </w:r>
            <w:r>
              <w:rPr>
                <w:rFonts w:cs="Arial"/>
                <w:noProof/>
                <w:lang w:val="en-GB"/>
              </w:rPr>
              <w:t xml:space="preserve">breeding of lungfish in an aquaculture facility </w:t>
            </w:r>
            <w:r w:rsidRPr="002B3A45">
              <w:rPr>
                <w:rFonts w:cs="Arial"/>
                <w:noProof/>
                <w:lang w:val="en-GB"/>
              </w:rPr>
              <w:t xml:space="preserve">is consistent with Australia’s obligations under the Convention on Biological Diversity. </w:t>
            </w:r>
          </w:p>
          <w:p w14:paraId="0CF0F40A" w14:textId="47A4112E" w:rsidR="003752ED" w:rsidRPr="00172704" w:rsidRDefault="003752ED" w:rsidP="002922A2">
            <w:pPr>
              <w:tabs>
                <w:tab w:val="left" w:pos="360"/>
              </w:tabs>
              <w:spacing w:after="120"/>
              <w:rPr>
                <w:rFonts w:cs="Arial"/>
                <w:b/>
                <w:bCs/>
                <w:noProof/>
                <w:lang w:val="en-GB"/>
              </w:rPr>
            </w:pPr>
            <w:r>
              <w:rPr>
                <w:rFonts w:cs="Arial"/>
                <w:noProof/>
                <w:lang w:val="en-GB"/>
              </w:rPr>
              <w:t xml:space="preserve">Australian lungfish are </w:t>
            </w:r>
            <w:r w:rsidRPr="002D14DF">
              <w:rPr>
                <w:rFonts w:cs="Arial"/>
                <w:lang w:eastAsia="en-AU"/>
              </w:rPr>
              <w:t xml:space="preserve">an EPBC Act </w:t>
            </w:r>
            <w:r>
              <w:rPr>
                <w:rFonts w:cs="Arial"/>
                <w:lang w:eastAsia="en-AU"/>
              </w:rPr>
              <w:t xml:space="preserve">listed </w:t>
            </w:r>
            <w:r w:rsidRPr="002D14DF">
              <w:rPr>
                <w:rFonts w:cs="Arial"/>
                <w:lang w:eastAsia="en-AU"/>
              </w:rPr>
              <w:t>threatened species</w:t>
            </w:r>
            <w:r>
              <w:rPr>
                <w:rFonts w:cs="Arial"/>
                <w:lang w:eastAsia="en-AU"/>
              </w:rPr>
              <w:t xml:space="preserve"> and an approved aquaculture program is required for overseas trade in the species. The aquaculture program requires an operator to be licenced and have the necessary approvals for operation. </w:t>
            </w:r>
            <w:r w:rsidR="00494A67">
              <w:rPr>
                <w:rFonts w:cs="Arial"/>
                <w:lang w:eastAsia="en-AU"/>
              </w:rPr>
              <w:t>T</w:t>
            </w:r>
            <w:r>
              <w:rPr>
                <w:rFonts w:cs="Arial"/>
                <w:lang w:eastAsia="en-AU"/>
              </w:rPr>
              <w:t xml:space="preserve">he proponent has </w:t>
            </w:r>
            <w:r w:rsidR="00494A67">
              <w:rPr>
                <w:rFonts w:cs="Arial"/>
                <w:lang w:eastAsia="en-AU"/>
              </w:rPr>
              <w:t xml:space="preserve">a Development Approval </w:t>
            </w:r>
            <w:r w:rsidR="007821F8">
              <w:rPr>
                <w:rFonts w:cs="Arial"/>
                <w:lang w:eastAsia="en-AU"/>
              </w:rPr>
              <w:t xml:space="preserve">(DA) </w:t>
            </w:r>
            <w:r w:rsidR="00494A67">
              <w:rPr>
                <w:rFonts w:cs="Arial"/>
                <w:lang w:eastAsia="en-AU"/>
              </w:rPr>
              <w:t xml:space="preserve">and a General Fisheries permit </w:t>
            </w:r>
            <w:r w:rsidR="002922A2">
              <w:rPr>
                <w:rFonts w:cs="Arial"/>
                <w:lang w:eastAsia="en-AU"/>
              </w:rPr>
              <w:t xml:space="preserve">from the Queensland Department of Agriculture and Fisheries for the aquaculture facility and </w:t>
            </w:r>
            <w:r w:rsidR="00494A67">
              <w:rPr>
                <w:rFonts w:cs="Arial"/>
                <w:lang w:eastAsia="en-AU"/>
              </w:rPr>
              <w:t xml:space="preserve">to collect the original batch of broodstock. </w:t>
            </w:r>
            <w:r w:rsidR="002922A2">
              <w:rPr>
                <w:rFonts w:cs="Arial"/>
              </w:rPr>
              <w:t>The aquaculture program was approved by William Quinn, Director of Wild Trade Assessments Section on 23 April 2020.</w:t>
            </w:r>
            <w:r w:rsidR="002922A2">
              <w:rPr>
                <w:rFonts w:cs="Arial"/>
              </w:rPr>
              <w:br/>
            </w:r>
            <w:r>
              <w:rPr>
                <w:rFonts w:cs="Arial"/>
                <w:lang w:eastAsia="en-AU"/>
              </w:rPr>
              <w:br/>
              <w:t xml:space="preserve">The above measures </w:t>
            </w:r>
            <w:r>
              <w:rPr>
                <w:rFonts w:cs="Arial"/>
                <w:noProof/>
                <w:lang w:val="en-GB"/>
              </w:rPr>
              <w:t>are there</w:t>
            </w:r>
            <w:r w:rsidRPr="00413887">
              <w:rPr>
                <w:rFonts w:cs="Arial"/>
                <w:noProof/>
                <w:lang w:val="en-GB"/>
              </w:rPr>
              <w:t xml:space="preserve"> to protect wildlife that may be adversely affected by </w:t>
            </w:r>
            <w:r>
              <w:rPr>
                <w:rFonts w:cs="Arial"/>
                <w:noProof/>
                <w:lang w:val="en-GB"/>
              </w:rPr>
              <w:t>unregulated collection</w:t>
            </w:r>
            <w:r w:rsidRPr="00413887">
              <w:rPr>
                <w:rFonts w:cs="Arial"/>
                <w:noProof/>
                <w:lang w:val="en-GB"/>
              </w:rPr>
              <w:t xml:space="preserve"> and trade.</w:t>
            </w:r>
            <w:r>
              <w:rPr>
                <w:rFonts w:cs="Arial"/>
                <w:noProof/>
                <w:lang w:val="en-GB"/>
              </w:rPr>
              <w:t xml:space="preserve"> </w:t>
            </w:r>
          </w:p>
        </w:tc>
      </w:tr>
      <w:tr w:rsidR="003752ED" w:rsidRPr="00F30F9F" w14:paraId="49421154" w14:textId="77777777" w:rsidTr="00E31F68">
        <w:trPr>
          <w:cnfStyle w:val="000000010000" w:firstRow="0" w:lastRow="0" w:firstColumn="0" w:lastColumn="0" w:oddVBand="0" w:evenVBand="0" w:oddHBand="0" w:evenHBand="1" w:firstRowFirstColumn="0" w:firstRowLastColumn="0" w:lastRowFirstColumn="0" w:lastRowLastColumn="0"/>
          <w:cantSplit/>
          <w:trHeight w:val="3301"/>
        </w:trPr>
        <w:tc>
          <w:tcPr>
            <w:tcW w:w="1580" w:type="pct"/>
            <w:vMerge/>
            <w:tcBorders>
              <w:bottom w:val="single" w:sz="4" w:space="0" w:color="auto"/>
              <w:right w:val="single" w:sz="4" w:space="0" w:color="auto"/>
            </w:tcBorders>
          </w:tcPr>
          <w:p w14:paraId="5ECFF86C" w14:textId="44AE6C07" w:rsidR="003752ED" w:rsidRPr="002B3A45" w:rsidRDefault="003752ED" w:rsidP="002210B3">
            <w:pPr>
              <w:tabs>
                <w:tab w:val="left" w:pos="360"/>
                <w:tab w:val="num" w:pos="1080"/>
              </w:tabs>
              <w:spacing w:after="120"/>
              <w:ind w:left="1077" w:hanging="720"/>
              <w:rPr>
                <w:rFonts w:cs="Arial"/>
                <w:noProof/>
                <w:lang w:val="en-GB"/>
              </w:rPr>
            </w:pPr>
          </w:p>
        </w:tc>
        <w:tc>
          <w:tcPr>
            <w:tcW w:w="3420" w:type="pct"/>
            <w:tcBorders>
              <w:top w:val="single" w:sz="4" w:space="0" w:color="auto"/>
              <w:left w:val="single" w:sz="4" w:space="0" w:color="auto"/>
            </w:tcBorders>
            <w:shd w:val="clear" w:color="auto" w:fill="92D050"/>
          </w:tcPr>
          <w:p w14:paraId="17C9F9AF" w14:textId="473F8541" w:rsidR="003752ED" w:rsidRDefault="003752ED" w:rsidP="002210B3">
            <w:pPr>
              <w:tabs>
                <w:tab w:val="left" w:pos="360"/>
              </w:tabs>
              <w:spacing w:after="120"/>
              <w:rPr>
                <w:rFonts w:cs="Arial"/>
                <w:noProof/>
                <w:lang w:val="en-GB"/>
              </w:rPr>
            </w:pPr>
            <w:r>
              <w:rPr>
                <w:rFonts w:cs="Arial"/>
                <w:noProof/>
                <w:lang w:val="en-GB"/>
              </w:rPr>
              <w:t xml:space="preserve">The operation’s long term goal is to work towards breeding Australian lungfish to second generation progeny. The application states that a legal commercial export trade in Australian lungfish based on aquaculture will reduce the impact of trade on wild populations by helping to reduce the number of lungfish that are illegally traded. Such goals are consistent with this object. </w:t>
            </w:r>
          </w:p>
          <w:p w14:paraId="16DAB5F7" w14:textId="4B417584" w:rsidR="003752ED" w:rsidRDefault="003752ED" w:rsidP="002210B3">
            <w:pPr>
              <w:tabs>
                <w:tab w:val="left" w:pos="360"/>
              </w:tabs>
              <w:spacing w:after="120"/>
              <w:rPr>
                <w:rFonts w:cs="Arial"/>
                <w:noProof/>
                <w:lang w:val="en-GB"/>
              </w:rPr>
            </w:pPr>
            <w:r w:rsidRPr="002B3A45">
              <w:rPr>
                <w:rFonts w:cs="Arial"/>
                <w:noProof/>
                <w:lang w:val="en-GB"/>
              </w:rPr>
              <w:t xml:space="preserve">The </w:t>
            </w:r>
            <w:r>
              <w:rPr>
                <w:rFonts w:cs="Arial"/>
                <w:noProof/>
                <w:lang w:val="en-GB"/>
              </w:rPr>
              <w:t xml:space="preserve">operation initially collected a small number of broodstock (28) from the wild under a Queensland fisheries permit. The aquaculture facility currently produces first generation juvenile stock (currently has about 500) and is a self-sustaining operation that does not rely on additional wild sourced stock. </w:t>
            </w:r>
            <w:r w:rsidRPr="002B3A45">
              <w:rPr>
                <w:rFonts w:cs="Arial"/>
                <w:noProof/>
                <w:lang w:val="en-GB"/>
              </w:rPr>
              <w:t xml:space="preserve">The operation </w:t>
            </w:r>
            <w:r>
              <w:rPr>
                <w:rFonts w:cs="Arial"/>
                <w:noProof/>
                <w:lang w:val="en-GB"/>
              </w:rPr>
              <w:t xml:space="preserve">will have </w:t>
            </w:r>
            <w:r w:rsidRPr="002B3A45">
              <w:rPr>
                <w:rFonts w:cs="Arial"/>
                <w:noProof/>
                <w:lang w:val="en-GB"/>
              </w:rPr>
              <w:t xml:space="preserve">no </w:t>
            </w:r>
            <w:r>
              <w:rPr>
                <w:rFonts w:cs="Arial"/>
                <w:noProof/>
                <w:lang w:val="en-GB"/>
              </w:rPr>
              <w:t xml:space="preserve">ongoing </w:t>
            </w:r>
            <w:r w:rsidRPr="002B3A45">
              <w:rPr>
                <w:rFonts w:cs="Arial"/>
                <w:noProof/>
                <w:lang w:val="en-GB"/>
              </w:rPr>
              <w:t>impact on the sustainability of the species</w:t>
            </w:r>
            <w:r>
              <w:rPr>
                <w:rFonts w:cs="Arial"/>
                <w:noProof/>
                <w:lang w:val="en-GB"/>
              </w:rPr>
              <w:t xml:space="preserve"> in the wild</w:t>
            </w:r>
            <w:r w:rsidRPr="002B3A45">
              <w:rPr>
                <w:rFonts w:cs="Arial"/>
                <w:noProof/>
                <w:lang w:val="en-GB"/>
              </w:rPr>
              <w:t xml:space="preserve">, and populations </w:t>
            </w:r>
            <w:r>
              <w:rPr>
                <w:rFonts w:cs="Arial"/>
                <w:noProof/>
                <w:lang w:val="en-GB"/>
              </w:rPr>
              <w:t>will</w:t>
            </w:r>
            <w:r w:rsidRPr="002B3A45">
              <w:rPr>
                <w:rFonts w:cs="Arial"/>
                <w:noProof/>
                <w:lang w:val="en-GB"/>
              </w:rPr>
              <w:t xml:space="preserve"> remain unaffected </w:t>
            </w:r>
            <w:r>
              <w:rPr>
                <w:rFonts w:cs="Arial"/>
                <w:noProof/>
                <w:lang w:val="en-GB"/>
              </w:rPr>
              <w:t xml:space="preserve">by </w:t>
            </w:r>
            <w:r w:rsidRPr="002B3A45">
              <w:rPr>
                <w:rFonts w:cs="Arial"/>
                <w:noProof/>
                <w:lang w:val="en-GB"/>
              </w:rPr>
              <w:t>ongoing trade</w:t>
            </w:r>
            <w:r>
              <w:rPr>
                <w:rFonts w:cs="Arial"/>
                <w:noProof/>
                <w:lang w:val="en-GB"/>
              </w:rPr>
              <w:t xml:space="preserve">. The operation </w:t>
            </w:r>
            <w:r w:rsidRPr="002B3A45">
              <w:rPr>
                <w:rFonts w:cs="Arial"/>
                <w:noProof/>
                <w:lang w:val="en-GB"/>
              </w:rPr>
              <w:t>is likely to be ecologically sustainable</w:t>
            </w:r>
            <w:r>
              <w:rPr>
                <w:rFonts w:cs="Arial"/>
                <w:noProof/>
                <w:lang w:val="en-GB"/>
              </w:rPr>
              <w:t xml:space="preserve">. </w:t>
            </w:r>
          </w:p>
          <w:p w14:paraId="6B7A2DF5" w14:textId="4214CEE6" w:rsidR="003752ED" w:rsidRPr="00B209E8" w:rsidRDefault="003752ED" w:rsidP="002210B3">
            <w:pPr>
              <w:tabs>
                <w:tab w:val="left" w:pos="360"/>
              </w:tabs>
              <w:spacing w:after="120"/>
              <w:rPr>
                <w:rFonts w:cs="Arial"/>
              </w:rPr>
            </w:pPr>
            <w:r>
              <w:rPr>
                <w:rFonts w:cs="Arial"/>
                <w:noProof/>
                <w:lang w:val="en-GB"/>
              </w:rPr>
              <w:br/>
            </w:r>
          </w:p>
        </w:tc>
      </w:tr>
      <w:tr w:rsidR="003752ED" w:rsidRPr="00F30F9F" w14:paraId="0E86AA8F" w14:textId="77777777" w:rsidTr="00E31F68">
        <w:trPr>
          <w:cnfStyle w:val="000000100000" w:firstRow="0" w:lastRow="0" w:firstColumn="0" w:lastColumn="0" w:oddVBand="0" w:evenVBand="0" w:oddHBand="1" w:evenHBand="0" w:firstRowFirstColumn="0" w:firstRowLastColumn="0" w:lastRowFirstColumn="0" w:lastRowLastColumn="0"/>
          <w:cantSplit/>
          <w:trHeight w:val="3337"/>
        </w:trPr>
        <w:tc>
          <w:tcPr>
            <w:tcW w:w="1580" w:type="pct"/>
            <w:tcBorders>
              <w:bottom w:val="single" w:sz="4" w:space="0" w:color="auto"/>
              <w:right w:val="single" w:sz="4" w:space="0" w:color="auto"/>
            </w:tcBorders>
          </w:tcPr>
          <w:p w14:paraId="1B6DD30B" w14:textId="77777777" w:rsidR="003752ED" w:rsidRPr="002B3A45" w:rsidRDefault="003752ED" w:rsidP="003752ED">
            <w:pPr>
              <w:tabs>
                <w:tab w:val="left" w:pos="360"/>
                <w:tab w:val="num" w:pos="1080"/>
              </w:tabs>
              <w:spacing w:after="120"/>
              <w:ind w:left="1077" w:hanging="720"/>
              <w:rPr>
                <w:rFonts w:cs="Arial"/>
                <w:noProof/>
                <w:lang w:val="en-GB"/>
              </w:rPr>
            </w:pPr>
            <w:r w:rsidRPr="002B3A45">
              <w:rPr>
                <w:rFonts w:cs="Arial"/>
                <w:noProof/>
                <w:lang w:val="en-GB"/>
              </w:rPr>
              <w:lastRenderedPageBreak/>
              <w:t>(e)</w:t>
            </w:r>
            <w:r w:rsidRPr="002B3A45">
              <w:rPr>
                <w:rFonts w:cs="Arial"/>
                <w:noProof/>
                <w:lang w:val="en-GB"/>
              </w:rPr>
              <w:tab/>
              <w:t>to promote the humane treatment of wildlife;</w:t>
            </w:r>
          </w:p>
          <w:p w14:paraId="5F45FA7A" w14:textId="77777777" w:rsidR="003752ED" w:rsidRPr="002B3A45" w:rsidRDefault="003752ED" w:rsidP="003752ED">
            <w:pPr>
              <w:tabs>
                <w:tab w:val="left" w:pos="360"/>
                <w:tab w:val="num" w:pos="1080"/>
              </w:tabs>
              <w:spacing w:after="120"/>
              <w:ind w:left="1077" w:hanging="720"/>
              <w:rPr>
                <w:rFonts w:cs="Arial"/>
                <w:noProof/>
                <w:lang w:val="en-GB"/>
              </w:rPr>
            </w:pPr>
            <w:r w:rsidRPr="002B3A45">
              <w:rPr>
                <w:rFonts w:cs="Arial"/>
                <w:noProof/>
                <w:lang w:val="en-GB"/>
              </w:rPr>
              <w:t>(f)</w:t>
            </w:r>
            <w:r w:rsidRPr="002B3A45">
              <w:rPr>
                <w:rFonts w:cs="Arial"/>
                <w:noProof/>
                <w:lang w:val="en-GB"/>
              </w:rPr>
              <w:tab/>
              <w:t xml:space="preserve">to ensure ethical conduct during any research associated with the utilisation of wildlife; and </w:t>
            </w:r>
          </w:p>
          <w:p w14:paraId="749B795D" w14:textId="1AA6FDFA" w:rsidR="003752ED" w:rsidRPr="002B3A45" w:rsidRDefault="003752ED" w:rsidP="003752ED">
            <w:pPr>
              <w:tabs>
                <w:tab w:val="left" w:pos="360"/>
                <w:tab w:val="num" w:pos="1080"/>
              </w:tabs>
              <w:spacing w:after="120"/>
              <w:ind w:left="1077" w:hanging="720"/>
              <w:rPr>
                <w:rFonts w:cs="Arial"/>
                <w:noProof/>
                <w:lang w:val="en-GB"/>
              </w:rPr>
            </w:pPr>
            <w:r w:rsidRPr="002B3A45">
              <w:rPr>
                <w:rFonts w:cs="Arial"/>
                <w:noProof/>
                <w:lang w:val="en-GB"/>
              </w:rPr>
              <w:t>(h)</w:t>
            </w:r>
            <w:r w:rsidRPr="002B3A45">
              <w:rPr>
                <w:rFonts w:cs="Arial"/>
                <w:noProof/>
                <w:lang w:val="en-GB"/>
              </w:rPr>
              <w:tab/>
              <w:t>to ensure the precautionary principle is taken into account in making decisions relating to the utilisation of wildlife.</w:t>
            </w:r>
          </w:p>
        </w:tc>
        <w:tc>
          <w:tcPr>
            <w:tcW w:w="3420" w:type="pct"/>
            <w:tcBorders>
              <w:left w:val="single" w:sz="4" w:space="0" w:color="auto"/>
              <w:bottom w:val="single" w:sz="4" w:space="0" w:color="auto"/>
            </w:tcBorders>
            <w:shd w:val="clear" w:color="auto" w:fill="92D050"/>
          </w:tcPr>
          <w:p w14:paraId="6279D7E2" w14:textId="335236E8" w:rsidR="003752ED" w:rsidRPr="00D13A1B" w:rsidRDefault="003752ED" w:rsidP="003752ED">
            <w:pPr>
              <w:tabs>
                <w:tab w:val="left" w:pos="360"/>
              </w:tabs>
              <w:spacing w:after="120"/>
              <w:rPr>
                <w:rFonts w:cs="Arial"/>
                <w:noProof/>
                <w:lang w:val="en-GB"/>
              </w:rPr>
            </w:pPr>
            <w:r w:rsidRPr="002B3A45">
              <w:rPr>
                <w:rFonts w:cs="Arial"/>
                <w:noProof/>
                <w:lang w:val="en-GB"/>
              </w:rPr>
              <w:t>Object</w:t>
            </w:r>
            <w:r>
              <w:rPr>
                <w:rFonts w:cs="Arial"/>
                <w:noProof/>
                <w:lang w:val="en-GB"/>
              </w:rPr>
              <w:t>s</w:t>
            </w:r>
            <w:r w:rsidRPr="002B3A45">
              <w:rPr>
                <w:rFonts w:cs="Arial"/>
                <w:noProof/>
                <w:lang w:val="en-GB"/>
              </w:rPr>
              <w:t xml:space="preserve"> </w:t>
            </w:r>
            <w:r>
              <w:rPr>
                <w:rFonts w:cs="Arial"/>
                <w:noProof/>
                <w:lang w:val="en-GB"/>
              </w:rPr>
              <w:t>303BA (1)(e) and (f) are</w:t>
            </w:r>
            <w:r w:rsidRPr="002B3A45">
              <w:rPr>
                <w:rFonts w:cs="Arial"/>
                <w:noProof/>
                <w:lang w:val="en-GB"/>
              </w:rPr>
              <w:t xml:space="preserve"> not applicable to the operation.</w:t>
            </w:r>
            <w:r>
              <w:rPr>
                <w:rFonts w:cs="Arial"/>
                <w:noProof/>
                <w:lang w:val="en-GB"/>
              </w:rPr>
              <w:t xml:space="preserve"> </w:t>
            </w:r>
            <w:r w:rsidRPr="00F30F9F">
              <w:rPr>
                <w:rFonts w:cs="Arial"/>
              </w:rPr>
              <w:t xml:space="preserve">The </w:t>
            </w:r>
            <w:r w:rsidRPr="00F30F9F">
              <w:rPr>
                <w:rFonts w:cs="Arial"/>
                <w:i/>
              </w:rPr>
              <w:t>Environment Protection and Biodiversity Conservation Regulations 2000</w:t>
            </w:r>
            <w:r w:rsidRPr="00F30F9F">
              <w:rPr>
                <w:rFonts w:cs="Arial"/>
              </w:rPr>
              <w:t xml:space="preserve"> </w:t>
            </w:r>
            <w:r>
              <w:rPr>
                <w:rFonts w:cs="Arial"/>
              </w:rPr>
              <w:t>S</w:t>
            </w:r>
            <w:r w:rsidRPr="00F30F9F">
              <w:rPr>
                <w:rFonts w:cs="Arial"/>
              </w:rPr>
              <w:t xml:space="preserve">ection 9A.05(2) </w:t>
            </w:r>
            <w:r>
              <w:rPr>
                <w:rFonts w:cs="Arial"/>
              </w:rPr>
              <w:t>(</w:t>
            </w:r>
            <w:r w:rsidRPr="00F30F9F">
              <w:rPr>
                <w:rFonts w:cs="Arial"/>
              </w:rPr>
              <w:t>EPBC Regulations</w:t>
            </w:r>
            <w:r>
              <w:rPr>
                <w:rFonts w:cs="Arial"/>
              </w:rPr>
              <w:t xml:space="preserve"> 2000)</w:t>
            </w:r>
            <w:r w:rsidRPr="00F30F9F">
              <w:rPr>
                <w:rFonts w:cs="Arial"/>
              </w:rPr>
              <w:t xml:space="preserve"> do not specify fish as a class of animal in relation to the welfare of live specimens.</w:t>
            </w:r>
          </w:p>
          <w:p w14:paraId="775BD2A3" w14:textId="77777777" w:rsidR="003752ED" w:rsidRDefault="003752ED" w:rsidP="003752ED">
            <w:pPr>
              <w:tabs>
                <w:tab w:val="left" w:pos="360"/>
              </w:tabs>
              <w:spacing w:after="120"/>
              <w:rPr>
                <w:rFonts w:cs="Arial"/>
                <w:lang w:eastAsia="en-AU"/>
              </w:rPr>
            </w:pPr>
            <w:bookmarkStart w:id="5" w:name="_Hlk35601475"/>
            <w:r>
              <w:rPr>
                <w:rFonts w:cs="Arial"/>
                <w:lang w:eastAsia="en-AU"/>
              </w:rPr>
              <w:t xml:space="preserve">Australian lungfish are an EPBC Act vulnerable species. Under the proposed operation there is no sourcing of additional stock from the wild, progeny will be raised from broodstock in a closed system (the aquaculture facility) and no stock are returned to the wild. </w:t>
            </w:r>
            <w:r w:rsidRPr="000236B4">
              <w:rPr>
                <w:rFonts w:cs="Arial"/>
                <w:lang w:eastAsia="en-AU"/>
              </w:rPr>
              <w:t xml:space="preserve">Precautionary principles are in place for this operation in </w:t>
            </w:r>
            <w:r>
              <w:rPr>
                <w:rFonts w:cs="Arial"/>
                <w:lang w:eastAsia="en-AU"/>
              </w:rPr>
              <w:t>relation to</w:t>
            </w:r>
            <w:r w:rsidRPr="000236B4">
              <w:rPr>
                <w:rFonts w:cs="Arial"/>
                <w:lang w:eastAsia="en-AU"/>
              </w:rPr>
              <w:t xml:space="preserve"> utilisation of wildlife.</w:t>
            </w:r>
          </w:p>
          <w:bookmarkEnd w:id="5"/>
          <w:p w14:paraId="0B8BD568" w14:textId="77777777" w:rsidR="003752ED" w:rsidRDefault="003752ED" w:rsidP="002210B3">
            <w:pPr>
              <w:tabs>
                <w:tab w:val="left" w:pos="360"/>
              </w:tabs>
              <w:spacing w:after="120"/>
              <w:rPr>
                <w:rFonts w:cs="Arial"/>
                <w:noProof/>
                <w:lang w:val="en-GB"/>
              </w:rPr>
            </w:pPr>
          </w:p>
        </w:tc>
      </w:tr>
      <w:tr w:rsidR="00A027D5" w:rsidRPr="00F30F9F" w14:paraId="7200EC4F" w14:textId="77777777" w:rsidTr="00A027D5">
        <w:trPr>
          <w:cnfStyle w:val="000000010000" w:firstRow="0" w:lastRow="0" w:firstColumn="0" w:lastColumn="0" w:oddVBand="0" w:evenVBand="0" w:oddHBand="0" w:evenHBand="1" w:firstRowFirstColumn="0" w:firstRowLastColumn="0" w:lastRowFirstColumn="0" w:lastRowLastColumn="0"/>
          <w:cantSplit/>
        </w:trPr>
        <w:tc>
          <w:tcPr>
            <w:tcW w:w="5000" w:type="pct"/>
            <w:gridSpan w:val="2"/>
            <w:shd w:val="clear" w:color="auto" w:fill="D9D9D9" w:themeFill="background1" w:themeFillShade="D9"/>
          </w:tcPr>
          <w:p w14:paraId="643C2268" w14:textId="002AA96C" w:rsidR="00A027D5" w:rsidRPr="00F30F9F" w:rsidRDefault="00A027D5" w:rsidP="002210B3">
            <w:pPr>
              <w:spacing w:after="120"/>
              <w:rPr>
                <w:rFonts w:cs="Arial"/>
                <w:b/>
              </w:rPr>
            </w:pPr>
            <w:r w:rsidRPr="00F30F9F">
              <w:rPr>
                <w:rFonts w:cs="Arial"/>
                <w:b/>
              </w:rPr>
              <w:t>Section 303FN  -  Approved wildlife trade operation</w:t>
            </w:r>
          </w:p>
        </w:tc>
      </w:tr>
      <w:tr w:rsidR="00A027D5" w:rsidRPr="004B023E" w14:paraId="18BCD107" w14:textId="74F3318F" w:rsidTr="00A027D5">
        <w:trPr>
          <w:cnfStyle w:val="000000100000" w:firstRow="0" w:lastRow="0" w:firstColumn="0" w:lastColumn="0" w:oddVBand="0" w:evenVBand="0" w:oddHBand="1" w:evenHBand="0" w:firstRowFirstColumn="0" w:firstRowLastColumn="0" w:lastRowFirstColumn="0" w:lastRowLastColumn="0"/>
          <w:cantSplit/>
        </w:trPr>
        <w:tc>
          <w:tcPr>
            <w:tcW w:w="1580" w:type="pct"/>
            <w:shd w:val="clear" w:color="auto" w:fill="D9D9D9" w:themeFill="background1" w:themeFillShade="D9"/>
          </w:tcPr>
          <w:p w14:paraId="4EE798E6" w14:textId="77777777" w:rsidR="00A027D5" w:rsidRPr="00F30F9F" w:rsidRDefault="00A027D5" w:rsidP="002210B3">
            <w:pPr>
              <w:spacing w:after="120"/>
              <w:rPr>
                <w:rFonts w:cs="Arial"/>
                <w:b/>
              </w:rPr>
            </w:pPr>
          </w:p>
        </w:tc>
        <w:tc>
          <w:tcPr>
            <w:tcW w:w="3420" w:type="pct"/>
            <w:shd w:val="clear" w:color="auto" w:fill="D9D9D9" w:themeFill="background1" w:themeFillShade="D9"/>
          </w:tcPr>
          <w:p w14:paraId="64291FFB" w14:textId="34CCC63A" w:rsidR="00A027D5" w:rsidRPr="00F30F9F" w:rsidRDefault="00A027D5" w:rsidP="002210B3">
            <w:pPr>
              <w:spacing w:after="120"/>
              <w:rPr>
                <w:rFonts w:cs="Arial"/>
                <w:b/>
              </w:rPr>
            </w:pPr>
            <w:r>
              <w:rPr>
                <w:rFonts w:cs="Arial"/>
                <w:b/>
              </w:rPr>
              <w:t>Comments</w:t>
            </w:r>
          </w:p>
        </w:tc>
      </w:tr>
      <w:tr w:rsidR="00AA7C54" w:rsidRPr="004B023E" w14:paraId="52A7BBF7" w14:textId="77777777" w:rsidTr="00A027D5">
        <w:trPr>
          <w:cnfStyle w:val="000000010000" w:firstRow="0" w:lastRow="0" w:firstColumn="0" w:lastColumn="0" w:oddVBand="0" w:evenVBand="0" w:oddHBand="0" w:evenHBand="1" w:firstRowFirstColumn="0" w:firstRowLastColumn="0" w:lastRowFirstColumn="0" w:lastRowLastColumn="0"/>
          <w:cantSplit/>
        </w:trPr>
        <w:tc>
          <w:tcPr>
            <w:tcW w:w="1580" w:type="pct"/>
          </w:tcPr>
          <w:p w14:paraId="1EABC227" w14:textId="5FBC5872" w:rsidR="00AA7C54" w:rsidRPr="00F30F9F" w:rsidRDefault="00AA7C54" w:rsidP="002210B3">
            <w:pPr>
              <w:spacing w:after="120"/>
              <w:rPr>
                <w:rFonts w:cs="Arial"/>
                <w:b/>
              </w:rPr>
            </w:pPr>
            <w:r w:rsidRPr="00F30F9F">
              <w:rPr>
                <w:rFonts w:eastAsia="Times New Roman" w:cs="Arial"/>
                <w:lang w:eastAsia="en-AU"/>
              </w:rPr>
              <w:t>(2)</w:t>
            </w:r>
            <w:r w:rsidRPr="00F30F9F">
              <w:rPr>
                <w:rFonts w:eastAsia="Times New Roman" w:cs="Arial"/>
                <w:lang w:eastAsia="en-AU"/>
              </w:rPr>
              <w:tab/>
              <w:t xml:space="preserve">The Minister may, by instrument published in the </w:t>
            </w:r>
            <w:r w:rsidRPr="00F30F9F">
              <w:rPr>
                <w:rFonts w:eastAsia="Times New Roman" w:cs="Arial"/>
                <w:i/>
                <w:lang w:eastAsia="en-AU"/>
              </w:rPr>
              <w:t>Gazette</w:t>
            </w:r>
            <w:r w:rsidRPr="00F30F9F">
              <w:rPr>
                <w:rFonts w:eastAsia="Times New Roman" w:cs="Arial"/>
                <w:lang w:eastAsia="en-AU"/>
              </w:rPr>
              <w:t xml:space="preserve">, declare that a specified wildlife trade operation is an </w:t>
            </w:r>
            <w:r w:rsidRPr="00F30F9F">
              <w:rPr>
                <w:rFonts w:eastAsia="Times New Roman" w:cs="Arial"/>
                <w:b/>
                <w:i/>
                <w:lang w:eastAsia="en-AU"/>
              </w:rPr>
              <w:t xml:space="preserve">approved wildlife trade operation </w:t>
            </w:r>
            <w:r w:rsidRPr="00F30F9F">
              <w:rPr>
                <w:rFonts w:eastAsia="Times New Roman" w:cs="Arial"/>
                <w:lang w:eastAsia="en-AU"/>
              </w:rPr>
              <w:t>for the purposes of this section.</w:t>
            </w:r>
          </w:p>
        </w:tc>
        <w:tc>
          <w:tcPr>
            <w:tcW w:w="3420" w:type="pct"/>
          </w:tcPr>
          <w:p w14:paraId="3E440605" w14:textId="49FE0F9B" w:rsidR="00AA7C54" w:rsidRPr="00F30F9F" w:rsidRDefault="00AA7C54" w:rsidP="002210B3">
            <w:pPr>
              <w:spacing w:after="120"/>
              <w:rPr>
                <w:rFonts w:cs="Arial"/>
                <w:b/>
              </w:rPr>
            </w:pPr>
            <w:r w:rsidRPr="00F30F9F">
              <w:rPr>
                <w:rFonts w:cs="Arial"/>
              </w:rPr>
              <w:t xml:space="preserve">The instrument to declare the operation as an approved wildlife trade operation under section 303FN will be registered on the Federal Register of Legislation (FRL) and a link to the instrument made available through the </w:t>
            </w:r>
            <w:r w:rsidRPr="00F30F9F">
              <w:rPr>
                <w:rFonts w:cs="Arial"/>
                <w:iCs/>
              </w:rPr>
              <w:t xml:space="preserve">Department’s </w:t>
            </w:r>
            <w:r w:rsidRPr="00F30F9F">
              <w:rPr>
                <w:rFonts w:cs="Arial"/>
              </w:rPr>
              <w:t xml:space="preserve">website. Under subsection 56(1) of the </w:t>
            </w:r>
            <w:r w:rsidRPr="00F30F9F">
              <w:rPr>
                <w:rFonts w:cs="Arial"/>
                <w:i/>
              </w:rPr>
              <w:t>Legislation Act 2003</w:t>
            </w:r>
            <w:r w:rsidRPr="00F30F9F">
              <w:rPr>
                <w:rFonts w:cs="Arial"/>
              </w:rPr>
              <w:t xml:space="preserve"> (CTH), registration on the FRL meets the requirements for gazettal.</w:t>
            </w:r>
          </w:p>
        </w:tc>
      </w:tr>
      <w:tr w:rsidR="00691C40" w:rsidRPr="004B023E" w14:paraId="7466823F" w14:textId="77777777" w:rsidTr="00810B42">
        <w:trPr>
          <w:cnfStyle w:val="000000100000" w:firstRow="0" w:lastRow="0" w:firstColumn="0" w:lastColumn="0" w:oddVBand="0" w:evenVBand="0" w:oddHBand="1" w:evenHBand="0" w:firstRowFirstColumn="0" w:firstRowLastColumn="0" w:lastRowFirstColumn="0" w:lastRowLastColumn="0"/>
          <w:cantSplit/>
          <w:trHeight w:val="5385"/>
        </w:trPr>
        <w:tc>
          <w:tcPr>
            <w:tcW w:w="1580" w:type="pct"/>
          </w:tcPr>
          <w:p w14:paraId="2FCBEAC9" w14:textId="6F6EB1AA" w:rsidR="00691C40" w:rsidRPr="00F30F9F" w:rsidRDefault="00691C40" w:rsidP="002210B3">
            <w:pPr>
              <w:tabs>
                <w:tab w:val="right" w:pos="1021"/>
              </w:tabs>
              <w:spacing w:after="120"/>
              <w:ind w:left="426" w:hanging="426"/>
              <w:rPr>
                <w:rFonts w:eastAsia="Times New Roman" w:cs="Arial"/>
                <w:lang w:eastAsia="en-AU"/>
              </w:rPr>
            </w:pPr>
            <w:r w:rsidRPr="00F30F9F">
              <w:rPr>
                <w:rFonts w:eastAsia="Times New Roman" w:cs="Arial"/>
                <w:lang w:eastAsia="en-AU"/>
              </w:rPr>
              <w:lastRenderedPageBreak/>
              <w:t>(3)</w:t>
            </w:r>
            <w:r w:rsidRPr="00F30F9F">
              <w:rPr>
                <w:rFonts w:eastAsia="Times New Roman" w:cs="Arial"/>
                <w:lang w:eastAsia="en-AU"/>
              </w:rPr>
              <w:tab/>
              <w:t xml:space="preserve">The Minister must not declare an operation as an approved wildlife trade operation unless the Minister is </w:t>
            </w:r>
            <w:r w:rsidRPr="00F30F9F">
              <w:rPr>
                <w:rFonts w:eastAsia="Times New Roman" w:cs="Arial"/>
                <w:b/>
                <w:lang w:eastAsia="en-AU"/>
              </w:rPr>
              <w:t>satisfied</w:t>
            </w:r>
            <w:r w:rsidRPr="00F30F9F">
              <w:rPr>
                <w:rFonts w:eastAsia="Times New Roman" w:cs="Arial"/>
                <w:lang w:eastAsia="en-AU"/>
              </w:rPr>
              <w:t xml:space="preserve"> that:</w:t>
            </w:r>
          </w:p>
          <w:p w14:paraId="649B55A8" w14:textId="77777777" w:rsidR="00691C40" w:rsidRPr="00F30F9F" w:rsidRDefault="00691C40" w:rsidP="002210B3">
            <w:pPr>
              <w:tabs>
                <w:tab w:val="right" w:pos="1021"/>
              </w:tabs>
              <w:spacing w:after="120"/>
              <w:ind w:left="852" w:hanging="426"/>
              <w:rPr>
                <w:rFonts w:eastAsia="Times New Roman" w:cs="Arial"/>
                <w:lang w:eastAsia="en-AU"/>
              </w:rPr>
            </w:pPr>
            <w:r w:rsidRPr="00F30F9F">
              <w:rPr>
                <w:rFonts w:eastAsia="Times New Roman" w:cs="Arial"/>
                <w:noProof/>
                <w:lang w:eastAsia="en-AU"/>
              </w:rPr>
              <w:t>(a)</w:t>
            </w:r>
            <w:r w:rsidRPr="00F30F9F">
              <w:rPr>
                <w:rFonts w:eastAsia="Times New Roman" w:cs="Arial"/>
                <w:noProof/>
                <w:lang w:eastAsia="en-AU"/>
              </w:rPr>
              <w:tab/>
              <w:t>the operation is consistent with the objects of Part 13A of the Act; and</w:t>
            </w:r>
          </w:p>
          <w:p w14:paraId="3631F80E" w14:textId="77777777" w:rsidR="00691C40" w:rsidRPr="00F30F9F" w:rsidRDefault="00691C40" w:rsidP="002210B3">
            <w:pPr>
              <w:tabs>
                <w:tab w:val="right" w:pos="1531"/>
              </w:tabs>
              <w:spacing w:after="120"/>
              <w:ind w:left="738" w:hanging="369"/>
              <w:rPr>
                <w:rFonts w:eastAsia="Times New Roman" w:cs="Arial"/>
                <w:noProof/>
                <w:lang w:eastAsia="en-AU"/>
              </w:rPr>
            </w:pPr>
            <w:r w:rsidRPr="00F30F9F">
              <w:rPr>
                <w:rFonts w:eastAsia="Times New Roman" w:cs="Arial"/>
                <w:noProof/>
                <w:lang w:eastAsia="en-AU"/>
              </w:rPr>
              <w:t>(b)</w:t>
            </w:r>
            <w:r w:rsidRPr="00F30F9F">
              <w:rPr>
                <w:rFonts w:eastAsia="Times New Roman" w:cs="Arial"/>
                <w:noProof/>
                <w:lang w:eastAsia="en-AU"/>
              </w:rPr>
              <w:tab/>
              <w:t>the operation will not be detrimental to:</w:t>
            </w:r>
          </w:p>
          <w:p w14:paraId="36060BC0" w14:textId="77777777" w:rsidR="00691C40" w:rsidRPr="00F30F9F" w:rsidRDefault="00691C40" w:rsidP="002210B3">
            <w:pPr>
              <w:spacing w:after="120"/>
              <w:ind w:left="1089" w:hanging="369"/>
              <w:rPr>
                <w:rFonts w:cs="Arial"/>
              </w:rPr>
            </w:pPr>
            <w:r w:rsidRPr="00F30F9F">
              <w:rPr>
                <w:rFonts w:cs="Arial"/>
              </w:rPr>
              <w:t>(i)</w:t>
            </w:r>
            <w:r w:rsidRPr="00F30F9F">
              <w:rPr>
                <w:rFonts w:cs="Arial"/>
              </w:rPr>
              <w:tab/>
              <w:t>the survival of a taxon to which the operation relates; or</w:t>
            </w:r>
          </w:p>
          <w:p w14:paraId="20FD9659" w14:textId="77777777" w:rsidR="00691C40" w:rsidRPr="00F30F9F" w:rsidRDefault="00691C40" w:rsidP="002210B3">
            <w:pPr>
              <w:spacing w:after="120"/>
              <w:ind w:left="1089" w:hanging="369"/>
              <w:rPr>
                <w:rFonts w:cs="Arial"/>
              </w:rPr>
            </w:pPr>
            <w:r w:rsidRPr="00F30F9F">
              <w:rPr>
                <w:rFonts w:cs="Arial"/>
              </w:rPr>
              <w:t>(ii)</w:t>
            </w:r>
            <w:r w:rsidRPr="00F30F9F">
              <w:rPr>
                <w:rFonts w:cs="Arial"/>
              </w:rPr>
              <w:tab/>
              <w:t>the conservation status of a taxon to which the operation relates; and</w:t>
            </w:r>
          </w:p>
          <w:p w14:paraId="07E2DDE2" w14:textId="3B7DA6C1" w:rsidR="00691C40" w:rsidRPr="00F30F9F" w:rsidRDefault="00691C40" w:rsidP="002210B3">
            <w:pPr>
              <w:tabs>
                <w:tab w:val="right" w:pos="1531"/>
              </w:tabs>
              <w:spacing w:after="120"/>
              <w:ind w:left="738" w:hanging="369"/>
              <w:rPr>
                <w:rFonts w:eastAsia="Times New Roman" w:cs="Arial"/>
                <w:lang w:eastAsia="en-AU"/>
              </w:rPr>
            </w:pPr>
            <w:r w:rsidRPr="00F30F9F">
              <w:rPr>
                <w:rFonts w:eastAsia="Times New Roman" w:cs="Arial"/>
                <w:noProof/>
                <w:lang w:eastAsia="en-AU"/>
              </w:rPr>
              <w:t>(ba)</w:t>
            </w:r>
            <w:r w:rsidRPr="00F30F9F">
              <w:rPr>
                <w:rFonts w:eastAsia="Times New Roman" w:cs="Arial"/>
                <w:noProof/>
                <w:lang w:eastAsia="en-AU"/>
              </w:rPr>
              <w:tab/>
              <w:t>the operation will not be likely to threaten any relevant ecosystem including (but not limited to) any habitat or biodiversity; an</w:t>
            </w:r>
            <w:r>
              <w:rPr>
                <w:rFonts w:eastAsia="Times New Roman" w:cs="Arial"/>
                <w:noProof/>
                <w:lang w:eastAsia="en-AU"/>
              </w:rPr>
              <w:t>d</w:t>
            </w:r>
          </w:p>
        </w:tc>
        <w:tc>
          <w:tcPr>
            <w:tcW w:w="3420" w:type="pct"/>
            <w:shd w:val="clear" w:color="auto" w:fill="92D050"/>
          </w:tcPr>
          <w:p w14:paraId="1729B62B" w14:textId="4D8A44FB" w:rsidR="00691C40" w:rsidRDefault="00691C40" w:rsidP="002210B3">
            <w:pPr>
              <w:spacing w:after="120"/>
              <w:rPr>
                <w:rFonts w:cs="Arial"/>
              </w:rPr>
            </w:pPr>
            <w:bookmarkStart w:id="6" w:name="_Hlk35007717"/>
            <w:r w:rsidRPr="002F42ED">
              <w:rPr>
                <w:rFonts w:cs="Arial"/>
                <w:b/>
              </w:rPr>
              <w:t>Meets</w:t>
            </w:r>
            <w:r w:rsidRPr="00743C34">
              <w:rPr>
                <w:b/>
              </w:rPr>
              <w:t xml:space="preserve"> –</w:t>
            </w:r>
            <w:r>
              <w:rPr>
                <w:b/>
              </w:rPr>
              <w:t xml:space="preserve"> </w:t>
            </w:r>
            <w:r w:rsidRPr="002F5863">
              <w:rPr>
                <w:rFonts w:cs="Arial"/>
                <w:b/>
                <w:bCs/>
              </w:rPr>
              <w:t>The proposed wildlife trade operation is consistent with the Objects of 13A – as addressed above at 303BA(1)(a-h).</w:t>
            </w:r>
            <w:r>
              <w:rPr>
                <w:rFonts w:cs="Arial"/>
              </w:rPr>
              <w:t xml:space="preserve"> </w:t>
            </w:r>
            <w:r>
              <w:rPr>
                <w:b/>
              </w:rPr>
              <w:t xml:space="preserve">The operation </w:t>
            </w:r>
            <w:r w:rsidRPr="00BF234C">
              <w:rPr>
                <w:b/>
              </w:rPr>
              <w:t>will not be detrimental to the survival or conservation status of a taxon to which it relates, nor will it threaten any relevant ecosystem, within the next three years</w:t>
            </w:r>
            <w:r>
              <w:rPr>
                <w:b/>
              </w:rPr>
              <w:t>.</w:t>
            </w:r>
            <w:bookmarkEnd w:id="6"/>
          </w:p>
          <w:p w14:paraId="3391E6C6" w14:textId="5245321C" w:rsidR="00691C40" w:rsidRDefault="00691C40" w:rsidP="002210B3">
            <w:pPr>
              <w:spacing w:after="120"/>
              <w:rPr>
                <w:rFonts w:cs="Arial"/>
              </w:rPr>
            </w:pPr>
            <w:r>
              <w:rPr>
                <w:rFonts w:cs="Arial"/>
              </w:rPr>
              <w:t>T</w:t>
            </w:r>
            <w:r w:rsidRPr="00661EB1">
              <w:rPr>
                <w:rFonts w:cs="Arial"/>
              </w:rPr>
              <w:t xml:space="preserve">he operation is unlikely </w:t>
            </w:r>
            <w:r>
              <w:rPr>
                <w:rFonts w:cs="Arial"/>
              </w:rPr>
              <w:t xml:space="preserve">to be detrimental to </w:t>
            </w:r>
            <w:r w:rsidRPr="00661EB1">
              <w:rPr>
                <w:rFonts w:cs="Arial"/>
              </w:rPr>
              <w:t xml:space="preserve">the survival or conservation status of </w:t>
            </w:r>
            <w:r>
              <w:rPr>
                <w:rFonts w:cs="Arial"/>
              </w:rPr>
              <w:t xml:space="preserve">lungfish or </w:t>
            </w:r>
            <w:r w:rsidRPr="00F30F9F">
              <w:rPr>
                <w:rFonts w:cs="Arial"/>
              </w:rPr>
              <w:t>threaten any relevant ecosystem</w:t>
            </w:r>
            <w:r>
              <w:rPr>
                <w:rFonts w:cs="Arial"/>
              </w:rPr>
              <w:t xml:space="preserve">. </w:t>
            </w:r>
            <w:r w:rsidRPr="00F30F9F">
              <w:rPr>
                <w:rFonts w:cs="Arial"/>
              </w:rPr>
              <w:t>The operation is not collect</w:t>
            </w:r>
            <w:r>
              <w:rPr>
                <w:rFonts w:cs="Arial"/>
              </w:rPr>
              <w:t>ing</w:t>
            </w:r>
            <w:r w:rsidRPr="00F30F9F">
              <w:rPr>
                <w:rFonts w:cs="Arial"/>
              </w:rPr>
              <w:t xml:space="preserve"> lungfish</w:t>
            </w:r>
            <w:r>
              <w:rPr>
                <w:rFonts w:cs="Arial"/>
              </w:rPr>
              <w:t xml:space="preserve"> from the wild</w:t>
            </w:r>
            <w:r w:rsidRPr="00F30F9F">
              <w:rPr>
                <w:rFonts w:cs="Arial"/>
              </w:rPr>
              <w:t>, is using existing broodstock to raise future progeny</w:t>
            </w:r>
            <w:r>
              <w:rPr>
                <w:rFonts w:cs="Arial"/>
                <w:noProof/>
                <w:lang w:val="en-GB"/>
              </w:rPr>
              <w:t>,</w:t>
            </w:r>
            <w:r w:rsidRPr="00F30F9F">
              <w:rPr>
                <w:rFonts w:cs="Arial"/>
              </w:rPr>
              <w:t xml:space="preserve"> </w:t>
            </w:r>
            <w:r>
              <w:rPr>
                <w:rFonts w:cs="Arial"/>
              </w:rPr>
              <w:t>is</w:t>
            </w:r>
            <w:r w:rsidRPr="00F30F9F">
              <w:rPr>
                <w:rFonts w:cs="Arial"/>
              </w:rPr>
              <w:t xml:space="preserve"> </w:t>
            </w:r>
            <w:r>
              <w:rPr>
                <w:rFonts w:cs="Arial"/>
              </w:rPr>
              <w:t xml:space="preserve">a land-based aquaculture facility using constructed water ponds, and will </w:t>
            </w:r>
            <w:r w:rsidRPr="00F30F9F">
              <w:rPr>
                <w:rFonts w:cs="Arial"/>
              </w:rPr>
              <w:t xml:space="preserve">not </w:t>
            </w:r>
            <w:r>
              <w:rPr>
                <w:rFonts w:cs="Arial"/>
              </w:rPr>
              <w:t xml:space="preserve">be </w:t>
            </w:r>
            <w:r w:rsidRPr="00F30F9F">
              <w:rPr>
                <w:rFonts w:cs="Arial"/>
              </w:rPr>
              <w:t>releasing stock to the wild</w:t>
            </w:r>
            <w:r>
              <w:rPr>
                <w:rFonts w:cs="Arial"/>
              </w:rPr>
              <w:t xml:space="preserve">. </w:t>
            </w:r>
          </w:p>
          <w:p w14:paraId="58453F11" w14:textId="77777777" w:rsidR="00691C40" w:rsidRPr="00F30F9F" w:rsidRDefault="00691C40" w:rsidP="002210B3">
            <w:pPr>
              <w:spacing w:after="120"/>
              <w:rPr>
                <w:rFonts w:cs="Arial"/>
              </w:rPr>
            </w:pPr>
          </w:p>
          <w:p w14:paraId="2566D0D7" w14:textId="1BA1693B" w:rsidR="00691C40" w:rsidRPr="00F30F9F" w:rsidRDefault="00691C40" w:rsidP="002210B3">
            <w:pPr>
              <w:spacing w:after="120"/>
              <w:rPr>
                <w:rFonts w:cs="Arial"/>
                <w:b/>
              </w:rPr>
            </w:pPr>
          </w:p>
        </w:tc>
      </w:tr>
      <w:tr w:rsidR="00AA7C54" w:rsidRPr="004B023E" w14:paraId="7EA9414A" w14:textId="77777777" w:rsidTr="00A027D5">
        <w:trPr>
          <w:cnfStyle w:val="000000010000" w:firstRow="0" w:lastRow="0" w:firstColumn="0" w:lastColumn="0" w:oddVBand="0" w:evenVBand="0" w:oddHBand="0" w:evenHBand="1" w:firstRowFirstColumn="0" w:firstRowLastColumn="0" w:lastRowFirstColumn="0" w:lastRowLastColumn="0"/>
          <w:cantSplit/>
        </w:trPr>
        <w:tc>
          <w:tcPr>
            <w:tcW w:w="1580" w:type="pct"/>
          </w:tcPr>
          <w:p w14:paraId="0FF1D94C" w14:textId="6035CABB" w:rsidR="00AA7C54" w:rsidRPr="00F30F9F" w:rsidRDefault="00AA7C54" w:rsidP="002210B3">
            <w:pPr>
              <w:tabs>
                <w:tab w:val="right" w:pos="1531"/>
              </w:tabs>
              <w:spacing w:after="120"/>
              <w:ind w:left="738" w:hanging="369"/>
              <w:rPr>
                <w:rFonts w:eastAsia="Times New Roman" w:cs="Arial"/>
                <w:noProof/>
                <w:lang w:eastAsia="en-AU"/>
              </w:rPr>
            </w:pPr>
            <w:r w:rsidRPr="00F30F9F">
              <w:rPr>
                <w:rFonts w:eastAsia="Times New Roman" w:cs="Arial"/>
                <w:noProof/>
                <w:lang w:eastAsia="en-AU"/>
              </w:rPr>
              <w:t>(c)</w:t>
            </w:r>
            <w:r w:rsidRPr="00F30F9F">
              <w:rPr>
                <w:rFonts w:eastAsia="Times New Roman" w:cs="Arial"/>
                <w:noProof/>
                <w:lang w:eastAsia="en-AU"/>
              </w:rPr>
              <w:tab/>
              <w:t>if the operation relates to the taking of live specimens that belong to a taxon specified in the regulations – the conditions that, under the regulations, are applicable to the welfare of the specimens are likely to be complied with; and</w:t>
            </w:r>
          </w:p>
        </w:tc>
        <w:tc>
          <w:tcPr>
            <w:tcW w:w="3420" w:type="pct"/>
          </w:tcPr>
          <w:p w14:paraId="74641FF3" w14:textId="77777777" w:rsidR="006F5122" w:rsidRDefault="00D23E1A" w:rsidP="002210B3">
            <w:pPr>
              <w:spacing w:after="120"/>
              <w:rPr>
                <w:rFonts w:cs="Arial"/>
                <w:b/>
              </w:rPr>
            </w:pPr>
            <w:r w:rsidRPr="00F30F9F">
              <w:rPr>
                <w:rFonts w:cs="Arial"/>
                <w:b/>
              </w:rPr>
              <w:t>Not applicable</w:t>
            </w:r>
          </w:p>
          <w:p w14:paraId="4C29E7AA" w14:textId="38AA329A" w:rsidR="00AA7C54" w:rsidRPr="00F30F9F" w:rsidRDefault="00D23E1A" w:rsidP="002210B3">
            <w:pPr>
              <w:spacing w:after="120"/>
              <w:rPr>
                <w:rFonts w:cs="Arial"/>
                <w:b/>
              </w:rPr>
            </w:pPr>
            <w:r w:rsidRPr="00F30F9F">
              <w:rPr>
                <w:rFonts w:cs="Arial"/>
              </w:rPr>
              <w:t xml:space="preserve">The </w:t>
            </w:r>
            <w:r w:rsidR="004B6C66">
              <w:rPr>
                <w:rFonts w:cs="Arial"/>
              </w:rPr>
              <w:t>EPBC Regulations 2000 S</w:t>
            </w:r>
            <w:r w:rsidRPr="00F30F9F">
              <w:rPr>
                <w:rFonts w:cs="Arial"/>
              </w:rPr>
              <w:t>ection 9A.05(2) do not specify fish as a class of animal in relation to the welfare of live specimens.</w:t>
            </w:r>
          </w:p>
        </w:tc>
      </w:tr>
      <w:tr w:rsidR="00AA7C54" w:rsidRPr="004B023E" w14:paraId="433F03A1" w14:textId="77777777" w:rsidTr="00A027D5">
        <w:trPr>
          <w:cnfStyle w:val="000000100000" w:firstRow="0" w:lastRow="0" w:firstColumn="0" w:lastColumn="0" w:oddVBand="0" w:evenVBand="0" w:oddHBand="1" w:evenHBand="0" w:firstRowFirstColumn="0" w:firstRowLastColumn="0" w:lastRowFirstColumn="0" w:lastRowLastColumn="0"/>
          <w:cantSplit/>
        </w:trPr>
        <w:tc>
          <w:tcPr>
            <w:tcW w:w="1580" w:type="pct"/>
          </w:tcPr>
          <w:p w14:paraId="3E3AC099" w14:textId="56AE805B" w:rsidR="00AA7C54" w:rsidRPr="00F30F9F" w:rsidRDefault="00AA7C54" w:rsidP="002210B3">
            <w:pPr>
              <w:tabs>
                <w:tab w:val="right" w:pos="1531"/>
              </w:tabs>
              <w:spacing w:after="120"/>
              <w:ind w:left="738" w:hanging="369"/>
              <w:rPr>
                <w:rFonts w:eastAsia="Times New Roman" w:cs="Arial"/>
                <w:noProof/>
                <w:lang w:eastAsia="en-AU"/>
              </w:rPr>
            </w:pPr>
            <w:r w:rsidRPr="00F30F9F">
              <w:rPr>
                <w:rFonts w:eastAsia="Times New Roman" w:cs="Arial"/>
                <w:noProof/>
                <w:lang w:eastAsia="en-AU"/>
              </w:rPr>
              <w:t>(d)</w:t>
            </w:r>
            <w:r w:rsidRPr="00F30F9F">
              <w:rPr>
                <w:rFonts w:eastAsia="Times New Roman" w:cs="Arial"/>
                <w:noProof/>
                <w:lang w:eastAsia="en-AU"/>
              </w:rPr>
              <w:tab/>
              <w:t>such other conditions (if any) as are specified in the regulations have been, or are likely to be, satisfied.</w:t>
            </w:r>
          </w:p>
        </w:tc>
        <w:tc>
          <w:tcPr>
            <w:tcW w:w="3420" w:type="pct"/>
          </w:tcPr>
          <w:p w14:paraId="3CE2C080" w14:textId="77777777" w:rsidR="006F5122" w:rsidRDefault="00AA7C54" w:rsidP="002210B3">
            <w:pPr>
              <w:spacing w:after="120"/>
              <w:rPr>
                <w:rFonts w:cs="Arial"/>
                <w:b/>
              </w:rPr>
            </w:pPr>
            <w:r w:rsidRPr="00F30F9F">
              <w:rPr>
                <w:rFonts w:cs="Arial"/>
                <w:b/>
              </w:rPr>
              <w:t>Not applicable</w:t>
            </w:r>
          </w:p>
          <w:p w14:paraId="6EFB8C37" w14:textId="3DECB4D9" w:rsidR="00AA7C54" w:rsidRPr="00F30F9F" w:rsidRDefault="00AA7C54" w:rsidP="002210B3">
            <w:pPr>
              <w:spacing w:after="120"/>
              <w:rPr>
                <w:rFonts w:cs="Arial"/>
                <w:b/>
              </w:rPr>
            </w:pPr>
            <w:r w:rsidRPr="00F30F9F">
              <w:rPr>
                <w:rFonts w:cs="Arial"/>
              </w:rPr>
              <w:t>No other conditions are specified in relation to the proposed operation in the EPBC Regulations</w:t>
            </w:r>
            <w:r w:rsidR="00045F88">
              <w:rPr>
                <w:rFonts w:cs="Arial"/>
              </w:rPr>
              <w:t xml:space="preserve"> 2000</w:t>
            </w:r>
            <w:r w:rsidRPr="00F30F9F">
              <w:rPr>
                <w:rFonts w:cs="Arial"/>
              </w:rPr>
              <w:t>.</w:t>
            </w:r>
          </w:p>
        </w:tc>
      </w:tr>
      <w:tr w:rsidR="00AA7C54" w:rsidRPr="004B023E" w14:paraId="376CFD45" w14:textId="77777777" w:rsidTr="00172704">
        <w:trPr>
          <w:cnfStyle w:val="000000010000" w:firstRow="0" w:lastRow="0" w:firstColumn="0" w:lastColumn="0" w:oddVBand="0" w:evenVBand="0" w:oddHBand="0" w:evenHBand="1" w:firstRowFirstColumn="0" w:firstRowLastColumn="0" w:lastRowFirstColumn="0" w:lastRowLastColumn="0"/>
          <w:cantSplit/>
        </w:trPr>
        <w:tc>
          <w:tcPr>
            <w:tcW w:w="1580" w:type="pct"/>
          </w:tcPr>
          <w:p w14:paraId="4B4A0418" w14:textId="77777777" w:rsidR="00AA7C54" w:rsidRPr="00F30F9F" w:rsidRDefault="00AA7C54" w:rsidP="002210B3">
            <w:pPr>
              <w:tabs>
                <w:tab w:val="right" w:pos="1021"/>
              </w:tabs>
              <w:spacing w:after="120"/>
              <w:ind w:left="426" w:hanging="426"/>
              <w:rPr>
                <w:rFonts w:eastAsia="Times New Roman" w:cs="Arial"/>
                <w:lang w:eastAsia="en-AU"/>
              </w:rPr>
            </w:pPr>
            <w:r w:rsidRPr="00F30F9F">
              <w:rPr>
                <w:rFonts w:eastAsia="Times New Roman" w:cs="Arial"/>
                <w:lang w:eastAsia="en-AU"/>
              </w:rPr>
              <w:lastRenderedPageBreak/>
              <w:t>(4)</w:t>
            </w:r>
            <w:r w:rsidRPr="00F30F9F">
              <w:rPr>
                <w:rFonts w:eastAsia="Times New Roman" w:cs="Arial"/>
                <w:lang w:eastAsia="en-AU"/>
              </w:rPr>
              <w:tab/>
              <w:t xml:space="preserve">In deciding whether to declare an operation as an approved wildlife trade operation the Minister must have </w:t>
            </w:r>
            <w:r w:rsidRPr="00F30F9F">
              <w:rPr>
                <w:rFonts w:eastAsia="Times New Roman" w:cs="Arial"/>
                <w:b/>
                <w:lang w:eastAsia="en-AU"/>
              </w:rPr>
              <w:t>regard</w:t>
            </w:r>
            <w:r w:rsidRPr="00F30F9F">
              <w:rPr>
                <w:rFonts w:eastAsia="Times New Roman" w:cs="Arial"/>
                <w:lang w:eastAsia="en-AU"/>
              </w:rPr>
              <w:t xml:space="preserve"> to:</w:t>
            </w:r>
          </w:p>
          <w:p w14:paraId="637B15D2" w14:textId="718BD745" w:rsidR="00AA7C54" w:rsidRPr="00F30F9F" w:rsidRDefault="00AA7C54" w:rsidP="002210B3">
            <w:pPr>
              <w:tabs>
                <w:tab w:val="right" w:pos="1531"/>
              </w:tabs>
              <w:spacing w:after="120"/>
              <w:ind w:left="738" w:hanging="369"/>
              <w:rPr>
                <w:rFonts w:eastAsia="Times New Roman" w:cs="Arial"/>
                <w:noProof/>
                <w:lang w:eastAsia="en-AU"/>
              </w:rPr>
            </w:pPr>
            <w:r w:rsidRPr="00F30F9F">
              <w:rPr>
                <w:rFonts w:eastAsia="Times New Roman" w:cs="Arial"/>
                <w:noProof/>
                <w:lang w:eastAsia="en-AU"/>
              </w:rPr>
              <w:t>(a)</w:t>
            </w:r>
            <w:r w:rsidRPr="00F30F9F">
              <w:rPr>
                <w:rFonts w:eastAsia="Times New Roman" w:cs="Arial"/>
                <w:noProof/>
                <w:lang w:eastAsia="en-AU"/>
              </w:rPr>
              <w:tab/>
              <w:t>the significance of the impact of the operation on an ecosystem (for example, an impact on habitat or biodiversity); and</w:t>
            </w:r>
          </w:p>
        </w:tc>
        <w:tc>
          <w:tcPr>
            <w:tcW w:w="3420" w:type="pct"/>
            <w:shd w:val="clear" w:color="auto" w:fill="92D050"/>
          </w:tcPr>
          <w:p w14:paraId="3D50AED8" w14:textId="77777777" w:rsidR="006F5122" w:rsidRDefault="00AA7C54" w:rsidP="002210B3">
            <w:pPr>
              <w:spacing w:after="120"/>
              <w:rPr>
                <w:b/>
              </w:rPr>
            </w:pPr>
            <w:r w:rsidRPr="00F30F9F">
              <w:rPr>
                <w:rFonts w:cs="Arial"/>
                <w:b/>
              </w:rPr>
              <w:t>Meets</w:t>
            </w:r>
            <w:r w:rsidR="00D13613">
              <w:rPr>
                <w:rFonts w:cs="Arial"/>
                <w:b/>
              </w:rPr>
              <w:t xml:space="preserve"> - </w:t>
            </w:r>
            <w:r w:rsidR="00D13613">
              <w:rPr>
                <w:b/>
              </w:rPr>
              <w:t>t</w:t>
            </w:r>
            <w:r w:rsidR="00D13613" w:rsidRPr="00BF234C">
              <w:rPr>
                <w:b/>
              </w:rPr>
              <w:t xml:space="preserve">he </w:t>
            </w:r>
            <w:r w:rsidR="00D13613">
              <w:rPr>
                <w:b/>
              </w:rPr>
              <w:t>operation</w:t>
            </w:r>
            <w:r w:rsidR="00D13613" w:rsidRPr="00BF234C">
              <w:rPr>
                <w:b/>
              </w:rPr>
              <w:t xml:space="preserve"> will not have a significant impact on an ecosystem within the next three years.</w:t>
            </w:r>
          </w:p>
          <w:p w14:paraId="04010D6F" w14:textId="5B71F1A8" w:rsidR="00AA7C54" w:rsidRPr="002210B3" w:rsidRDefault="00045F88" w:rsidP="002210B3">
            <w:pPr>
              <w:spacing w:after="120"/>
              <w:rPr>
                <w:b/>
              </w:rPr>
            </w:pPr>
            <w:r>
              <w:rPr>
                <w:rFonts w:cs="Arial"/>
              </w:rPr>
              <w:t>T</w:t>
            </w:r>
            <w:r w:rsidRPr="00F30F9F">
              <w:rPr>
                <w:rFonts w:cs="Arial"/>
              </w:rPr>
              <w:t xml:space="preserve">he proposed operation </w:t>
            </w:r>
            <w:r w:rsidR="00E53CD0">
              <w:rPr>
                <w:rFonts w:cs="Arial"/>
              </w:rPr>
              <w:t xml:space="preserve">will not </w:t>
            </w:r>
            <w:r w:rsidRPr="0075616F">
              <w:rPr>
                <w:rFonts w:cs="Arial"/>
              </w:rPr>
              <w:t>impact</w:t>
            </w:r>
            <w:r w:rsidRPr="00F30F9F">
              <w:rPr>
                <w:rFonts w:cs="Arial"/>
              </w:rPr>
              <w:t xml:space="preserve"> on relevant ecosystem</w:t>
            </w:r>
            <w:r w:rsidR="00E53CD0">
              <w:rPr>
                <w:rFonts w:cs="Arial"/>
              </w:rPr>
              <w:t xml:space="preserve">s </w:t>
            </w:r>
            <w:r w:rsidR="00E53CD0" w:rsidRPr="00F30F9F">
              <w:rPr>
                <w:rFonts w:cs="Arial"/>
              </w:rPr>
              <w:t xml:space="preserve">given the </w:t>
            </w:r>
            <w:r w:rsidR="00E53CD0">
              <w:rPr>
                <w:rFonts w:cs="Arial"/>
              </w:rPr>
              <w:t xml:space="preserve">operational arrangements </w:t>
            </w:r>
            <w:r w:rsidR="00E53CD0" w:rsidRPr="00F30F9F">
              <w:rPr>
                <w:rFonts w:cs="Arial"/>
              </w:rPr>
              <w:t>in place</w:t>
            </w:r>
            <w:r>
              <w:rPr>
                <w:rFonts w:cs="Arial"/>
              </w:rPr>
              <w:t>.</w:t>
            </w:r>
            <w:r w:rsidRPr="00F30F9F">
              <w:rPr>
                <w:rFonts w:cs="Arial"/>
              </w:rPr>
              <w:t xml:space="preserve"> </w:t>
            </w:r>
            <w:r>
              <w:rPr>
                <w:rFonts w:cs="Arial"/>
              </w:rPr>
              <w:t xml:space="preserve">It </w:t>
            </w:r>
            <w:r w:rsidRPr="00F30F9F">
              <w:rPr>
                <w:rFonts w:cs="Arial"/>
              </w:rPr>
              <w:t>is not collect</w:t>
            </w:r>
            <w:r>
              <w:rPr>
                <w:rFonts w:cs="Arial"/>
              </w:rPr>
              <w:t>ing</w:t>
            </w:r>
            <w:r w:rsidRPr="00F30F9F">
              <w:rPr>
                <w:rFonts w:cs="Arial"/>
              </w:rPr>
              <w:t xml:space="preserve"> lungfish</w:t>
            </w:r>
            <w:r>
              <w:rPr>
                <w:rFonts w:cs="Arial"/>
              </w:rPr>
              <w:t xml:space="preserve"> from the wild</w:t>
            </w:r>
            <w:r w:rsidRPr="00F30F9F">
              <w:rPr>
                <w:rFonts w:cs="Arial"/>
              </w:rPr>
              <w:t xml:space="preserve">, is using existing broodstock </w:t>
            </w:r>
            <w:r w:rsidR="0075616F">
              <w:rPr>
                <w:rFonts w:cs="Arial"/>
              </w:rPr>
              <w:t xml:space="preserve">in a closed/contained </w:t>
            </w:r>
            <w:r w:rsidR="00E53CD0">
              <w:rPr>
                <w:rFonts w:cs="Arial"/>
              </w:rPr>
              <w:t xml:space="preserve">aquaculture </w:t>
            </w:r>
            <w:r w:rsidR="0075616F">
              <w:rPr>
                <w:rFonts w:cs="Arial"/>
              </w:rPr>
              <w:t xml:space="preserve">facility </w:t>
            </w:r>
            <w:r w:rsidRPr="00F30F9F">
              <w:rPr>
                <w:rFonts w:cs="Arial"/>
              </w:rPr>
              <w:t>to raise future progeny</w:t>
            </w:r>
            <w:r>
              <w:rPr>
                <w:rFonts w:cs="Arial"/>
              </w:rPr>
              <w:t xml:space="preserve"> and will </w:t>
            </w:r>
            <w:r w:rsidRPr="00F30F9F">
              <w:rPr>
                <w:rFonts w:cs="Arial"/>
              </w:rPr>
              <w:t xml:space="preserve">not </w:t>
            </w:r>
            <w:r>
              <w:rPr>
                <w:rFonts w:cs="Arial"/>
              </w:rPr>
              <w:t xml:space="preserve">be </w:t>
            </w:r>
            <w:r w:rsidRPr="00F30F9F">
              <w:rPr>
                <w:rFonts w:cs="Arial"/>
              </w:rPr>
              <w:t>releasing stock to the wil</w:t>
            </w:r>
            <w:r w:rsidR="00E53CD0">
              <w:rPr>
                <w:rFonts w:cs="Arial"/>
              </w:rPr>
              <w:t>d</w:t>
            </w:r>
            <w:r w:rsidR="00AA7C54" w:rsidRPr="00F30F9F">
              <w:rPr>
                <w:rFonts w:cs="Arial"/>
              </w:rPr>
              <w:t>.</w:t>
            </w:r>
          </w:p>
        </w:tc>
      </w:tr>
      <w:tr w:rsidR="00AA7C54" w:rsidRPr="004B023E" w14:paraId="2A6FE297" w14:textId="77777777" w:rsidTr="00172704">
        <w:trPr>
          <w:cnfStyle w:val="000000100000" w:firstRow="0" w:lastRow="0" w:firstColumn="0" w:lastColumn="0" w:oddVBand="0" w:evenVBand="0" w:oddHBand="1" w:evenHBand="0" w:firstRowFirstColumn="0" w:firstRowLastColumn="0" w:lastRowFirstColumn="0" w:lastRowLastColumn="0"/>
          <w:cantSplit/>
        </w:trPr>
        <w:tc>
          <w:tcPr>
            <w:tcW w:w="1580" w:type="pct"/>
          </w:tcPr>
          <w:p w14:paraId="1DF8BA6B" w14:textId="127EBAF6" w:rsidR="00AA7C54" w:rsidRPr="00F30F9F" w:rsidRDefault="00AA7C54" w:rsidP="002210B3">
            <w:pPr>
              <w:tabs>
                <w:tab w:val="right" w:pos="1531"/>
              </w:tabs>
              <w:spacing w:after="120"/>
              <w:ind w:left="738" w:hanging="369"/>
              <w:rPr>
                <w:rFonts w:eastAsia="Times New Roman" w:cs="Arial"/>
                <w:noProof/>
                <w:lang w:eastAsia="en-AU"/>
              </w:rPr>
            </w:pPr>
            <w:r w:rsidRPr="00F30F9F">
              <w:rPr>
                <w:rFonts w:eastAsia="Times New Roman" w:cs="Arial"/>
                <w:noProof/>
                <w:lang w:eastAsia="en-AU"/>
              </w:rPr>
              <w:t>(b)</w:t>
            </w:r>
            <w:r w:rsidRPr="00F30F9F">
              <w:rPr>
                <w:rFonts w:eastAsia="Times New Roman" w:cs="Arial"/>
                <w:noProof/>
                <w:lang w:eastAsia="en-AU"/>
              </w:rPr>
              <w:tab/>
              <w:t>the effectiveness of the management arrangements for the operation (including monitoring procedures).</w:t>
            </w:r>
          </w:p>
        </w:tc>
        <w:tc>
          <w:tcPr>
            <w:tcW w:w="3420" w:type="pct"/>
            <w:shd w:val="clear" w:color="auto" w:fill="92D050"/>
          </w:tcPr>
          <w:p w14:paraId="06F095DA" w14:textId="06205B17" w:rsidR="00F25C20" w:rsidRDefault="00AA7C54" w:rsidP="002210B3">
            <w:pPr>
              <w:spacing w:after="120"/>
              <w:rPr>
                <w:rFonts w:cs="Arial"/>
                <w:b/>
              </w:rPr>
            </w:pPr>
            <w:r w:rsidRPr="00F30F9F">
              <w:rPr>
                <w:rFonts w:cs="Arial"/>
                <w:b/>
              </w:rPr>
              <w:t>Meets</w:t>
            </w:r>
            <w:r w:rsidR="00D13613">
              <w:rPr>
                <w:rFonts w:cs="Arial"/>
                <w:b/>
              </w:rPr>
              <w:t xml:space="preserve"> – the operation’s management arrangements are likely to be effective</w:t>
            </w:r>
            <w:r w:rsidR="001B57D4">
              <w:rPr>
                <w:rFonts w:cs="Arial"/>
                <w:b/>
              </w:rPr>
              <w:t xml:space="preserve"> because of the conditions</w:t>
            </w:r>
            <w:r w:rsidR="00D13613">
              <w:rPr>
                <w:rFonts w:cs="Arial"/>
                <w:b/>
              </w:rPr>
              <w:t xml:space="preserve">. </w:t>
            </w:r>
          </w:p>
          <w:p w14:paraId="69B51E1C" w14:textId="32EB67E4" w:rsidR="00AA7C54" w:rsidRPr="002210B3" w:rsidRDefault="00AA7C54" w:rsidP="002210B3">
            <w:pPr>
              <w:spacing w:after="120"/>
              <w:rPr>
                <w:rFonts w:cs="Arial"/>
                <w:b/>
              </w:rPr>
            </w:pPr>
            <w:r w:rsidRPr="00F30F9F">
              <w:rPr>
                <w:rFonts w:cs="Arial"/>
              </w:rPr>
              <w:t xml:space="preserve">Subject to the conditions proposed in Section </w:t>
            </w:r>
            <w:r w:rsidR="001B57D4">
              <w:rPr>
                <w:rFonts w:cs="Arial"/>
              </w:rPr>
              <w:t>2</w:t>
            </w:r>
            <w:r w:rsidRPr="00F30F9F">
              <w:rPr>
                <w:rFonts w:cs="Arial"/>
              </w:rPr>
              <w:t xml:space="preserve"> of this report, the management arrangements </w:t>
            </w:r>
            <w:r w:rsidR="00C9688D">
              <w:rPr>
                <w:rFonts w:cs="Arial"/>
              </w:rPr>
              <w:t>including</w:t>
            </w:r>
            <w:r w:rsidR="00437C83">
              <w:rPr>
                <w:rFonts w:cs="Arial"/>
              </w:rPr>
              <w:t xml:space="preserve"> </w:t>
            </w:r>
            <w:r w:rsidR="00F25C20">
              <w:rPr>
                <w:rFonts w:cs="Arial"/>
              </w:rPr>
              <w:t xml:space="preserve">under </w:t>
            </w:r>
            <w:r w:rsidR="003767C1">
              <w:rPr>
                <w:rFonts w:cs="Arial"/>
              </w:rPr>
              <w:t xml:space="preserve">Jardini’s Queensland </w:t>
            </w:r>
            <w:r w:rsidR="00F25C20">
              <w:rPr>
                <w:rFonts w:cs="Arial"/>
              </w:rPr>
              <w:t>G</w:t>
            </w:r>
            <w:r w:rsidR="003767C1">
              <w:rPr>
                <w:rFonts w:cs="Arial"/>
              </w:rPr>
              <w:t>overnment Aquaculture Development Approval</w:t>
            </w:r>
            <w:r w:rsidR="00AB6CFA">
              <w:rPr>
                <w:rFonts w:cs="Arial"/>
              </w:rPr>
              <w:t xml:space="preserve">, </w:t>
            </w:r>
            <w:r w:rsidR="00F25C20">
              <w:rPr>
                <w:rFonts w:cs="Arial"/>
              </w:rPr>
              <w:t>G</w:t>
            </w:r>
            <w:r w:rsidR="00AB6CFA">
              <w:rPr>
                <w:rFonts w:cs="Arial"/>
              </w:rPr>
              <w:t xml:space="preserve">eneral </w:t>
            </w:r>
            <w:r w:rsidR="00F25C20">
              <w:rPr>
                <w:rFonts w:cs="Arial"/>
              </w:rPr>
              <w:t>F</w:t>
            </w:r>
            <w:r w:rsidR="00AB6CFA">
              <w:rPr>
                <w:rFonts w:cs="Arial"/>
              </w:rPr>
              <w:t xml:space="preserve">isheries </w:t>
            </w:r>
            <w:r w:rsidR="00F25C20">
              <w:rPr>
                <w:rFonts w:cs="Arial"/>
              </w:rPr>
              <w:t>P</w:t>
            </w:r>
            <w:r w:rsidR="00AB6CFA">
              <w:rPr>
                <w:rFonts w:cs="Arial"/>
              </w:rPr>
              <w:t xml:space="preserve">ermit </w:t>
            </w:r>
            <w:r w:rsidR="00437C83">
              <w:rPr>
                <w:rFonts w:cs="Arial"/>
              </w:rPr>
              <w:t xml:space="preserve">and the </w:t>
            </w:r>
            <w:r w:rsidR="00437C83" w:rsidRPr="00F25C20">
              <w:rPr>
                <w:rFonts w:cs="Arial"/>
                <w:i/>
              </w:rPr>
              <w:t xml:space="preserve">Queensland </w:t>
            </w:r>
            <w:r w:rsidR="00AB6CFA" w:rsidRPr="00F25C20">
              <w:rPr>
                <w:rFonts w:cs="Arial"/>
                <w:i/>
              </w:rPr>
              <w:t>Broo</w:t>
            </w:r>
            <w:r w:rsidR="00437C83" w:rsidRPr="00F25C20">
              <w:rPr>
                <w:rFonts w:cs="Arial"/>
                <w:i/>
              </w:rPr>
              <w:t>dstock and Culture Stock Collection Policy</w:t>
            </w:r>
            <w:r w:rsidR="002D7FDA">
              <w:rPr>
                <w:rFonts w:cs="Arial"/>
                <w:iCs/>
              </w:rPr>
              <w:t xml:space="preserve"> (2018)</w:t>
            </w:r>
            <w:r w:rsidR="00437C83">
              <w:rPr>
                <w:rFonts w:cs="Arial"/>
              </w:rPr>
              <w:t xml:space="preserve"> </w:t>
            </w:r>
            <w:r w:rsidRPr="00F30F9F">
              <w:rPr>
                <w:rFonts w:cs="Arial"/>
              </w:rPr>
              <w:t xml:space="preserve">as </w:t>
            </w:r>
            <w:r w:rsidR="00437C83">
              <w:rPr>
                <w:rFonts w:cs="Arial"/>
              </w:rPr>
              <w:t xml:space="preserve">well as those arrangements </w:t>
            </w:r>
            <w:r w:rsidRPr="00F30F9F">
              <w:rPr>
                <w:rFonts w:cs="Arial"/>
              </w:rPr>
              <w:t xml:space="preserve">outlined in the </w:t>
            </w:r>
            <w:r w:rsidR="00F25C20">
              <w:rPr>
                <w:rFonts w:cs="Arial"/>
              </w:rPr>
              <w:t>application</w:t>
            </w:r>
            <w:r w:rsidRPr="00F30F9F">
              <w:rPr>
                <w:rFonts w:cs="Arial"/>
              </w:rPr>
              <w:t xml:space="preserve">, are likely to be effective. </w:t>
            </w:r>
          </w:p>
          <w:p w14:paraId="5ADF53F8" w14:textId="0BFD5FDC" w:rsidR="00084F2C" w:rsidRDefault="00AA7C54" w:rsidP="00084F2C">
            <w:pPr>
              <w:rPr>
                <w:lang w:eastAsia="en-AU"/>
              </w:rPr>
            </w:pPr>
            <w:r w:rsidRPr="00F30F9F">
              <w:rPr>
                <w:rFonts w:cs="Arial"/>
              </w:rPr>
              <w:t>Note, the Department recommends PIT tags remain a condition on exported lungfish</w:t>
            </w:r>
            <w:r w:rsidR="00BD392B">
              <w:rPr>
                <w:rFonts w:cs="Arial"/>
              </w:rPr>
              <w:t xml:space="preserve"> with a revision that </w:t>
            </w:r>
            <w:r w:rsidR="00BD392B" w:rsidRPr="007C675F">
              <w:rPr>
                <w:rFonts w:cs="Arial"/>
              </w:rPr>
              <w:t xml:space="preserve">an alternative marking technology system </w:t>
            </w:r>
            <w:r w:rsidR="00BD392B">
              <w:rPr>
                <w:rFonts w:cs="Arial"/>
              </w:rPr>
              <w:t xml:space="preserve">can be used if </w:t>
            </w:r>
            <w:r w:rsidR="00BD392B" w:rsidRPr="007C675F">
              <w:rPr>
                <w:rFonts w:cs="Arial"/>
              </w:rPr>
              <w:t>approved by the Department</w:t>
            </w:r>
            <w:r w:rsidRPr="00F30F9F">
              <w:rPr>
                <w:rFonts w:cs="Arial"/>
              </w:rPr>
              <w:t xml:space="preserve">. </w:t>
            </w:r>
            <w:r w:rsidR="00084F2C">
              <w:rPr>
                <w:rFonts w:cs="Arial"/>
              </w:rPr>
              <w:t xml:space="preserve">PIT </w:t>
            </w:r>
            <w:r w:rsidR="00084F2C" w:rsidRPr="002F3BB5">
              <w:rPr>
                <w:lang w:eastAsia="en-AU"/>
              </w:rPr>
              <w:t>tag</w:t>
            </w:r>
            <w:r w:rsidR="00084F2C">
              <w:rPr>
                <w:lang w:eastAsia="en-AU"/>
              </w:rPr>
              <w:t xml:space="preserve">s help authenticate the legal source of fish, that they are from an authorised </w:t>
            </w:r>
            <w:r w:rsidR="00A7497C">
              <w:rPr>
                <w:lang w:eastAsia="en-AU"/>
              </w:rPr>
              <w:t xml:space="preserve">sustainable </w:t>
            </w:r>
            <w:r w:rsidR="00084F2C">
              <w:rPr>
                <w:lang w:eastAsia="en-AU"/>
              </w:rPr>
              <w:t>aquaculture facility and not illegally taken from the wild</w:t>
            </w:r>
            <w:r w:rsidR="00084F2C" w:rsidRPr="002F3BB5">
              <w:rPr>
                <w:lang w:eastAsia="en-AU"/>
              </w:rPr>
              <w:t>.</w:t>
            </w:r>
            <w:r w:rsidR="00084F2C">
              <w:rPr>
                <w:lang w:eastAsia="en-AU"/>
              </w:rPr>
              <w:t xml:space="preserve"> </w:t>
            </w:r>
            <w:r w:rsidRPr="00F30F9F">
              <w:rPr>
                <w:rFonts w:cs="Arial"/>
              </w:rPr>
              <w:t xml:space="preserve">Jardini’s 2020 </w:t>
            </w:r>
            <w:r>
              <w:rPr>
                <w:rFonts w:cs="Arial"/>
              </w:rPr>
              <w:t>application</w:t>
            </w:r>
            <w:r w:rsidRPr="00F30F9F">
              <w:rPr>
                <w:rFonts w:cs="Arial"/>
              </w:rPr>
              <w:t xml:space="preserve"> request</w:t>
            </w:r>
            <w:r w:rsidR="00372BB0">
              <w:rPr>
                <w:rFonts w:cs="Arial"/>
              </w:rPr>
              <w:t>s</w:t>
            </w:r>
            <w:r w:rsidRPr="00F30F9F">
              <w:rPr>
                <w:rFonts w:cs="Arial"/>
              </w:rPr>
              <w:t xml:space="preserve"> the condition be removed </w:t>
            </w:r>
            <w:r w:rsidR="00F25C20">
              <w:rPr>
                <w:rFonts w:cs="Arial"/>
              </w:rPr>
              <w:t>as</w:t>
            </w:r>
            <w:r w:rsidRPr="00F30F9F">
              <w:rPr>
                <w:rFonts w:cs="Arial"/>
              </w:rPr>
              <w:t xml:space="preserve"> it </w:t>
            </w:r>
            <w:r w:rsidR="00CF1FFE">
              <w:rPr>
                <w:rFonts w:cs="Arial"/>
              </w:rPr>
              <w:t xml:space="preserve">states </w:t>
            </w:r>
            <w:r w:rsidR="0093217A">
              <w:rPr>
                <w:rFonts w:cs="Arial"/>
              </w:rPr>
              <w:t xml:space="preserve">it </w:t>
            </w:r>
            <w:r w:rsidRPr="00F30F9F">
              <w:rPr>
                <w:rFonts w:cs="Arial"/>
              </w:rPr>
              <w:t xml:space="preserve">could reduce black market sales </w:t>
            </w:r>
            <w:r w:rsidR="00372BB0">
              <w:rPr>
                <w:rFonts w:cs="Arial"/>
              </w:rPr>
              <w:t xml:space="preserve">of juvenile lungfish </w:t>
            </w:r>
            <w:r w:rsidRPr="00F30F9F">
              <w:rPr>
                <w:rFonts w:cs="Arial"/>
              </w:rPr>
              <w:t>by enabling smaller stock to be sold from Jardini’s operation</w:t>
            </w:r>
            <w:r w:rsidR="00372BB0">
              <w:rPr>
                <w:rFonts w:cs="Arial"/>
              </w:rPr>
              <w:t xml:space="preserve"> (current tagging requires fish to be 8cm or larger</w:t>
            </w:r>
            <w:r w:rsidR="00373812">
              <w:rPr>
                <w:rFonts w:cs="Arial"/>
              </w:rPr>
              <w:t>, while the black market sells them smaller than this</w:t>
            </w:r>
            <w:r w:rsidR="00372BB0">
              <w:rPr>
                <w:rFonts w:cs="Arial"/>
              </w:rPr>
              <w:t>)</w:t>
            </w:r>
            <w:r w:rsidRPr="00F30F9F">
              <w:rPr>
                <w:rFonts w:cs="Arial"/>
              </w:rPr>
              <w:t xml:space="preserve">, tagging is not a CITES II requirement (but it does apply to CITES I species) and commercial reasons. </w:t>
            </w:r>
          </w:p>
          <w:p w14:paraId="7B6C600F" w14:textId="5AA1EFF9" w:rsidR="00284225" w:rsidRPr="002D7FDA" w:rsidRDefault="00284225" w:rsidP="00284225">
            <w:pPr>
              <w:spacing w:after="120"/>
              <w:rPr>
                <w:rFonts w:cs="Arial"/>
                <w:i/>
              </w:rPr>
            </w:pPr>
          </w:p>
          <w:p w14:paraId="6A145E3B" w14:textId="1F225E1A" w:rsidR="002D7FDA" w:rsidRPr="002D7FDA" w:rsidRDefault="002D7FDA" w:rsidP="002210B3">
            <w:pPr>
              <w:spacing w:after="120"/>
              <w:rPr>
                <w:rFonts w:cs="Arial"/>
                <w:i/>
              </w:rPr>
            </w:pPr>
          </w:p>
        </w:tc>
      </w:tr>
      <w:tr w:rsidR="00AA7C54" w:rsidRPr="004B023E" w14:paraId="33406E96" w14:textId="77777777" w:rsidTr="00172704">
        <w:trPr>
          <w:cnfStyle w:val="000000010000" w:firstRow="0" w:lastRow="0" w:firstColumn="0" w:lastColumn="0" w:oddVBand="0" w:evenVBand="0" w:oddHBand="0" w:evenHBand="1" w:firstRowFirstColumn="0" w:firstRowLastColumn="0" w:lastRowFirstColumn="0" w:lastRowLastColumn="0"/>
          <w:cantSplit/>
        </w:trPr>
        <w:tc>
          <w:tcPr>
            <w:tcW w:w="1580" w:type="pct"/>
          </w:tcPr>
          <w:p w14:paraId="3F420570" w14:textId="77777777" w:rsidR="00AA7C54" w:rsidRPr="00F30F9F" w:rsidRDefault="00AA7C54" w:rsidP="002210B3">
            <w:pPr>
              <w:tabs>
                <w:tab w:val="right" w:pos="1021"/>
              </w:tabs>
              <w:spacing w:after="120"/>
              <w:ind w:left="426" w:hanging="426"/>
              <w:rPr>
                <w:rFonts w:eastAsia="Times New Roman" w:cs="Arial"/>
                <w:lang w:eastAsia="en-AU"/>
              </w:rPr>
            </w:pPr>
            <w:r w:rsidRPr="00F30F9F">
              <w:rPr>
                <w:rFonts w:eastAsia="Times New Roman" w:cs="Arial"/>
                <w:lang w:eastAsia="en-AU"/>
              </w:rPr>
              <w:lastRenderedPageBreak/>
              <w:t>(5)</w:t>
            </w:r>
            <w:r w:rsidRPr="00F30F9F">
              <w:rPr>
                <w:rFonts w:eastAsia="Times New Roman" w:cs="Arial"/>
                <w:lang w:eastAsia="en-AU"/>
              </w:rPr>
              <w:tab/>
              <w:t xml:space="preserve">In deciding whether to declare an operation as an approved wildlife trade operation the Minister must have </w:t>
            </w:r>
            <w:r w:rsidRPr="00F30F9F">
              <w:rPr>
                <w:rFonts w:eastAsia="Times New Roman" w:cs="Arial"/>
                <w:b/>
                <w:lang w:eastAsia="en-AU"/>
              </w:rPr>
              <w:t>regard</w:t>
            </w:r>
            <w:r w:rsidRPr="00F30F9F">
              <w:rPr>
                <w:rFonts w:eastAsia="Times New Roman" w:cs="Arial"/>
                <w:lang w:eastAsia="en-AU"/>
              </w:rPr>
              <w:t xml:space="preserve"> to:</w:t>
            </w:r>
          </w:p>
          <w:p w14:paraId="62D75D7F" w14:textId="77777777" w:rsidR="00AA7C54" w:rsidRPr="00F30F9F" w:rsidRDefault="00AA7C54" w:rsidP="002210B3">
            <w:pPr>
              <w:tabs>
                <w:tab w:val="right" w:pos="1531"/>
              </w:tabs>
              <w:spacing w:after="120"/>
              <w:ind w:left="738" w:hanging="369"/>
              <w:rPr>
                <w:rFonts w:eastAsia="Times New Roman" w:cs="Arial"/>
                <w:noProof/>
                <w:lang w:eastAsia="en-AU"/>
              </w:rPr>
            </w:pPr>
            <w:r w:rsidRPr="00F30F9F">
              <w:rPr>
                <w:rFonts w:eastAsia="Times New Roman" w:cs="Arial"/>
                <w:noProof/>
                <w:lang w:eastAsia="en-AU"/>
              </w:rPr>
              <w:t>(a)</w:t>
            </w:r>
            <w:r w:rsidRPr="00F30F9F">
              <w:rPr>
                <w:rFonts w:eastAsia="Times New Roman" w:cs="Arial"/>
                <w:noProof/>
                <w:lang w:eastAsia="en-AU"/>
              </w:rPr>
              <w:tab/>
              <w:t>whether legislation relating to the protection, conservation or management of the specimens to which the operation relates is in force in the State or Territory concerned; and</w:t>
            </w:r>
          </w:p>
          <w:p w14:paraId="7B2AB9BC" w14:textId="77777777" w:rsidR="00AA7C54" w:rsidRPr="00F30F9F" w:rsidRDefault="00AA7C54" w:rsidP="002210B3">
            <w:pPr>
              <w:tabs>
                <w:tab w:val="right" w:pos="1531"/>
              </w:tabs>
              <w:spacing w:after="120"/>
              <w:ind w:left="738" w:hanging="369"/>
              <w:rPr>
                <w:rFonts w:eastAsia="Times New Roman" w:cs="Arial"/>
                <w:noProof/>
                <w:lang w:eastAsia="en-AU"/>
              </w:rPr>
            </w:pPr>
            <w:r w:rsidRPr="00F30F9F">
              <w:rPr>
                <w:rFonts w:eastAsia="Times New Roman" w:cs="Arial"/>
                <w:noProof/>
                <w:lang w:eastAsia="en-AU"/>
              </w:rPr>
              <w:t>(b)</w:t>
            </w:r>
            <w:r w:rsidRPr="00F30F9F">
              <w:rPr>
                <w:rFonts w:eastAsia="Times New Roman" w:cs="Arial"/>
                <w:noProof/>
                <w:lang w:eastAsia="en-AU"/>
              </w:rPr>
              <w:tab/>
              <w:t>whether the legislation applies throughout the State or Territory concerned; and</w:t>
            </w:r>
          </w:p>
          <w:p w14:paraId="21547693" w14:textId="31245104" w:rsidR="00AA7C54" w:rsidRPr="00F30F9F" w:rsidRDefault="00AA7C54" w:rsidP="002210B3">
            <w:pPr>
              <w:tabs>
                <w:tab w:val="right" w:pos="1531"/>
              </w:tabs>
              <w:spacing w:after="120"/>
              <w:ind w:left="738" w:hanging="369"/>
              <w:rPr>
                <w:rFonts w:eastAsia="Times New Roman" w:cs="Arial"/>
                <w:noProof/>
                <w:lang w:eastAsia="en-AU"/>
              </w:rPr>
            </w:pPr>
            <w:r w:rsidRPr="00F30F9F">
              <w:rPr>
                <w:rFonts w:eastAsia="Times New Roman" w:cs="Arial"/>
                <w:noProof/>
                <w:lang w:eastAsia="en-AU"/>
              </w:rPr>
              <w:t>(c)</w:t>
            </w:r>
            <w:r w:rsidRPr="00F30F9F">
              <w:rPr>
                <w:rFonts w:eastAsia="Times New Roman" w:cs="Arial"/>
                <w:noProof/>
                <w:lang w:eastAsia="en-AU"/>
              </w:rPr>
              <w:tab/>
              <w:t>whether, in the opinion of the Minister, the legislation is effective.</w:t>
            </w:r>
          </w:p>
        </w:tc>
        <w:tc>
          <w:tcPr>
            <w:tcW w:w="3420" w:type="pct"/>
            <w:shd w:val="clear" w:color="auto" w:fill="92D050"/>
          </w:tcPr>
          <w:p w14:paraId="163B3A74" w14:textId="708D9298" w:rsidR="00767BD6" w:rsidRDefault="00AA7C54" w:rsidP="002210B3">
            <w:pPr>
              <w:pStyle w:val="NormalWeb"/>
              <w:spacing w:before="0" w:beforeAutospacing="0" w:after="120" w:afterAutospacing="0" w:line="276" w:lineRule="auto"/>
              <w:rPr>
                <w:rFonts w:ascii="Arial" w:hAnsi="Arial" w:cs="Arial"/>
                <w:b/>
                <w:sz w:val="22"/>
                <w:szCs w:val="22"/>
              </w:rPr>
            </w:pPr>
            <w:r w:rsidRPr="00F30F9F">
              <w:rPr>
                <w:rFonts w:ascii="Arial" w:hAnsi="Arial" w:cs="Arial"/>
                <w:b/>
                <w:sz w:val="22"/>
                <w:szCs w:val="22"/>
              </w:rPr>
              <w:t>Meets</w:t>
            </w:r>
            <w:r w:rsidR="00A60B0D">
              <w:rPr>
                <w:rFonts w:ascii="Arial" w:hAnsi="Arial" w:cs="Arial"/>
                <w:b/>
                <w:sz w:val="22"/>
                <w:szCs w:val="22"/>
              </w:rPr>
              <w:t xml:space="preserve"> </w:t>
            </w:r>
            <w:r w:rsidR="00521C5F">
              <w:rPr>
                <w:rFonts w:ascii="Arial" w:hAnsi="Arial" w:cs="Arial"/>
                <w:b/>
                <w:sz w:val="22"/>
                <w:szCs w:val="22"/>
              </w:rPr>
              <w:t>–</w:t>
            </w:r>
            <w:r w:rsidR="00A60B0D">
              <w:rPr>
                <w:rFonts w:ascii="Arial" w:hAnsi="Arial" w:cs="Arial"/>
                <w:b/>
                <w:sz w:val="22"/>
                <w:szCs w:val="22"/>
              </w:rPr>
              <w:t xml:space="preserve"> </w:t>
            </w:r>
            <w:r w:rsidR="00481EA9">
              <w:rPr>
                <w:rFonts w:ascii="Arial" w:hAnsi="Arial" w:cs="Arial"/>
                <w:b/>
                <w:sz w:val="22"/>
                <w:szCs w:val="22"/>
              </w:rPr>
              <w:t>Qld</w:t>
            </w:r>
            <w:r w:rsidR="00521C5F">
              <w:rPr>
                <w:rFonts w:ascii="Arial" w:hAnsi="Arial" w:cs="Arial"/>
                <w:b/>
                <w:sz w:val="22"/>
                <w:szCs w:val="22"/>
              </w:rPr>
              <w:t>’s legislation is effectively in force throughout the state.</w:t>
            </w:r>
          </w:p>
          <w:p w14:paraId="4055B653" w14:textId="2AB910AC" w:rsidR="00AA7C54" w:rsidRPr="00F30F9F" w:rsidRDefault="00AA7C54" w:rsidP="0085086C">
            <w:pPr>
              <w:pStyle w:val="NormalWeb"/>
              <w:spacing w:before="0" w:beforeAutospacing="0" w:after="120" w:afterAutospacing="0" w:line="276" w:lineRule="auto"/>
              <w:rPr>
                <w:rFonts w:cs="Arial"/>
              </w:rPr>
            </w:pPr>
            <w:r w:rsidRPr="00F30F9F">
              <w:rPr>
                <w:rFonts w:ascii="Arial" w:hAnsi="Arial" w:cs="Arial"/>
                <w:sz w:val="22"/>
                <w:szCs w:val="22"/>
                <w:lang w:val="en-GB"/>
              </w:rPr>
              <w:t xml:space="preserve">Australian lungfish </w:t>
            </w:r>
            <w:r w:rsidR="005752BC">
              <w:rPr>
                <w:rFonts w:ascii="Arial" w:hAnsi="Arial" w:cs="Arial"/>
                <w:sz w:val="22"/>
                <w:szCs w:val="22"/>
                <w:lang w:val="en-GB"/>
              </w:rPr>
              <w:t xml:space="preserve">are </w:t>
            </w:r>
            <w:r w:rsidRPr="00F30F9F">
              <w:rPr>
                <w:rFonts w:ascii="Arial" w:hAnsi="Arial" w:cs="Arial"/>
                <w:sz w:val="22"/>
                <w:szCs w:val="22"/>
                <w:lang w:val="en-GB"/>
              </w:rPr>
              <w:t xml:space="preserve">protected under the </w:t>
            </w:r>
            <w:r w:rsidRPr="00F30F9F">
              <w:rPr>
                <w:rFonts w:ascii="Arial" w:hAnsi="Arial" w:cs="Arial"/>
                <w:i/>
                <w:iCs/>
                <w:sz w:val="22"/>
                <w:szCs w:val="22"/>
                <w:lang w:val="en-GB"/>
              </w:rPr>
              <w:t xml:space="preserve">Fisheries Act 1994 </w:t>
            </w:r>
            <w:r w:rsidRPr="00F30F9F">
              <w:rPr>
                <w:rFonts w:ascii="Arial" w:hAnsi="Arial" w:cs="Arial"/>
                <w:iCs/>
                <w:sz w:val="22"/>
                <w:szCs w:val="22"/>
                <w:lang w:val="en-GB"/>
              </w:rPr>
              <w:t>(Qld)</w:t>
            </w:r>
            <w:r w:rsidRPr="00F30F9F">
              <w:rPr>
                <w:rFonts w:ascii="Arial" w:hAnsi="Arial" w:cs="Arial"/>
                <w:i/>
                <w:iCs/>
                <w:sz w:val="22"/>
                <w:szCs w:val="22"/>
                <w:lang w:val="en-GB"/>
              </w:rPr>
              <w:t xml:space="preserve">. </w:t>
            </w:r>
            <w:r w:rsidRPr="00F30F9F">
              <w:rPr>
                <w:rFonts w:ascii="Arial" w:hAnsi="Arial" w:cs="Arial"/>
                <w:sz w:val="22"/>
                <w:szCs w:val="22"/>
                <w:lang w:val="en-GB"/>
              </w:rPr>
              <w:t xml:space="preserve">The Act prohibits fishing </w:t>
            </w:r>
            <w:r w:rsidR="00C9658A">
              <w:rPr>
                <w:rFonts w:ascii="Arial" w:hAnsi="Arial" w:cs="Arial"/>
                <w:sz w:val="22"/>
                <w:szCs w:val="22"/>
                <w:lang w:val="en-GB"/>
              </w:rPr>
              <w:t>for</w:t>
            </w:r>
            <w:r w:rsidRPr="00F30F9F">
              <w:rPr>
                <w:rFonts w:ascii="Arial" w:hAnsi="Arial" w:cs="Arial"/>
                <w:sz w:val="22"/>
                <w:szCs w:val="22"/>
                <w:lang w:val="en-GB"/>
              </w:rPr>
              <w:t xml:space="preserve">  </w:t>
            </w:r>
            <w:r w:rsidR="00D57B19">
              <w:rPr>
                <w:rFonts w:ascii="Arial" w:hAnsi="Arial" w:cs="Arial"/>
                <w:sz w:val="22"/>
                <w:szCs w:val="22"/>
                <w:lang w:val="en-GB"/>
              </w:rPr>
              <w:t xml:space="preserve">Australian lungfish </w:t>
            </w:r>
            <w:r w:rsidRPr="00F30F9F">
              <w:rPr>
                <w:rFonts w:ascii="Arial" w:hAnsi="Arial" w:cs="Arial"/>
                <w:sz w:val="22"/>
                <w:szCs w:val="22"/>
                <w:lang w:val="en-GB"/>
              </w:rPr>
              <w:t xml:space="preserve">and collection requires a </w:t>
            </w:r>
            <w:r w:rsidRPr="00F30F9F">
              <w:rPr>
                <w:rFonts w:ascii="Arial" w:hAnsi="Arial" w:cs="Arial"/>
                <w:color w:val="222222"/>
                <w:sz w:val="22"/>
                <w:szCs w:val="22"/>
                <w:lang w:eastAsia="en-AU"/>
              </w:rPr>
              <w:t>General Fisheries</w:t>
            </w:r>
            <w:r w:rsidRPr="00F30F9F">
              <w:rPr>
                <w:rFonts w:ascii="Arial" w:hAnsi="Arial" w:cs="Arial"/>
                <w:sz w:val="22"/>
                <w:szCs w:val="22"/>
                <w:lang w:val="en-GB"/>
              </w:rPr>
              <w:t xml:space="preserve"> </w:t>
            </w:r>
            <w:r w:rsidRPr="00F30F9F">
              <w:rPr>
                <w:rFonts w:ascii="Arial" w:hAnsi="Arial" w:cs="Arial"/>
                <w:color w:val="222222"/>
                <w:sz w:val="22"/>
                <w:szCs w:val="22"/>
                <w:lang w:eastAsia="en-AU"/>
              </w:rPr>
              <w:t>Permit</w:t>
            </w:r>
            <w:r w:rsidRPr="00F30F9F">
              <w:rPr>
                <w:rFonts w:ascii="Arial" w:hAnsi="Arial" w:cs="Arial"/>
                <w:sz w:val="22"/>
                <w:szCs w:val="22"/>
                <w:lang w:val="en-GB"/>
              </w:rPr>
              <w:t xml:space="preserve"> </w:t>
            </w:r>
            <w:r w:rsidR="00B93A0D">
              <w:rPr>
                <w:rFonts w:ascii="Arial" w:hAnsi="Arial" w:cs="Arial"/>
                <w:sz w:val="22"/>
                <w:szCs w:val="22"/>
                <w:lang w:val="en-GB"/>
              </w:rPr>
              <w:t>for b</w:t>
            </w:r>
            <w:r w:rsidR="00B93A0D" w:rsidRPr="00F30F9F">
              <w:rPr>
                <w:rFonts w:ascii="Arial" w:hAnsi="Arial" w:cs="Arial"/>
                <w:color w:val="222222"/>
                <w:sz w:val="22"/>
                <w:szCs w:val="22"/>
                <w:lang w:eastAsia="en-AU"/>
              </w:rPr>
              <w:t>roodstock</w:t>
            </w:r>
            <w:r w:rsidRPr="00F30F9F">
              <w:rPr>
                <w:rFonts w:ascii="Arial" w:hAnsi="Arial" w:cs="Arial"/>
                <w:iCs/>
                <w:sz w:val="22"/>
                <w:szCs w:val="22"/>
                <w:lang w:val="en-GB"/>
              </w:rPr>
              <w:t>.</w:t>
            </w:r>
            <w:r w:rsidR="004B1E1D">
              <w:rPr>
                <w:rFonts w:ascii="Arial" w:hAnsi="Arial" w:cs="Arial"/>
                <w:iCs/>
                <w:sz w:val="22"/>
                <w:szCs w:val="22"/>
                <w:lang w:val="en-GB"/>
              </w:rPr>
              <w:t xml:space="preserve"> </w:t>
            </w:r>
          </w:p>
        </w:tc>
      </w:tr>
    </w:tbl>
    <w:p w14:paraId="0B120EDC" w14:textId="77777777" w:rsidR="00465FDA" w:rsidRDefault="00465FDA"/>
    <w:tbl>
      <w:tblPr>
        <w:tblStyle w:val="TableGrid12"/>
        <w:tblW w:w="5000" w:type="pct"/>
        <w:tblLook w:val="04A0" w:firstRow="1" w:lastRow="0" w:firstColumn="1" w:lastColumn="0" w:noHBand="0" w:noVBand="1"/>
      </w:tblPr>
      <w:tblGrid>
        <w:gridCol w:w="4690"/>
        <w:gridCol w:w="10153"/>
      </w:tblGrid>
      <w:tr w:rsidR="00CC4C93" w:rsidRPr="0049138B" w14:paraId="5C9FA6D3" w14:textId="77777777" w:rsidTr="00656660">
        <w:trPr>
          <w:cnfStyle w:val="100000000000" w:firstRow="1" w:lastRow="0" w:firstColumn="0" w:lastColumn="0" w:oddVBand="0" w:evenVBand="0" w:oddHBand="0" w:evenHBand="0" w:firstRowFirstColumn="0" w:firstRowLastColumn="0" w:lastRowFirstColumn="0" w:lastRowLastColumn="0"/>
          <w:cantSplit/>
        </w:trPr>
        <w:tc>
          <w:tcPr>
            <w:tcW w:w="1580" w:type="pct"/>
          </w:tcPr>
          <w:p w14:paraId="50E0D5F1" w14:textId="12CD8269" w:rsidR="00CC4C93" w:rsidRPr="00F30F9F" w:rsidRDefault="00CC4C93" w:rsidP="002210B3">
            <w:pPr>
              <w:tabs>
                <w:tab w:val="right" w:pos="1021"/>
              </w:tabs>
              <w:spacing w:after="120"/>
              <w:ind w:left="567" w:hanging="567"/>
              <w:rPr>
                <w:rFonts w:eastAsia="Times New Roman" w:cs="Arial"/>
                <w:lang w:eastAsia="en-AU"/>
              </w:rPr>
            </w:pPr>
            <w:r w:rsidRPr="00F30F9F">
              <w:rPr>
                <w:rFonts w:eastAsia="Times New Roman" w:cs="Arial"/>
                <w:lang w:eastAsia="en-AU"/>
              </w:rPr>
              <w:lastRenderedPageBreak/>
              <w:t>(10)</w:t>
            </w:r>
            <w:r w:rsidRPr="00F30F9F">
              <w:rPr>
                <w:rFonts w:eastAsia="Times New Roman" w:cs="Arial"/>
                <w:lang w:eastAsia="en-AU"/>
              </w:rPr>
              <w:tab/>
              <w:t>For the purposes of section 303FN, an operation is a wildlife trade operation if, an</w:t>
            </w:r>
            <w:r w:rsidR="0063186C">
              <w:rPr>
                <w:rFonts w:eastAsia="Times New Roman" w:cs="Arial"/>
                <w:lang w:eastAsia="en-AU"/>
              </w:rPr>
              <w:t>d</w:t>
            </w:r>
            <w:r w:rsidRPr="00F30F9F">
              <w:rPr>
                <w:rFonts w:eastAsia="Times New Roman" w:cs="Arial"/>
                <w:lang w:eastAsia="en-AU"/>
              </w:rPr>
              <w:t xml:space="preserve"> only if, the operation is an operation for the taking of specimens and:</w:t>
            </w:r>
          </w:p>
          <w:p w14:paraId="5946687B" w14:textId="77777777" w:rsidR="00295B4F" w:rsidRPr="00F30F9F" w:rsidRDefault="00295B4F" w:rsidP="002210B3">
            <w:pPr>
              <w:tabs>
                <w:tab w:val="right" w:pos="1531"/>
              </w:tabs>
              <w:spacing w:after="120"/>
              <w:ind w:left="738" w:hanging="369"/>
              <w:rPr>
                <w:rFonts w:eastAsia="Times New Roman" w:cs="Arial"/>
                <w:noProof/>
                <w:lang w:eastAsia="en-AU"/>
              </w:rPr>
            </w:pPr>
            <w:r w:rsidRPr="00F30F9F">
              <w:rPr>
                <w:rFonts w:eastAsia="Times New Roman" w:cs="Arial"/>
                <w:noProof/>
                <w:lang w:eastAsia="en-AU"/>
              </w:rPr>
              <w:t>(a)   the operation is an operation that, under the regulations, is taken to be a market testing operation; or</w:t>
            </w:r>
          </w:p>
          <w:p w14:paraId="7D232BF1" w14:textId="77777777" w:rsidR="00295B4F" w:rsidRPr="00F30F9F" w:rsidRDefault="00295B4F" w:rsidP="002210B3">
            <w:pPr>
              <w:tabs>
                <w:tab w:val="right" w:pos="1531"/>
              </w:tabs>
              <w:spacing w:after="120"/>
              <w:ind w:left="738" w:hanging="369"/>
              <w:rPr>
                <w:rFonts w:eastAsia="Times New Roman" w:cs="Arial"/>
                <w:noProof/>
                <w:lang w:eastAsia="en-AU"/>
              </w:rPr>
            </w:pPr>
            <w:r w:rsidRPr="00F30F9F">
              <w:rPr>
                <w:rFonts w:eastAsia="Times New Roman" w:cs="Arial"/>
                <w:noProof/>
                <w:lang w:eastAsia="en-AU"/>
              </w:rPr>
              <w:t>(b)   the operation is an operation that, under the regulations, is taken to be a small scale operation; or</w:t>
            </w:r>
          </w:p>
          <w:p w14:paraId="4959C705" w14:textId="77777777" w:rsidR="00295B4F" w:rsidRPr="00F30F9F" w:rsidRDefault="00295B4F" w:rsidP="002210B3">
            <w:pPr>
              <w:tabs>
                <w:tab w:val="right" w:pos="1531"/>
              </w:tabs>
              <w:spacing w:after="120"/>
              <w:ind w:left="738" w:hanging="369"/>
              <w:rPr>
                <w:rFonts w:eastAsia="Times New Roman" w:cs="Arial"/>
                <w:noProof/>
                <w:lang w:eastAsia="en-AU"/>
              </w:rPr>
            </w:pPr>
            <w:r w:rsidRPr="00F30F9F">
              <w:rPr>
                <w:rFonts w:eastAsia="Times New Roman" w:cs="Arial"/>
                <w:noProof/>
                <w:lang w:eastAsia="en-AU"/>
              </w:rPr>
              <w:t>(c)   the operation is an operation that, under the regulations, is taken to be a developmental operation; or</w:t>
            </w:r>
          </w:p>
          <w:p w14:paraId="1434D812" w14:textId="77777777" w:rsidR="00295B4F" w:rsidRPr="00F30F9F" w:rsidRDefault="00295B4F" w:rsidP="002210B3">
            <w:pPr>
              <w:tabs>
                <w:tab w:val="right" w:pos="1531"/>
              </w:tabs>
              <w:spacing w:after="120"/>
              <w:ind w:left="738" w:hanging="369"/>
              <w:rPr>
                <w:rFonts w:eastAsia="Times New Roman" w:cs="Arial"/>
                <w:noProof/>
                <w:lang w:eastAsia="en-AU"/>
              </w:rPr>
            </w:pPr>
            <w:r w:rsidRPr="00F30F9F">
              <w:rPr>
                <w:rFonts w:eastAsia="Times New Roman" w:cs="Arial"/>
                <w:noProof/>
                <w:lang w:eastAsia="en-AU"/>
              </w:rPr>
              <w:t>(d)   the operation is a commercial fishery; or</w:t>
            </w:r>
          </w:p>
          <w:p w14:paraId="4A51E86E" w14:textId="77777777" w:rsidR="00295B4F" w:rsidRPr="00F30F9F" w:rsidRDefault="00295B4F" w:rsidP="002210B3">
            <w:pPr>
              <w:tabs>
                <w:tab w:val="right" w:pos="1531"/>
              </w:tabs>
              <w:spacing w:after="120"/>
              <w:ind w:left="738" w:hanging="369"/>
              <w:rPr>
                <w:rFonts w:eastAsia="Times New Roman" w:cs="Arial"/>
                <w:noProof/>
                <w:lang w:eastAsia="en-AU"/>
              </w:rPr>
            </w:pPr>
            <w:r w:rsidRPr="00F30F9F">
              <w:rPr>
                <w:rFonts w:eastAsia="Times New Roman" w:cs="Arial"/>
                <w:noProof/>
                <w:lang w:eastAsia="en-AU"/>
              </w:rPr>
              <w:t>(e)   the operation is an operation that, under the regulations, is taken to be a provisional operation; or</w:t>
            </w:r>
          </w:p>
          <w:p w14:paraId="5C7C534B" w14:textId="434E9F26" w:rsidR="00295B4F" w:rsidRPr="00F30F9F" w:rsidRDefault="00295B4F" w:rsidP="002210B3">
            <w:pPr>
              <w:tabs>
                <w:tab w:val="right" w:pos="1531"/>
              </w:tabs>
              <w:spacing w:after="120"/>
              <w:ind w:left="738" w:hanging="369"/>
              <w:rPr>
                <w:rFonts w:eastAsia="Times New Roman" w:cs="Arial"/>
                <w:noProof/>
                <w:lang w:eastAsia="en-AU"/>
              </w:rPr>
            </w:pPr>
            <w:r w:rsidRPr="00F30F9F">
              <w:rPr>
                <w:rFonts w:eastAsia="Times New Roman" w:cs="Arial"/>
                <w:noProof/>
                <w:lang w:eastAsia="en-AU"/>
              </w:rPr>
              <w:t>(f)   the operation is an operation of a kind specified in the regulations.</w:t>
            </w:r>
          </w:p>
        </w:tc>
        <w:tc>
          <w:tcPr>
            <w:tcW w:w="3420" w:type="pct"/>
            <w:shd w:val="clear" w:color="auto" w:fill="92D050"/>
          </w:tcPr>
          <w:p w14:paraId="6535666A" w14:textId="77777777" w:rsidR="00C9658A" w:rsidRDefault="000F3FAB" w:rsidP="002210B3">
            <w:pPr>
              <w:spacing w:after="120"/>
              <w:rPr>
                <w:b/>
              </w:rPr>
            </w:pPr>
            <w:r w:rsidRPr="000F3FAB">
              <w:rPr>
                <w:b/>
              </w:rPr>
              <w:t>Meets</w:t>
            </w:r>
            <w:r w:rsidRPr="00F93FD6">
              <w:rPr>
                <w:b/>
              </w:rPr>
              <w:t xml:space="preserve"> – the operation is declared a</w:t>
            </w:r>
            <w:r w:rsidR="0063186C">
              <w:rPr>
                <w:b/>
              </w:rPr>
              <w:t xml:space="preserve"> </w:t>
            </w:r>
            <w:r w:rsidRPr="00F93FD6">
              <w:rPr>
                <w:b/>
              </w:rPr>
              <w:t>wildlife trade operation because it is a</w:t>
            </w:r>
            <w:r w:rsidR="0063186C">
              <w:rPr>
                <w:b/>
              </w:rPr>
              <w:t>n existing stocks operation</w:t>
            </w:r>
            <w:r w:rsidRPr="00F93FD6">
              <w:rPr>
                <w:b/>
              </w:rPr>
              <w:t>.</w:t>
            </w:r>
          </w:p>
          <w:p w14:paraId="03190F39" w14:textId="7BBEE3C8" w:rsidR="00C76BED" w:rsidRPr="002210B3" w:rsidRDefault="00B43A17" w:rsidP="002210B3">
            <w:pPr>
              <w:spacing w:after="120"/>
              <w:rPr>
                <w:b/>
              </w:rPr>
            </w:pPr>
            <w:r>
              <w:t xml:space="preserve">Jardini was </w:t>
            </w:r>
            <w:r w:rsidR="00314186">
              <w:t xml:space="preserve">originally </w:t>
            </w:r>
            <w:r>
              <w:t xml:space="preserve">approved </w:t>
            </w:r>
            <w:r w:rsidR="00314186">
              <w:t xml:space="preserve">in 2017 </w:t>
            </w:r>
            <w:r>
              <w:t xml:space="preserve">as both an existing </w:t>
            </w:r>
            <w:r w:rsidR="00C76BED">
              <w:t xml:space="preserve">stocks </w:t>
            </w:r>
            <w:r>
              <w:t xml:space="preserve">WTO </w:t>
            </w:r>
            <w:r w:rsidR="00D31ACC" w:rsidRPr="00F30F9F">
              <w:rPr>
                <w:rFonts w:cs="Arial"/>
              </w:rPr>
              <w:t xml:space="preserve">under EPBC Regulation 9A.20(5) </w:t>
            </w:r>
            <w:r>
              <w:t>and a small scale WTO</w:t>
            </w:r>
            <w:r w:rsidR="00D31ACC">
              <w:t xml:space="preserve"> </w:t>
            </w:r>
            <w:r w:rsidR="00D31ACC" w:rsidRPr="00F30F9F">
              <w:rPr>
                <w:rFonts w:cs="Arial"/>
              </w:rPr>
              <w:t>under EPBC Regulation 9A.20(2)</w:t>
            </w:r>
            <w:r>
              <w:t>.</w:t>
            </w:r>
            <w:r w:rsidR="00D31ACC">
              <w:t xml:space="preserve"> </w:t>
            </w:r>
            <w:r>
              <w:t xml:space="preserve">The existing </w:t>
            </w:r>
            <w:r w:rsidR="00C76BED">
              <w:t xml:space="preserve">stocks </w:t>
            </w:r>
            <w:r>
              <w:t xml:space="preserve">WTO </w:t>
            </w:r>
            <w:r w:rsidR="009549DC">
              <w:t xml:space="preserve">was for  </w:t>
            </w:r>
            <w:r>
              <w:t xml:space="preserve">11 lungfish legally collected under </w:t>
            </w:r>
            <w:r>
              <w:rPr>
                <w:lang w:eastAsia="en-AU"/>
              </w:rPr>
              <w:t xml:space="preserve">a Queensland General Fisheries Permit </w:t>
            </w:r>
            <w:r>
              <w:t xml:space="preserve">prior to the approval of Jardini as a WTO in February 2017. The small scale WTO </w:t>
            </w:r>
            <w:r w:rsidR="009549DC">
              <w:t xml:space="preserve">was for </w:t>
            </w:r>
            <w:r w:rsidR="00F14F70">
              <w:t xml:space="preserve">the legal </w:t>
            </w:r>
            <w:r>
              <w:t xml:space="preserve">collection of </w:t>
            </w:r>
            <w:r w:rsidR="009549DC">
              <w:t xml:space="preserve">17 </w:t>
            </w:r>
            <w:r>
              <w:t xml:space="preserve">lungfish from the wild under </w:t>
            </w:r>
            <w:r w:rsidR="00F14F70">
              <w:t xml:space="preserve">a </w:t>
            </w:r>
            <w:r>
              <w:t xml:space="preserve">Queensland permit during the course of the 2017 approved WTO. </w:t>
            </w:r>
          </w:p>
          <w:p w14:paraId="7AC81033" w14:textId="6AE56A40" w:rsidR="00465FDA" w:rsidRPr="00F30F9F" w:rsidRDefault="00B43A17" w:rsidP="002210B3">
            <w:pPr>
              <w:spacing w:after="120"/>
              <w:rPr>
                <w:rFonts w:cs="Arial"/>
              </w:rPr>
            </w:pPr>
            <w:r>
              <w:t>No further wild harvest is proposed under the 2020 WTO application</w:t>
            </w:r>
            <w:r w:rsidR="002700A4">
              <w:t xml:space="preserve"> </w:t>
            </w:r>
            <w:r w:rsidR="009549DC">
              <w:t>and so a small scale WTO is not required</w:t>
            </w:r>
            <w:r w:rsidR="000F3FAB">
              <w:t>.</w:t>
            </w:r>
            <w:r w:rsidR="009549DC">
              <w:t xml:space="preserve"> </w:t>
            </w:r>
            <w:r w:rsidR="003A026F">
              <w:t xml:space="preserve">Jardini </w:t>
            </w:r>
            <w:r w:rsidR="009549DC">
              <w:t xml:space="preserve">will </w:t>
            </w:r>
            <w:r w:rsidR="002700A4">
              <w:t>rely on continued breeding from broodstock</w:t>
            </w:r>
            <w:r w:rsidR="00932842">
              <w:t xml:space="preserve"> collected </w:t>
            </w:r>
            <w:r w:rsidR="00C33672">
              <w:t xml:space="preserve">prior to the 2017 </w:t>
            </w:r>
            <w:r w:rsidR="0063186C">
              <w:t xml:space="preserve">WTO </w:t>
            </w:r>
            <w:r w:rsidR="00C33672">
              <w:t xml:space="preserve">approval and during the 2017 </w:t>
            </w:r>
            <w:r w:rsidR="0063186C">
              <w:t xml:space="preserve">WTO </w:t>
            </w:r>
            <w:r w:rsidR="00C33672">
              <w:t>approval</w:t>
            </w:r>
            <w:r w:rsidR="0046456E">
              <w:t xml:space="preserve">. </w:t>
            </w:r>
            <w:r>
              <w:t xml:space="preserve">Approval as an existing stocks WTO is </w:t>
            </w:r>
            <w:r w:rsidR="0046456E">
              <w:t>required</w:t>
            </w:r>
            <w:r>
              <w:t xml:space="preserve"> for the current operation as it will deal only with existing </w:t>
            </w:r>
            <w:r w:rsidR="00AE314E">
              <w:t>stock</w:t>
            </w:r>
            <w:r w:rsidR="000F3FAB">
              <w:t>:</w:t>
            </w:r>
            <w:r w:rsidR="00314186">
              <w:t xml:space="preserve"> that is the broodstock </w:t>
            </w:r>
            <w:r w:rsidR="009549DC">
              <w:t xml:space="preserve">and </w:t>
            </w:r>
            <w:r w:rsidR="000F3FAB">
              <w:t xml:space="preserve">their </w:t>
            </w:r>
            <w:r w:rsidR="009549DC">
              <w:t>progeny</w:t>
            </w:r>
            <w:r w:rsidR="000F3FAB">
              <w:t>;</w:t>
            </w:r>
            <w:r w:rsidR="009549DC">
              <w:t xml:space="preserve"> </w:t>
            </w:r>
            <w:r w:rsidR="00314186">
              <w:t xml:space="preserve">and </w:t>
            </w:r>
            <w:r>
              <w:t>not any new stock</w:t>
            </w:r>
            <w:r w:rsidR="00314186">
              <w:t xml:space="preserve"> from the wild</w:t>
            </w:r>
            <w:r w:rsidR="007C5966">
              <w:t xml:space="preserve"> (EPBC Act </w:t>
            </w:r>
            <w:r w:rsidR="007C5966" w:rsidRPr="007C5966">
              <w:rPr>
                <w:bCs/>
              </w:rPr>
              <w:t>303FN(10)(f) and Regs 9A.20(4,5)</w:t>
            </w:r>
            <w:r w:rsidR="007C5966">
              <w:rPr>
                <w:bCs/>
              </w:rPr>
              <w:t>)</w:t>
            </w:r>
            <w:r w:rsidRPr="007C5966">
              <w:rPr>
                <w:bCs/>
              </w:rPr>
              <w:t>.</w:t>
            </w:r>
            <w:r w:rsidR="00AE314E">
              <w:t xml:space="preserve"> </w:t>
            </w:r>
            <w:r w:rsidR="000F3FAB">
              <w:t xml:space="preserve"> </w:t>
            </w:r>
          </w:p>
          <w:p w14:paraId="28944ECC" w14:textId="79D93DEC" w:rsidR="00465FDA" w:rsidRPr="00F30F9F" w:rsidRDefault="00465FDA" w:rsidP="002210B3">
            <w:pPr>
              <w:spacing w:after="120"/>
              <w:rPr>
                <w:rFonts w:cs="Arial"/>
                <w:lang w:val="en-US"/>
              </w:rPr>
            </w:pPr>
          </w:p>
        </w:tc>
      </w:tr>
    </w:tbl>
    <w:p w14:paraId="1E0575B0" w14:textId="77777777" w:rsidR="00293793" w:rsidRDefault="00293793" w:rsidP="002210B3">
      <w:pPr>
        <w:spacing w:after="120"/>
      </w:pPr>
      <w:r>
        <w:br w:type="page"/>
      </w:r>
    </w:p>
    <w:tbl>
      <w:tblPr>
        <w:tblStyle w:val="TableGrid12"/>
        <w:tblW w:w="5000" w:type="pct"/>
        <w:tblLook w:val="04A0" w:firstRow="1" w:lastRow="0" w:firstColumn="1" w:lastColumn="0" w:noHBand="0" w:noVBand="1"/>
      </w:tblPr>
      <w:tblGrid>
        <w:gridCol w:w="4690"/>
        <w:gridCol w:w="10153"/>
      </w:tblGrid>
      <w:tr w:rsidR="00CC4C93" w:rsidRPr="0049138B" w14:paraId="052F7F40" w14:textId="77777777" w:rsidTr="00232213">
        <w:trPr>
          <w:cnfStyle w:val="100000000000" w:firstRow="1" w:lastRow="0" w:firstColumn="0" w:lastColumn="0" w:oddVBand="0" w:evenVBand="0" w:oddHBand="0" w:evenHBand="0" w:firstRowFirstColumn="0" w:firstRowLastColumn="0" w:lastRowFirstColumn="0" w:lastRowLastColumn="0"/>
          <w:cantSplit/>
        </w:trPr>
        <w:tc>
          <w:tcPr>
            <w:tcW w:w="5000" w:type="pct"/>
            <w:gridSpan w:val="2"/>
            <w:shd w:val="clear" w:color="auto" w:fill="D9D9D9" w:themeFill="background1" w:themeFillShade="D9"/>
            <w:vAlign w:val="center"/>
          </w:tcPr>
          <w:p w14:paraId="73CFC7C3" w14:textId="1FFBE824" w:rsidR="00CC4C93" w:rsidRPr="00F30F9F" w:rsidRDefault="00CC4C93" w:rsidP="00232213">
            <w:pPr>
              <w:spacing w:before="60" w:after="60" w:line="240" w:lineRule="auto"/>
              <w:rPr>
                <w:rFonts w:cs="Arial"/>
              </w:rPr>
            </w:pPr>
            <w:r w:rsidRPr="00F30F9F">
              <w:rPr>
                <w:rFonts w:cs="Arial"/>
                <w:b/>
              </w:rPr>
              <w:lastRenderedPageBreak/>
              <w:t>Section 303FR  -  Public consultation</w:t>
            </w:r>
          </w:p>
        </w:tc>
      </w:tr>
      <w:tr w:rsidR="00CC4C93" w:rsidRPr="0049138B" w14:paraId="0386C4BC" w14:textId="77777777" w:rsidTr="00232213">
        <w:trPr>
          <w:cnfStyle w:val="000000100000" w:firstRow="0" w:lastRow="0" w:firstColumn="0" w:lastColumn="0" w:oddVBand="0" w:evenVBand="0" w:oddHBand="1" w:evenHBand="0" w:firstRowFirstColumn="0" w:firstRowLastColumn="0" w:lastRowFirstColumn="0" w:lastRowLastColumn="0"/>
          <w:cantSplit/>
        </w:trPr>
        <w:tc>
          <w:tcPr>
            <w:tcW w:w="1580" w:type="pct"/>
            <w:shd w:val="clear" w:color="auto" w:fill="D9D9D9" w:themeFill="background1" w:themeFillShade="D9"/>
            <w:vAlign w:val="center"/>
          </w:tcPr>
          <w:p w14:paraId="0A317406" w14:textId="77777777" w:rsidR="00CC4C93" w:rsidRPr="00F30F9F" w:rsidRDefault="00CC4C93" w:rsidP="00232213">
            <w:pPr>
              <w:spacing w:before="60" w:after="60" w:line="240" w:lineRule="auto"/>
              <w:rPr>
                <w:rFonts w:cs="Arial"/>
                <w:b/>
              </w:rPr>
            </w:pPr>
          </w:p>
        </w:tc>
        <w:tc>
          <w:tcPr>
            <w:tcW w:w="3420" w:type="pct"/>
            <w:shd w:val="clear" w:color="auto" w:fill="D9D9D9" w:themeFill="background1" w:themeFillShade="D9"/>
            <w:vAlign w:val="center"/>
          </w:tcPr>
          <w:p w14:paraId="263CBF61" w14:textId="77777777" w:rsidR="00CC4C93" w:rsidRPr="00F30F9F" w:rsidRDefault="00CC4C93" w:rsidP="00232213">
            <w:pPr>
              <w:spacing w:before="60" w:after="60" w:line="240" w:lineRule="auto"/>
              <w:jc w:val="center"/>
              <w:rPr>
                <w:rFonts w:cs="Arial"/>
                <w:b/>
              </w:rPr>
            </w:pPr>
            <w:r w:rsidRPr="00F30F9F">
              <w:rPr>
                <w:rFonts w:cs="Arial"/>
                <w:b/>
              </w:rPr>
              <w:t>Comment</w:t>
            </w:r>
          </w:p>
        </w:tc>
      </w:tr>
      <w:tr w:rsidR="0011721B" w:rsidRPr="0049138B" w14:paraId="3204706F" w14:textId="77777777" w:rsidTr="0011721B">
        <w:trPr>
          <w:cnfStyle w:val="000000010000" w:firstRow="0" w:lastRow="0" w:firstColumn="0" w:lastColumn="0" w:oddVBand="0" w:evenVBand="0" w:oddHBand="0" w:evenHBand="1" w:firstRowFirstColumn="0" w:firstRowLastColumn="0" w:lastRowFirstColumn="0" w:lastRowLastColumn="0"/>
          <w:cantSplit/>
          <w:trHeight w:val="6309"/>
        </w:trPr>
        <w:tc>
          <w:tcPr>
            <w:tcW w:w="1580" w:type="pct"/>
          </w:tcPr>
          <w:p w14:paraId="64360143" w14:textId="77777777" w:rsidR="0011721B" w:rsidRPr="00F30F9F" w:rsidRDefault="0011721B" w:rsidP="00232213">
            <w:pPr>
              <w:tabs>
                <w:tab w:val="right" w:pos="1021"/>
              </w:tabs>
              <w:spacing w:before="60" w:after="60" w:line="240" w:lineRule="auto"/>
              <w:ind w:left="426" w:hanging="426"/>
              <w:rPr>
                <w:rFonts w:eastAsia="Times New Roman" w:cs="Arial"/>
                <w:lang w:eastAsia="en-AU"/>
              </w:rPr>
            </w:pPr>
            <w:r w:rsidRPr="00F30F9F">
              <w:rPr>
                <w:rFonts w:eastAsia="Times New Roman" w:cs="Arial"/>
                <w:lang w:eastAsia="en-AU"/>
              </w:rPr>
              <w:t>(1)</w:t>
            </w:r>
            <w:r w:rsidRPr="00F30F9F">
              <w:rPr>
                <w:rFonts w:eastAsia="Times New Roman" w:cs="Arial"/>
                <w:lang w:eastAsia="en-AU"/>
              </w:rPr>
              <w:tab/>
              <w:t>Before making a declaration under section 303FN, the Minister must cause to be published on the Internet a notice:</w:t>
            </w:r>
          </w:p>
          <w:p w14:paraId="06DB648D" w14:textId="77777777" w:rsidR="0011721B" w:rsidRPr="00F30F9F" w:rsidRDefault="0011721B" w:rsidP="00232213">
            <w:pPr>
              <w:tabs>
                <w:tab w:val="right" w:pos="1531"/>
              </w:tabs>
              <w:spacing w:before="60" w:after="60" w:line="240" w:lineRule="auto"/>
              <w:ind w:left="738" w:hanging="369"/>
              <w:rPr>
                <w:rFonts w:eastAsia="Times New Roman" w:cs="Arial"/>
                <w:noProof/>
                <w:lang w:eastAsia="en-AU"/>
              </w:rPr>
            </w:pPr>
            <w:r w:rsidRPr="00F30F9F">
              <w:rPr>
                <w:rFonts w:eastAsia="Times New Roman" w:cs="Arial"/>
                <w:noProof/>
                <w:lang w:eastAsia="en-AU"/>
              </w:rPr>
              <w:t>(a)</w:t>
            </w:r>
            <w:r w:rsidRPr="00F30F9F">
              <w:rPr>
                <w:rFonts w:eastAsia="Times New Roman" w:cs="Arial"/>
                <w:noProof/>
                <w:lang w:eastAsia="en-AU"/>
              </w:rPr>
              <w:tab/>
              <w:t>setting out the proposal to make the declaration; and</w:t>
            </w:r>
          </w:p>
          <w:p w14:paraId="29AD1658" w14:textId="77777777" w:rsidR="0011721B" w:rsidRPr="00F30F9F" w:rsidRDefault="0011721B" w:rsidP="00232213">
            <w:pPr>
              <w:tabs>
                <w:tab w:val="right" w:pos="1531"/>
              </w:tabs>
              <w:spacing w:before="60" w:after="60" w:line="240" w:lineRule="auto"/>
              <w:ind w:left="738" w:hanging="369"/>
              <w:rPr>
                <w:rFonts w:eastAsia="Times New Roman" w:cs="Arial"/>
                <w:noProof/>
                <w:lang w:eastAsia="en-AU"/>
              </w:rPr>
            </w:pPr>
            <w:r w:rsidRPr="00F30F9F">
              <w:rPr>
                <w:rFonts w:eastAsia="Times New Roman" w:cs="Arial"/>
                <w:noProof/>
                <w:lang w:eastAsia="en-AU"/>
              </w:rPr>
              <w:t>(b)</w:t>
            </w:r>
            <w:r w:rsidRPr="00F30F9F">
              <w:rPr>
                <w:rFonts w:eastAsia="Times New Roman" w:cs="Arial"/>
                <w:noProof/>
                <w:lang w:eastAsia="en-AU"/>
              </w:rPr>
              <w:tab/>
              <w:t>setting out sufficient information to enable persons and organisations to consider adequately the merits of the proposal; and</w:t>
            </w:r>
          </w:p>
          <w:p w14:paraId="703EEC62" w14:textId="77777777" w:rsidR="0011721B" w:rsidRPr="00F30F9F" w:rsidRDefault="0011721B" w:rsidP="00232213">
            <w:pPr>
              <w:tabs>
                <w:tab w:val="right" w:pos="1531"/>
              </w:tabs>
              <w:spacing w:before="60" w:after="60" w:line="240" w:lineRule="auto"/>
              <w:ind w:left="738" w:hanging="369"/>
              <w:rPr>
                <w:rFonts w:eastAsia="Times New Roman" w:cs="Arial"/>
                <w:noProof/>
                <w:lang w:eastAsia="en-AU"/>
              </w:rPr>
            </w:pPr>
            <w:r w:rsidRPr="00F30F9F">
              <w:rPr>
                <w:rFonts w:eastAsia="Times New Roman" w:cs="Arial"/>
                <w:noProof/>
                <w:lang w:eastAsia="en-AU"/>
              </w:rPr>
              <w:t>(c)</w:t>
            </w:r>
            <w:r w:rsidRPr="00F30F9F">
              <w:rPr>
                <w:rFonts w:eastAsia="Times New Roman" w:cs="Arial"/>
                <w:noProof/>
                <w:lang w:eastAsia="en-AU"/>
              </w:rPr>
              <w:tab/>
              <w:t>inviting persons and organisations to give the Minister, within the period specified in the notice, written comments about the proposal.</w:t>
            </w:r>
          </w:p>
          <w:p w14:paraId="6BD6258D" w14:textId="77777777" w:rsidR="0011721B" w:rsidRPr="00F30F9F" w:rsidRDefault="0011721B" w:rsidP="00232213">
            <w:pPr>
              <w:tabs>
                <w:tab w:val="right" w:pos="1021"/>
              </w:tabs>
              <w:spacing w:before="60" w:after="60" w:line="240" w:lineRule="auto"/>
              <w:ind w:left="426" w:hanging="426"/>
              <w:rPr>
                <w:rFonts w:eastAsia="Times New Roman" w:cs="Arial"/>
                <w:lang w:eastAsia="en-AU"/>
              </w:rPr>
            </w:pPr>
            <w:r w:rsidRPr="00F30F9F">
              <w:rPr>
                <w:rFonts w:eastAsia="Times New Roman" w:cs="Arial"/>
                <w:lang w:eastAsia="en-AU"/>
              </w:rPr>
              <w:t>(2)</w:t>
            </w:r>
            <w:r w:rsidRPr="00F30F9F">
              <w:rPr>
                <w:rFonts w:eastAsia="Times New Roman" w:cs="Arial"/>
                <w:lang w:eastAsia="en-AU"/>
              </w:rPr>
              <w:tab/>
              <w:t>A period specified in the notice must not be shorter than 20 business days after the date on which the notice was published on the Internet.</w:t>
            </w:r>
          </w:p>
          <w:p w14:paraId="38FF5135" w14:textId="116B937A" w:rsidR="0011721B" w:rsidRPr="00F30F9F" w:rsidRDefault="0011721B" w:rsidP="00232213">
            <w:pPr>
              <w:tabs>
                <w:tab w:val="right" w:pos="1021"/>
              </w:tabs>
              <w:spacing w:before="60" w:after="60" w:line="240" w:lineRule="auto"/>
              <w:ind w:left="426" w:hanging="426"/>
              <w:rPr>
                <w:rFonts w:eastAsia="Times New Roman" w:cs="Arial"/>
                <w:lang w:eastAsia="en-AU"/>
              </w:rPr>
            </w:pPr>
            <w:r w:rsidRPr="00F30F9F">
              <w:rPr>
                <w:rFonts w:eastAsia="Times New Roman" w:cs="Arial"/>
                <w:lang w:eastAsia="en-AU"/>
              </w:rPr>
              <w:t>(3)</w:t>
            </w:r>
            <w:r w:rsidRPr="00F30F9F">
              <w:rPr>
                <w:rFonts w:eastAsia="Times New Roman" w:cs="Arial"/>
                <w:lang w:eastAsia="en-AU"/>
              </w:rPr>
              <w:tab/>
            </w:r>
            <w:r w:rsidRPr="007960DF">
              <w:rPr>
                <w:rFonts w:eastAsia="Times New Roman" w:cs="Arial"/>
                <w:lang w:eastAsia="en-AU"/>
              </w:rPr>
              <w:t>In making a decision about whether to make a declaration under section 303FN, the Minister must consider any comments about the proposal to make the declaration that were given in response to the invitation in the notice.</w:t>
            </w:r>
          </w:p>
        </w:tc>
        <w:tc>
          <w:tcPr>
            <w:tcW w:w="3420" w:type="pct"/>
            <w:shd w:val="clear" w:color="auto" w:fill="92D050"/>
          </w:tcPr>
          <w:p w14:paraId="3D36201A" w14:textId="31D27F87" w:rsidR="0011721B" w:rsidRDefault="0011721B" w:rsidP="0011721B">
            <w:pPr>
              <w:shd w:val="clear" w:color="auto" w:fill="92D050"/>
              <w:spacing w:after="120"/>
              <w:rPr>
                <w:rFonts w:cs="Arial"/>
                <w:iCs/>
              </w:rPr>
            </w:pPr>
            <w:r w:rsidRPr="00827A69">
              <w:rPr>
                <w:b/>
                <w:iCs/>
              </w:rPr>
              <w:t>Meets</w:t>
            </w:r>
            <w:r>
              <w:rPr>
                <w:b/>
                <w:iCs/>
              </w:rPr>
              <w:t xml:space="preserve"> </w:t>
            </w:r>
            <w:r>
              <w:rPr>
                <w:b/>
              </w:rPr>
              <w:t xml:space="preserve">– public consultation requirements were met </w:t>
            </w:r>
          </w:p>
          <w:p w14:paraId="7CA9ABAC" w14:textId="77777777" w:rsidR="0011721B" w:rsidRDefault="0011721B" w:rsidP="0011721B">
            <w:pPr>
              <w:shd w:val="clear" w:color="auto" w:fill="92D050"/>
              <w:spacing w:after="120"/>
              <w:rPr>
                <w:rFonts w:cs="Arial"/>
                <w:iCs/>
              </w:rPr>
            </w:pPr>
            <w:r w:rsidRPr="00F30F9F">
              <w:rPr>
                <w:rFonts w:cs="Arial"/>
                <w:iCs/>
              </w:rPr>
              <w:t xml:space="preserve">A public notice, which set out the proposal to declare the operation an approved wildlife trade </w:t>
            </w:r>
            <w:r w:rsidRPr="0049138B">
              <w:rPr>
                <w:rFonts w:cs="Arial"/>
                <w:iCs/>
              </w:rPr>
              <w:t>operation and</w:t>
            </w:r>
            <w:r w:rsidRPr="00F30F9F">
              <w:rPr>
                <w:rFonts w:cs="Arial"/>
                <w:iCs/>
              </w:rPr>
              <w:t xml:space="preserve"> included the application from </w:t>
            </w:r>
            <w:r>
              <w:rPr>
                <w:rFonts w:cs="Arial"/>
                <w:iCs/>
              </w:rPr>
              <w:t>Jardini Pty Ltd</w:t>
            </w:r>
            <w:r w:rsidRPr="00F30F9F">
              <w:rPr>
                <w:rFonts w:cs="Arial"/>
                <w:iCs/>
              </w:rPr>
              <w:t>, was released for public comment between 22</w:t>
            </w:r>
            <w:r w:rsidRPr="00F30F9F">
              <w:rPr>
                <w:rFonts w:cs="Arial"/>
                <w:lang w:val="en"/>
              </w:rPr>
              <w:t xml:space="preserve"> January 2020 to 21 February 2020</w:t>
            </w:r>
            <w:r w:rsidRPr="00F30F9F">
              <w:rPr>
                <w:rFonts w:cs="Arial"/>
                <w:iCs/>
              </w:rPr>
              <w:t xml:space="preserve">, </w:t>
            </w:r>
            <w:r w:rsidRPr="00F30F9F">
              <w:rPr>
                <w:rFonts w:cs="Arial"/>
              </w:rPr>
              <w:t>a total period exceeding 20 business days</w:t>
            </w:r>
            <w:r w:rsidRPr="00F30F9F">
              <w:rPr>
                <w:rFonts w:cs="Arial"/>
                <w:iCs/>
              </w:rPr>
              <w:t>.</w:t>
            </w:r>
          </w:p>
          <w:p w14:paraId="35DB1D6B" w14:textId="078E659A" w:rsidR="00391537" w:rsidRPr="0011721B" w:rsidRDefault="0011721B" w:rsidP="0011721B">
            <w:pPr>
              <w:shd w:val="clear" w:color="auto" w:fill="92D050"/>
              <w:spacing w:after="120"/>
              <w:rPr>
                <w:rFonts w:cs="Arial"/>
              </w:rPr>
            </w:pPr>
            <w:r w:rsidRPr="00F30F9F">
              <w:rPr>
                <w:rFonts w:cs="Arial"/>
              </w:rPr>
              <w:t>Two public submissions were received. Both supported the retention of PIT tags on all progeny prior to export</w:t>
            </w:r>
            <w:r w:rsidR="008003F1">
              <w:rPr>
                <w:rFonts w:cs="Arial"/>
              </w:rPr>
              <w:t xml:space="preserve"> </w:t>
            </w:r>
            <w:r w:rsidR="006B3A68">
              <w:rPr>
                <w:rFonts w:cs="Arial"/>
              </w:rPr>
              <w:t>to authenticate the details of a fish’s legal and sustainable origin</w:t>
            </w:r>
            <w:r w:rsidRPr="00F30F9F">
              <w:rPr>
                <w:rFonts w:cs="Arial"/>
              </w:rPr>
              <w:t xml:space="preserve">. </w:t>
            </w:r>
            <w:r w:rsidR="0001089C">
              <w:rPr>
                <w:rFonts w:cs="Arial"/>
              </w:rPr>
              <w:t xml:space="preserve">A submission </w:t>
            </w:r>
            <w:r w:rsidR="00F5458C">
              <w:rPr>
                <w:rFonts w:cs="Arial"/>
              </w:rPr>
              <w:t>from the proponent</w:t>
            </w:r>
            <w:r w:rsidR="000964FC">
              <w:rPr>
                <w:rFonts w:cs="Arial"/>
              </w:rPr>
              <w:t>,</w:t>
            </w:r>
            <w:r w:rsidR="00F5458C">
              <w:rPr>
                <w:rFonts w:cs="Arial"/>
              </w:rPr>
              <w:t xml:space="preserve"> Jardini</w:t>
            </w:r>
            <w:r w:rsidR="000964FC">
              <w:rPr>
                <w:rFonts w:cs="Arial"/>
              </w:rPr>
              <w:t>,</w:t>
            </w:r>
            <w:r w:rsidR="00F5458C">
              <w:rPr>
                <w:rFonts w:cs="Arial"/>
              </w:rPr>
              <w:t xml:space="preserve"> </w:t>
            </w:r>
            <w:r w:rsidR="0001089C">
              <w:rPr>
                <w:rFonts w:cs="Arial"/>
              </w:rPr>
              <w:t xml:space="preserve">received </w:t>
            </w:r>
            <w:r w:rsidR="00F5458C">
              <w:rPr>
                <w:rFonts w:cs="Arial"/>
              </w:rPr>
              <w:t xml:space="preserve">after the </w:t>
            </w:r>
            <w:r w:rsidR="0001089C">
              <w:rPr>
                <w:rFonts w:cs="Arial"/>
              </w:rPr>
              <w:t xml:space="preserve">public comment closing date was </w:t>
            </w:r>
            <w:r w:rsidR="00F5458C">
              <w:rPr>
                <w:rFonts w:cs="Arial"/>
              </w:rPr>
              <w:t xml:space="preserve">accepted by the Department and provides </w:t>
            </w:r>
            <w:r w:rsidR="006B3A68">
              <w:rPr>
                <w:rFonts w:cs="Arial"/>
              </w:rPr>
              <w:t xml:space="preserve">commentary saying the Queensland Broodstock collection policy on PIT tags doesn’t apply to his sale of progeny </w:t>
            </w:r>
            <w:r w:rsidR="00391537">
              <w:rPr>
                <w:rFonts w:cs="Arial"/>
              </w:rPr>
              <w:t xml:space="preserve">(as its primary focus is broodstock collection) </w:t>
            </w:r>
            <w:r w:rsidR="006B3A68">
              <w:rPr>
                <w:rFonts w:cs="Arial"/>
              </w:rPr>
              <w:t xml:space="preserve">and is not </w:t>
            </w:r>
            <w:r w:rsidR="00B2278D">
              <w:rPr>
                <w:rFonts w:cs="Arial"/>
              </w:rPr>
              <w:t xml:space="preserve">applicable </w:t>
            </w:r>
            <w:r w:rsidR="006B3A68">
              <w:rPr>
                <w:rFonts w:cs="Arial"/>
              </w:rPr>
              <w:t>to live fish export.</w:t>
            </w:r>
            <w:r w:rsidR="00391537">
              <w:rPr>
                <w:rFonts w:cs="Arial"/>
              </w:rPr>
              <w:t xml:space="preserve"> </w:t>
            </w:r>
            <w:bookmarkStart w:id="7" w:name="_Hlk39739287"/>
            <w:r w:rsidR="00C90859">
              <w:rPr>
                <w:rFonts w:cs="Arial"/>
              </w:rPr>
              <w:t xml:space="preserve">Further advice </w:t>
            </w:r>
            <w:r w:rsidR="00365F6C">
              <w:rPr>
                <w:rFonts w:cs="Arial"/>
              </w:rPr>
              <w:t xml:space="preserve">provided to the Department by </w:t>
            </w:r>
            <w:r w:rsidR="00C90859">
              <w:rPr>
                <w:rFonts w:cs="Arial"/>
              </w:rPr>
              <w:t xml:space="preserve">the Queensland government </w:t>
            </w:r>
            <w:r w:rsidR="00365F6C">
              <w:rPr>
                <w:rFonts w:cs="Arial"/>
              </w:rPr>
              <w:t xml:space="preserve">states that </w:t>
            </w:r>
            <w:r w:rsidR="007B2AC7">
              <w:rPr>
                <w:rFonts w:cs="Arial"/>
              </w:rPr>
              <w:t xml:space="preserve"> </w:t>
            </w:r>
            <w:r w:rsidR="00B83A7A">
              <w:rPr>
                <w:rFonts w:cs="Arial"/>
              </w:rPr>
              <w:t>the policy applies to progeny and not just broodstock.</w:t>
            </w:r>
            <w:r w:rsidR="0001089C">
              <w:rPr>
                <w:rFonts w:cs="Arial"/>
              </w:rPr>
              <w:t xml:space="preserve"> </w:t>
            </w:r>
            <w:bookmarkEnd w:id="7"/>
            <w:r w:rsidRPr="00F30F9F">
              <w:rPr>
                <w:rFonts w:cs="Arial"/>
              </w:rPr>
              <w:t xml:space="preserve">The Department </w:t>
            </w:r>
            <w:r>
              <w:rPr>
                <w:rFonts w:cs="Arial"/>
              </w:rPr>
              <w:t xml:space="preserve">has considered </w:t>
            </w:r>
            <w:r w:rsidR="00F5458C">
              <w:rPr>
                <w:rFonts w:cs="Arial"/>
              </w:rPr>
              <w:t xml:space="preserve">all </w:t>
            </w:r>
            <w:r>
              <w:rPr>
                <w:rFonts w:cs="Arial"/>
              </w:rPr>
              <w:t xml:space="preserve">submissions </w:t>
            </w:r>
            <w:r w:rsidR="00391537">
              <w:rPr>
                <w:rFonts w:cs="Arial"/>
              </w:rPr>
              <w:t xml:space="preserve">including views on PIT tags </w:t>
            </w:r>
            <w:r>
              <w:rPr>
                <w:rFonts w:cs="Arial"/>
              </w:rPr>
              <w:t xml:space="preserve">in its assessment of the Jardini application. </w:t>
            </w:r>
          </w:p>
        </w:tc>
      </w:tr>
    </w:tbl>
    <w:p w14:paraId="3210BDF3" w14:textId="77777777" w:rsidR="00293793" w:rsidRDefault="00293793">
      <w:r>
        <w:br w:type="page"/>
      </w:r>
    </w:p>
    <w:tbl>
      <w:tblPr>
        <w:tblStyle w:val="TableGrid12"/>
        <w:tblW w:w="5000" w:type="pct"/>
        <w:tblLook w:val="04A0" w:firstRow="1" w:lastRow="0" w:firstColumn="1" w:lastColumn="0" w:noHBand="0" w:noVBand="1"/>
      </w:tblPr>
      <w:tblGrid>
        <w:gridCol w:w="4690"/>
        <w:gridCol w:w="10153"/>
      </w:tblGrid>
      <w:tr w:rsidR="00CC4C93" w:rsidRPr="00DC62A3" w14:paraId="4296F237" w14:textId="77777777" w:rsidTr="00232213">
        <w:trPr>
          <w:cnfStyle w:val="100000000000" w:firstRow="1" w:lastRow="0" w:firstColumn="0" w:lastColumn="0" w:oddVBand="0" w:evenVBand="0" w:oddHBand="0" w:evenHBand="0" w:firstRowFirstColumn="0" w:firstRowLastColumn="0" w:lastRowFirstColumn="0" w:lastRowLastColumn="0"/>
          <w:cantSplit/>
        </w:trPr>
        <w:tc>
          <w:tcPr>
            <w:tcW w:w="5000" w:type="pct"/>
            <w:gridSpan w:val="2"/>
            <w:shd w:val="clear" w:color="auto" w:fill="D9D9D9" w:themeFill="background1" w:themeFillShade="D9"/>
            <w:vAlign w:val="center"/>
          </w:tcPr>
          <w:p w14:paraId="5583F691" w14:textId="7D4A9A5C" w:rsidR="00CC4C93" w:rsidRPr="00F30F9F" w:rsidRDefault="00CC4C93" w:rsidP="0011721B">
            <w:pPr>
              <w:spacing w:after="120"/>
              <w:rPr>
                <w:rFonts w:cs="Arial"/>
              </w:rPr>
            </w:pPr>
            <w:r w:rsidRPr="00F30F9F">
              <w:rPr>
                <w:rFonts w:cs="Arial"/>
                <w:b/>
              </w:rPr>
              <w:lastRenderedPageBreak/>
              <w:t>Section 303FT  -  Additional provisions relating to declarations</w:t>
            </w:r>
          </w:p>
        </w:tc>
      </w:tr>
      <w:tr w:rsidR="00CC4C93" w:rsidRPr="00DC62A3" w14:paraId="1631D75F" w14:textId="77777777" w:rsidTr="00232213">
        <w:trPr>
          <w:cnfStyle w:val="000000100000" w:firstRow="0" w:lastRow="0" w:firstColumn="0" w:lastColumn="0" w:oddVBand="0" w:evenVBand="0" w:oddHBand="1" w:evenHBand="0" w:firstRowFirstColumn="0" w:firstRowLastColumn="0" w:lastRowFirstColumn="0" w:lastRowLastColumn="0"/>
          <w:cantSplit/>
        </w:trPr>
        <w:tc>
          <w:tcPr>
            <w:tcW w:w="1580" w:type="pct"/>
            <w:shd w:val="clear" w:color="auto" w:fill="D9D9D9" w:themeFill="background1" w:themeFillShade="D9"/>
            <w:vAlign w:val="center"/>
          </w:tcPr>
          <w:p w14:paraId="33D70425" w14:textId="77777777" w:rsidR="00CC4C93" w:rsidRPr="00F30F9F" w:rsidRDefault="00CC4C93" w:rsidP="0011721B">
            <w:pPr>
              <w:spacing w:after="120"/>
              <w:rPr>
                <w:rFonts w:cs="Arial"/>
                <w:b/>
              </w:rPr>
            </w:pPr>
          </w:p>
        </w:tc>
        <w:tc>
          <w:tcPr>
            <w:tcW w:w="3420" w:type="pct"/>
            <w:shd w:val="clear" w:color="auto" w:fill="D9D9D9" w:themeFill="background1" w:themeFillShade="D9"/>
            <w:vAlign w:val="center"/>
          </w:tcPr>
          <w:p w14:paraId="5AC6C2F3" w14:textId="77777777" w:rsidR="00CC4C93" w:rsidRPr="00F30F9F" w:rsidRDefault="00CC4C93" w:rsidP="0011721B">
            <w:pPr>
              <w:spacing w:after="120"/>
              <w:jc w:val="center"/>
              <w:rPr>
                <w:rFonts w:cs="Arial"/>
                <w:b/>
              </w:rPr>
            </w:pPr>
            <w:r w:rsidRPr="00F30F9F">
              <w:rPr>
                <w:rFonts w:cs="Arial"/>
                <w:b/>
              </w:rPr>
              <w:t>Comment</w:t>
            </w:r>
          </w:p>
        </w:tc>
      </w:tr>
      <w:tr w:rsidR="00CC4C93" w:rsidRPr="00DC62A3" w14:paraId="13DCF685" w14:textId="77777777" w:rsidTr="00EA6B19">
        <w:trPr>
          <w:cnfStyle w:val="000000010000" w:firstRow="0" w:lastRow="0" w:firstColumn="0" w:lastColumn="0" w:oddVBand="0" w:evenVBand="0" w:oddHBand="0" w:evenHBand="1" w:firstRowFirstColumn="0" w:firstRowLastColumn="0" w:lastRowFirstColumn="0" w:lastRowLastColumn="0"/>
          <w:cantSplit/>
          <w:trHeight w:val="1066"/>
        </w:trPr>
        <w:tc>
          <w:tcPr>
            <w:tcW w:w="1580" w:type="pct"/>
          </w:tcPr>
          <w:p w14:paraId="11200AFE" w14:textId="77777777" w:rsidR="00CC4C93" w:rsidRPr="00F30F9F" w:rsidRDefault="00CC4C93" w:rsidP="0011721B">
            <w:pPr>
              <w:tabs>
                <w:tab w:val="right" w:pos="1021"/>
              </w:tabs>
              <w:spacing w:after="120"/>
              <w:ind w:left="426" w:hanging="426"/>
              <w:rPr>
                <w:rFonts w:eastAsia="Times New Roman" w:cs="Arial"/>
                <w:lang w:eastAsia="en-AU"/>
              </w:rPr>
            </w:pPr>
            <w:r w:rsidRPr="00F30F9F">
              <w:rPr>
                <w:rFonts w:eastAsia="Times New Roman" w:cs="Arial"/>
                <w:lang w:eastAsia="en-AU"/>
              </w:rPr>
              <w:t>(1)</w:t>
            </w:r>
            <w:r w:rsidRPr="00F30F9F">
              <w:rPr>
                <w:rFonts w:eastAsia="Times New Roman" w:cs="Arial"/>
                <w:lang w:eastAsia="en-AU"/>
              </w:rPr>
              <w:tab/>
              <w:t>This section applies to a declaration made under section 303FN, 303FO or 303FP.</w:t>
            </w:r>
          </w:p>
        </w:tc>
        <w:tc>
          <w:tcPr>
            <w:tcW w:w="3420" w:type="pct"/>
            <w:shd w:val="clear" w:color="auto" w:fill="92D050"/>
          </w:tcPr>
          <w:p w14:paraId="1EAD4ECF" w14:textId="5A550C98" w:rsidR="009E2701" w:rsidRPr="009E2701" w:rsidRDefault="009E2701" w:rsidP="0011721B">
            <w:pPr>
              <w:spacing w:after="120"/>
              <w:rPr>
                <w:rFonts w:cs="Arial"/>
                <w:b/>
                <w:bCs/>
              </w:rPr>
            </w:pPr>
            <w:r w:rsidRPr="009E2701">
              <w:rPr>
                <w:rFonts w:cs="Arial"/>
                <w:b/>
                <w:bCs/>
              </w:rPr>
              <w:t>Meets</w:t>
            </w:r>
            <w:r w:rsidRPr="00F242FA">
              <w:rPr>
                <w:b/>
              </w:rPr>
              <w:t xml:space="preserve"> </w:t>
            </w:r>
            <w:r w:rsidRPr="00124410">
              <w:rPr>
                <w:b/>
              </w:rPr>
              <w:t xml:space="preserve">– </w:t>
            </w:r>
            <w:r w:rsidRPr="00F242FA">
              <w:rPr>
                <w:b/>
              </w:rPr>
              <w:t xml:space="preserve">a declaration </w:t>
            </w:r>
            <w:r>
              <w:rPr>
                <w:b/>
              </w:rPr>
              <w:t xml:space="preserve">as an approved existing stocks wildlife trade operation </w:t>
            </w:r>
            <w:r w:rsidRPr="00F242FA">
              <w:rPr>
                <w:b/>
              </w:rPr>
              <w:t xml:space="preserve">for the </w:t>
            </w:r>
            <w:r>
              <w:rPr>
                <w:b/>
                <w:iCs/>
              </w:rPr>
              <w:t xml:space="preserve">Jardini operation </w:t>
            </w:r>
            <w:r w:rsidRPr="00F242FA">
              <w:rPr>
                <w:b/>
              </w:rPr>
              <w:t>will be made under section 303FN.</w:t>
            </w:r>
          </w:p>
          <w:p w14:paraId="15525D96" w14:textId="0BD102D5" w:rsidR="00CC4C93" w:rsidRPr="00F30F9F" w:rsidRDefault="00CC4C93" w:rsidP="0011721B">
            <w:pPr>
              <w:spacing w:after="120"/>
              <w:rPr>
                <w:rFonts w:cs="Arial"/>
                <w:b/>
                <w:iCs/>
              </w:rPr>
            </w:pPr>
          </w:p>
        </w:tc>
      </w:tr>
      <w:tr w:rsidR="00CC4C93" w:rsidRPr="00DC62A3" w14:paraId="4BA2C572" w14:textId="77777777" w:rsidTr="00656660">
        <w:trPr>
          <w:cnfStyle w:val="000000100000" w:firstRow="0" w:lastRow="0" w:firstColumn="0" w:lastColumn="0" w:oddVBand="0" w:evenVBand="0" w:oddHBand="1" w:evenHBand="0" w:firstRowFirstColumn="0" w:firstRowLastColumn="0" w:lastRowFirstColumn="0" w:lastRowLastColumn="0"/>
          <w:cantSplit/>
        </w:trPr>
        <w:tc>
          <w:tcPr>
            <w:tcW w:w="1580" w:type="pct"/>
          </w:tcPr>
          <w:p w14:paraId="1EEA1A8B" w14:textId="77777777" w:rsidR="00CC4C93" w:rsidRPr="00F30F9F" w:rsidRDefault="00CC4C93" w:rsidP="0011721B">
            <w:pPr>
              <w:tabs>
                <w:tab w:val="right" w:pos="1021"/>
              </w:tabs>
              <w:spacing w:after="120"/>
              <w:ind w:left="426" w:hanging="426"/>
              <w:rPr>
                <w:rFonts w:eastAsia="Times New Roman" w:cs="Arial"/>
                <w:lang w:eastAsia="en-AU"/>
              </w:rPr>
            </w:pPr>
            <w:r w:rsidRPr="00F30F9F">
              <w:rPr>
                <w:rFonts w:eastAsia="Times New Roman" w:cs="Arial"/>
                <w:lang w:eastAsia="en-AU"/>
              </w:rPr>
              <w:t>(4)</w:t>
            </w:r>
            <w:r w:rsidRPr="00F30F9F">
              <w:rPr>
                <w:rFonts w:eastAsia="Times New Roman" w:cs="Arial"/>
                <w:lang w:eastAsia="en-AU"/>
              </w:rPr>
              <w:tab/>
              <w:t>The Minister may make a declaration about a plan or operation even though he or she considers that the plan or operation should be the subject of the declaration only:</w:t>
            </w:r>
          </w:p>
          <w:p w14:paraId="16091240" w14:textId="77777777" w:rsidR="00CC4C93" w:rsidRPr="00F30F9F" w:rsidRDefault="00CC4C93" w:rsidP="0011721B">
            <w:pPr>
              <w:tabs>
                <w:tab w:val="right" w:pos="1531"/>
              </w:tabs>
              <w:spacing w:after="120"/>
              <w:ind w:left="738" w:hanging="369"/>
              <w:rPr>
                <w:rFonts w:eastAsia="Times New Roman" w:cs="Arial"/>
                <w:noProof/>
                <w:lang w:eastAsia="en-AU"/>
              </w:rPr>
            </w:pPr>
            <w:r w:rsidRPr="00F30F9F">
              <w:rPr>
                <w:rFonts w:eastAsia="Times New Roman" w:cs="Arial"/>
                <w:noProof/>
                <w:lang w:eastAsia="en-AU"/>
              </w:rPr>
              <w:t>(a)</w:t>
            </w:r>
            <w:r w:rsidRPr="00F30F9F">
              <w:rPr>
                <w:rFonts w:eastAsia="Times New Roman" w:cs="Arial"/>
                <w:noProof/>
                <w:lang w:eastAsia="en-AU"/>
              </w:rPr>
              <w:tab/>
              <w:t>during a particular period; or</w:t>
            </w:r>
          </w:p>
          <w:p w14:paraId="750DED39" w14:textId="77777777" w:rsidR="00CC4C93" w:rsidRPr="00F30F9F" w:rsidRDefault="00CC4C93" w:rsidP="0011721B">
            <w:pPr>
              <w:tabs>
                <w:tab w:val="right" w:pos="1531"/>
              </w:tabs>
              <w:spacing w:after="120"/>
              <w:ind w:left="738" w:hanging="369"/>
              <w:rPr>
                <w:rFonts w:eastAsia="Times New Roman" w:cs="Arial"/>
                <w:noProof/>
                <w:lang w:eastAsia="en-AU"/>
              </w:rPr>
            </w:pPr>
            <w:r w:rsidRPr="00F30F9F">
              <w:rPr>
                <w:rFonts w:eastAsia="Times New Roman" w:cs="Arial"/>
                <w:noProof/>
                <w:lang w:eastAsia="en-AU"/>
              </w:rPr>
              <w:t>(b)</w:t>
            </w:r>
            <w:r w:rsidRPr="00F30F9F">
              <w:rPr>
                <w:rFonts w:eastAsia="Times New Roman" w:cs="Arial"/>
                <w:noProof/>
                <w:lang w:eastAsia="en-AU"/>
              </w:rPr>
              <w:tab/>
              <w:t>while certain circumstances exist; or</w:t>
            </w:r>
          </w:p>
          <w:p w14:paraId="3252AAF4" w14:textId="77777777" w:rsidR="00CC4C93" w:rsidRPr="00F30F9F" w:rsidRDefault="00CC4C93" w:rsidP="0011721B">
            <w:pPr>
              <w:tabs>
                <w:tab w:val="right" w:pos="1531"/>
              </w:tabs>
              <w:spacing w:after="120"/>
              <w:ind w:left="738" w:hanging="369"/>
              <w:rPr>
                <w:rFonts w:eastAsia="Times New Roman" w:cs="Arial"/>
                <w:noProof/>
                <w:lang w:eastAsia="en-AU"/>
              </w:rPr>
            </w:pPr>
            <w:r w:rsidRPr="00F30F9F">
              <w:rPr>
                <w:rFonts w:eastAsia="Times New Roman" w:cs="Arial"/>
                <w:noProof/>
                <w:lang w:eastAsia="en-AU"/>
              </w:rPr>
              <w:t>(c)</w:t>
            </w:r>
            <w:r w:rsidRPr="00F30F9F">
              <w:rPr>
                <w:rFonts w:eastAsia="Times New Roman" w:cs="Arial"/>
                <w:noProof/>
                <w:lang w:eastAsia="en-AU"/>
              </w:rPr>
              <w:tab/>
              <w:t>while a certain condition is complied with.</w:t>
            </w:r>
          </w:p>
          <w:p w14:paraId="2875273D" w14:textId="77777777" w:rsidR="00CC4C93" w:rsidRPr="00F30F9F" w:rsidRDefault="00CC4C93" w:rsidP="0011721B">
            <w:pPr>
              <w:spacing w:after="120"/>
              <w:rPr>
                <w:rFonts w:eastAsia="Times New Roman" w:cs="Arial"/>
                <w:lang w:eastAsia="en-AU"/>
              </w:rPr>
            </w:pPr>
            <w:r w:rsidRPr="00F30F9F">
              <w:rPr>
                <w:rFonts w:cs="Arial"/>
              </w:rPr>
              <w:t>In such a case, the instrument of declaration is to specify the period, circumstances or condition.</w:t>
            </w:r>
          </w:p>
        </w:tc>
        <w:tc>
          <w:tcPr>
            <w:tcW w:w="3420" w:type="pct"/>
            <w:shd w:val="clear" w:color="auto" w:fill="92D050"/>
          </w:tcPr>
          <w:p w14:paraId="722726D4" w14:textId="25F0D81C" w:rsidR="000D49A4" w:rsidRPr="00687679" w:rsidRDefault="000D49A4" w:rsidP="0011721B">
            <w:pPr>
              <w:spacing w:after="120"/>
              <w:rPr>
                <w:b/>
              </w:rPr>
            </w:pPr>
            <w:bookmarkStart w:id="8" w:name="_Hlk36023820"/>
            <w:r w:rsidRPr="00687679">
              <w:rPr>
                <w:b/>
              </w:rPr>
              <w:t>Meets</w:t>
            </w:r>
            <w:r w:rsidR="000778C8" w:rsidRPr="00687679">
              <w:rPr>
                <w:b/>
              </w:rPr>
              <w:t xml:space="preserve"> – </w:t>
            </w:r>
            <w:r w:rsidR="00EA6B19" w:rsidRPr="00687679">
              <w:rPr>
                <w:b/>
              </w:rPr>
              <w:t xml:space="preserve">the declaration specifies a period of </w:t>
            </w:r>
            <w:r w:rsidR="006753DD" w:rsidRPr="00687679">
              <w:rPr>
                <w:b/>
              </w:rPr>
              <w:t xml:space="preserve">time of three years for the </w:t>
            </w:r>
            <w:r w:rsidR="00EA6B19" w:rsidRPr="00687679">
              <w:rPr>
                <w:b/>
              </w:rPr>
              <w:t xml:space="preserve">wildlife trade </w:t>
            </w:r>
            <w:r w:rsidR="006753DD" w:rsidRPr="00687679">
              <w:rPr>
                <w:b/>
              </w:rPr>
              <w:t xml:space="preserve">operation. </w:t>
            </w:r>
          </w:p>
          <w:p w14:paraId="29341679" w14:textId="180A7F5B" w:rsidR="00C42395" w:rsidRPr="000778C8" w:rsidRDefault="00C42395" w:rsidP="0011721B">
            <w:pPr>
              <w:pStyle w:val="NormalWeb"/>
              <w:spacing w:before="0" w:beforeAutospacing="0" w:after="120" w:afterAutospacing="0" w:line="276" w:lineRule="auto"/>
              <w:rPr>
                <w:rFonts w:ascii="Arial" w:hAnsi="Arial" w:cs="Arial"/>
                <w:sz w:val="22"/>
                <w:szCs w:val="22"/>
                <w:lang w:val="en-GB"/>
              </w:rPr>
            </w:pPr>
            <w:r w:rsidRPr="000778C8">
              <w:rPr>
                <w:rFonts w:ascii="Arial" w:hAnsi="Arial" w:cs="Arial"/>
                <w:sz w:val="22"/>
                <w:szCs w:val="22"/>
                <w:lang w:val="en-GB"/>
              </w:rPr>
              <w:t>Th</w:t>
            </w:r>
            <w:r w:rsidR="000778C8">
              <w:rPr>
                <w:rFonts w:ascii="Arial" w:hAnsi="Arial" w:cs="Arial"/>
                <w:sz w:val="22"/>
                <w:szCs w:val="22"/>
                <w:lang w:val="en-GB"/>
              </w:rPr>
              <w:t>e</w:t>
            </w:r>
            <w:r w:rsidRPr="000778C8">
              <w:rPr>
                <w:rFonts w:ascii="Arial" w:hAnsi="Arial" w:cs="Arial"/>
                <w:sz w:val="22"/>
                <w:szCs w:val="22"/>
                <w:lang w:val="en-GB"/>
              </w:rPr>
              <w:t xml:space="preserve"> declaration is valid for three years from the date of registration of th</w:t>
            </w:r>
            <w:r w:rsidR="000778C8">
              <w:rPr>
                <w:rFonts w:ascii="Arial" w:hAnsi="Arial" w:cs="Arial"/>
                <w:sz w:val="22"/>
                <w:szCs w:val="22"/>
                <w:lang w:val="en-GB"/>
              </w:rPr>
              <w:t>e</w:t>
            </w:r>
            <w:r w:rsidRPr="000778C8">
              <w:rPr>
                <w:rFonts w:ascii="Arial" w:hAnsi="Arial" w:cs="Arial"/>
                <w:sz w:val="22"/>
                <w:szCs w:val="22"/>
                <w:lang w:val="en-GB"/>
              </w:rPr>
              <w:t xml:space="preserve"> declaration. The </w:t>
            </w:r>
            <w:r w:rsidR="00C9658A">
              <w:rPr>
                <w:rFonts w:ascii="Arial" w:hAnsi="Arial" w:cs="Arial"/>
                <w:sz w:val="22"/>
                <w:szCs w:val="22"/>
                <w:lang w:val="en-GB"/>
              </w:rPr>
              <w:t>w</w:t>
            </w:r>
            <w:r w:rsidRPr="000778C8">
              <w:rPr>
                <w:rFonts w:ascii="Arial" w:hAnsi="Arial" w:cs="Arial"/>
                <w:sz w:val="22"/>
                <w:szCs w:val="22"/>
                <w:lang w:val="en-GB"/>
              </w:rPr>
              <w:t xml:space="preserve">ildlife </w:t>
            </w:r>
            <w:r w:rsidR="00C9658A">
              <w:rPr>
                <w:rFonts w:ascii="Arial" w:hAnsi="Arial" w:cs="Arial"/>
                <w:sz w:val="22"/>
                <w:szCs w:val="22"/>
                <w:lang w:val="en-GB"/>
              </w:rPr>
              <w:t>t</w:t>
            </w:r>
            <w:r w:rsidRPr="000778C8">
              <w:rPr>
                <w:rFonts w:ascii="Arial" w:hAnsi="Arial" w:cs="Arial"/>
                <w:sz w:val="22"/>
                <w:szCs w:val="22"/>
                <w:lang w:val="en-GB"/>
              </w:rPr>
              <w:t xml:space="preserve">rade </w:t>
            </w:r>
            <w:r w:rsidR="00C9658A">
              <w:rPr>
                <w:rFonts w:ascii="Arial" w:hAnsi="Arial" w:cs="Arial"/>
                <w:sz w:val="22"/>
                <w:szCs w:val="22"/>
                <w:lang w:val="en-GB"/>
              </w:rPr>
              <w:t>o</w:t>
            </w:r>
            <w:r w:rsidRPr="000778C8">
              <w:rPr>
                <w:rFonts w:ascii="Arial" w:hAnsi="Arial" w:cs="Arial"/>
                <w:sz w:val="22"/>
                <w:szCs w:val="22"/>
                <w:lang w:val="en-GB"/>
              </w:rPr>
              <w:t xml:space="preserve">peration instrument for the </w:t>
            </w:r>
            <w:r w:rsidR="00C9658A">
              <w:rPr>
                <w:rFonts w:ascii="Arial" w:hAnsi="Arial" w:cs="Arial"/>
                <w:sz w:val="22"/>
                <w:szCs w:val="22"/>
                <w:lang w:val="en-GB"/>
              </w:rPr>
              <w:t>o</w:t>
            </w:r>
            <w:r w:rsidRPr="000778C8">
              <w:rPr>
                <w:rFonts w:ascii="Arial" w:hAnsi="Arial" w:cs="Arial"/>
                <w:sz w:val="22"/>
                <w:szCs w:val="22"/>
                <w:lang w:val="en-GB"/>
              </w:rPr>
              <w:t xml:space="preserve">peration specifies the aforementioned </w:t>
            </w:r>
            <w:r w:rsidR="000778C8">
              <w:rPr>
                <w:rFonts w:ascii="Arial" w:hAnsi="Arial" w:cs="Arial"/>
                <w:sz w:val="22"/>
                <w:szCs w:val="22"/>
                <w:lang w:val="en-GB"/>
              </w:rPr>
              <w:t xml:space="preserve">period </w:t>
            </w:r>
            <w:r w:rsidRPr="000778C8">
              <w:rPr>
                <w:rFonts w:ascii="Arial" w:hAnsi="Arial" w:cs="Arial"/>
                <w:sz w:val="22"/>
                <w:szCs w:val="22"/>
                <w:lang w:val="en-GB"/>
              </w:rPr>
              <w:t xml:space="preserve">and conditions as specified in section </w:t>
            </w:r>
            <w:r w:rsidR="001B57D4">
              <w:rPr>
                <w:rFonts w:ascii="Arial" w:hAnsi="Arial" w:cs="Arial"/>
                <w:sz w:val="22"/>
                <w:szCs w:val="22"/>
                <w:lang w:val="en-GB"/>
              </w:rPr>
              <w:t>2</w:t>
            </w:r>
            <w:r w:rsidRPr="000778C8">
              <w:rPr>
                <w:rFonts w:ascii="Arial" w:hAnsi="Arial" w:cs="Arial"/>
                <w:sz w:val="22"/>
                <w:szCs w:val="22"/>
                <w:lang w:val="en-GB"/>
              </w:rPr>
              <w:t xml:space="preserve"> of this report.</w:t>
            </w:r>
          </w:p>
          <w:bookmarkEnd w:id="8"/>
          <w:p w14:paraId="09242B6E" w14:textId="45C2F50E" w:rsidR="00665124" w:rsidRPr="00F30F9F" w:rsidRDefault="00665124" w:rsidP="0011721B">
            <w:pPr>
              <w:spacing w:after="120"/>
              <w:rPr>
                <w:rFonts w:cs="Arial"/>
                <w:b/>
                <w:iCs/>
              </w:rPr>
            </w:pPr>
          </w:p>
        </w:tc>
      </w:tr>
      <w:tr w:rsidR="00CC4C93" w:rsidRPr="00DC62A3" w14:paraId="5C2D2B74" w14:textId="77777777" w:rsidTr="00656660">
        <w:trPr>
          <w:cnfStyle w:val="000000010000" w:firstRow="0" w:lastRow="0" w:firstColumn="0" w:lastColumn="0" w:oddVBand="0" w:evenVBand="0" w:oddHBand="0" w:evenHBand="1" w:firstRowFirstColumn="0" w:firstRowLastColumn="0" w:lastRowFirstColumn="0" w:lastRowLastColumn="0"/>
          <w:cantSplit/>
        </w:trPr>
        <w:tc>
          <w:tcPr>
            <w:tcW w:w="1580" w:type="pct"/>
          </w:tcPr>
          <w:p w14:paraId="3E7D7FE1" w14:textId="77777777" w:rsidR="00CC4C93" w:rsidRPr="00F30F9F" w:rsidRDefault="00CC4C93" w:rsidP="0011721B">
            <w:pPr>
              <w:tabs>
                <w:tab w:val="right" w:pos="1021"/>
              </w:tabs>
              <w:spacing w:after="120"/>
              <w:ind w:left="426" w:hanging="426"/>
              <w:rPr>
                <w:rFonts w:eastAsia="Times New Roman" w:cs="Arial"/>
                <w:lang w:eastAsia="en-AU"/>
              </w:rPr>
            </w:pPr>
            <w:r w:rsidRPr="00F30F9F">
              <w:rPr>
                <w:rFonts w:eastAsia="Times New Roman" w:cs="Arial"/>
                <w:lang w:eastAsia="en-AU"/>
              </w:rPr>
              <w:t>(8)</w:t>
            </w:r>
            <w:r w:rsidRPr="00F30F9F">
              <w:rPr>
                <w:rFonts w:eastAsia="Times New Roman" w:cs="Arial"/>
                <w:lang w:eastAsia="en-AU"/>
              </w:rPr>
              <w:tab/>
              <w:t>A condition may relate to reporting or monitoring.</w:t>
            </w:r>
          </w:p>
        </w:tc>
        <w:tc>
          <w:tcPr>
            <w:tcW w:w="3420" w:type="pct"/>
            <w:shd w:val="clear" w:color="auto" w:fill="92D050"/>
          </w:tcPr>
          <w:p w14:paraId="29EC4DED" w14:textId="7ACCD40C" w:rsidR="00687679" w:rsidRDefault="00687679" w:rsidP="0011721B">
            <w:pPr>
              <w:spacing w:after="120"/>
              <w:rPr>
                <w:b/>
                <w:shd w:val="clear" w:color="auto" w:fill="92D050"/>
              </w:rPr>
            </w:pPr>
            <w:r w:rsidRPr="00994752">
              <w:rPr>
                <w:b/>
                <w:shd w:val="clear" w:color="auto" w:fill="92D050"/>
              </w:rPr>
              <w:t xml:space="preserve">Meets </w:t>
            </w:r>
            <w:r w:rsidRPr="00124410">
              <w:rPr>
                <w:b/>
              </w:rPr>
              <w:t xml:space="preserve">– </w:t>
            </w:r>
            <w:r>
              <w:rPr>
                <w:b/>
                <w:shd w:val="clear" w:color="auto" w:fill="92D050"/>
              </w:rPr>
              <w:t>c</w:t>
            </w:r>
            <w:r w:rsidRPr="00994752">
              <w:rPr>
                <w:b/>
                <w:shd w:val="clear" w:color="auto" w:fill="92D050"/>
              </w:rPr>
              <w:t>ondition</w:t>
            </w:r>
            <w:r>
              <w:rPr>
                <w:b/>
                <w:shd w:val="clear" w:color="auto" w:fill="92D050"/>
              </w:rPr>
              <w:t xml:space="preserve"> 6</w:t>
            </w:r>
            <w:r w:rsidRPr="00994752">
              <w:rPr>
                <w:b/>
                <w:shd w:val="clear" w:color="auto" w:fill="92D050"/>
              </w:rPr>
              <w:t xml:space="preserve"> </w:t>
            </w:r>
            <w:r>
              <w:rPr>
                <w:b/>
                <w:shd w:val="clear" w:color="auto" w:fill="92D050"/>
              </w:rPr>
              <w:t xml:space="preserve">relates to reporting. </w:t>
            </w:r>
          </w:p>
          <w:p w14:paraId="6F9FAFEE" w14:textId="6FB2321F" w:rsidR="00CC4C93" w:rsidRPr="00F30F9F" w:rsidRDefault="00CC4C93" w:rsidP="0011721B">
            <w:pPr>
              <w:spacing w:after="120"/>
              <w:rPr>
                <w:rFonts w:cs="Arial"/>
                <w:b/>
                <w:iCs/>
              </w:rPr>
            </w:pPr>
            <w:r w:rsidRPr="00F30F9F">
              <w:rPr>
                <w:rFonts w:cs="Arial"/>
              </w:rPr>
              <w:t xml:space="preserve">Conditions proposed in Section </w:t>
            </w:r>
            <w:r w:rsidR="001B57D4">
              <w:rPr>
                <w:rFonts w:cs="Arial"/>
              </w:rPr>
              <w:t>2</w:t>
            </w:r>
            <w:r w:rsidRPr="00F30F9F">
              <w:rPr>
                <w:rFonts w:cs="Arial"/>
              </w:rPr>
              <w:t xml:space="preserve"> of this </w:t>
            </w:r>
            <w:r w:rsidR="00665124" w:rsidRPr="00F30F9F">
              <w:rPr>
                <w:rFonts w:cs="Arial"/>
              </w:rPr>
              <w:t xml:space="preserve">assessment </w:t>
            </w:r>
            <w:r w:rsidRPr="00F30F9F">
              <w:rPr>
                <w:rFonts w:cs="Arial"/>
              </w:rPr>
              <w:t>report relate to reporting.</w:t>
            </w:r>
          </w:p>
        </w:tc>
      </w:tr>
      <w:tr w:rsidR="00CC4C93" w:rsidRPr="00DC62A3" w14:paraId="24EA1EA6" w14:textId="77777777" w:rsidTr="00232213">
        <w:trPr>
          <w:cnfStyle w:val="000000100000" w:firstRow="0" w:lastRow="0" w:firstColumn="0" w:lastColumn="0" w:oddVBand="0" w:evenVBand="0" w:oddHBand="1" w:evenHBand="0" w:firstRowFirstColumn="0" w:firstRowLastColumn="0" w:lastRowFirstColumn="0" w:lastRowLastColumn="0"/>
          <w:cantSplit/>
        </w:trPr>
        <w:tc>
          <w:tcPr>
            <w:tcW w:w="1580" w:type="pct"/>
          </w:tcPr>
          <w:p w14:paraId="4BE8F3DB" w14:textId="77777777" w:rsidR="00CC4C93" w:rsidRPr="00F30F9F" w:rsidRDefault="00CC4C93" w:rsidP="0011721B">
            <w:pPr>
              <w:tabs>
                <w:tab w:val="right" w:pos="1021"/>
              </w:tabs>
              <w:spacing w:after="120"/>
              <w:ind w:left="426" w:hanging="426"/>
              <w:rPr>
                <w:rFonts w:eastAsia="Times New Roman" w:cs="Arial"/>
                <w:lang w:eastAsia="en-AU"/>
              </w:rPr>
            </w:pPr>
            <w:r w:rsidRPr="00F30F9F">
              <w:rPr>
                <w:rFonts w:eastAsia="Times New Roman" w:cs="Arial"/>
                <w:lang w:eastAsia="en-AU"/>
              </w:rPr>
              <w:t>(9)</w:t>
            </w:r>
            <w:r w:rsidRPr="00F30F9F">
              <w:rPr>
                <w:rFonts w:eastAsia="Times New Roman" w:cs="Arial"/>
                <w:lang w:eastAsia="en-AU"/>
              </w:rPr>
              <w:tab/>
              <w:t xml:space="preserve">The Minister must, by instrument published in the </w:t>
            </w:r>
            <w:r w:rsidRPr="00F30F9F">
              <w:rPr>
                <w:rFonts w:eastAsia="Times New Roman" w:cs="Arial"/>
                <w:i/>
                <w:lang w:eastAsia="en-AU"/>
              </w:rPr>
              <w:t>Gazette</w:t>
            </w:r>
            <w:r w:rsidRPr="00F30F9F">
              <w:rPr>
                <w:rFonts w:eastAsia="Times New Roman" w:cs="Arial"/>
                <w:lang w:eastAsia="en-AU"/>
              </w:rPr>
              <w:t>, revoke a declaration if he or she is satisfied that a condition of the declaration has been contravened.</w:t>
            </w:r>
          </w:p>
        </w:tc>
        <w:tc>
          <w:tcPr>
            <w:tcW w:w="3420" w:type="pct"/>
            <w:shd w:val="clear" w:color="auto" w:fill="auto"/>
          </w:tcPr>
          <w:p w14:paraId="620BF7D4" w14:textId="77777777" w:rsidR="00C26867" w:rsidRPr="005F4F1F" w:rsidRDefault="00C26867" w:rsidP="0011721B">
            <w:pPr>
              <w:spacing w:after="120"/>
              <w:contextualSpacing/>
              <w:rPr>
                <w:b/>
              </w:rPr>
            </w:pPr>
            <w:r w:rsidRPr="005F4F1F">
              <w:rPr>
                <w:b/>
              </w:rPr>
              <w:t xml:space="preserve">Not applicable </w:t>
            </w:r>
          </w:p>
          <w:p w14:paraId="42DFF5EB" w14:textId="09025B12" w:rsidR="00CC4C93" w:rsidRPr="00F30F9F" w:rsidRDefault="00C26867" w:rsidP="0011721B">
            <w:pPr>
              <w:spacing w:after="120"/>
              <w:rPr>
                <w:rFonts w:cs="Arial"/>
              </w:rPr>
            </w:pPr>
            <w:r>
              <w:rPr>
                <w:rFonts w:cs="Arial"/>
              </w:rPr>
              <w:t xml:space="preserve"> </w:t>
            </w:r>
          </w:p>
        </w:tc>
      </w:tr>
      <w:tr w:rsidR="00CC4C93" w:rsidRPr="00DC62A3" w14:paraId="1AF7C851" w14:textId="77777777" w:rsidTr="00656660">
        <w:trPr>
          <w:cnfStyle w:val="000000010000" w:firstRow="0" w:lastRow="0" w:firstColumn="0" w:lastColumn="0" w:oddVBand="0" w:evenVBand="0" w:oddHBand="0" w:evenHBand="1" w:firstRowFirstColumn="0" w:firstRowLastColumn="0" w:lastRowFirstColumn="0" w:lastRowLastColumn="0"/>
          <w:cantSplit/>
        </w:trPr>
        <w:tc>
          <w:tcPr>
            <w:tcW w:w="1580" w:type="pct"/>
          </w:tcPr>
          <w:p w14:paraId="44A69DD2" w14:textId="77777777" w:rsidR="00CC4C93" w:rsidRPr="00F30F9F" w:rsidRDefault="00CC4C93" w:rsidP="0011721B">
            <w:pPr>
              <w:tabs>
                <w:tab w:val="right" w:pos="1021"/>
              </w:tabs>
              <w:spacing w:after="120"/>
              <w:ind w:left="426" w:hanging="426"/>
              <w:rPr>
                <w:rFonts w:eastAsia="Times New Roman" w:cs="Arial"/>
                <w:lang w:eastAsia="en-AU"/>
              </w:rPr>
            </w:pPr>
            <w:r w:rsidRPr="00F30F9F">
              <w:rPr>
                <w:rFonts w:eastAsia="Times New Roman" w:cs="Arial"/>
                <w:lang w:eastAsia="en-AU"/>
              </w:rPr>
              <w:t>(11)</w:t>
            </w:r>
            <w:r w:rsidRPr="00F30F9F">
              <w:rPr>
                <w:rFonts w:eastAsia="Times New Roman" w:cs="Arial"/>
                <w:lang w:eastAsia="en-AU"/>
              </w:rPr>
              <w:tab/>
              <w:t>A copy of an instrument under section 303FN, or this section is to be made available for inspection on the internet.</w:t>
            </w:r>
          </w:p>
        </w:tc>
        <w:tc>
          <w:tcPr>
            <w:tcW w:w="3420" w:type="pct"/>
            <w:shd w:val="clear" w:color="auto" w:fill="92D050"/>
          </w:tcPr>
          <w:p w14:paraId="71B9CBE5" w14:textId="75BE8F14" w:rsidR="004E43BC" w:rsidRDefault="004E43BC" w:rsidP="0011721B">
            <w:pPr>
              <w:spacing w:after="120"/>
              <w:rPr>
                <w:rFonts w:cs="Arial"/>
              </w:rPr>
            </w:pPr>
            <w:r w:rsidRPr="00994752">
              <w:rPr>
                <w:b/>
              </w:rPr>
              <w:t>Meets</w:t>
            </w:r>
            <w:r w:rsidRPr="00994752">
              <w:rPr>
                <w:b/>
                <w:shd w:val="clear" w:color="auto" w:fill="92D050"/>
              </w:rPr>
              <w:t xml:space="preserve"> </w:t>
            </w:r>
            <w:r w:rsidRPr="00124410">
              <w:rPr>
                <w:b/>
              </w:rPr>
              <w:t>–</w:t>
            </w:r>
            <w:r>
              <w:rPr>
                <w:b/>
              </w:rPr>
              <w:t xml:space="preserve"> the wildlife trade operation instrument will be made available on </w:t>
            </w:r>
            <w:r w:rsidRPr="002229B1">
              <w:rPr>
                <w:b/>
              </w:rPr>
              <w:t>the Department of Agriculture, Water and the Environment’s</w:t>
            </w:r>
            <w:r>
              <w:rPr>
                <w:b/>
              </w:rPr>
              <w:t xml:space="preserve"> website</w:t>
            </w:r>
            <w:r w:rsidR="00C26867">
              <w:rPr>
                <w:b/>
              </w:rPr>
              <w:t>.</w:t>
            </w:r>
            <w:r>
              <w:rPr>
                <w:b/>
              </w:rPr>
              <w:t xml:space="preserve"> </w:t>
            </w:r>
          </w:p>
          <w:p w14:paraId="4701611F" w14:textId="45CF146C" w:rsidR="00CC4C93" w:rsidRPr="00F30F9F" w:rsidRDefault="00B077CF" w:rsidP="0011721B">
            <w:pPr>
              <w:spacing w:after="120"/>
              <w:rPr>
                <w:rFonts w:cs="Arial"/>
              </w:rPr>
            </w:pPr>
            <w:r>
              <w:rPr>
                <w:rFonts w:cs="Arial"/>
              </w:rPr>
              <w:t xml:space="preserve">The </w:t>
            </w:r>
            <w:r w:rsidR="00CC4C93" w:rsidRPr="00F30F9F">
              <w:rPr>
                <w:rFonts w:cs="Arial"/>
              </w:rPr>
              <w:t xml:space="preserve">instrument for the </w:t>
            </w:r>
            <w:r w:rsidR="00184BF5" w:rsidRPr="00F30F9F">
              <w:rPr>
                <w:rFonts w:cs="Arial"/>
              </w:rPr>
              <w:t xml:space="preserve">operation </w:t>
            </w:r>
            <w:r w:rsidR="00CC4C93" w:rsidRPr="00F30F9F">
              <w:rPr>
                <w:rFonts w:cs="Arial"/>
              </w:rPr>
              <w:t xml:space="preserve">made under sections 303FN and the conditions under section 303FT will be registered as a notifiable instrument and made available through the </w:t>
            </w:r>
            <w:r w:rsidR="00CC4C93" w:rsidRPr="00F30F9F">
              <w:rPr>
                <w:rFonts w:cs="Arial"/>
                <w:iCs/>
              </w:rPr>
              <w:t>Department</w:t>
            </w:r>
            <w:r w:rsidR="004E43BC">
              <w:rPr>
                <w:rFonts w:cs="Arial"/>
                <w:iCs/>
              </w:rPr>
              <w:t xml:space="preserve"> of Agriculture, Water and Environment’s</w:t>
            </w:r>
            <w:r w:rsidR="00CC4C93" w:rsidRPr="00F30F9F">
              <w:rPr>
                <w:rFonts w:cs="Arial"/>
                <w:iCs/>
              </w:rPr>
              <w:t xml:space="preserve"> </w:t>
            </w:r>
            <w:r w:rsidR="00CC4C93" w:rsidRPr="00F30F9F">
              <w:rPr>
                <w:rFonts w:cs="Arial"/>
              </w:rPr>
              <w:t>website.</w:t>
            </w:r>
          </w:p>
        </w:tc>
      </w:tr>
    </w:tbl>
    <w:p w14:paraId="384F1FE8" w14:textId="2239B0F8" w:rsidR="000465DD" w:rsidRPr="00320AA3" w:rsidRDefault="000465DD" w:rsidP="00320AA3">
      <w:pPr>
        <w:pStyle w:val="Heading2"/>
        <w:rPr>
          <w:sz w:val="24"/>
          <w:szCs w:val="24"/>
        </w:rPr>
      </w:pPr>
      <w:bookmarkStart w:id="9" w:name="_Toc38527436"/>
      <w:r w:rsidRPr="00320AA3">
        <w:rPr>
          <w:sz w:val="24"/>
          <w:szCs w:val="24"/>
        </w:rPr>
        <w:lastRenderedPageBreak/>
        <w:t xml:space="preserve">Section </w:t>
      </w:r>
      <w:r w:rsidR="001B57D4" w:rsidRPr="00320AA3">
        <w:rPr>
          <w:sz w:val="24"/>
          <w:szCs w:val="24"/>
        </w:rPr>
        <w:t>2</w:t>
      </w:r>
      <w:r w:rsidRPr="00320AA3">
        <w:rPr>
          <w:sz w:val="24"/>
          <w:szCs w:val="24"/>
        </w:rPr>
        <w:t>: Recommended conditions</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6"/>
        <w:gridCol w:w="5917"/>
      </w:tblGrid>
      <w:tr w:rsidR="000465DD" w:rsidRPr="00DC62A3" w14:paraId="2B6BD919" w14:textId="77777777" w:rsidTr="00E31F68">
        <w:trPr>
          <w:cantSplit/>
          <w:tblHeader/>
        </w:trPr>
        <w:tc>
          <w:tcPr>
            <w:tcW w:w="8926" w:type="dxa"/>
            <w:shd w:val="clear" w:color="auto" w:fill="D9D9D9"/>
          </w:tcPr>
          <w:p w14:paraId="0D91AE51" w14:textId="77777777" w:rsidR="000465DD" w:rsidRPr="00F30F9F" w:rsidRDefault="000465DD" w:rsidP="00C9658A">
            <w:pPr>
              <w:spacing w:after="120"/>
              <w:rPr>
                <w:rFonts w:cs="Arial"/>
                <w:b/>
              </w:rPr>
            </w:pPr>
            <w:r w:rsidRPr="00F30F9F">
              <w:rPr>
                <w:rFonts w:cs="Arial"/>
                <w:b/>
              </w:rPr>
              <w:t>Issue</w:t>
            </w:r>
          </w:p>
        </w:tc>
        <w:tc>
          <w:tcPr>
            <w:tcW w:w="5917" w:type="dxa"/>
            <w:shd w:val="clear" w:color="auto" w:fill="D9D9D9"/>
          </w:tcPr>
          <w:p w14:paraId="28D9179E" w14:textId="77777777" w:rsidR="000465DD" w:rsidRPr="00F30F9F" w:rsidRDefault="000465DD" w:rsidP="00C9658A">
            <w:pPr>
              <w:spacing w:after="120"/>
              <w:rPr>
                <w:rFonts w:cs="Arial"/>
                <w:b/>
              </w:rPr>
            </w:pPr>
            <w:r w:rsidRPr="00F30F9F">
              <w:rPr>
                <w:rFonts w:cs="Arial"/>
                <w:b/>
              </w:rPr>
              <w:t>Condition</w:t>
            </w:r>
          </w:p>
        </w:tc>
      </w:tr>
      <w:tr w:rsidR="000465DD" w:rsidRPr="00DC62A3" w14:paraId="636A836A" w14:textId="77777777" w:rsidTr="00C42395">
        <w:trPr>
          <w:cantSplit/>
        </w:trPr>
        <w:tc>
          <w:tcPr>
            <w:tcW w:w="8926" w:type="dxa"/>
            <w:tcBorders>
              <w:top w:val="single" w:sz="4" w:space="0" w:color="auto"/>
              <w:left w:val="single" w:sz="4" w:space="0" w:color="auto"/>
              <w:bottom w:val="single" w:sz="4" w:space="0" w:color="auto"/>
              <w:right w:val="single" w:sz="4" w:space="0" w:color="auto"/>
            </w:tcBorders>
          </w:tcPr>
          <w:p w14:paraId="3AE14844" w14:textId="77777777" w:rsidR="000465DD" w:rsidRPr="00F30F9F" w:rsidRDefault="000465DD" w:rsidP="00C9658A">
            <w:pPr>
              <w:spacing w:after="120"/>
              <w:rPr>
                <w:rFonts w:cs="Arial"/>
                <w:b/>
              </w:rPr>
            </w:pPr>
            <w:r>
              <w:rPr>
                <w:rFonts w:cs="Arial"/>
                <w:b/>
              </w:rPr>
              <w:t>G</w:t>
            </w:r>
            <w:r w:rsidRPr="00F30F9F">
              <w:rPr>
                <w:rFonts w:cs="Arial"/>
                <w:b/>
              </w:rPr>
              <w:t>eneral Management</w:t>
            </w:r>
          </w:p>
          <w:p w14:paraId="03E4A71B" w14:textId="6F9E24AE" w:rsidR="000465DD" w:rsidRDefault="000465DD" w:rsidP="00C9658A">
            <w:pPr>
              <w:spacing w:after="120"/>
              <w:rPr>
                <w:rFonts w:cs="Arial"/>
                <w:b/>
              </w:rPr>
            </w:pPr>
            <w:r w:rsidRPr="00F30F9F">
              <w:rPr>
                <w:rFonts w:cs="Arial"/>
              </w:rPr>
              <w:t xml:space="preserve">Export decisions relate to the arrangements in force at the time of the decision. To ensure that these decisions remain valid and export approval continues uninterrupted, the </w:t>
            </w:r>
            <w:r w:rsidRPr="00F30F9F">
              <w:rPr>
                <w:bCs/>
              </w:rPr>
              <w:t xml:space="preserve">Department of Agriculture, Water and the Environment </w:t>
            </w:r>
            <w:r w:rsidRPr="00F30F9F">
              <w:rPr>
                <w:rFonts w:cs="Arial"/>
              </w:rPr>
              <w:t xml:space="preserve">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w:t>
            </w:r>
            <w:r>
              <w:rPr>
                <w:rFonts w:cs="Arial"/>
              </w:rPr>
              <w:t xml:space="preserve">the target </w:t>
            </w:r>
            <w:r w:rsidRPr="00F30F9F">
              <w:rPr>
                <w:rFonts w:cs="Arial"/>
              </w:rPr>
              <w:t xml:space="preserve">species or </w:t>
            </w:r>
            <w:r>
              <w:rPr>
                <w:rFonts w:cs="Arial"/>
              </w:rPr>
              <w:t xml:space="preserve">negatively impact on </w:t>
            </w:r>
            <w:r w:rsidRPr="00F768EA">
              <w:rPr>
                <w:rFonts w:cs="Arial"/>
              </w:rPr>
              <w:t>EPBC</w:t>
            </w:r>
            <w:r>
              <w:rPr>
                <w:rFonts w:cs="Arial"/>
              </w:rPr>
              <w:t xml:space="preserve"> Act protected species or </w:t>
            </w:r>
            <w:r w:rsidRPr="00F30F9F">
              <w:rPr>
                <w:rFonts w:cs="Arial"/>
              </w:rPr>
              <w:t>the ecosystem.</w:t>
            </w:r>
          </w:p>
        </w:tc>
        <w:tc>
          <w:tcPr>
            <w:tcW w:w="5917" w:type="dxa"/>
            <w:tcBorders>
              <w:top w:val="single" w:sz="4" w:space="0" w:color="auto"/>
              <w:left w:val="single" w:sz="4" w:space="0" w:color="auto"/>
              <w:bottom w:val="single" w:sz="4" w:space="0" w:color="auto"/>
              <w:right w:val="single" w:sz="4" w:space="0" w:color="auto"/>
            </w:tcBorders>
          </w:tcPr>
          <w:p w14:paraId="171B7E94" w14:textId="77777777" w:rsidR="000465DD" w:rsidRPr="00F30F9F" w:rsidRDefault="000465DD" w:rsidP="00C9658A">
            <w:pPr>
              <w:spacing w:after="120"/>
              <w:rPr>
                <w:b/>
                <w:bCs/>
              </w:rPr>
            </w:pPr>
            <w:r w:rsidRPr="00F30F9F">
              <w:rPr>
                <w:b/>
                <w:bCs/>
              </w:rPr>
              <w:t>Condition 1:</w:t>
            </w:r>
          </w:p>
          <w:p w14:paraId="14D3A419" w14:textId="2766EE5B" w:rsidR="000465DD" w:rsidRPr="00232077" w:rsidRDefault="00EE25F9" w:rsidP="00C9658A">
            <w:pPr>
              <w:spacing w:after="120"/>
              <w:rPr>
                <w:rFonts w:cs="Arial"/>
              </w:rPr>
            </w:pPr>
            <w:bookmarkStart w:id="10" w:name="_Hlk33695428"/>
            <w:r w:rsidRPr="008329C8">
              <w:rPr>
                <w:rFonts w:cs="Arial"/>
                <w:lang w:val="en-GB"/>
              </w:rPr>
              <w:t xml:space="preserve">Jardini Pty Ltd </w:t>
            </w:r>
            <w:r>
              <w:rPr>
                <w:rFonts w:cs="Arial"/>
                <w:lang w:val="en-GB"/>
              </w:rPr>
              <w:t xml:space="preserve">must undertake the </w:t>
            </w:r>
            <w:r w:rsidR="000465DD" w:rsidRPr="00232077">
              <w:rPr>
                <w:rFonts w:cs="Arial"/>
              </w:rPr>
              <w:t xml:space="preserve">wildlife trade operation in accordance with the management regime as described in the </w:t>
            </w:r>
            <w:r>
              <w:rPr>
                <w:rFonts w:cs="Arial"/>
              </w:rPr>
              <w:t>application</w:t>
            </w:r>
            <w:r w:rsidR="000465DD" w:rsidRPr="00232077">
              <w:rPr>
                <w:rFonts w:cs="Arial"/>
              </w:rPr>
              <w:t xml:space="preserve"> submitted to the Department of Agriculture, Water and the Environment on </w:t>
            </w:r>
            <w:r>
              <w:rPr>
                <w:rFonts w:cs="Arial"/>
              </w:rPr>
              <w:t>8 January 2020</w:t>
            </w:r>
            <w:r w:rsidR="000465DD" w:rsidRPr="00232077">
              <w:rPr>
                <w:rFonts w:cs="Arial"/>
              </w:rPr>
              <w:t>.</w:t>
            </w:r>
            <w:bookmarkEnd w:id="10"/>
            <w:r>
              <w:rPr>
                <w:rFonts w:cs="Arial"/>
              </w:rPr>
              <w:t xml:space="preserve"> </w:t>
            </w:r>
          </w:p>
          <w:p w14:paraId="4E8CC74B" w14:textId="06F3CC53" w:rsidR="000465DD" w:rsidRPr="00EE25F9" w:rsidRDefault="000465DD" w:rsidP="00C9658A">
            <w:pPr>
              <w:spacing w:after="120"/>
              <w:rPr>
                <w:sz w:val="16"/>
                <w:szCs w:val="16"/>
              </w:rPr>
            </w:pPr>
            <w:r w:rsidRPr="00F30F9F">
              <w:rPr>
                <w:b/>
                <w:bCs/>
              </w:rPr>
              <w:t>Condition 2:</w:t>
            </w:r>
          </w:p>
          <w:p w14:paraId="09C674D2" w14:textId="77777777" w:rsidR="000465DD" w:rsidRPr="00232077" w:rsidRDefault="000465DD" w:rsidP="00C9658A">
            <w:pPr>
              <w:spacing w:after="120"/>
              <w:rPr>
                <w:rFonts w:cs="Arial"/>
              </w:rPr>
            </w:pPr>
            <w:bookmarkStart w:id="11" w:name="_Hlk36039788"/>
            <w:r w:rsidRPr="008329C8">
              <w:rPr>
                <w:rFonts w:cs="Arial"/>
                <w:lang w:val="en-GB"/>
              </w:rPr>
              <w:t xml:space="preserve">Jardini Pty Ltd must inform the Department of Agriculture, Water and the Environment of any intended material changes to the management arrangements that may affect the assessment against which </w:t>
            </w:r>
            <w:r w:rsidRPr="008329C8">
              <w:rPr>
                <w:rFonts w:cs="Arial"/>
                <w:i/>
                <w:iCs/>
                <w:lang w:val="en-GB"/>
              </w:rPr>
              <w:t>Environment Protection and Biodiversity Conservation Act 1999</w:t>
            </w:r>
            <w:r w:rsidRPr="008329C8">
              <w:rPr>
                <w:rFonts w:cs="Arial"/>
                <w:lang w:val="en-GB"/>
              </w:rPr>
              <w:t xml:space="preserve"> decisions are made.</w:t>
            </w:r>
          </w:p>
          <w:bookmarkEnd w:id="11"/>
          <w:p w14:paraId="66E3C069" w14:textId="77777777" w:rsidR="000465DD" w:rsidRPr="00F30F9F" w:rsidRDefault="000465DD" w:rsidP="00C9658A">
            <w:pPr>
              <w:spacing w:after="120"/>
              <w:rPr>
                <w:b/>
                <w:bCs/>
              </w:rPr>
            </w:pPr>
            <w:r w:rsidRPr="00F30F9F">
              <w:rPr>
                <w:b/>
                <w:bCs/>
              </w:rPr>
              <w:t>Condition 3:</w:t>
            </w:r>
          </w:p>
          <w:p w14:paraId="75EB6ABB" w14:textId="6E49DBE6" w:rsidR="000465DD" w:rsidRPr="000465DD" w:rsidRDefault="000465DD" w:rsidP="00C9658A">
            <w:pPr>
              <w:spacing w:after="120"/>
              <w:rPr>
                <w:rFonts w:cs="Arial"/>
              </w:rPr>
            </w:pPr>
            <w:r w:rsidRPr="008329C8">
              <w:rPr>
                <w:rFonts w:cs="Arial"/>
              </w:rPr>
              <w:t>The broodstock and all their progeny must be kept in a closed controlled environment in accordance with the Queensland Department of Agriculture and Fisheries Aquaculture Development Approvals DA2005BC0398 Tarome facility, and DA1902-99125 and DA2019BC0009 Wynnum facility.</w:t>
            </w:r>
          </w:p>
        </w:tc>
      </w:tr>
    </w:tbl>
    <w:p w14:paraId="0AD51131" w14:textId="77777777" w:rsidR="000465DD" w:rsidRDefault="000465DD">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6"/>
        <w:gridCol w:w="5917"/>
      </w:tblGrid>
      <w:tr w:rsidR="000465DD" w:rsidRPr="00DC62A3" w14:paraId="22CDCC4D" w14:textId="77777777" w:rsidTr="00C9658A">
        <w:trPr>
          <w:cantSplit/>
          <w:trHeight w:val="4385"/>
        </w:trPr>
        <w:tc>
          <w:tcPr>
            <w:tcW w:w="8926" w:type="dxa"/>
            <w:tcBorders>
              <w:top w:val="single" w:sz="4" w:space="0" w:color="auto"/>
              <w:left w:val="single" w:sz="4" w:space="0" w:color="auto"/>
              <w:right w:val="single" w:sz="4" w:space="0" w:color="auto"/>
            </w:tcBorders>
          </w:tcPr>
          <w:p w14:paraId="6D26881F" w14:textId="0C1B67E6" w:rsidR="000465DD" w:rsidRPr="00F30F9F" w:rsidRDefault="000465DD" w:rsidP="00D04A64">
            <w:pPr>
              <w:spacing w:after="120" w:line="240" w:lineRule="auto"/>
              <w:rPr>
                <w:rFonts w:cs="Arial"/>
              </w:rPr>
            </w:pPr>
            <w:r w:rsidRPr="00F30F9F">
              <w:rPr>
                <w:rFonts w:cs="Arial"/>
              </w:rPr>
              <w:lastRenderedPageBreak/>
              <w:t xml:space="preserve"> </w:t>
            </w:r>
          </w:p>
        </w:tc>
        <w:tc>
          <w:tcPr>
            <w:tcW w:w="5917" w:type="dxa"/>
            <w:tcBorders>
              <w:top w:val="single" w:sz="4" w:space="0" w:color="auto"/>
              <w:left w:val="single" w:sz="4" w:space="0" w:color="auto"/>
              <w:right w:val="single" w:sz="4" w:space="0" w:color="auto"/>
            </w:tcBorders>
          </w:tcPr>
          <w:p w14:paraId="6042DA75" w14:textId="77777777" w:rsidR="000465DD" w:rsidRPr="00F30F9F" w:rsidRDefault="000465DD" w:rsidP="00EE25F9">
            <w:pPr>
              <w:tabs>
                <w:tab w:val="num" w:pos="-169"/>
              </w:tabs>
              <w:spacing w:after="120"/>
              <w:rPr>
                <w:b/>
                <w:bCs/>
              </w:rPr>
            </w:pPr>
            <w:r w:rsidRPr="00F30F9F">
              <w:rPr>
                <w:b/>
                <w:bCs/>
              </w:rPr>
              <w:t>Condition 4:</w:t>
            </w:r>
          </w:p>
          <w:p w14:paraId="7FC39B88" w14:textId="77777777" w:rsidR="000465DD" w:rsidRDefault="000465DD" w:rsidP="00EE25F9">
            <w:pPr>
              <w:spacing w:after="120"/>
              <w:rPr>
                <w:rFonts w:cs="Arial"/>
              </w:rPr>
            </w:pPr>
            <w:bookmarkStart w:id="12" w:name="_Hlk33695556"/>
            <w:r w:rsidRPr="008329C8">
              <w:rPr>
                <w:rFonts w:cs="Arial"/>
              </w:rPr>
              <w:t>All specimens of Australian lungfish exported under this wildlife trade operation must be fish that are at least first generation, produced from the broodstock collected under Queensland Department of Agriculture and Fisheries General Fisheries permit (Number 188473) or subsequent progeny of those broodstock.</w:t>
            </w:r>
            <w:bookmarkEnd w:id="12"/>
          </w:p>
          <w:p w14:paraId="50A3D1D0" w14:textId="77777777" w:rsidR="000465DD" w:rsidRPr="00F30F9F" w:rsidRDefault="000465DD" w:rsidP="00EE25F9">
            <w:pPr>
              <w:tabs>
                <w:tab w:val="num" w:pos="-169"/>
              </w:tabs>
              <w:spacing w:after="120"/>
              <w:rPr>
                <w:b/>
                <w:bCs/>
              </w:rPr>
            </w:pPr>
            <w:r w:rsidRPr="00F30F9F">
              <w:rPr>
                <w:b/>
                <w:bCs/>
              </w:rPr>
              <w:t>Condition 5:</w:t>
            </w:r>
          </w:p>
          <w:p w14:paraId="318A5439" w14:textId="6405148D" w:rsidR="000465DD" w:rsidRPr="00C9658A" w:rsidRDefault="007C675F" w:rsidP="00EE25F9">
            <w:pPr>
              <w:spacing w:after="120"/>
              <w:rPr>
                <w:rFonts w:cs="Arial"/>
              </w:rPr>
            </w:pPr>
            <w:r w:rsidRPr="007C675F">
              <w:rPr>
                <w:rFonts w:cs="Arial"/>
              </w:rPr>
              <w:t>All specimens of Australian lungfish exported under this wildlife trade operation must be fitted with an internal passive integrated transponder tag - PIT tag (or an alternative marking technology system approved by the Department</w:t>
            </w:r>
            <w:r w:rsidR="006B7FD0">
              <w:rPr>
                <w:rFonts w:cs="Arial"/>
              </w:rPr>
              <w:t xml:space="preserve"> of Agriculture, Water and the Environment</w:t>
            </w:r>
            <w:r w:rsidRPr="007C675F">
              <w:rPr>
                <w:rFonts w:cs="Arial"/>
              </w:rPr>
              <w:t>)</w:t>
            </w:r>
            <w:r w:rsidR="006B7FD0">
              <w:rPr>
                <w:rFonts w:cs="Arial"/>
              </w:rPr>
              <w:t>.T</w:t>
            </w:r>
            <w:r w:rsidRPr="007C675F">
              <w:rPr>
                <w:rFonts w:cs="Arial"/>
              </w:rPr>
              <w:t xml:space="preserve">he passive integrated transponder tag (or </w:t>
            </w:r>
            <w:r w:rsidR="006B7FD0">
              <w:rPr>
                <w:rFonts w:cs="Arial"/>
              </w:rPr>
              <w:t xml:space="preserve">approved </w:t>
            </w:r>
            <w:r w:rsidRPr="007C675F">
              <w:rPr>
                <w:rFonts w:cs="Arial"/>
              </w:rPr>
              <w:t>alternative) numbers must be provided to the Department of Agriculture, Water and the Environment in the annual report (refer to condition 6 of this declaration).</w:t>
            </w:r>
          </w:p>
        </w:tc>
      </w:tr>
      <w:tr w:rsidR="00D04A64" w:rsidRPr="00DC62A3" w14:paraId="495286E3" w14:textId="77777777" w:rsidTr="00C42395">
        <w:trPr>
          <w:cantSplit/>
        </w:trPr>
        <w:tc>
          <w:tcPr>
            <w:tcW w:w="8926" w:type="dxa"/>
            <w:tcBorders>
              <w:top w:val="single" w:sz="4" w:space="0" w:color="auto"/>
              <w:left w:val="single" w:sz="4" w:space="0" w:color="auto"/>
              <w:bottom w:val="single" w:sz="4" w:space="0" w:color="auto"/>
              <w:right w:val="single" w:sz="4" w:space="0" w:color="auto"/>
            </w:tcBorders>
          </w:tcPr>
          <w:p w14:paraId="4C236549" w14:textId="3C60EFAF" w:rsidR="00D04A64" w:rsidRPr="00F30F9F" w:rsidRDefault="00D04A64" w:rsidP="00D04A64">
            <w:pPr>
              <w:spacing w:after="120" w:line="240" w:lineRule="auto"/>
              <w:rPr>
                <w:rFonts w:cs="Arial"/>
                <w:b/>
              </w:rPr>
            </w:pPr>
            <w:r w:rsidRPr="00F30F9F">
              <w:rPr>
                <w:rFonts w:cs="Arial"/>
                <w:b/>
              </w:rPr>
              <w:t xml:space="preserve">Annual Reporting </w:t>
            </w:r>
          </w:p>
          <w:p w14:paraId="04F18E05" w14:textId="625A3B24" w:rsidR="00D04A64" w:rsidRPr="00F30F9F" w:rsidRDefault="00D04A64" w:rsidP="006F4E6F">
            <w:pPr>
              <w:spacing w:after="120" w:line="240" w:lineRule="auto"/>
              <w:rPr>
                <w:rFonts w:cs="Arial"/>
              </w:rPr>
            </w:pPr>
            <w:r w:rsidRPr="00F30F9F">
              <w:rPr>
                <w:rFonts w:cs="Arial"/>
              </w:rPr>
              <w:t xml:space="preserve">It is important that reports be produced and presented to the Department annually in order for the performance of the </w:t>
            </w:r>
            <w:r w:rsidR="006F4E6F" w:rsidRPr="00F30F9F">
              <w:rPr>
                <w:rFonts w:cs="Arial"/>
              </w:rPr>
              <w:t>operation</w:t>
            </w:r>
            <w:r w:rsidR="0077382E">
              <w:rPr>
                <w:rFonts w:cs="Arial"/>
              </w:rPr>
              <w:t xml:space="preserve"> to be monitored </w:t>
            </w:r>
            <w:r w:rsidRPr="00F30F9F">
              <w:rPr>
                <w:rFonts w:cs="Arial"/>
              </w:rPr>
              <w:t>and assessed throughou</w:t>
            </w:r>
            <w:r w:rsidR="006F4E6F" w:rsidRPr="00F30F9F">
              <w:rPr>
                <w:rFonts w:cs="Arial"/>
              </w:rPr>
              <w:t>t the life of the declaration.</w:t>
            </w:r>
          </w:p>
        </w:tc>
        <w:tc>
          <w:tcPr>
            <w:tcW w:w="5917" w:type="dxa"/>
            <w:tcBorders>
              <w:top w:val="single" w:sz="4" w:space="0" w:color="auto"/>
              <w:left w:val="single" w:sz="4" w:space="0" w:color="auto"/>
              <w:bottom w:val="single" w:sz="4" w:space="0" w:color="auto"/>
              <w:right w:val="single" w:sz="4" w:space="0" w:color="auto"/>
            </w:tcBorders>
          </w:tcPr>
          <w:p w14:paraId="41E209E4" w14:textId="72798E24" w:rsidR="00D04A64" w:rsidRPr="00F30F9F" w:rsidRDefault="00D04A64" w:rsidP="00EE25F9">
            <w:pPr>
              <w:spacing w:after="120"/>
              <w:rPr>
                <w:b/>
                <w:bCs/>
              </w:rPr>
            </w:pPr>
            <w:r w:rsidRPr="00F30F9F">
              <w:rPr>
                <w:b/>
                <w:bCs/>
              </w:rPr>
              <w:t xml:space="preserve">Condition </w:t>
            </w:r>
            <w:r w:rsidR="00F82A52" w:rsidRPr="00F30F9F">
              <w:rPr>
                <w:b/>
                <w:bCs/>
              </w:rPr>
              <w:t>6</w:t>
            </w:r>
            <w:r w:rsidRPr="00F30F9F">
              <w:rPr>
                <w:b/>
                <w:bCs/>
              </w:rPr>
              <w:t>:</w:t>
            </w:r>
          </w:p>
          <w:p w14:paraId="17A252E3" w14:textId="585CD0C0" w:rsidR="00BE0267" w:rsidRPr="00F30F9F" w:rsidRDefault="007C675F" w:rsidP="00EE25F9">
            <w:pPr>
              <w:spacing w:after="120"/>
              <w:rPr>
                <w:bCs/>
              </w:rPr>
            </w:pPr>
            <w:r w:rsidRPr="007C675F">
              <w:rPr>
                <w:rFonts w:cs="Arial"/>
              </w:rPr>
              <w:t>Jardini Pty Ltd must provide an annual report to the Department of Agriculture, Water and the Environment by 31 March each year. The annual report must include details of all Australian lungfish exports, including the PIT tag (or alternative marking system approved by the Department</w:t>
            </w:r>
            <w:r w:rsidR="006B7FD0">
              <w:rPr>
                <w:rFonts w:cs="Arial"/>
              </w:rPr>
              <w:t xml:space="preserve"> of Agriculture, Water and the Environment</w:t>
            </w:r>
            <w:r w:rsidRPr="007C675F">
              <w:rPr>
                <w:rFonts w:cs="Arial"/>
              </w:rPr>
              <w:t>) numbers for each Australian lungfish and the size (length and weight) of each Australian lungfish. The report must also provide the details of the number of Australian lungfish held at Jardini Pty Ltd’s aquaculture facilities at Tarome and Wynnum.</w:t>
            </w:r>
          </w:p>
        </w:tc>
      </w:tr>
    </w:tbl>
    <w:p w14:paraId="6E9C13EA" w14:textId="4C7EE611" w:rsidR="00232213" w:rsidRPr="006A225D" w:rsidRDefault="00232213" w:rsidP="0024413A">
      <w:pPr>
        <w:rPr>
          <w:sz w:val="2"/>
          <w:szCs w:val="2"/>
        </w:rPr>
      </w:pPr>
    </w:p>
    <w:sectPr w:rsidR="00232213" w:rsidRPr="006A225D" w:rsidSect="00567592">
      <w:pgSz w:w="16838" w:h="11906" w:orient="landscape"/>
      <w:pgMar w:top="851" w:right="1418" w:bottom="709" w:left="567"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08744A" w14:textId="77777777" w:rsidR="00810B42" w:rsidRDefault="00810B42" w:rsidP="00A60185">
      <w:pPr>
        <w:spacing w:after="0" w:line="240" w:lineRule="auto"/>
      </w:pPr>
      <w:r>
        <w:separator/>
      </w:r>
    </w:p>
  </w:endnote>
  <w:endnote w:type="continuationSeparator" w:id="0">
    <w:p w14:paraId="5996B0D1" w14:textId="77777777" w:rsidR="00810B42" w:rsidRDefault="00810B42" w:rsidP="00A60185">
      <w:pPr>
        <w:spacing w:after="0" w:line="240" w:lineRule="auto"/>
      </w:pPr>
      <w:r>
        <w:continuationSeparator/>
      </w:r>
    </w:p>
  </w:endnote>
  <w:endnote w:type="continuationNotice" w:id="1">
    <w:p w14:paraId="734D580A" w14:textId="77777777" w:rsidR="00810B42" w:rsidRDefault="00810B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7273C5" w14:textId="77777777" w:rsidR="00E2047B" w:rsidRDefault="00E2047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108599"/>
      <w:docPartObj>
        <w:docPartGallery w:val="Page Numbers (Bottom of Page)"/>
        <w:docPartUnique/>
      </w:docPartObj>
    </w:sdtPr>
    <w:sdtEndPr/>
    <w:sdtContent>
      <w:p w14:paraId="426351D5" w14:textId="77777777" w:rsidR="00810B42" w:rsidRDefault="00810B42">
        <w:pPr>
          <w:pStyle w:val="Footer"/>
          <w:jc w:val="center"/>
        </w:pPr>
        <w:r>
          <w:fldChar w:fldCharType="begin"/>
        </w:r>
        <w:r>
          <w:instrText xml:space="preserve"> PAGE   \* MERGEFORMAT </w:instrText>
        </w:r>
        <w:r>
          <w:fldChar w:fldCharType="separate"/>
        </w:r>
        <w:r w:rsidR="00E2047B">
          <w:rPr>
            <w:noProof/>
          </w:rPr>
          <w:t>15</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8484238"/>
      <w:docPartObj>
        <w:docPartGallery w:val="Page Numbers (Bottom of Page)"/>
        <w:docPartUnique/>
      </w:docPartObj>
    </w:sdtPr>
    <w:sdtEndPr>
      <w:rPr>
        <w:noProof/>
      </w:rPr>
    </w:sdtEndPr>
    <w:sdtContent>
      <w:p w14:paraId="720CA81C" w14:textId="395F6AF7" w:rsidR="00810B42" w:rsidRDefault="00810B42">
        <w:pPr>
          <w:pStyle w:val="Footer"/>
          <w:jc w:val="center"/>
        </w:pPr>
        <w:r>
          <w:fldChar w:fldCharType="begin"/>
        </w:r>
        <w:r>
          <w:instrText xml:space="preserve"> PAGE   \* MERGEFORMAT </w:instrText>
        </w:r>
        <w:r>
          <w:fldChar w:fldCharType="separate"/>
        </w:r>
        <w:r w:rsidR="00E2047B">
          <w:rPr>
            <w:noProof/>
          </w:rPr>
          <w:t>1</w:t>
        </w:r>
        <w:r>
          <w:rPr>
            <w:noProof/>
          </w:rPr>
          <w:fldChar w:fldCharType="end"/>
        </w:r>
      </w:p>
    </w:sdtContent>
  </w:sdt>
  <w:p w14:paraId="4BCAD580" w14:textId="77777777" w:rsidR="00810B42" w:rsidRDefault="00810B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DA95E3" w14:textId="77777777" w:rsidR="00810B42" w:rsidRDefault="00810B42" w:rsidP="00A60185">
      <w:pPr>
        <w:spacing w:after="0" w:line="240" w:lineRule="auto"/>
      </w:pPr>
      <w:r>
        <w:separator/>
      </w:r>
    </w:p>
  </w:footnote>
  <w:footnote w:type="continuationSeparator" w:id="0">
    <w:p w14:paraId="75B019A0" w14:textId="77777777" w:rsidR="00810B42" w:rsidRDefault="00810B42" w:rsidP="00A60185">
      <w:pPr>
        <w:spacing w:after="0" w:line="240" w:lineRule="auto"/>
      </w:pPr>
      <w:r>
        <w:continuationSeparator/>
      </w:r>
    </w:p>
  </w:footnote>
  <w:footnote w:type="continuationNotice" w:id="1">
    <w:p w14:paraId="02B0D0F9" w14:textId="77777777" w:rsidR="00810B42" w:rsidRDefault="00810B4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351D2" w14:textId="0C86AEA1" w:rsidR="00810B42" w:rsidRDefault="00810B42" w:rsidP="00E45765">
    <w:pPr>
      <w:pStyle w:val="Classification"/>
    </w:pPr>
    <w:r>
      <w:fldChar w:fldCharType="begin"/>
    </w:r>
    <w:r>
      <w:instrText xml:space="preserve"> DOCPROPERTY SecurityClassification \* MERGEFORMAT </w:instrText>
    </w:r>
    <w:r>
      <w:fldChar w:fldCharType="separate"/>
    </w:r>
    <w:r w:rsidR="00930B86">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4DEF44" w14:textId="77777777" w:rsidR="00E2047B" w:rsidRDefault="00E2047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DA7DEE" w14:textId="77777777" w:rsidR="00E2047B" w:rsidRDefault="00E2047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65C6D0F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1EA2867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3" w15:restartNumberingAfterBreak="0">
    <w:nsid w:val="0FED2FF2"/>
    <w:multiLevelType w:val="hybridMultilevel"/>
    <w:tmpl w:val="6AD25FB2"/>
    <w:lvl w:ilvl="0" w:tplc="592EC58E">
      <w:start w:val="1"/>
      <w:numFmt w:val="lowerLetter"/>
      <w:lvlText w:val="(%1)"/>
      <w:lvlJc w:val="left"/>
      <w:pPr>
        <w:tabs>
          <w:tab w:val="num" w:pos="1635"/>
        </w:tabs>
        <w:ind w:left="1635" w:hanging="360"/>
      </w:pPr>
      <w:rPr>
        <w:rFonts w:hint="default"/>
      </w:rPr>
    </w:lvl>
    <w:lvl w:ilvl="1" w:tplc="04090019" w:tentative="1">
      <w:start w:val="1"/>
      <w:numFmt w:val="lowerLetter"/>
      <w:lvlText w:val="%2."/>
      <w:lvlJc w:val="left"/>
      <w:pPr>
        <w:tabs>
          <w:tab w:val="num" w:pos="2355"/>
        </w:tabs>
        <w:ind w:left="2355" w:hanging="360"/>
      </w:pPr>
    </w:lvl>
    <w:lvl w:ilvl="2" w:tplc="0409001B" w:tentative="1">
      <w:start w:val="1"/>
      <w:numFmt w:val="lowerRoman"/>
      <w:lvlText w:val="%3."/>
      <w:lvlJc w:val="right"/>
      <w:pPr>
        <w:tabs>
          <w:tab w:val="num" w:pos="3075"/>
        </w:tabs>
        <w:ind w:left="3075" w:hanging="180"/>
      </w:pPr>
    </w:lvl>
    <w:lvl w:ilvl="3" w:tplc="0409000F" w:tentative="1">
      <w:start w:val="1"/>
      <w:numFmt w:val="decimal"/>
      <w:lvlText w:val="%4."/>
      <w:lvlJc w:val="left"/>
      <w:pPr>
        <w:tabs>
          <w:tab w:val="num" w:pos="3795"/>
        </w:tabs>
        <w:ind w:left="3795" w:hanging="360"/>
      </w:pPr>
    </w:lvl>
    <w:lvl w:ilvl="4" w:tplc="04090019" w:tentative="1">
      <w:start w:val="1"/>
      <w:numFmt w:val="lowerLetter"/>
      <w:lvlText w:val="%5."/>
      <w:lvlJc w:val="left"/>
      <w:pPr>
        <w:tabs>
          <w:tab w:val="num" w:pos="4515"/>
        </w:tabs>
        <w:ind w:left="4515" w:hanging="360"/>
      </w:pPr>
    </w:lvl>
    <w:lvl w:ilvl="5" w:tplc="0409001B" w:tentative="1">
      <w:start w:val="1"/>
      <w:numFmt w:val="lowerRoman"/>
      <w:lvlText w:val="%6."/>
      <w:lvlJc w:val="right"/>
      <w:pPr>
        <w:tabs>
          <w:tab w:val="num" w:pos="5235"/>
        </w:tabs>
        <w:ind w:left="5235" w:hanging="180"/>
      </w:pPr>
    </w:lvl>
    <w:lvl w:ilvl="6" w:tplc="0409000F" w:tentative="1">
      <w:start w:val="1"/>
      <w:numFmt w:val="decimal"/>
      <w:lvlText w:val="%7."/>
      <w:lvlJc w:val="left"/>
      <w:pPr>
        <w:tabs>
          <w:tab w:val="num" w:pos="5955"/>
        </w:tabs>
        <w:ind w:left="5955" w:hanging="360"/>
      </w:pPr>
    </w:lvl>
    <w:lvl w:ilvl="7" w:tplc="04090019" w:tentative="1">
      <w:start w:val="1"/>
      <w:numFmt w:val="lowerLetter"/>
      <w:lvlText w:val="%8."/>
      <w:lvlJc w:val="left"/>
      <w:pPr>
        <w:tabs>
          <w:tab w:val="num" w:pos="6675"/>
        </w:tabs>
        <w:ind w:left="6675" w:hanging="360"/>
      </w:pPr>
    </w:lvl>
    <w:lvl w:ilvl="8" w:tplc="0409001B" w:tentative="1">
      <w:start w:val="1"/>
      <w:numFmt w:val="lowerRoman"/>
      <w:lvlText w:val="%9."/>
      <w:lvlJc w:val="right"/>
      <w:pPr>
        <w:tabs>
          <w:tab w:val="num" w:pos="7395"/>
        </w:tabs>
        <w:ind w:left="7395" w:hanging="180"/>
      </w:pPr>
    </w:lvl>
  </w:abstractNum>
  <w:abstractNum w:abstractNumId="4"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5" w15:restartNumberingAfterBreak="0">
    <w:nsid w:val="137819F4"/>
    <w:multiLevelType w:val="hybridMultilevel"/>
    <w:tmpl w:val="AB5208D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745BC2"/>
    <w:multiLevelType w:val="multilevel"/>
    <w:tmpl w:val="E5E89F92"/>
    <w:numStyleLink w:val="BulletList"/>
  </w:abstractNum>
  <w:abstractNum w:abstractNumId="8"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C927880"/>
    <w:multiLevelType w:val="hybridMultilevel"/>
    <w:tmpl w:val="555E88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9E4A04"/>
    <w:multiLevelType w:val="hybridMultilevel"/>
    <w:tmpl w:val="66E0FE8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3" w15:restartNumberingAfterBreak="0">
    <w:nsid w:val="60E902FF"/>
    <w:multiLevelType w:val="hybridMultilevel"/>
    <w:tmpl w:val="6406B8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5456429"/>
    <w:multiLevelType w:val="multilevel"/>
    <w:tmpl w:val="E898CC72"/>
    <w:numStyleLink w:val="KeyPoints"/>
  </w:abstractNum>
  <w:abstractNum w:abstractNumId="15"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6A48075B"/>
    <w:multiLevelType w:val="hybridMultilevel"/>
    <w:tmpl w:val="BC2A448C"/>
    <w:lvl w:ilvl="0" w:tplc="2D3239A2">
      <w:start w:val="1"/>
      <w:numFmt w:val="decimal"/>
      <w:lvlText w:val="(%1)"/>
      <w:lvlJc w:val="left"/>
      <w:pPr>
        <w:tabs>
          <w:tab w:val="num" w:pos="720"/>
        </w:tabs>
        <w:ind w:left="720" w:hanging="360"/>
      </w:pPr>
      <w:rPr>
        <w:rFonts w:cs="Times New Roman" w:hint="default"/>
        <w:sz w:val="18"/>
        <w:szCs w:val="18"/>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17" w15:restartNumberingAfterBreak="0">
    <w:nsid w:val="74F654B4"/>
    <w:multiLevelType w:val="hybridMultilevel"/>
    <w:tmpl w:val="71CE67DC"/>
    <w:lvl w:ilvl="0" w:tplc="D6D8A6F8">
      <w:start w:val="8"/>
      <w:numFmt w:val="lowerLetter"/>
      <w:lvlText w:val="(%1)"/>
      <w:lvlJc w:val="left"/>
      <w:pPr>
        <w:tabs>
          <w:tab w:val="num" w:pos="1080"/>
        </w:tabs>
        <w:ind w:left="1080" w:hanging="720"/>
      </w:pPr>
      <w:rPr>
        <w:rFonts w:cs="Times New Roman" w:hint="default"/>
        <w:sz w:val="18"/>
        <w:szCs w:val="1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9"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abstractNum w:abstractNumId="20" w15:restartNumberingAfterBreak="0">
    <w:nsid w:val="7A2832DE"/>
    <w:multiLevelType w:val="hybridMultilevel"/>
    <w:tmpl w:val="34F87A78"/>
    <w:lvl w:ilvl="0" w:tplc="CC44F52A">
      <w:start w:val="1"/>
      <w:numFmt w:val="lowerLetter"/>
      <w:lvlText w:val="(%1)"/>
      <w:lvlJc w:val="left"/>
      <w:pPr>
        <w:tabs>
          <w:tab w:val="num" w:pos="1080"/>
        </w:tabs>
        <w:ind w:left="1080" w:hanging="720"/>
      </w:pPr>
      <w:rPr>
        <w:rFonts w:cs="Times New Roman" w:hint="default"/>
        <w:sz w:val="18"/>
        <w:szCs w:val="18"/>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num w:numId="1">
    <w:abstractNumId w:val="18"/>
  </w:num>
  <w:num w:numId="2">
    <w:abstractNumId w:val="2"/>
  </w:num>
  <w:num w:numId="3">
    <w:abstractNumId w:val="10"/>
  </w:num>
  <w:num w:numId="4">
    <w:abstractNumId w:val="9"/>
  </w:num>
  <w:num w:numId="5">
    <w:abstractNumId w:val="14"/>
  </w:num>
  <w:num w:numId="6">
    <w:abstractNumId w:val="7"/>
  </w:num>
  <w:num w:numId="7">
    <w:abstractNumId w:val="8"/>
  </w:num>
  <w:num w:numId="8">
    <w:abstractNumId w:val="4"/>
  </w:num>
  <w:num w:numId="9">
    <w:abstractNumId w:val="16"/>
  </w:num>
  <w:num w:numId="10">
    <w:abstractNumId w:val="20"/>
  </w:num>
  <w:num w:numId="11">
    <w:abstractNumId w:val="15"/>
  </w:num>
  <w:num w:numId="12">
    <w:abstractNumId w:val="17"/>
  </w:num>
  <w:num w:numId="13">
    <w:abstractNumId w:val="1"/>
  </w:num>
  <w:num w:numId="14">
    <w:abstractNumId w:val="6"/>
  </w:num>
  <w:num w:numId="15">
    <w:abstractNumId w:val="19"/>
  </w:num>
  <w:num w:numId="16">
    <w:abstractNumId w:val="0"/>
  </w:num>
  <w:num w:numId="17">
    <w:abstractNumId w:val="12"/>
  </w:num>
  <w:num w:numId="18">
    <w:abstractNumId w:val="7"/>
  </w:num>
  <w:num w:numId="19">
    <w:abstractNumId w:val="3"/>
  </w:num>
  <w:num w:numId="20">
    <w:abstractNumId w:val="11"/>
  </w:num>
  <w:num w:numId="21">
    <w:abstractNumId w:val="13"/>
  </w:num>
  <w:num w:numId="22">
    <w:abstractNumId w:val="7"/>
    <w:lvlOverride w:ilvl="0">
      <w:lvl w:ilvl="0">
        <w:start w:val="1"/>
        <w:numFmt w:val="bullet"/>
        <w:pStyle w:val="ListBullet"/>
        <w:lvlText w:val=""/>
        <w:lvlJc w:val="left"/>
        <w:pPr>
          <w:ind w:left="369" w:hanging="369"/>
        </w:pPr>
        <w:rPr>
          <w:rFonts w:ascii="Symbol" w:hAnsi="Symbol" w:hint="default"/>
        </w:rPr>
      </w:lvl>
    </w:lvlOverride>
  </w:num>
  <w:num w:numId="23">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507F51"/>
    <w:rsid w:val="00002DAA"/>
    <w:rsid w:val="000049FA"/>
    <w:rsid w:val="00004AEE"/>
    <w:rsid w:val="00005CAA"/>
    <w:rsid w:val="00006448"/>
    <w:rsid w:val="00007DCA"/>
    <w:rsid w:val="00010210"/>
    <w:rsid w:val="0001089C"/>
    <w:rsid w:val="00012D66"/>
    <w:rsid w:val="000153B7"/>
    <w:rsid w:val="00015ADA"/>
    <w:rsid w:val="00020C99"/>
    <w:rsid w:val="00023A64"/>
    <w:rsid w:val="00023BB4"/>
    <w:rsid w:val="00026042"/>
    <w:rsid w:val="0002707B"/>
    <w:rsid w:val="00036B3F"/>
    <w:rsid w:val="0004004A"/>
    <w:rsid w:val="0004177F"/>
    <w:rsid w:val="00045CDB"/>
    <w:rsid w:val="00045F88"/>
    <w:rsid w:val="000465DD"/>
    <w:rsid w:val="00050646"/>
    <w:rsid w:val="000506A0"/>
    <w:rsid w:val="0005148E"/>
    <w:rsid w:val="00053EEA"/>
    <w:rsid w:val="00056E7D"/>
    <w:rsid w:val="00060BF6"/>
    <w:rsid w:val="000632DA"/>
    <w:rsid w:val="00065353"/>
    <w:rsid w:val="0006743F"/>
    <w:rsid w:val="00072C5A"/>
    <w:rsid w:val="00074E0A"/>
    <w:rsid w:val="000759E5"/>
    <w:rsid w:val="000778C8"/>
    <w:rsid w:val="00080ED6"/>
    <w:rsid w:val="000817CF"/>
    <w:rsid w:val="00084AC6"/>
    <w:rsid w:val="00084F2C"/>
    <w:rsid w:val="00091608"/>
    <w:rsid w:val="00092B11"/>
    <w:rsid w:val="00092C16"/>
    <w:rsid w:val="0009333C"/>
    <w:rsid w:val="000946B2"/>
    <w:rsid w:val="000964FC"/>
    <w:rsid w:val="0009704F"/>
    <w:rsid w:val="00097AF3"/>
    <w:rsid w:val="000A0F11"/>
    <w:rsid w:val="000A125A"/>
    <w:rsid w:val="000A57CD"/>
    <w:rsid w:val="000B2021"/>
    <w:rsid w:val="000B3758"/>
    <w:rsid w:val="000B42C0"/>
    <w:rsid w:val="000B454C"/>
    <w:rsid w:val="000B7681"/>
    <w:rsid w:val="000B7B42"/>
    <w:rsid w:val="000C02B7"/>
    <w:rsid w:val="000C5100"/>
    <w:rsid w:val="000C5342"/>
    <w:rsid w:val="000C706A"/>
    <w:rsid w:val="000C70F0"/>
    <w:rsid w:val="000D2887"/>
    <w:rsid w:val="000D2BF5"/>
    <w:rsid w:val="000D49A4"/>
    <w:rsid w:val="000D6D63"/>
    <w:rsid w:val="000D779D"/>
    <w:rsid w:val="000E0081"/>
    <w:rsid w:val="000E07CF"/>
    <w:rsid w:val="000E31C1"/>
    <w:rsid w:val="000E3332"/>
    <w:rsid w:val="000F2CF2"/>
    <w:rsid w:val="000F32CA"/>
    <w:rsid w:val="000F3FAB"/>
    <w:rsid w:val="00100BEF"/>
    <w:rsid w:val="00103386"/>
    <w:rsid w:val="00104CC3"/>
    <w:rsid w:val="00111326"/>
    <w:rsid w:val="00112F62"/>
    <w:rsid w:val="0011498E"/>
    <w:rsid w:val="00115524"/>
    <w:rsid w:val="00116E24"/>
    <w:rsid w:val="0011721B"/>
    <w:rsid w:val="00117A45"/>
    <w:rsid w:val="00117F3C"/>
    <w:rsid w:val="00121ADF"/>
    <w:rsid w:val="001224AE"/>
    <w:rsid w:val="001231D6"/>
    <w:rsid w:val="001245A7"/>
    <w:rsid w:val="00125DD5"/>
    <w:rsid w:val="001337D4"/>
    <w:rsid w:val="0013765B"/>
    <w:rsid w:val="001471D1"/>
    <w:rsid w:val="00147C12"/>
    <w:rsid w:val="001527A1"/>
    <w:rsid w:val="001530DC"/>
    <w:rsid w:val="00154989"/>
    <w:rsid w:val="00155A9F"/>
    <w:rsid w:val="00155BFC"/>
    <w:rsid w:val="00155C5E"/>
    <w:rsid w:val="00156084"/>
    <w:rsid w:val="00156E79"/>
    <w:rsid w:val="00160262"/>
    <w:rsid w:val="0016374D"/>
    <w:rsid w:val="00166D45"/>
    <w:rsid w:val="0016780A"/>
    <w:rsid w:val="001713FA"/>
    <w:rsid w:val="00172704"/>
    <w:rsid w:val="00173EBF"/>
    <w:rsid w:val="00175ED3"/>
    <w:rsid w:val="001769F4"/>
    <w:rsid w:val="001821B9"/>
    <w:rsid w:val="001842A2"/>
    <w:rsid w:val="00184BF5"/>
    <w:rsid w:val="001861EB"/>
    <w:rsid w:val="00186270"/>
    <w:rsid w:val="00187FA8"/>
    <w:rsid w:val="00192F5E"/>
    <w:rsid w:val="00193744"/>
    <w:rsid w:val="00196A5B"/>
    <w:rsid w:val="00197022"/>
    <w:rsid w:val="00197772"/>
    <w:rsid w:val="001A0FA1"/>
    <w:rsid w:val="001A2C63"/>
    <w:rsid w:val="001A3240"/>
    <w:rsid w:val="001A51C8"/>
    <w:rsid w:val="001A6295"/>
    <w:rsid w:val="001B4C0A"/>
    <w:rsid w:val="001B4CA8"/>
    <w:rsid w:val="001B57D4"/>
    <w:rsid w:val="001B5EA1"/>
    <w:rsid w:val="001B7496"/>
    <w:rsid w:val="001C11C1"/>
    <w:rsid w:val="001C18BF"/>
    <w:rsid w:val="001C2FE4"/>
    <w:rsid w:val="001C3E84"/>
    <w:rsid w:val="001C4F3D"/>
    <w:rsid w:val="001D0A78"/>
    <w:rsid w:val="001D0CDC"/>
    <w:rsid w:val="001D155A"/>
    <w:rsid w:val="001D1D82"/>
    <w:rsid w:val="001D7570"/>
    <w:rsid w:val="001D7EF3"/>
    <w:rsid w:val="001E1182"/>
    <w:rsid w:val="001E1C0A"/>
    <w:rsid w:val="001F25E0"/>
    <w:rsid w:val="001F40EB"/>
    <w:rsid w:val="00201073"/>
    <w:rsid w:val="00201EC7"/>
    <w:rsid w:val="0020274F"/>
    <w:rsid w:val="00202C90"/>
    <w:rsid w:val="00213DE8"/>
    <w:rsid w:val="00214528"/>
    <w:rsid w:val="00216118"/>
    <w:rsid w:val="00217293"/>
    <w:rsid w:val="002209AB"/>
    <w:rsid w:val="002210B3"/>
    <w:rsid w:val="00222D71"/>
    <w:rsid w:val="002251E3"/>
    <w:rsid w:val="00227A95"/>
    <w:rsid w:val="00230D54"/>
    <w:rsid w:val="002316BD"/>
    <w:rsid w:val="00232058"/>
    <w:rsid w:val="00232077"/>
    <w:rsid w:val="00232213"/>
    <w:rsid w:val="00235E63"/>
    <w:rsid w:val="00242B8E"/>
    <w:rsid w:val="00243812"/>
    <w:rsid w:val="0024413A"/>
    <w:rsid w:val="00244271"/>
    <w:rsid w:val="002473FC"/>
    <w:rsid w:val="00252E3C"/>
    <w:rsid w:val="00254721"/>
    <w:rsid w:val="00260521"/>
    <w:rsid w:val="00262198"/>
    <w:rsid w:val="00264D33"/>
    <w:rsid w:val="002653DB"/>
    <w:rsid w:val="002655D3"/>
    <w:rsid w:val="002675A3"/>
    <w:rsid w:val="00267BD0"/>
    <w:rsid w:val="002700A4"/>
    <w:rsid w:val="00271B7D"/>
    <w:rsid w:val="002811D2"/>
    <w:rsid w:val="00283596"/>
    <w:rsid w:val="0028389A"/>
    <w:rsid w:val="00284225"/>
    <w:rsid w:val="00285F1B"/>
    <w:rsid w:val="00286ECD"/>
    <w:rsid w:val="002922A2"/>
    <w:rsid w:val="00292B81"/>
    <w:rsid w:val="00293793"/>
    <w:rsid w:val="00295B4F"/>
    <w:rsid w:val="00296A72"/>
    <w:rsid w:val="002A3BF9"/>
    <w:rsid w:val="002B0E5F"/>
    <w:rsid w:val="002B18AE"/>
    <w:rsid w:val="002B3518"/>
    <w:rsid w:val="002B3A45"/>
    <w:rsid w:val="002B7663"/>
    <w:rsid w:val="002C0B56"/>
    <w:rsid w:val="002C1220"/>
    <w:rsid w:val="002C1C93"/>
    <w:rsid w:val="002C5066"/>
    <w:rsid w:val="002C5813"/>
    <w:rsid w:val="002D2BEF"/>
    <w:rsid w:val="002D3BE4"/>
    <w:rsid w:val="002D4055"/>
    <w:rsid w:val="002D4AAC"/>
    <w:rsid w:val="002D505E"/>
    <w:rsid w:val="002D5DCB"/>
    <w:rsid w:val="002D7FDA"/>
    <w:rsid w:val="002E2E97"/>
    <w:rsid w:val="002E4CC0"/>
    <w:rsid w:val="002F045A"/>
    <w:rsid w:val="002F1909"/>
    <w:rsid w:val="002F2A5E"/>
    <w:rsid w:val="002F2A9F"/>
    <w:rsid w:val="002F3BB5"/>
    <w:rsid w:val="002F42ED"/>
    <w:rsid w:val="002F5863"/>
    <w:rsid w:val="0030039D"/>
    <w:rsid w:val="00302EEE"/>
    <w:rsid w:val="00303111"/>
    <w:rsid w:val="0030326F"/>
    <w:rsid w:val="00303629"/>
    <w:rsid w:val="00305820"/>
    <w:rsid w:val="00305857"/>
    <w:rsid w:val="00310701"/>
    <w:rsid w:val="00314186"/>
    <w:rsid w:val="0031518E"/>
    <w:rsid w:val="00315980"/>
    <w:rsid w:val="00316A86"/>
    <w:rsid w:val="00316C00"/>
    <w:rsid w:val="00316F7F"/>
    <w:rsid w:val="00320AA3"/>
    <w:rsid w:val="003218E8"/>
    <w:rsid w:val="00324CF9"/>
    <w:rsid w:val="0032502C"/>
    <w:rsid w:val="00325B15"/>
    <w:rsid w:val="00325E34"/>
    <w:rsid w:val="00326265"/>
    <w:rsid w:val="00327AC9"/>
    <w:rsid w:val="00330DCE"/>
    <w:rsid w:val="00331E11"/>
    <w:rsid w:val="00334761"/>
    <w:rsid w:val="00335461"/>
    <w:rsid w:val="003361C1"/>
    <w:rsid w:val="00337EBC"/>
    <w:rsid w:val="00341016"/>
    <w:rsid w:val="003411C9"/>
    <w:rsid w:val="00341BD6"/>
    <w:rsid w:val="00341DCD"/>
    <w:rsid w:val="00344C97"/>
    <w:rsid w:val="0034563E"/>
    <w:rsid w:val="00345B13"/>
    <w:rsid w:val="003462AE"/>
    <w:rsid w:val="00346BA9"/>
    <w:rsid w:val="00351401"/>
    <w:rsid w:val="003518D6"/>
    <w:rsid w:val="0035460C"/>
    <w:rsid w:val="003556BD"/>
    <w:rsid w:val="00360D6B"/>
    <w:rsid w:val="00365147"/>
    <w:rsid w:val="00365F6C"/>
    <w:rsid w:val="00366E77"/>
    <w:rsid w:val="0037016E"/>
    <w:rsid w:val="00372908"/>
    <w:rsid w:val="00372BB0"/>
    <w:rsid w:val="00372CA6"/>
    <w:rsid w:val="00373812"/>
    <w:rsid w:val="00373EF4"/>
    <w:rsid w:val="00374AAF"/>
    <w:rsid w:val="003752ED"/>
    <w:rsid w:val="003767C1"/>
    <w:rsid w:val="00377A28"/>
    <w:rsid w:val="003823C7"/>
    <w:rsid w:val="00383020"/>
    <w:rsid w:val="00385226"/>
    <w:rsid w:val="0038794B"/>
    <w:rsid w:val="00391537"/>
    <w:rsid w:val="00392154"/>
    <w:rsid w:val="00394D7E"/>
    <w:rsid w:val="0039603D"/>
    <w:rsid w:val="003975FD"/>
    <w:rsid w:val="003A026F"/>
    <w:rsid w:val="003A3C23"/>
    <w:rsid w:val="003A7E01"/>
    <w:rsid w:val="003B057D"/>
    <w:rsid w:val="003B5414"/>
    <w:rsid w:val="003B5D60"/>
    <w:rsid w:val="003B60CC"/>
    <w:rsid w:val="003B69D2"/>
    <w:rsid w:val="003B7372"/>
    <w:rsid w:val="003C1B25"/>
    <w:rsid w:val="003C2443"/>
    <w:rsid w:val="003C45F9"/>
    <w:rsid w:val="003C5DA3"/>
    <w:rsid w:val="003C70A8"/>
    <w:rsid w:val="003D1BD7"/>
    <w:rsid w:val="003D3553"/>
    <w:rsid w:val="003D4206"/>
    <w:rsid w:val="003D4AF5"/>
    <w:rsid w:val="003D4BCD"/>
    <w:rsid w:val="003D5647"/>
    <w:rsid w:val="003D621B"/>
    <w:rsid w:val="003D648C"/>
    <w:rsid w:val="003D6C2B"/>
    <w:rsid w:val="003D6CB8"/>
    <w:rsid w:val="003D7F01"/>
    <w:rsid w:val="003E0091"/>
    <w:rsid w:val="003E01D8"/>
    <w:rsid w:val="003E0D52"/>
    <w:rsid w:val="003E2100"/>
    <w:rsid w:val="003E67BF"/>
    <w:rsid w:val="003F3C72"/>
    <w:rsid w:val="003F6F5B"/>
    <w:rsid w:val="0040342D"/>
    <w:rsid w:val="00403C27"/>
    <w:rsid w:val="00406121"/>
    <w:rsid w:val="0041192D"/>
    <w:rsid w:val="00411AB1"/>
    <w:rsid w:val="00413748"/>
    <w:rsid w:val="00413887"/>
    <w:rsid w:val="00413EE1"/>
    <w:rsid w:val="0042128E"/>
    <w:rsid w:val="00423D02"/>
    <w:rsid w:val="004264EF"/>
    <w:rsid w:val="00432B60"/>
    <w:rsid w:val="004336E2"/>
    <w:rsid w:val="004343A9"/>
    <w:rsid w:val="00437C83"/>
    <w:rsid w:val="00440698"/>
    <w:rsid w:val="00443E3E"/>
    <w:rsid w:val="00445CB6"/>
    <w:rsid w:val="00452C1A"/>
    <w:rsid w:val="004540E2"/>
    <w:rsid w:val="00454454"/>
    <w:rsid w:val="00454BAE"/>
    <w:rsid w:val="0046456E"/>
    <w:rsid w:val="004657F9"/>
    <w:rsid w:val="00465FDA"/>
    <w:rsid w:val="0046779D"/>
    <w:rsid w:val="00467924"/>
    <w:rsid w:val="00470F20"/>
    <w:rsid w:val="004712A5"/>
    <w:rsid w:val="0047266F"/>
    <w:rsid w:val="00476D6B"/>
    <w:rsid w:val="00480E9B"/>
    <w:rsid w:val="00481EA9"/>
    <w:rsid w:val="00482683"/>
    <w:rsid w:val="0048578B"/>
    <w:rsid w:val="0049138B"/>
    <w:rsid w:val="00492C16"/>
    <w:rsid w:val="004939B4"/>
    <w:rsid w:val="00494A67"/>
    <w:rsid w:val="00495EDC"/>
    <w:rsid w:val="00496B2E"/>
    <w:rsid w:val="00497623"/>
    <w:rsid w:val="004A0678"/>
    <w:rsid w:val="004A48A3"/>
    <w:rsid w:val="004A76B4"/>
    <w:rsid w:val="004B023E"/>
    <w:rsid w:val="004B0D92"/>
    <w:rsid w:val="004B0EC0"/>
    <w:rsid w:val="004B1E1D"/>
    <w:rsid w:val="004B28A1"/>
    <w:rsid w:val="004B2C86"/>
    <w:rsid w:val="004B5386"/>
    <w:rsid w:val="004B66F1"/>
    <w:rsid w:val="004B6C66"/>
    <w:rsid w:val="004C0BE7"/>
    <w:rsid w:val="004C284B"/>
    <w:rsid w:val="004C3EA0"/>
    <w:rsid w:val="004C43A6"/>
    <w:rsid w:val="004C574C"/>
    <w:rsid w:val="004D58CB"/>
    <w:rsid w:val="004D5A55"/>
    <w:rsid w:val="004D7240"/>
    <w:rsid w:val="004E03E8"/>
    <w:rsid w:val="004E43BC"/>
    <w:rsid w:val="004E5F51"/>
    <w:rsid w:val="004E65A0"/>
    <w:rsid w:val="004E6AC1"/>
    <w:rsid w:val="004F203D"/>
    <w:rsid w:val="004F3022"/>
    <w:rsid w:val="004F5B71"/>
    <w:rsid w:val="004F7169"/>
    <w:rsid w:val="00500D66"/>
    <w:rsid w:val="00501F53"/>
    <w:rsid w:val="00503092"/>
    <w:rsid w:val="00503D53"/>
    <w:rsid w:val="00505F5B"/>
    <w:rsid w:val="00507F51"/>
    <w:rsid w:val="0051275F"/>
    <w:rsid w:val="00513538"/>
    <w:rsid w:val="00514C8E"/>
    <w:rsid w:val="00517753"/>
    <w:rsid w:val="00517C00"/>
    <w:rsid w:val="00520843"/>
    <w:rsid w:val="00521B29"/>
    <w:rsid w:val="00521C41"/>
    <w:rsid w:val="00521C5F"/>
    <w:rsid w:val="005262BF"/>
    <w:rsid w:val="00526ADC"/>
    <w:rsid w:val="0052773E"/>
    <w:rsid w:val="00531C16"/>
    <w:rsid w:val="00531DBF"/>
    <w:rsid w:val="0053529E"/>
    <w:rsid w:val="00537403"/>
    <w:rsid w:val="00545759"/>
    <w:rsid w:val="00545BE0"/>
    <w:rsid w:val="005465CA"/>
    <w:rsid w:val="00546930"/>
    <w:rsid w:val="00547F06"/>
    <w:rsid w:val="005503DD"/>
    <w:rsid w:val="00554C6A"/>
    <w:rsid w:val="00554E4E"/>
    <w:rsid w:val="0055531E"/>
    <w:rsid w:val="00555F58"/>
    <w:rsid w:val="005565D1"/>
    <w:rsid w:val="00560D08"/>
    <w:rsid w:val="005623A7"/>
    <w:rsid w:val="00562E85"/>
    <w:rsid w:val="00562F8D"/>
    <w:rsid w:val="0056332F"/>
    <w:rsid w:val="00565884"/>
    <w:rsid w:val="00566513"/>
    <w:rsid w:val="00567592"/>
    <w:rsid w:val="00567BFC"/>
    <w:rsid w:val="005719B3"/>
    <w:rsid w:val="0057295E"/>
    <w:rsid w:val="005752BC"/>
    <w:rsid w:val="005775BE"/>
    <w:rsid w:val="00581C39"/>
    <w:rsid w:val="005903B6"/>
    <w:rsid w:val="005936D2"/>
    <w:rsid w:val="0059388E"/>
    <w:rsid w:val="00597D29"/>
    <w:rsid w:val="005A0247"/>
    <w:rsid w:val="005A126E"/>
    <w:rsid w:val="005A452F"/>
    <w:rsid w:val="005A4BE1"/>
    <w:rsid w:val="005B140D"/>
    <w:rsid w:val="005B1D22"/>
    <w:rsid w:val="005B5397"/>
    <w:rsid w:val="005C1FEA"/>
    <w:rsid w:val="005C3495"/>
    <w:rsid w:val="005C5DAE"/>
    <w:rsid w:val="005C6EDD"/>
    <w:rsid w:val="005D2C13"/>
    <w:rsid w:val="005D3729"/>
    <w:rsid w:val="005E180D"/>
    <w:rsid w:val="005E3DFC"/>
    <w:rsid w:val="005E5942"/>
    <w:rsid w:val="005E60AF"/>
    <w:rsid w:val="005E63FD"/>
    <w:rsid w:val="005F1DEA"/>
    <w:rsid w:val="005F1FAF"/>
    <w:rsid w:val="005F5CCB"/>
    <w:rsid w:val="00600FAF"/>
    <w:rsid w:val="00607FC9"/>
    <w:rsid w:val="0061017A"/>
    <w:rsid w:val="0061022D"/>
    <w:rsid w:val="00611E35"/>
    <w:rsid w:val="00616FC7"/>
    <w:rsid w:val="0061759F"/>
    <w:rsid w:val="0062042E"/>
    <w:rsid w:val="00622FE1"/>
    <w:rsid w:val="0062521C"/>
    <w:rsid w:val="00630A2B"/>
    <w:rsid w:val="0063186C"/>
    <w:rsid w:val="00631C5F"/>
    <w:rsid w:val="00632DC7"/>
    <w:rsid w:val="006357FB"/>
    <w:rsid w:val="006406FC"/>
    <w:rsid w:val="00640E57"/>
    <w:rsid w:val="0064432D"/>
    <w:rsid w:val="006453AC"/>
    <w:rsid w:val="00646122"/>
    <w:rsid w:val="0064652A"/>
    <w:rsid w:val="00646A66"/>
    <w:rsid w:val="00653C8B"/>
    <w:rsid w:val="00653D80"/>
    <w:rsid w:val="00653E16"/>
    <w:rsid w:val="00656660"/>
    <w:rsid w:val="00657220"/>
    <w:rsid w:val="00657362"/>
    <w:rsid w:val="0066104B"/>
    <w:rsid w:val="00661057"/>
    <w:rsid w:val="00661728"/>
    <w:rsid w:val="00661CDF"/>
    <w:rsid w:val="00661EB1"/>
    <w:rsid w:val="00664F4B"/>
    <w:rsid w:val="00665124"/>
    <w:rsid w:val="006655EE"/>
    <w:rsid w:val="00667C10"/>
    <w:rsid w:val="00667EF4"/>
    <w:rsid w:val="00670586"/>
    <w:rsid w:val="00672F69"/>
    <w:rsid w:val="006753DD"/>
    <w:rsid w:val="00676FCA"/>
    <w:rsid w:val="00677177"/>
    <w:rsid w:val="0068060B"/>
    <w:rsid w:val="006852AC"/>
    <w:rsid w:val="0068612E"/>
    <w:rsid w:val="0068699B"/>
    <w:rsid w:val="00687679"/>
    <w:rsid w:val="00687C92"/>
    <w:rsid w:val="00691C40"/>
    <w:rsid w:val="0069534E"/>
    <w:rsid w:val="0069669C"/>
    <w:rsid w:val="00696CBF"/>
    <w:rsid w:val="006A1200"/>
    <w:rsid w:val="006A1C50"/>
    <w:rsid w:val="006A2211"/>
    <w:rsid w:val="006A225D"/>
    <w:rsid w:val="006A4F4E"/>
    <w:rsid w:val="006A6C23"/>
    <w:rsid w:val="006A6C6F"/>
    <w:rsid w:val="006B14DB"/>
    <w:rsid w:val="006B21C4"/>
    <w:rsid w:val="006B265C"/>
    <w:rsid w:val="006B3A68"/>
    <w:rsid w:val="006B4016"/>
    <w:rsid w:val="006B7FD0"/>
    <w:rsid w:val="006C4A1A"/>
    <w:rsid w:val="006D0393"/>
    <w:rsid w:val="006D1A83"/>
    <w:rsid w:val="006D4E5D"/>
    <w:rsid w:val="006D550A"/>
    <w:rsid w:val="006E1CFE"/>
    <w:rsid w:val="006E2DC4"/>
    <w:rsid w:val="006F10C4"/>
    <w:rsid w:val="006F2D9D"/>
    <w:rsid w:val="006F40E9"/>
    <w:rsid w:val="006F4E6F"/>
    <w:rsid w:val="006F5122"/>
    <w:rsid w:val="006F5603"/>
    <w:rsid w:val="006F7B87"/>
    <w:rsid w:val="00700FE0"/>
    <w:rsid w:val="00701400"/>
    <w:rsid w:val="00702C93"/>
    <w:rsid w:val="007037CF"/>
    <w:rsid w:val="00705537"/>
    <w:rsid w:val="00713687"/>
    <w:rsid w:val="00714315"/>
    <w:rsid w:val="00714A00"/>
    <w:rsid w:val="00715D81"/>
    <w:rsid w:val="007167C0"/>
    <w:rsid w:val="0071750D"/>
    <w:rsid w:val="00720481"/>
    <w:rsid w:val="0072256B"/>
    <w:rsid w:val="00726165"/>
    <w:rsid w:val="00733193"/>
    <w:rsid w:val="007339C9"/>
    <w:rsid w:val="0073734E"/>
    <w:rsid w:val="00740B4E"/>
    <w:rsid w:val="007415EE"/>
    <w:rsid w:val="00741A35"/>
    <w:rsid w:val="00742C6E"/>
    <w:rsid w:val="00744DDA"/>
    <w:rsid w:val="00745E03"/>
    <w:rsid w:val="007464EA"/>
    <w:rsid w:val="0075616F"/>
    <w:rsid w:val="0075720F"/>
    <w:rsid w:val="0075732A"/>
    <w:rsid w:val="00757DC4"/>
    <w:rsid w:val="007600F8"/>
    <w:rsid w:val="00760262"/>
    <w:rsid w:val="00761D8E"/>
    <w:rsid w:val="0076310C"/>
    <w:rsid w:val="00763F73"/>
    <w:rsid w:val="0076744F"/>
    <w:rsid w:val="00767BCE"/>
    <w:rsid w:val="00767BD6"/>
    <w:rsid w:val="00767EFC"/>
    <w:rsid w:val="007707DE"/>
    <w:rsid w:val="00770B5D"/>
    <w:rsid w:val="00773265"/>
    <w:rsid w:val="0077382E"/>
    <w:rsid w:val="007752F1"/>
    <w:rsid w:val="00776768"/>
    <w:rsid w:val="00780B73"/>
    <w:rsid w:val="0078187A"/>
    <w:rsid w:val="007821F8"/>
    <w:rsid w:val="007839C8"/>
    <w:rsid w:val="00785D0B"/>
    <w:rsid w:val="00787BB3"/>
    <w:rsid w:val="00790BFB"/>
    <w:rsid w:val="00794ED8"/>
    <w:rsid w:val="007960DF"/>
    <w:rsid w:val="00796E23"/>
    <w:rsid w:val="007972B8"/>
    <w:rsid w:val="007A08E8"/>
    <w:rsid w:val="007A19C8"/>
    <w:rsid w:val="007A2573"/>
    <w:rsid w:val="007B106C"/>
    <w:rsid w:val="007B1A4E"/>
    <w:rsid w:val="007B2078"/>
    <w:rsid w:val="007B2AC7"/>
    <w:rsid w:val="007B3D05"/>
    <w:rsid w:val="007B4E99"/>
    <w:rsid w:val="007B5503"/>
    <w:rsid w:val="007B592D"/>
    <w:rsid w:val="007B69BC"/>
    <w:rsid w:val="007C045F"/>
    <w:rsid w:val="007C179C"/>
    <w:rsid w:val="007C3266"/>
    <w:rsid w:val="007C3793"/>
    <w:rsid w:val="007C4CE3"/>
    <w:rsid w:val="007C5966"/>
    <w:rsid w:val="007C675F"/>
    <w:rsid w:val="007C6BB3"/>
    <w:rsid w:val="007D14B4"/>
    <w:rsid w:val="007D32E3"/>
    <w:rsid w:val="007D380C"/>
    <w:rsid w:val="007D3AD7"/>
    <w:rsid w:val="007E0542"/>
    <w:rsid w:val="007E129F"/>
    <w:rsid w:val="007E24F6"/>
    <w:rsid w:val="007E45FF"/>
    <w:rsid w:val="007E4B26"/>
    <w:rsid w:val="008003F1"/>
    <w:rsid w:val="00800F64"/>
    <w:rsid w:val="00801050"/>
    <w:rsid w:val="00802317"/>
    <w:rsid w:val="00802B73"/>
    <w:rsid w:val="00802F0B"/>
    <w:rsid w:val="0080772D"/>
    <w:rsid w:val="00810A67"/>
    <w:rsid w:val="00810B42"/>
    <w:rsid w:val="00814F46"/>
    <w:rsid w:val="008204B8"/>
    <w:rsid w:val="00825890"/>
    <w:rsid w:val="008329C8"/>
    <w:rsid w:val="00833CF7"/>
    <w:rsid w:val="00834CDE"/>
    <w:rsid w:val="00834D06"/>
    <w:rsid w:val="00842464"/>
    <w:rsid w:val="0084272C"/>
    <w:rsid w:val="0084438E"/>
    <w:rsid w:val="0084536A"/>
    <w:rsid w:val="00845601"/>
    <w:rsid w:val="00847BA8"/>
    <w:rsid w:val="0085086C"/>
    <w:rsid w:val="00850BFF"/>
    <w:rsid w:val="008518FE"/>
    <w:rsid w:val="00851CF7"/>
    <w:rsid w:val="00852C72"/>
    <w:rsid w:val="008539A3"/>
    <w:rsid w:val="008540D4"/>
    <w:rsid w:val="00855C5C"/>
    <w:rsid w:val="0085662C"/>
    <w:rsid w:val="0085727C"/>
    <w:rsid w:val="008573B8"/>
    <w:rsid w:val="008626AF"/>
    <w:rsid w:val="00864B13"/>
    <w:rsid w:val="00866A4D"/>
    <w:rsid w:val="00866E70"/>
    <w:rsid w:val="00867A5E"/>
    <w:rsid w:val="00867CA7"/>
    <w:rsid w:val="00881E1D"/>
    <w:rsid w:val="00884379"/>
    <w:rsid w:val="00893D80"/>
    <w:rsid w:val="008A0C35"/>
    <w:rsid w:val="008A3C96"/>
    <w:rsid w:val="008A7B37"/>
    <w:rsid w:val="008B2799"/>
    <w:rsid w:val="008B30C8"/>
    <w:rsid w:val="008B37AF"/>
    <w:rsid w:val="008B4019"/>
    <w:rsid w:val="008B566C"/>
    <w:rsid w:val="008B65C9"/>
    <w:rsid w:val="008C2D4A"/>
    <w:rsid w:val="008C56D7"/>
    <w:rsid w:val="008C5B93"/>
    <w:rsid w:val="008D1669"/>
    <w:rsid w:val="008D3900"/>
    <w:rsid w:val="008D6E1D"/>
    <w:rsid w:val="008E380A"/>
    <w:rsid w:val="008E426E"/>
    <w:rsid w:val="008E6FB6"/>
    <w:rsid w:val="008E733B"/>
    <w:rsid w:val="008F0EB2"/>
    <w:rsid w:val="008F39B4"/>
    <w:rsid w:val="008F4162"/>
    <w:rsid w:val="0090292E"/>
    <w:rsid w:val="009034D0"/>
    <w:rsid w:val="00903E02"/>
    <w:rsid w:val="00906312"/>
    <w:rsid w:val="00913175"/>
    <w:rsid w:val="00916EDB"/>
    <w:rsid w:val="00920861"/>
    <w:rsid w:val="00922B13"/>
    <w:rsid w:val="009242EF"/>
    <w:rsid w:val="00926914"/>
    <w:rsid w:val="00930325"/>
    <w:rsid w:val="00930B86"/>
    <w:rsid w:val="00931558"/>
    <w:rsid w:val="0093217A"/>
    <w:rsid w:val="00932291"/>
    <w:rsid w:val="00932842"/>
    <w:rsid w:val="00932861"/>
    <w:rsid w:val="00933ACD"/>
    <w:rsid w:val="0093408E"/>
    <w:rsid w:val="00936D5B"/>
    <w:rsid w:val="00940619"/>
    <w:rsid w:val="00941ED4"/>
    <w:rsid w:val="00950432"/>
    <w:rsid w:val="009509F6"/>
    <w:rsid w:val="009517E6"/>
    <w:rsid w:val="00952BB3"/>
    <w:rsid w:val="00952DDF"/>
    <w:rsid w:val="009549DC"/>
    <w:rsid w:val="00955EE0"/>
    <w:rsid w:val="0095614D"/>
    <w:rsid w:val="0095693D"/>
    <w:rsid w:val="009601B0"/>
    <w:rsid w:val="009610A3"/>
    <w:rsid w:val="009618CA"/>
    <w:rsid w:val="00963B6A"/>
    <w:rsid w:val="00964AE3"/>
    <w:rsid w:val="00964BC5"/>
    <w:rsid w:val="009652B3"/>
    <w:rsid w:val="0096588B"/>
    <w:rsid w:val="00966813"/>
    <w:rsid w:val="00966934"/>
    <w:rsid w:val="00970950"/>
    <w:rsid w:val="009731C9"/>
    <w:rsid w:val="00977818"/>
    <w:rsid w:val="00977D46"/>
    <w:rsid w:val="00977E13"/>
    <w:rsid w:val="009803A5"/>
    <w:rsid w:val="009812D4"/>
    <w:rsid w:val="00987334"/>
    <w:rsid w:val="00987531"/>
    <w:rsid w:val="00991F1C"/>
    <w:rsid w:val="009920D8"/>
    <w:rsid w:val="0099324E"/>
    <w:rsid w:val="009952F5"/>
    <w:rsid w:val="00995C00"/>
    <w:rsid w:val="009A0CE0"/>
    <w:rsid w:val="009A3810"/>
    <w:rsid w:val="009A3837"/>
    <w:rsid w:val="009B38BE"/>
    <w:rsid w:val="009C1407"/>
    <w:rsid w:val="009C3D0F"/>
    <w:rsid w:val="009C6B0F"/>
    <w:rsid w:val="009D668E"/>
    <w:rsid w:val="009E1B19"/>
    <w:rsid w:val="009E2701"/>
    <w:rsid w:val="009E7917"/>
    <w:rsid w:val="009F0972"/>
    <w:rsid w:val="009F35E2"/>
    <w:rsid w:val="009F65F9"/>
    <w:rsid w:val="009F68BA"/>
    <w:rsid w:val="00A027D5"/>
    <w:rsid w:val="00A04188"/>
    <w:rsid w:val="00A053AD"/>
    <w:rsid w:val="00A06184"/>
    <w:rsid w:val="00A06277"/>
    <w:rsid w:val="00A079DC"/>
    <w:rsid w:val="00A111C2"/>
    <w:rsid w:val="00A14798"/>
    <w:rsid w:val="00A154CF"/>
    <w:rsid w:val="00A20269"/>
    <w:rsid w:val="00A21B1F"/>
    <w:rsid w:val="00A22CE1"/>
    <w:rsid w:val="00A22FD8"/>
    <w:rsid w:val="00A338E7"/>
    <w:rsid w:val="00A341C9"/>
    <w:rsid w:val="00A35CAA"/>
    <w:rsid w:val="00A36903"/>
    <w:rsid w:val="00A36E7F"/>
    <w:rsid w:val="00A40DBA"/>
    <w:rsid w:val="00A41436"/>
    <w:rsid w:val="00A41E65"/>
    <w:rsid w:val="00A43083"/>
    <w:rsid w:val="00A43E0A"/>
    <w:rsid w:val="00A470AC"/>
    <w:rsid w:val="00A53069"/>
    <w:rsid w:val="00A530C7"/>
    <w:rsid w:val="00A55F5B"/>
    <w:rsid w:val="00A561CE"/>
    <w:rsid w:val="00A60185"/>
    <w:rsid w:val="00A60B0D"/>
    <w:rsid w:val="00A6154E"/>
    <w:rsid w:val="00A61A4F"/>
    <w:rsid w:val="00A61F9F"/>
    <w:rsid w:val="00A62370"/>
    <w:rsid w:val="00A62AD4"/>
    <w:rsid w:val="00A661EA"/>
    <w:rsid w:val="00A7497C"/>
    <w:rsid w:val="00A76019"/>
    <w:rsid w:val="00A830E5"/>
    <w:rsid w:val="00A87135"/>
    <w:rsid w:val="00A91D0D"/>
    <w:rsid w:val="00A93280"/>
    <w:rsid w:val="00A935F1"/>
    <w:rsid w:val="00A951EA"/>
    <w:rsid w:val="00A962A0"/>
    <w:rsid w:val="00A97C3C"/>
    <w:rsid w:val="00A97F02"/>
    <w:rsid w:val="00AA08E4"/>
    <w:rsid w:val="00AA2548"/>
    <w:rsid w:val="00AA4FD7"/>
    <w:rsid w:val="00AA5131"/>
    <w:rsid w:val="00AA58C4"/>
    <w:rsid w:val="00AA7003"/>
    <w:rsid w:val="00AA7C54"/>
    <w:rsid w:val="00AB11C8"/>
    <w:rsid w:val="00AB3C9E"/>
    <w:rsid w:val="00AB6563"/>
    <w:rsid w:val="00AB6CFA"/>
    <w:rsid w:val="00AC08A8"/>
    <w:rsid w:val="00AC32A7"/>
    <w:rsid w:val="00AC70E6"/>
    <w:rsid w:val="00AD1FA5"/>
    <w:rsid w:val="00AD56C8"/>
    <w:rsid w:val="00AD58F2"/>
    <w:rsid w:val="00AE314E"/>
    <w:rsid w:val="00AE4716"/>
    <w:rsid w:val="00AF3261"/>
    <w:rsid w:val="00AF3492"/>
    <w:rsid w:val="00AF41DB"/>
    <w:rsid w:val="00AF7DB2"/>
    <w:rsid w:val="00B0050A"/>
    <w:rsid w:val="00B00DD0"/>
    <w:rsid w:val="00B014B6"/>
    <w:rsid w:val="00B022A2"/>
    <w:rsid w:val="00B0512A"/>
    <w:rsid w:val="00B0529F"/>
    <w:rsid w:val="00B077CF"/>
    <w:rsid w:val="00B13C29"/>
    <w:rsid w:val="00B1418B"/>
    <w:rsid w:val="00B161E0"/>
    <w:rsid w:val="00B209E8"/>
    <w:rsid w:val="00B20CF9"/>
    <w:rsid w:val="00B21195"/>
    <w:rsid w:val="00B2278D"/>
    <w:rsid w:val="00B2462E"/>
    <w:rsid w:val="00B24B22"/>
    <w:rsid w:val="00B25310"/>
    <w:rsid w:val="00B25957"/>
    <w:rsid w:val="00B25FE2"/>
    <w:rsid w:val="00B266AA"/>
    <w:rsid w:val="00B27925"/>
    <w:rsid w:val="00B32F8F"/>
    <w:rsid w:val="00B3492A"/>
    <w:rsid w:val="00B42056"/>
    <w:rsid w:val="00B429C0"/>
    <w:rsid w:val="00B43A17"/>
    <w:rsid w:val="00B53B2D"/>
    <w:rsid w:val="00B54DE9"/>
    <w:rsid w:val="00B553EC"/>
    <w:rsid w:val="00B55E3F"/>
    <w:rsid w:val="00B56312"/>
    <w:rsid w:val="00B56BB2"/>
    <w:rsid w:val="00B63C1E"/>
    <w:rsid w:val="00B67D9C"/>
    <w:rsid w:val="00B703CA"/>
    <w:rsid w:val="00B73077"/>
    <w:rsid w:val="00B83A7A"/>
    <w:rsid w:val="00B85A80"/>
    <w:rsid w:val="00B85BA4"/>
    <w:rsid w:val="00B873E0"/>
    <w:rsid w:val="00B909F2"/>
    <w:rsid w:val="00B90D28"/>
    <w:rsid w:val="00B912EC"/>
    <w:rsid w:val="00B93A0D"/>
    <w:rsid w:val="00B93DD0"/>
    <w:rsid w:val="00B9666C"/>
    <w:rsid w:val="00B97732"/>
    <w:rsid w:val="00BA41A3"/>
    <w:rsid w:val="00BA49DD"/>
    <w:rsid w:val="00BA65A8"/>
    <w:rsid w:val="00BA6D19"/>
    <w:rsid w:val="00BA7461"/>
    <w:rsid w:val="00BA7DA9"/>
    <w:rsid w:val="00BB2907"/>
    <w:rsid w:val="00BB3942"/>
    <w:rsid w:val="00BB7892"/>
    <w:rsid w:val="00BB7CAE"/>
    <w:rsid w:val="00BC0362"/>
    <w:rsid w:val="00BC4215"/>
    <w:rsid w:val="00BC45F6"/>
    <w:rsid w:val="00BC66F4"/>
    <w:rsid w:val="00BC72A5"/>
    <w:rsid w:val="00BC7BB9"/>
    <w:rsid w:val="00BD1A6F"/>
    <w:rsid w:val="00BD392B"/>
    <w:rsid w:val="00BD4BAE"/>
    <w:rsid w:val="00BD6017"/>
    <w:rsid w:val="00BD63F2"/>
    <w:rsid w:val="00BD66B3"/>
    <w:rsid w:val="00BE0267"/>
    <w:rsid w:val="00BE12F1"/>
    <w:rsid w:val="00BE2537"/>
    <w:rsid w:val="00BE6D3C"/>
    <w:rsid w:val="00BE7852"/>
    <w:rsid w:val="00BF0D29"/>
    <w:rsid w:val="00BF3164"/>
    <w:rsid w:val="00BF7CEE"/>
    <w:rsid w:val="00BF7E1D"/>
    <w:rsid w:val="00C0338D"/>
    <w:rsid w:val="00C03880"/>
    <w:rsid w:val="00C04D17"/>
    <w:rsid w:val="00C113D6"/>
    <w:rsid w:val="00C135CF"/>
    <w:rsid w:val="00C1547A"/>
    <w:rsid w:val="00C159A1"/>
    <w:rsid w:val="00C20405"/>
    <w:rsid w:val="00C22D70"/>
    <w:rsid w:val="00C2419F"/>
    <w:rsid w:val="00C246AB"/>
    <w:rsid w:val="00C24D9F"/>
    <w:rsid w:val="00C25198"/>
    <w:rsid w:val="00C2683F"/>
    <w:rsid w:val="00C26867"/>
    <w:rsid w:val="00C27877"/>
    <w:rsid w:val="00C31175"/>
    <w:rsid w:val="00C3184D"/>
    <w:rsid w:val="00C32937"/>
    <w:rsid w:val="00C33672"/>
    <w:rsid w:val="00C33B3E"/>
    <w:rsid w:val="00C37E24"/>
    <w:rsid w:val="00C42395"/>
    <w:rsid w:val="00C4714E"/>
    <w:rsid w:val="00C4759D"/>
    <w:rsid w:val="00C4784C"/>
    <w:rsid w:val="00C51CCA"/>
    <w:rsid w:val="00C5504F"/>
    <w:rsid w:val="00C555B8"/>
    <w:rsid w:val="00C55BCB"/>
    <w:rsid w:val="00C57A87"/>
    <w:rsid w:val="00C57B55"/>
    <w:rsid w:val="00C63376"/>
    <w:rsid w:val="00C6547C"/>
    <w:rsid w:val="00C6676B"/>
    <w:rsid w:val="00C719F6"/>
    <w:rsid w:val="00C71D89"/>
    <w:rsid w:val="00C74F97"/>
    <w:rsid w:val="00C756CC"/>
    <w:rsid w:val="00C7613C"/>
    <w:rsid w:val="00C76BED"/>
    <w:rsid w:val="00C8276E"/>
    <w:rsid w:val="00C82E21"/>
    <w:rsid w:val="00C82F11"/>
    <w:rsid w:val="00C842AC"/>
    <w:rsid w:val="00C90859"/>
    <w:rsid w:val="00C9540C"/>
    <w:rsid w:val="00C95F71"/>
    <w:rsid w:val="00C9658A"/>
    <w:rsid w:val="00C96688"/>
    <w:rsid w:val="00C9688D"/>
    <w:rsid w:val="00CA0723"/>
    <w:rsid w:val="00CA3F29"/>
    <w:rsid w:val="00CA433B"/>
    <w:rsid w:val="00CA472E"/>
    <w:rsid w:val="00CA533E"/>
    <w:rsid w:val="00CB1690"/>
    <w:rsid w:val="00CB28E8"/>
    <w:rsid w:val="00CC4365"/>
    <w:rsid w:val="00CC4C93"/>
    <w:rsid w:val="00CC6775"/>
    <w:rsid w:val="00CD038B"/>
    <w:rsid w:val="00CD11B0"/>
    <w:rsid w:val="00CD23B9"/>
    <w:rsid w:val="00CD6ED3"/>
    <w:rsid w:val="00CE52CD"/>
    <w:rsid w:val="00CE71C2"/>
    <w:rsid w:val="00CF0B06"/>
    <w:rsid w:val="00CF1FFE"/>
    <w:rsid w:val="00CF34E9"/>
    <w:rsid w:val="00CF42D5"/>
    <w:rsid w:val="00CF4BDE"/>
    <w:rsid w:val="00CF4EDA"/>
    <w:rsid w:val="00D021CB"/>
    <w:rsid w:val="00D02D91"/>
    <w:rsid w:val="00D04A64"/>
    <w:rsid w:val="00D10F1A"/>
    <w:rsid w:val="00D116F8"/>
    <w:rsid w:val="00D12F43"/>
    <w:rsid w:val="00D13613"/>
    <w:rsid w:val="00D13A1B"/>
    <w:rsid w:val="00D13D78"/>
    <w:rsid w:val="00D17596"/>
    <w:rsid w:val="00D21D54"/>
    <w:rsid w:val="00D22640"/>
    <w:rsid w:val="00D23E1A"/>
    <w:rsid w:val="00D2463B"/>
    <w:rsid w:val="00D268FD"/>
    <w:rsid w:val="00D26D3A"/>
    <w:rsid w:val="00D26FBD"/>
    <w:rsid w:val="00D27179"/>
    <w:rsid w:val="00D31ACC"/>
    <w:rsid w:val="00D3296C"/>
    <w:rsid w:val="00D3300D"/>
    <w:rsid w:val="00D40B19"/>
    <w:rsid w:val="00D438DC"/>
    <w:rsid w:val="00D45EE3"/>
    <w:rsid w:val="00D504B4"/>
    <w:rsid w:val="00D50618"/>
    <w:rsid w:val="00D509E9"/>
    <w:rsid w:val="00D5203E"/>
    <w:rsid w:val="00D5376F"/>
    <w:rsid w:val="00D53B1C"/>
    <w:rsid w:val="00D57B19"/>
    <w:rsid w:val="00D60A64"/>
    <w:rsid w:val="00D614BC"/>
    <w:rsid w:val="00D62E45"/>
    <w:rsid w:val="00D654BE"/>
    <w:rsid w:val="00D74350"/>
    <w:rsid w:val="00D7490A"/>
    <w:rsid w:val="00D75ACB"/>
    <w:rsid w:val="00D7625A"/>
    <w:rsid w:val="00D779B9"/>
    <w:rsid w:val="00D851FD"/>
    <w:rsid w:val="00D85BE5"/>
    <w:rsid w:val="00D86259"/>
    <w:rsid w:val="00D86320"/>
    <w:rsid w:val="00D93992"/>
    <w:rsid w:val="00D95BD1"/>
    <w:rsid w:val="00D9615D"/>
    <w:rsid w:val="00D97CA2"/>
    <w:rsid w:val="00DA12AD"/>
    <w:rsid w:val="00DA1B12"/>
    <w:rsid w:val="00DA4BA7"/>
    <w:rsid w:val="00DA54C9"/>
    <w:rsid w:val="00DA5C4F"/>
    <w:rsid w:val="00DA6739"/>
    <w:rsid w:val="00DA674C"/>
    <w:rsid w:val="00DA6CAE"/>
    <w:rsid w:val="00DB1A9E"/>
    <w:rsid w:val="00DB31D6"/>
    <w:rsid w:val="00DB4005"/>
    <w:rsid w:val="00DB41D9"/>
    <w:rsid w:val="00DC329B"/>
    <w:rsid w:val="00DC34EB"/>
    <w:rsid w:val="00DC5743"/>
    <w:rsid w:val="00DC62A3"/>
    <w:rsid w:val="00DD0B24"/>
    <w:rsid w:val="00DD1C1F"/>
    <w:rsid w:val="00DD3667"/>
    <w:rsid w:val="00DD4C28"/>
    <w:rsid w:val="00DD69EC"/>
    <w:rsid w:val="00DD75D5"/>
    <w:rsid w:val="00DE239D"/>
    <w:rsid w:val="00DE52D7"/>
    <w:rsid w:val="00DF1E5B"/>
    <w:rsid w:val="00DF2275"/>
    <w:rsid w:val="00DF2AF8"/>
    <w:rsid w:val="00DF3CAF"/>
    <w:rsid w:val="00DF3F5E"/>
    <w:rsid w:val="00DF5653"/>
    <w:rsid w:val="00DF6661"/>
    <w:rsid w:val="00E01593"/>
    <w:rsid w:val="00E022A6"/>
    <w:rsid w:val="00E04080"/>
    <w:rsid w:val="00E041D5"/>
    <w:rsid w:val="00E0596E"/>
    <w:rsid w:val="00E06F66"/>
    <w:rsid w:val="00E0723F"/>
    <w:rsid w:val="00E127C5"/>
    <w:rsid w:val="00E151EC"/>
    <w:rsid w:val="00E16BDF"/>
    <w:rsid w:val="00E2047B"/>
    <w:rsid w:val="00E24EA9"/>
    <w:rsid w:val="00E25151"/>
    <w:rsid w:val="00E30146"/>
    <w:rsid w:val="00E31F68"/>
    <w:rsid w:val="00E32757"/>
    <w:rsid w:val="00E356E5"/>
    <w:rsid w:val="00E36F81"/>
    <w:rsid w:val="00E41F9D"/>
    <w:rsid w:val="00E45765"/>
    <w:rsid w:val="00E46C40"/>
    <w:rsid w:val="00E5098C"/>
    <w:rsid w:val="00E50FDF"/>
    <w:rsid w:val="00E53CD0"/>
    <w:rsid w:val="00E5767E"/>
    <w:rsid w:val="00E60213"/>
    <w:rsid w:val="00E60A07"/>
    <w:rsid w:val="00E61129"/>
    <w:rsid w:val="00E61F48"/>
    <w:rsid w:val="00E6547E"/>
    <w:rsid w:val="00E661B2"/>
    <w:rsid w:val="00E71198"/>
    <w:rsid w:val="00E72443"/>
    <w:rsid w:val="00E74AA4"/>
    <w:rsid w:val="00E74D29"/>
    <w:rsid w:val="00E776D0"/>
    <w:rsid w:val="00E827B3"/>
    <w:rsid w:val="00E82DF5"/>
    <w:rsid w:val="00E83C74"/>
    <w:rsid w:val="00E83CEE"/>
    <w:rsid w:val="00E85574"/>
    <w:rsid w:val="00E857BB"/>
    <w:rsid w:val="00E90DE2"/>
    <w:rsid w:val="00E91F18"/>
    <w:rsid w:val="00E9226D"/>
    <w:rsid w:val="00E945F4"/>
    <w:rsid w:val="00E9649A"/>
    <w:rsid w:val="00E964E2"/>
    <w:rsid w:val="00EA1DC2"/>
    <w:rsid w:val="00EA4068"/>
    <w:rsid w:val="00EA416C"/>
    <w:rsid w:val="00EA5941"/>
    <w:rsid w:val="00EA6B19"/>
    <w:rsid w:val="00EB1E22"/>
    <w:rsid w:val="00EB4AFA"/>
    <w:rsid w:val="00EB538D"/>
    <w:rsid w:val="00EB60CE"/>
    <w:rsid w:val="00EB7D53"/>
    <w:rsid w:val="00EC1DB0"/>
    <w:rsid w:val="00EC1F45"/>
    <w:rsid w:val="00EC3D34"/>
    <w:rsid w:val="00EC6640"/>
    <w:rsid w:val="00EC67CC"/>
    <w:rsid w:val="00ED0B91"/>
    <w:rsid w:val="00ED0BA2"/>
    <w:rsid w:val="00ED10E0"/>
    <w:rsid w:val="00ED3231"/>
    <w:rsid w:val="00ED3C41"/>
    <w:rsid w:val="00ED3F91"/>
    <w:rsid w:val="00EE25F9"/>
    <w:rsid w:val="00EE3146"/>
    <w:rsid w:val="00EE3713"/>
    <w:rsid w:val="00EF0FE7"/>
    <w:rsid w:val="00EF1208"/>
    <w:rsid w:val="00EF21FA"/>
    <w:rsid w:val="00EF50BB"/>
    <w:rsid w:val="00EF53FF"/>
    <w:rsid w:val="00EF6E75"/>
    <w:rsid w:val="00F00192"/>
    <w:rsid w:val="00F01DF6"/>
    <w:rsid w:val="00F022A3"/>
    <w:rsid w:val="00F0340D"/>
    <w:rsid w:val="00F059A6"/>
    <w:rsid w:val="00F05D03"/>
    <w:rsid w:val="00F1450E"/>
    <w:rsid w:val="00F14B21"/>
    <w:rsid w:val="00F14F70"/>
    <w:rsid w:val="00F150EA"/>
    <w:rsid w:val="00F1560B"/>
    <w:rsid w:val="00F1650C"/>
    <w:rsid w:val="00F169C2"/>
    <w:rsid w:val="00F23756"/>
    <w:rsid w:val="00F2443B"/>
    <w:rsid w:val="00F2523A"/>
    <w:rsid w:val="00F25C20"/>
    <w:rsid w:val="00F25FFA"/>
    <w:rsid w:val="00F30F9F"/>
    <w:rsid w:val="00F310D2"/>
    <w:rsid w:val="00F350C2"/>
    <w:rsid w:val="00F3636D"/>
    <w:rsid w:val="00F36F3D"/>
    <w:rsid w:val="00F43B2D"/>
    <w:rsid w:val="00F477BD"/>
    <w:rsid w:val="00F5026D"/>
    <w:rsid w:val="00F51F98"/>
    <w:rsid w:val="00F53491"/>
    <w:rsid w:val="00F5390D"/>
    <w:rsid w:val="00F53989"/>
    <w:rsid w:val="00F5458C"/>
    <w:rsid w:val="00F61873"/>
    <w:rsid w:val="00F643FC"/>
    <w:rsid w:val="00F65A1C"/>
    <w:rsid w:val="00F66F50"/>
    <w:rsid w:val="00F76053"/>
    <w:rsid w:val="00F768EA"/>
    <w:rsid w:val="00F82A52"/>
    <w:rsid w:val="00F82FF8"/>
    <w:rsid w:val="00F8330D"/>
    <w:rsid w:val="00F84305"/>
    <w:rsid w:val="00F8485C"/>
    <w:rsid w:val="00F85E25"/>
    <w:rsid w:val="00F85F5A"/>
    <w:rsid w:val="00F87149"/>
    <w:rsid w:val="00F87FFE"/>
    <w:rsid w:val="00F92B9F"/>
    <w:rsid w:val="00F954C9"/>
    <w:rsid w:val="00F97128"/>
    <w:rsid w:val="00F97290"/>
    <w:rsid w:val="00FA4CF0"/>
    <w:rsid w:val="00FA61AA"/>
    <w:rsid w:val="00FA69A4"/>
    <w:rsid w:val="00FA7A1D"/>
    <w:rsid w:val="00FB01E1"/>
    <w:rsid w:val="00FB1180"/>
    <w:rsid w:val="00FB1279"/>
    <w:rsid w:val="00FB1495"/>
    <w:rsid w:val="00FB4E9A"/>
    <w:rsid w:val="00FB7008"/>
    <w:rsid w:val="00FC1083"/>
    <w:rsid w:val="00FC18D9"/>
    <w:rsid w:val="00FC1AAA"/>
    <w:rsid w:val="00FC1B0B"/>
    <w:rsid w:val="00FC4A66"/>
    <w:rsid w:val="00FC6C0B"/>
    <w:rsid w:val="00FD1694"/>
    <w:rsid w:val="00FD7636"/>
    <w:rsid w:val="00FE1B2A"/>
    <w:rsid w:val="00FE3229"/>
    <w:rsid w:val="00FE74C3"/>
    <w:rsid w:val="00FF0BAE"/>
    <w:rsid w:val="00FF16FF"/>
    <w:rsid w:val="00FF1DCE"/>
    <w:rsid w:val="00FF1E2F"/>
    <w:rsid w:val="00FF215C"/>
    <w:rsid w:val="00FF49E8"/>
    <w:rsid w:val="00FF672F"/>
    <w:rsid w:val="00FF774A"/>
    <w:rsid w:val="00FF7F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63510B"/>
  <w15:chartTrackingRefBased/>
  <w15:docId w15:val="{1236F2AC-52EE-4C6D-A725-C76F1DD09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F51"/>
    <w:pPr>
      <w:spacing w:after="200" w:line="276" w:lineRule="auto"/>
    </w:pPr>
    <w:rPr>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paragraph" w:styleId="Heading6">
    <w:name w:val="heading 6"/>
    <w:basedOn w:val="Normal"/>
    <w:next w:val="Normal"/>
    <w:link w:val="Heading6Char"/>
    <w:qFormat/>
    <w:rsid w:val="00FC1B0B"/>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FC1B0B"/>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paragraph" w:customStyle="1" w:styleId="Default">
    <w:name w:val="Default"/>
    <w:rsid w:val="00507F51"/>
    <w:pPr>
      <w:autoSpaceDE w:val="0"/>
      <w:autoSpaceDN w:val="0"/>
      <w:adjustRightInd w:val="0"/>
    </w:pPr>
    <w:rPr>
      <w:rFonts w:ascii="Times New Roman" w:hAnsi="Times New Roman"/>
      <w:color w:val="000000"/>
      <w:sz w:val="24"/>
      <w:szCs w:val="24"/>
      <w:lang w:eastAsia="en-US"/>
    </w:rPr>
  </w:style>
  <w:style w:type="table" w:customStyle="1" w:styleId="TableGrid1">
    <w:name w:val="Table Grid1"/>
    <w:basedOn w:val="TableNormal"/>
    <w:next w:val="TableGrid"/>
    <w:uiPriority w:val="59"/>
    <w:rsid w:val="00507F51"/>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Heading6Char">
    <w:name w:val="Heading 6 Char"/>
    <w:basedOn w:val="DefaultParagraphFont"/>
    <w:link w:val="Heading6"/>
    <w:rsid w:val="00FC1B0B"/>
    <w:rPr>
      <w:rFonts w:ascii="Times New Roman" w:eastAsia="Times New Roman" w:hAnsi="Times New Roman"/>
      <w:b/>
      <w:bCs/>
      <w:sz w:val="22"/>
      <w:szCs w:val="22"/>
    </w:rPr>
  </w:style>
  <w:style w:type="character" w:customStyle="1" w:styleId="Heading7Char">
    <w:name w:val="Heading 7 Char"/>
    <w:basedOn w:val="DefaultParagraphFont"/>
    <w:link w:val="Heading7"/>
    <w:rsid w:val="00FC1B0B"/>
    <w:rPr>
      <w:rFonts w:ascii="Times New Roman" w:eastAsia="Times New Roman" w:hAnsi="Times New Roman"/>
      <w:b/>
      <w:bCs/>
      <w:szCs w:val="24"/>
      <w:lang w:val="en-GB" w:eastAsia="en-US"/>
    </w:rPr>
  </w:style>
  <w:style w:type="paragraph" w:styleId="NormalWeb">
    <w:name w:val="Normal (Web)"/>
    <w:basedOn w:val="Normal"/>
    <w:rsid w:val="00BC72A5"/>
    <w:pPr>
      <w:spacing w:before="100" w:beforeAutospacing="1" w:after="100" w:afterAutospacing="1" w:line="240" w:lineRule="auto"/>
    </w:pPr>
    <w:rPr>
      <w:rFonts w:ascii="Arial Unicode MS" w:eastAsia="Arial Unicode MS" w:hAnsi="Arial Unicode MS" w:cs="Arial Unicode MS"/>
      <w:sz w:val="24"/>
      <w:szCs w:val="24"/>
      <w:lang w:val="en-US"/>
    </w:rPr>
  </w:style>
  <w:style w:type="character" w:styleId="CommentReference">
    <w:name w:val="annotation reference"/>
    <w:basedOn w:val="DefaultParagraphFont"/>
    <w:semiHidden/>
    <w:unhideWhenUsed/>
    <w:rsid w:val="00CF4BDE"/>
    <w:rPr>
      <w:sz w:val="16"/>
      <w:szCs w:val="16"/>
    </w:rPr>
  </w:style>
  <w:style w:type="paragraph" w:styleId="CommentText">
    <w:name w:val="annotation text"/>
    <w:basedOn w:val="Normal"/>
    <w:link w:val="CommentTextChar"/>
    <w:uiPriority w:val="99"/>
    <w:semiHidden/>
    <w:unhideWhenUsed/>
    <w:rsid w:val="00CF4BDE"/>
    <w:pPr>
      <w:spacing w:line="240" w:lineRule="auto"/>
    </w:pPr>
    <w:rPr>
      <w:sz w:val="20"/>
      <w:szCs w:val="20"/>
    </w:rPr>
  </w:style>
  <w:style w:type="character" w:customStyle="1" w:styleId="CommentTextChar">
    <w:name w:val="Comment Text Char"/>
    <w:basedOn w:val="DefaultParagraphFont"/>
    <w:link w:val="CommentText"/>
    <w:uiPriority w:val="99"/>
    <w:semiHidden/>
    <w:rsid w:val="00CF4BDE"/>
    <w:rPr>
      <w:lang w:eastAsia="en-US"/>
    </w:rPr>
  </w:style>
  <w:style w:type="paragraph" w:styleId="CommentSubject">
    <w:name w:val="annotation subject"/>
    <w:basedOn w:val="CommentText"/>
    <w:next w:val="CommentText"/>
    <w:link w:val="CommentSubjectChar"/>
    <w:uiPriority w:val="99"/>
    <w:semiHidden/>
    <w:unhideWhenUsed/>
    <w:rsid w:val="00CF4BDE"/>
    <w:rPr>
      <w:b/>
      <w:bCs/>
    </w:rPr>
  </w:style>
  <w:style w:type="character" w:customStyle="1" w:styleId="CommentSubjectChar">
    <w:name w:val="Comment Subject Char"/>
    <w:basedOn w:val="CommentTextChar"/>
    <w:link w:val="CommentSubject"/>
    <w:uiPriority w:val="99"/>
    <w:semiHidden/>
    <w:rsid w:val="00CF4BDE"/>
    <w:rPr>
      <w:b/>
      <w:bCs/>
      <w:lang w:eastAsia="en-US"/>
    </w:rPr>
  </w:style>
  <w:style w:type="paragraph" w:styleId="TOCHeading">
    <w:name w:val="TOC Heading"/>
    <w:basedOn w:val="Heading1"/>
    <w:next w:val="Normal"/>
    <w:uiPriority w:val="39"/>
    <w:unhideWhenUsed/>
    <w:qFormat/>
    <w:rsid w:val="004F5B71"/>
    <w:pPr>
      <w:keepLines/>
      <w:spacing w:before="240" w:after="0" w:line="259" w:lineRule="auto"/>
      <w:outlineLvl w:val="9"/>
    </w:pPr>
    <w:rPr>
      <w:rFonts w:asciiTheme="majorHAnsi" w:eastAsiaTheme="majorEastAsia" w:hAnsiTheme="majorHAnsi" w:cstheme="majorBidi"/>
      <w:b w:val="0"/>
      <w:caps w:val="0"/>
      <w:color w:val="365F91" w:themeColor="accent1" w:themeShade="BF"/>
      <w:sz w:val="32"/>
      <w:szCs w:val="32"/>
      <w:lang w:val="en-US"/>
    </w:rPr>
  </w:style>
  <w:style w:type="paragraph" w:styleId="TOC1">
    <w:name w:val="toc 1"/>
    <w:basedOn w:val="Normal"/>
    <w:next w:val="Normal"/>
    <w:autoRedefine/>
    <w:uiPriority w:val="39"/>
    <w:unhideWhenUsed/>
    <w:rsid w:val="00567592"/>
    <w:pPr>
      <w:tabs>
        <w:tab w:val="right" w:leader="dot" w:pos="9202"/>
      </w:tabs>
      <w:spacing w:after="100"/>
      <w:ind w:left="284" w:hanging="284"/>
    </w:pPr>
  </w:style>
  <w:style w:type="character" w:styleId="Hyperlink">
    <w:name w:val="Hyperlink"/>
    <w:basedOn w:val="DefaultParagraphFont"/>
    <w:uiPriority w:val="99"/>
    <w:unhideWhenUsed/>
    <w:rsid w:val="004F5B71"/>
    <w:rPr>
      <w:color w:val="0000FF" w:themeColor="hyperlink"/>
      <w:u w:val="single"/>
    </w:rPr>
  </w:style>
  <w:style w:type="paragraph" w:styleId="TOC2">
    <w:name w:val="toc 2"/>
    <w:basedOn w:val="Normal"/>
    <w:next w:val="Normal"/>
    <w:autoRedefine/>
    <w:uiPriority w:val="39"/>
    <w:unhideWhenUsed/>
    <w:rsid w:val="00567592"/>
    <w:pPr>
      <w:spacing w:after="100"/>
      <w:ind w:left="220"/>
    </w:pPr>
  </w:style>
  <w:style w:type="paragraph" w:customStyle="1" w:styleId="Stylea">
    <w:name w:val="Style (a)"/>
    <w:basedOn w:val="Normal"/>
    <w:qFormat/>
    <w:rsid w:val="003D1BD7"/>
    <w:pPr>
      <w:numPr>
        <w:numId w:val="15"/>
      </w:numPr>
      <w:spacing w:after="0" w:line="240" w:lineRule="auto"/>
      <w:ind w:left="714" w:hanging="357"/>
    </w:pPr>
    <w:rPr>
      <w:rFonts w:ascii="Times New Roman" w:eastAsia="Times New Roman" w:hAnsi="Times New Roman"/>
      <w:snapToGrid w:val="0"/>
      <w:color w:val="FF0000"/>
      <w:sz w:val="24"/>
      <w:szCs w:val="24"/>
    </w:rPr>
  </w:style>
  <w:style w:type="table" w:customStyle="1" w:styleId="TableGrid12">
    <w:name w:val="Table Grid12"/>
    <w:basedOn w:val="TableNormal"/>
    <w:next w:val="TableGrid"/>
    <w:uiPriority w:val="59"/>
    <w:rsid w:val="003D1BD7"/>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mw-headline">
    <w:name w:val="mw-headline"/>
    <w:basedOn w:val="DefaultParagraphFont"/>
    <w:rsid w:val="006D550A"/>
  </w:style>
  <w:style w:type="character" w:styleId="FollowedHyperlink">
    <w:name w:val="FollowedHyperlink"/>
    <w:basedOn w:val="DefaultParagraphFont"/>
    <w:uiPriority w:val="99"/>
    <w:semiHidden/>
    <w:unhideWhenUsed/>
    <w:rsid w:val="005565D1"/>
    <w:rPr>
      <w:color w:val="800080" w:themeColor="followedHyperlink"/>
      <w:u w:val="single"/>
    </w:rPr>
  </w:style>
  <w:style w:type="paragraph" w:customStyle="1" w:styleId="indenta">
    <w:name w:val="indent(a)"/>
    <w:aliases w:val="a"/>
    <w:basedOn w:val="Normal"/>
    <w:rsid w:val="00A62AD4"/>
    <w:pPr>
      <w:tabs>
        <w:tab w:val="right" w:pos="1531"/>
      </w:tabs>
      <w:spacing w:before="40" w:after="0" w:line="260" w:lineRule="atLeast"/>
      <w:ind w:left="1644" w:hanging="1644"/>
    </w:pPr>
    <w:rPr>
      <w:rFonts w:ascii="Times" w:eastAsia="Times New Roman" w:hAnsi="Times"/>
      <w:szCs w:val="20"/>
    </w:rPr>
  </w:style>
  <w:style w:type="paragraph" w:styleId="BodyText">
    <w:name w:val="Body Text"/>
    <w:basedOn w:val="Normal"/>
    <w:link w:val="BodyTextChar"/>
    <w:rsid w:val="00A62AD4"/>
    <w:pPr>
      <w:spacing w:after="120" w:line="240" w:lineRule="auto"/>
    </w:pPr>
    <w:rPr>
      <w:rFonts w:ascii="Times New Roman" w:eastAsia="Times New Roman" w:hAnsi="Times New Roman"/>
      <w:sz w:val="24"/>
      <w:szCs w:val="24"/>
      <w:lang w:val="en-US"/>
    </w:rPr>
  </w:style>
  <w:style w:type="character" w:customStyle="1" w:styleId="BodyTextChar">
    <w:name w:val="Body Text Char"/>
    <w:basedOn w:val="DefaultParagraphFont"/>
    <w:link w:val="BodyText"/>
    <w:rsid w:val="00A62AD4"/>
    <w:rPr>
      <w:rFonts w:ascii="Times New Roman" w:eastAsia="Times New Roman" w:hAnsi="Times New Roman"/>
      <w:sz w:val="24"/>
      <w:szCs w:val="24"/>
      <w:lang w:val="en-US" w:eastAsia="en-US"/>
    </w:rPr>
  </w:style>
  <w:style w:type="paragraph" w:styleId="Revision">
    <w:name w:val="Revision"/>
    <w:hidden/>
    <w:uiPriority w:val="99"/>
    <w:semiHidden/>
    <w:rsid w:val="006A2211"/>
    <w:rPr>
      <w:sz w:val="22"/>
      <w:szCs w:val="22"/>
      <w:lang w:eastAsia="en-US"/>
    </w:rPr>
  </w:style>
  <w:style w:type="character" w:customStyle="1" w:styleId="UnresolvedMention1">
    <w:name w:val="Unresolved Mention1"/>
    <w:basedOn w:val="DefaultParagraphFont"/>
    <w:uiPriority w:val="99"/>
    <w:semiHidden/>
    <w:unhideWhenUsed/>
    <w:rsid w:val="00505F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261751">
      <w:bodyDiv w:val="1"/>
      <w:marLeft w:val="0"/>
      <w:marRight w:val="0"/>
      <w:marTop w:val="0"/>
      <w:marBottom w:val="0"/>
      <w:divBdr>
        <w:top w:val="none" w:sz="0" w:space="0" w:color="auto"/>
        <w:left w:val="none" w:sz="0" w:space="0" w:color="auto"/>
        <w:bottom w:val="none" w:sz="0" w:space="0" w:color="auto"/>
        <w:right w:val="none" w:sz="0" w:space="0" w:color="auto"/>
      </w:divBdr>
    </w:div>
    <w:div w:id="662200229">
      <w:bodyDiv w:val="1"/>
      <w:marLeft w:val="0"/>
      <w:marRight w:val="0"/>
      <w:marTop w:val="0"/>
      <w:marBottom w:val="0"/>
      <w:divBdr>
        <w:top w:val="none" w:sz="0" w:space="0" w:color="auto"/>
        <w:left w:val="none" w:sz="0" w:space="0" w:color="auto"/>
        <w:bottom w:val="none" w:sz="0" w:space="0" w:color="auto"/>
        <w:right w:val="none" w:sz="0" w:space="0" w:color="auto"/>
      </w:divBdr>
      <w:divsChild>
        <w:div w:id="1747652637">
          <w:marLeft w:val="0"/>
          <w:marRight w:val="0"/>
          <w:marTop w:val="0"/>
          <w:marBottom w:val="0"/>
          <w:divBdr>
            <w:top w:val="none" w:sz="0" w:space="0" w:color="auto"/>
            <w:left w:val="none" w:sz="0" w:space="0" w:color="auto"/>
            <w:bottom w:val="none" w:sz="0" w:space="0" w:color="auto"/>
            <w:right w:val="none" w:sz="0" w:space="0" w:color="auto"/>
          </w:divBdr>
          <w:divsChild>
            <w:div w:id="58789568">
              <w:marLeft w:val="0"/>
              <w:marRight w:val="0"/>
              <w:marTop w:val="0"/>
              <w:marBottom w:val="0"/>
              <w:divBdr>
                <w:top w:val="none" w:sz="0" w:space="0" w:color="auto"/>
                <w:left w:val="none" w:sz="0" w:space="0" w:color="auto"/>
                <w:bottom w:val="none" w:sz="0" w:space="0" w:color="auto"/>
                <w:right w:val="none" w:sz="0" w:space="0" w:color="auto"/>
              </w:divBdr>
              <w:divsChild>
                <w:div w:id="1510675607">
                  <w:marLeft w:val="0"/>
                  <w:marRight w:val="0"/>
                  <w:marTop w:val="0"/>
                  <w:marBottom w:val="0"/>
                  <w:divBdr>
                    <w:top w:val="none" w:sz="0" w:space="0" w:color="auto"/>
                    <w:left w:val="none" w:sz="0" w:space="0" w:color="auto"/>
                    <w:bottom w:val="none" w:sz="0" w:space="0" w:color="auto"/>
                    <w:right w:val="none" w:sz="0" w:space="0" w:color="auto"/>
                  </w:divBdr>
                  <w:divsChild>
                    <w:div w:id="418403026">
                      <w:marLeft w:val="0"/>
                      <w:marRight w:val="0"/>
                      <w:marTop w:val="0"/>
                      <w:marBottom w:val="0"/>
                      <w:divBdr>
                        <w:top w:val="none" w:sz="0" w:space="0" w:color="auto"/>
                        <w:left w:val="none" w:sz="0" w:space="0" w:color="auto"/>
                        <w:bottom w:val="none" w:sz="0" w:space="0" w:color="auto"/>
                        <w:right w:val="none" w:sz="0" w:space="0" w:color="auto"/>
                      </w:divBdr>
                      <w:divsChild>
                        <w:div w:id="42608957">
                          <w:marLeft w:val="0"/>
                          <w:marRight w:val="0"/>
                          <w:marTop w:val="0"/>
                          <w:marBottom w:val="0"/>
                          <w:divBdr>
                            <w:top w:val="none" w:sz="0" w:space="0" w:color="auto"/>
                            <w:left w:val="none" w:sz="0" w:space="0" w:color="auto"/>
                            <w:bottom w:val="none" w:sz="0" w:space="0" w:color="auto"/>
                            <w:right w:val="none" w:sz="0" w:space="0" w:color="auto"/>
                          </w:divBdr>
                          <w:divsChild>
                            <w:div w:id="1461920063">
                              <w:marLeft w:val="0"/>
                              <w:marRight w:val="0"/>
                              <w:marTop w:val="0"/>
                              <w:marBottom w:val="0"/>
                              <w:divBdr>
                                <w:top w:val="none" w:sz="0" w:space="0" w:color="auto"/>
                                <w:left w:val="none" w:sz="0" w:space="0" w:color="auto"/>
                                <w:bottom w:val="none" w:sz="0" w:space="0" w:color="auto"/>
                                <w:right w:val="none" w:sz="0" w:space="0" w:color="auto"/>
                              </w:divBdr>
                              <w:divsChild>
                                <w:div w:id="167213133">
                                  <w:marLeft w:val="0"/>
                                  <w:marRight w:val="0"/>
                                  <w:marTop w:val="0"/>
                                  <w:marBottom w:val="0"/>
                                  <w:divBdr>
                                    <w:top w:val="none" w:sz="0" w:space="0" w:color="auto"/>
                                    <w:left w:val="none" w:sz="0" w:space="0" w:color="auto"/>
                                    <w:bottom w:val="none" w:sz="0" w:space="0" w:color="auto"/>
                                    <w:right w:val="none" w:sz="0" w:space="0" w:color="auto"/>
                                  </w:divBdr>
                                  <w:divsChild>
                                    <w:div w:id="1264922621">
                                      <w:marLeft w:val="0"/>
                                      <w:marRight w:val="0"/>
                                      <w:marTop w:val="0"/>
                                      <w:marBottom w:val="0"/>
                                      <w:divBdr>
                                        <w:top w:val="none" w:sz="0" w:space="0" w:color="auto"/>
                                        <w:left w:val="none" w:sz="0" w:space="0" w:color="auto"/>
                                        <w:bottom w:val="none" w:sz="0" w:space="0" w:color="auto"/>
                                        <w:right w:val="none" w:sz="0" w:space="0" w:color="auto"/>
                                      </w:divBdr>
                                      <w:divsChild>
                                        <w:div w:id="2144811691">
                                          <w:marLeft w:val="0"/>
                                          <w:marRight w:val="0"/>
                                          <w:marTop w:val="0"/>
                                          <w:marBottom w:val="0"/>
                                          <w:divBdr>
                                            <w:top w:val="none" w:sz="0" w:space="0" w:color="auto"/>
                                            <w:left w:val="none" w:sz="0" w:space="0" w:color="auto"/>
                                            <w:bottom w:val="none" w:sz="0" w:space="0" w:color="auto"/>
                                            <w:right w:val="none" w:sz="0" w:space="0" w:color="auto"/>
                                          </w:divBdr>
                                          <w:divsChild>
                                            <w:div w:id="506213233">
                                              <w:marLeft w:val="0"/>
                                              <w:marRight w:val="0"/>
                                              <w:marTop w:val="0"/>
                                              <w:marBottom w:val="0"/>
                                              <w:divBdr>
                                                <w:top w:val="none" w:sz="0" w:space="0" w:color="auto"/>
                                                <w:left w:val="none" w:sz="0" w:space="0" w:color="auto"/>
                                                <w:bottom w:val="none" w:sz="0" w:space="0" w:color="auto"/>
                                                <w:right w:val="none" w:sz="0" w:space="0" w:color="auto"/>
                                              </w:divBdr>
                                              <w:divsChild>
                                                <w:div w:id="406000876">
                                                  <w:marLeft w:val="0"/>
                                                  <w:marRight w:val="0"/>
                                                  <w:marTop w:val="0"/>
                                                  <w:marBottom w:val="0"/>
                                                  <w:divBdr>
                                                    <w:top w:val="none" w:sz="0" w:space="0" w:color="auto"/>
                                                    <w:left w:val="none" w:sz="0" w:space="0" w:color="auto"/>
                                                    <w:bottom w:val="none" w:sz="0" w:space="0" w:color="auto"/>
                                                    <w:right w:val="none" w:sz="0" w:space="0" w:color="auto"/>
                                                  </w:divBdr>
                                                  <w:divsChild>
                                                    <w:div w:id="451871781">
                                                      <w:marLeft w:val="0"/>
                                                      <w:marRight w:val="0"/>
                                                      <w:marTop w:val="0"/>
                                                      <w:marBottom w:val="0"/>
                                                      <w:divBdr>
                                                        <w:top w:val="none" w:sz="0" w:space="0" w:color="auto"/>
                                                        <w:left w:val="none" w:sz="0" w:space="0" w:color="auto"/>
                                                        <w:bottom w:val="none" w:sz="0" w:space="0" w:color="auto"/>
                                                        <w:right w:val="none" w:sz="0" w:space="0" w:color="auto"/>
                                                      </w:divBdr>
                                                      <w:divsChild>
                                                        <w:div w:id="209840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40594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1747DB7F.dotm</Template>
  <TotalTime>1</TotalTime>
  <Pages>15</Pages>
  <Words>3572</Words>
  <Characters>20362</Characters>
  <Application>Microsoft Office Word</Application>
  <DocSecurity>4</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Queensland Jardini Pty Ltd Lungfish Wildlife Trade Operation</dc:title>
  <dc:subject/>
  <dc:creator>Department of Agriculture, Water and the Environment</dc:creator>
  <cp:keywords/>
  <dc:description/>
  <cp:lastModifiedBy>Bec Durack</cp:lastModifiedBy>
  <cp:revision>2</cp:revision>
  <dcterms:created xsi:type="dcterms:W3CDTF">2020-05-07T06:01:00Z</dcterms:created>
  <dcterms:modified xsi:type="dcterms:W3CDTF">2020-05-07T06:01:00Z</dcterms:modified>
</cp:coreProperties>
</file>