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64EC4" w14:textId="77777777" w:rsidR="00B21A2F" w:rsidRPr="00F6308F" w:rsidRDefault="00B21A2F" w:rsidP="00B21A2F">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5DB60CEB" wp14:editId="2C1A7215">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4A687FD5" w14:textId="77777777" w:rsidR="00B21A2F" w:rsidRPr="00F6308F" w:rsidRDefault="00B21A2F" w:rsidP="00B21A2F">
      <w:pPr>
        <w:widowControl w:val="0"/>
        <w:tabs>
          <w:tab w:val="left" w:pos="6700"/>
        </w:tabs>
        <w:spacing w:after="120"/>
        <w:jc w:val="center"/>
        <w:rPr>
          <w:b/>
          <w:sz w:val="48"/>
        </w:rPr>
      </w:pPr>
    </w:p>
    <w:p w14:paraId="25FCE4EC" w14:textId="77777777" w:rsidR="00176CE1" w:rsidRPr="00F6308F" w:rsidRDefault="00176CE1" w:rsidP="00176CE1">
      <w:pPr>
        <w:widowControl w:val="0"/>
        <w:tabs>
          <w:tab w:val="left" w:pos="6700"/>
        </w:tabs>
        <w:spacing w:after="120"/>
        <w:jc w:val="center"/>
        <w:rPr>
          <w:b/>
          <w:sz w:val="48"/>
        </w:rPr>
      </w:pPr>
    </w:p>
    <w:p w14:paraId="71E703B4" w14:textId="77777777" w:rsidR="00176CE1" w:rsidRPr="00F6308F" w:rsidRDefault="00176CE1" w:rsidP="00176CE1">
      <w:pPr>
        <w:widowControl w:val="0"/>
        <w:tabs>
          <w:tab w:val="left" w:pos="6700"/>
        </w:tabs>
        <w:spacing w:after="120"/>
        <w:jc w:val="center"/>
        <w:rPr>
          <w:b/>
          <w:sz w:val="48"/>
        </w:rPr>
      </w:pPr>
    </w:p>
    <w:p w14:paraId="468605A7" w14:textId="77777777" w:rsidR="00B21A2F" w:rsidRPr="00F6308F" w:rsidRDefault="00B21A2F" w:rsidP="00B21A2F">
      <w:pPr>
        <w:spacing w:after="120"/>
        <w:jc w:val="center"/>
        <w:rPr>
          <w:sz w:val="36"/>
        </w:rPr>
      </w:pPr>
      <w:bookmarkStart w:id="1" w:name="_GoBack"/>
      <w:r w:rsidRPr="00F6308F">
        <w:rPr>
          <w:sz w:val="36"/>
        </w:rPr>
        <w:t>Assessment of the</w:t>
      </w:r>
    </w:p>
    <w:p w14:paraId="1E93BBD9" w14:textId="544154FA" w:rsidR="00B21A2F" w:rsidRPr="00F6308F" w:rsidRDefault="00B40489" w:rsidP="00B21A2F">
      <w:pPr>
        <w:pStyle w:val="Heading6"/>
        <w:spacing w:after="120"/>
        <w:jc w:val="center"/>
        <w:rPr>
          <w:rFonts w:ascii="Arial" w:hAnsi="Arial"/>
          <w:b w:val="0"/>
          <w:i/>
          <w:sz w:val="36"/>
        </w:rPr>
      </w:pPr>
      <w:r>
        <w:rPr>
          <w:rFonts w:ascii="Arial" w:hAnsi="Arial"/>
          <w:sz w:val="36"/>
        </w:rPr>
        <w:t>Take</w:t>
      </w:r>
      <w:r w:rsidR="00C5446D">
        <w:rPr>
          <w:rFonts w:ascii="Arial" w:hAnsi="Arial"/>
          <w:sz w:val="36"/>
        </w:rPr>
        <w:t xml:space="preserve"> of Gould’s Squid</w:t>
      </w:r>
      <w:r>
        <w:rPr>
          <w:rFonts w:ascii="Arial" w:hAnsi="Arial"/>
          <w:sz w:val="36"/>
        </w:rPr>
        <w:t xml:space="preserve"> in the </w:t>
      </w:r>
      <w:r w:rsidR="003A047E">
        <w:rPr>
          <w:rFonts w:ascii="Arial" w:hAnsi="Arial"/>
          <w:sz w:val="36"/>
        </w:rPr>
        <w:t>Tasmanian</w:t>
      </w:r>
      <w:r w:rsidR="00B21A2F">
        <w:rPr>
          <w:rFonts w:ascii="Arial" w:hAnsi="Arial"/>
          <w:sz w:val="36"/>
        </w:rPr>
        <w:t xml:space="preserve"> </w:t>
      </w:r>
      <w:r>
        <w:rPr>
          <w:rFonts w:ascii="Arial" w:hAnsi="Arial"/>
          <w:sz w:val="36"/>
        </w:rPr>
        <w:t>Scalefish</w:t>
      </w:r>
      <w:r w:rsidR="00860544">
        <w:rPr>
          <w:rFonts w:ascii="Arial" w:hAnsi="Arial"/>
          <w:sz w:val="36"/>
        </w:rPr>
        <w:t xml:space="preserve"> </w:t>
      </w:r>
      <w:r w:rsidR="00B21A2F">
        <w:rPr>
          <w:rFonts w:ascii="Arial" w:hAnsi="Arial"/>
          <w:sz w:val="36"/>
        </w:rPr>
        <w:t>Fishery</w:t>
      </w:r>
    </w:p>
    <w:bookmarkEnd w:id="1"/>
    <w:p w14:paraId="249A480E" w14:textId="77777777" w:rsidR="00B21A2F" w:rsidRPr="00F6308F" w:rsidRDefault="00B21A2F" w:rsidP="00B21A2F">
      <w:pPr>
        <w:widowControl w:val="0"/>
        <w:tabs>
          <w:tab w:val="left" w:pos="6700"/>
        </w:tabs>
        <w:spacing w:after="120"/>
        <w:jc w:val="center"/>
        <w:rPr>
          <w:b/>
          <w:sz w:val="48"/>
        </w:rPr>
      </w:pPr>
    </w:p>
    <w:p w14:paraId="4DCAFADB" w14:textId="77777777" w:rsidR="00B21A2F" w:rsidRPr="00F6308F" w:rsidRDefault="00B21A2F" w:rsidP="00B21A2F">
      <w:pPr>
        <w:widowControl w:val="0"/>
        <w:tabs>
          <w:tab w:val="left" w:pos="6700"/>
        </w:tabs>
        <w:spacing w:after="120"/>
        <w:jc w:val="center"/>
        <w:rPr>
          <w:b/>
          <w:sz w:val="48"/>
        </w:rPr>
      </w:pPr>
    </w:p>
    <w:p w14:paraId="7F067F1E" w14:textId="77777777" w:rsidR="00B21A2F" w:rsidRPr="00176CE1" w:rsidRDefault="00B21A2F" w:rsidP="00B21A2F">
      <w:pPr>
        <w:widowControl w:val="0"/>
        <w:tabs>
          <w:tab w:val="left" w:pos="6700"/>
        </w:tabs>
        <w:spacing w:after="120"/>
        <w:jc w:val="center"/>
        <w:rPr>
          <w:b/>
          <w:sz w:val="32"/>
        </w:rPr>
      </w:pPr>
    </w:p>
    <w:p w14:paraId="3747A0C1" w14:textId="77777777" w:rsidR="00B21A2F" w:rsidRPr="00176CE1" w:rsidRDefault="00B21A2F" w:rsidP="00B21A2F">
      <w:pPr>
        <w:widowControl w:val="0"/>
        <w:tabs>
          <w:tab w:val="left" w:pos="6700"/>
        </w:tabs>
        <w:spacing w:after="120"/>
        <w:jc w:val="center"/>
        <w:rPr>
          <w:b/>
          <w:sz w:val="32"/>
        </w:rPr>
      </w:pPr>
    </w:p>
    <w:p w14:paraId="51EED385" w14:textId="77777777" w:rsidR="00B21A2F" w:rsidRPr="00176CE1" w:rsidRDefault="00B21A2F" w:rsidP="00B21A2F">
      <w:pPr>
        <w:widowControl w:val="0"/>
        <w:tabs>
          <w:tab w:val="left" w:pos="6700"/>
        </w:tabs>
        <w:spacing w:after="120"/>
        <w:jc w:val="center"/>
        <w:rPr>
          <w:b/>
          <w:sz w:val="32"/>
        </w:rPr>
      </w:pPr>
    </w:p>
    <w:p w14:paraId="52357320" w14:textId="77777777" w:rsidR="00B21A2F" w:rsidRPr="00176CE1" w:rsidRDefault="00B21A2F" w:rsidP="00B21A2F">
      <w:pPr>
        <w:widowControl w:val="0"/>
        <w:tabs>
          <w:tab w:val="left" w:pos="6700"/>
        </w:tabs>
        <w:spacing w:after="120"/>
        <w:jc w:val="center"/>
        <w:rPr>
          <w:b/>
          <w:sz w:val="32"/>
        </w:rPr>
      </w:pPr>
    </w:p>
    <w:p w14:paraId="678E7C59" w14:textId="77777777" w:rsidR="00176CE1" w:rsidRPr="00176CE1" w:rsidRDefault="00176CE1" w:rsidP="00176CE1">
      <w:pPr>
        <w:widowControl w:val="0"/>
        <w:tabs>
          <w:tab w:val="left" w:pos="6700"/>
        </w:tabs>
        <w:spacing w:after="120"/>
        <w:jc w:val="center"/>
        <w:rPr>
          <w:b/>
          <w:sz w:val="32"/>
        </w:rPr>
      </w:pPr>
    </w:p>
    <w:p w14:paraId="6045477C" w14:textId="77777777" w:rsidR="00176CE1" w:rsidRPr="00176CE1" w:rsidRDefault="00176CE1" w:rsidP="00176CE1">
      <w:pPr>
        <w:widowControl w:val="0"/>
        <w:tabs>
          <w:tab w:val="left" w:pos="6700"/>
        </w:tabs>
        <w:spacing w:after="120"/>
        <w:jc w:val="center"/>
        <w:rPr>
          <w:b/>
          <w:sz w:val="32"/>
        </w:rPr>
      </w:pPr>
    </w:p>
    <w:p w14:paraId="5CD44220" w14:textId="77777777" w:rsidR="00176CE1" w:rsidRPr="00176CE1" w:rsidRDefault="00176CE1" w:rsidP="00176CE1">
      <w:pPr>
        <w:widowControl w:val="0"/>
        <w:tabs>
          <w:tab w:val="left" w:pos="6700"/>
        </w:tabs>
        <w:spacing w:after="120"/>
        <w:jc w:val="center"/>
        <w:rPr>
          <w:b/>
          <w:sz w:val="32"/>
        </w:rPr>
      </w:pPr>
    </w:p>
    <w:p w14:paraId="55F9BCE9" w14:textId="77777777" w:rsidR="00176CE1" w:rsidRPr="00176CE1" w:rsidRDefault="00176CE1" w:rsidP="00176CE1">
      <w:pPr>
        <w:widowControl w:val="0"/>
        <w:tabs>
          <w:tab w:val="left" w:pos="6700"/>
        </w:tabs>
        <w:spacing w:after="120"/>
        <w:jc w:val="center"/>
        <w:rPr>
          <w:b/>
          <w:sz w:val="32"/>
        </w:rPr>
      </w:pPr>
    </w:p>
    <w:p w14:paraId="68D11713" w14:textId="77777777" w:rsidR="00176CE1" w:rsidRPr="00176CE1" w:rsidRDefault="00176CE1" w:rsidP="00176CE1">
      <w:pPr>
        <w:widowControl w:val="0"/>
        <w:tabs>
          <w:tab w:val="left" w:pos="6700"/>
        </w:tabs>
        <w:spacing w:after="120"/>
        <w:jc w:val="center"/>
        <w:rPr>
          <w:b/>
          <w:sz w:val="32"/>
        </w:rPr>
      </w:pPr>
    </w:p>
    <w:p w14:paraId="386F2B57" w14:textId="77777777" w:rsidR="00176CE1" w:rsidRPr="00176CE1" w:rsidRDefault="00176CE1" w:rsidP="00176CE1">
      <w:pPr>
        <w:widowControl w:val="0"/>
        <w:tabs>
          <w:tab w:val="left" w:pos="6700"/>
        </w:tabs>
        <w:spacing w:after="120"/>
        <w:jc w:val="center"/>
        <w:rPr>
          <w:b/>
          <w:sz w:val="32"/>
        </w:rPr>
      </w:pPr>
    </w:p>
    <w:p w14:paraId="1BDE709D" w14:textId="77777777" w:rsidR="00176CE1" w:rsidRPr="00176CE1" w:rsidRDefault="00176CE1" w:rsidP="00176CE1">
      <w:pPr>
        <w:widowControl w:val="0"/>
        <w:tabs>
          <w:tab w:val="left" w:pos="6700"/>
        </w:tabs>
        <w:spacing w:after="120"/>
        <w:jc w:val="center"/>
        <w:rPr>
          <w:b/>
          <w:sz w:val="32"/>
        </w:rPr>
      </w:pPr>
    </w:p>
    <w:p w14:paraId="3F92FFDE" w14:textId="01F089A0" w:rsidR="00B21A2F" w:rsidRPr="00F6308F" w:rsidRDefault="006C0AB7" w:rsidP="00B21A2F">
      <w:pPr>
        <w:pStyle w:val="Heading7"/>
        <w:rPr>
          <w:rFonts w:ascii="Arial" w:hAnsi="Arial"/>
          <w:lang w:val="en-AU"/>
        </w:rPr>
      </w:pPr>
      <w:r>
        <w:rPr>
          <w:rFonts w:ascii="Arial" w:hAnsi="Arial"/>
          <w:lang w:val="en-AU"/>
        </w:rPr>
        <w:t>August</w:t>
      </w:r>
      <w:r w:rsidRPr="00176CE1">
        <w:rPr>
          <w:rFonts w:ascii="Arial" w:hAnsi="Arial"/>
          <w:lang w:val="en-AU"/>
        </w:rPr>
        <w:t xml:space="preserve"> </w:t>
      </w:r>
      <w:r w:rsidR="00B21A2F" w:rsidRPr="00176CE1">
        <w:rPr>
          <w:rFonts w:ascii="Arial" w:hAnsi="Arial"/>
          <w:lang w:val="en-AU"/>
        </w:rPr>
        <w:t>2016</w:t>
      </w:r>
      <w:r w:rsidR="00B21A2F">
        <w:rPr>
          <w:rFonts w:ascii="Arial" w:hAnsi="Arial"/>
          <w:lang w:val="en-AU"/>
        </w:rPr>
        <w:t xml:space="preserve"> </w:t>
      </w:r>
    </w:p>
    <w:p w14:paraId="056EB068" w14:textId="77777777" w:rsidR="00B21A2F" w:rsidRPr="00F6308F" w:rsidRDefault="00B21A2F" w:rsidP="00B21A2F"/>
    <w:p w14:paraId="02724793" w14:textId="77777777" w:rsidR="00B21A2F" w:rsidRPr="00F6308F" w:rsidRDefault="00B21A2F" w:rsidP="00B21A2F"/>
    <w:p w14:paraId="753071F2" w14:textId="77777777" w:rsidR="00B21A2F" w:rsidRDefault="00B21A2F" w:rsidP="00B21A2F">
      <w:pPr>
        <w:sectPr w:rsidR="00B21A2F"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E903CD0" w14:textId="77777777" w:rsidR="00B21A2F" w:rsidRPr="00574DD7" w:rsidRDefault="00B21A2F" w:rsidP="00144823">
      <w:pPr>
        <w:rPr>
          <w:sz w:val="20"/>
          <w:szCs w:val="20"/>
        </w:rPr>
      </w:pPr>
    </w:p>
    <w:p w14:paraId="5E79D7B2" w14:textId="77777777" w:rsidR="00B21A2F" w:rsidRPr="00574DD7" w:rsidRDefault="00B21A2F" w:rsidP="00144823">
      <w:pPr>
        <w:rPr>
          <w:rStyle w:val="Hyperlink"/>
          <w:rFonts w:eastAsia="Times New Roman"/>
          <w:noProof/>
          <w:color w:val="auto"/>
          <w:sz w:val="20"/>
          <w:szCs w:val="20"/>
          <w:lang w:eastAsia="en-AU"/>
        </w:rPr>
      </w:pPr>
    </w:p>
    <w:p w14:paraId="0354A33B" w14:textId="77777777" w:rsidR="00B21A2F" w:rsidRPr="00574DD7" w:rsidRDefault="00B21A2F" w:rsidP="00144823">
      <w:pPr>
        <w:rPr>
          <w:rStyle w:val="Hyperlink"/>
          <w:rFonts w:eastAsia="Times New Roman"/>
          <w:noProof/>
          <w:color w:val="auto"/>
          <w:sz w:val="20"/>
          <w:szCs w:val="20"/>
          <w:lang w:eastAsia="en-AU"/>
        </w:rPr>
      </w:pPr>
    </w:p>
    <w:p w14:paraId="6106C08F" w14:textId="77777777" w:rsidR="00B21A2F" w:rsidRPr="00574DD7" w:rsidRDefault="00B21A2F" w:rsidP="00144823">
      <w:pPr>
        <w:rPr>
          <w:rStyle w:val="Hyperlink"/>
          <w:rFonts w:eastAsia="Times New Roman"/>
          <w:noProof/>
          <w:color w:val="auto"/>
          <w:sz w:val="20"/>
          <w:szCs w:val="20"/>
          <w:lang w:eastAsia="en-AU"/>
        </w:rPr>
      </w:pPr>
    </w:p>
    <w:p w14:paraId="5B161BA5" w14:textId="77777777" w:rsidR="00B21A2F" w:rsidRPr="00574DD7" w:rsidRDefault="00B21A2F" w:rsidP="00144823">
      <w:pPr>
        <w:rPr>
          <w:rStyle w:val="Hyperlink"/>
          <w:rFonts w:eastAsia="Times New Roman"/>
          <w:noProof/>
          <w:color w:val="auto"/>
          <w:sz w:val="20"/>
          <w:szCs w:val="20"/>
          <w:lang w:eastAsia="en-AU"/>
        </w:rPr>
      </w:pPr>
    </w:p>
    <w:p w14:paraId="7A2F76C8" w14:textId="77777777" w:rsidR="00B21A2F" w:rsidRPr="00574DD7" w:rsidRDefault="00B21A2F" w:rsidP="00144823">
      <w:pPr>
        <w:rPr>
          <w:rStyle w:val="Hyperlink"/>
          <w:rFonts w:eastAsia="Times New Roman"/>
          <w:noProof/>
          <w:color w:val="auto"/>
          <w:sz w:val="20"/>
          <w:szCs w:val="20"/>
          <w:lang w:eastAsia="en-AU"/>
        </w:rPr>
      </w:pPr>
    </w:p>
    <w:p w14:paraId="09ECE1CD" w14:textId="77777777" w:rsidR="00B21A2F" w:rsidRPr="00574DD7" w:rsidRDefault="00B21A2F" w:rsidP="00144823">
      <w:pPr>
        <w:rPr>
          <w:rStyle w:val="Hyperlink"/>
          <w:rFonts w:eastAsia="Times New Roman"/>
          <w:noProof/>
          <w:color w:val="auto"/>
          <w:sz w:val="20"/>
          <w:szCs w:val="20"/>
          <w:lang w:eastAsia="en-AU"/>
        </w:rPr>
      </w:pPr>
    </w:p>
    <w:p w14:paraId="5F9F34C9" w14:textId="77777777" w:rsidR="00B21A2F" w:rsidRPr="00574DD7" w:rsidRDefault="00B21A2F" w:rsidP="00144823">
      <w:pPr>
        <w:rPr>
          <w:rStyle w:val="Hyperlink"/>
          <w:rFonts w:eastAsia="Times New Roman"/>
          <w:noProof/>
          <w:color w:val="auto"/>
          <w:sz w:val="20"/>
          <w:szCs w:val="20"/>
          <w:lang w:eastAsia="en-AU"/>
        </w:rPr>
      </w:pPr>
    </w:p>
    <w:p w14:paraId="79B8EF83" w14:textId="77777777" w:rsidR="00B21A2F" w:rsidRPr="00574DD7" w:rsidRDefault="00B21A2F" w:rsidP="00144823">
      <w:pPr>
        <w:tabs>
          <w:tab w:val="right" w:leader="dot" w:pos="8302"/>
        </w:tabs>
        <w:rPr>
          <w:noProof/>
          <w:webHidden/>
          <w:sz w:val="20"/>
          <w:szCs w:val="20"/>
        </w:rPr>
      </w:pPr>
    </w:p>
    <w:p w14:paraId="46C97564" w14:textId="77777777" w:rsidR="00B21A2F" w:rsidRPr="00574DD7" w:rsidRDefault="00B21A2F" w:rsidP="00144823">
      <w:pPr>
        <w:tabs>
          <w:tab w:val="right" w:leader="dot" w:pos="8302"/>
        </w:tabs>
        <w:rPr>
          <w:noProof/>
          <w:webHidden/>
          <w:sz w:val="20"/>
          <w:szCs w:val="20"/>
        </w:rPr>
      </w:pPr>
    </w:p>
    <w:p w14:paraId="39A96075" w14:textId="77777777" w:rsidR="00B21A2F" w:rsidRPr="00574DD7" w:rsidRDefault="00B21A2F" w:rsidP="00144823">
      <w:pPr>
        <w:tabs>
          <w:tab w:val="right" w:leader="dot" w:pos="8302"/>
        </w:tabs>
        <w:rPr>
          <w:noProof/>
          <w:webHidden/>
          <w:sz w:val="20"/>
          <w:szCs w:val="20"/>
        </w:rPr>
      </w:pPr>
    </w:p>
    <w:p w14:paraId="31E64E42" w14:textId="77777777" w:rsidR="00B21A2F" w:rsidRDefault="00B21A2F" w:rsidP="00144823">
      <w:pPr>
        <w:tabs>
          <w:tab w:val="right" w:leader="dot" w:pos="8302"/>
        </w:tabs>
        <w:rPr>
          <w:noProof/>
          <w:webHidden/>
          <w:sz w:val="20"/>
          <w:szCs w:val="20"/>
        </w:rPr>
      </w:pPr>
    </w:p>
    <w:p w14:paraId="6B550713" w14:textId="77777777" w:rsidR="00916E4E" w:rsidRDefault="00916E4E" w:rsidP="00144823">
      <w:pPr>
        <w:tabs>
          <w:tab w:val="right" w:leader="dot" w:pos="8302"/>
        </w:tabs>
        <w:rPr>
          <w:noProof/>
          <w:webHidden/>
          <w:sz w:val="20"/>
          <w:szCs w:val="20"/>
        </w:rPr>
      </w:pPr>
    </w:p>
    <w:p w14:paraId="37FD6095" w14:textId="77777777" w:rsidR="00916E4E" w:rsidRDefault="00916E4E" w:rsidP="00144823">
      <w:pPr>
        <w:tabs>
          <w:tab w:val="right" w:leader="dot" w:pos="8302"/>
        </w:tabs>
        <w:rPr>
          <w:noProof/>
          <w:webHidden/>
          <w:sz w:val="20"/>
          <w:szCs w:val="20"/>
        </w:rPr>
      </w:pPr>
    </w:p>
    <w:p w14:paraId="0E6F1790" w14:textId="77777777" w:rsidR="00916E4E" w:rsidRDefault="00916E4E" w:rsidP="00144823">
      <w:pPr>
        <w:tabs>
          <w:tab w:val="right" w:leader="dot" w:pos="8302"/>
        </w:tabs>
        <w:rPr>
          <w:noProof/>
          <w:webHidden/>
          <w:sz w:val="20"/>
          <w:szCs w:val="20"/>
        </w:rPr>
      </w:pPr>
    </w:p>
    <w:p w14:paraId="56E7A436" w14:textId="77777777" w:rsidR="00916E4E" w:rsidRDefault="00916E4E" w:rsidP="00144823">
      <w:pPr>
        <w:tabs>
          <w:tab w:val="right" w:leader="dot" w:pos="8302"/>
        </w:tabs>
        <w:rPr>
          <w:noProof/>
          <w:webHidden/>
          <w:sz w:val="20"/>
          <w:szCs w:val="20"/>
        </w:rPr>
      </w:pPr>
    </w:p>
    <w:p w14:paraId="0F938E9A" w14:textId="77777777" w:rsidR="00916E4E" w:rsidRDefault="00916E4E" w:rsidP="00144823">
      <w:pPr>
        <w:tabs>
          <w:tab w:val="right" w:leader="dot" w:pos="8302"/>
        </w:tabs>
        <w:rPr>
          <w:noProof/>
          <w:webHidden/>
          <w:sz w:val="20"/>
          <w:szCs w:val="20"/>
        </w:rPr>
      </w:pPr>
    </w:p>
    <w:p w14:paraId="2AD25B66" w14:textId="77777777" w:rsidR="00916E4E" w:rsidRDefault="00916E4E" w:rsidP="00144823">
      <w:pPr>
        <w:tabs>
          <w:tab w:val="right" w:leader="dot" w:pos="8302"/>
        </w:tabs>
        <w:rPr>
          <w:noProof/>
          <w:webHidden/>
          <w:sz w:val="20"/>
          <w:szCs w:val="20"/>
        </w:rPr>
      </w:pPr>
    </w:p>
    <w:p w14:paraId="63092D65" w14:textId="77777777" w:rsidR="00916E4E" w:rsidRDefault="00916E4E" w:rsidP="00144823">
      <w:pPr>
        <w:tabs>
          <w:tab w:val="right" w:leader="dot" w:pos="8302"/>
        </w:tabs>
        <w:rPr>
          <w:noProof/>
          <w:webHidden/>
          <w:sz w:val="20"/>
          <w:szCs w:val="20"/>
        </w:rPr>
      </w:pPr>
    </w:p>
    <w:p w14:paraId="721F779F" w14:textId="77777777" w:rsidR="00916E4E" w:rsidRPr="00574DD7" w:rsidRDefault="00916E4E" w:rsidP="00144823">
      <w:pPr>
        <w:tabs>
          <w:tab w:val="right" w:leader="dot" w:pos="8302"/>
        </w:tabs>
        <w:rPr>
          <w:noProof/>
          <w:webHidden/>
          <w:sz w:val="20"/>
          <w:szCs w:val="20"/>
        </w:rPr>
      </w:pPr>
    </w:p>
    <w:p w14:paraId="3C3CF93C" w14:textId="77777777" w:rsidR="00B21A2F" w:rsidRPr="00574DD7" w:rsidRDefault="00B21A2F" w:rsidP="00144823">
      <w:pPr>
        <w:tabs>
          <w:tab w:val="right" w:leader="dot" w:pos="8302"/>
        </w:tabs>
        <w:rPr>
          <w:noProof/>
          <w:webHidden/>
          <w:sz w:val="20"/>
          <w:szCs w:val="20"/>
        </w:rPr>
      </w:pPr>
    </w:p>
    <w:p w14:paraId="0A3250FC" w14:textId="77777777" w:rsidR="00B21A2F" w:rsidRDefault="00B21A2F" w:rsidP="00144823">
      <w:pPr>
        <w:rPr>
          <w:sz w:val="20"/>
          <w:szCs w:val="20"/>
        </w:rPr>
      </w:pPr>
    </w:p>
    <w:p w14:paraId="47599363" w14:textId="77777777" w:rsidR="00AC1614" w:rsidRDefault="00AC1614" w:rsidP="00144823">
      <w:pPr>
        <w:rPr>
          <w:sz w:val="20"/>
          <w:szCs w:val="20"/>
        </w:rPr>
      </w:pPr>
    </w:p>
    <w:p w14:paraId="52780D83" w14:textId="77777777" w:rsidR="00AC1614" w:rsidRDefault="00AC1614" w:rsidP="00144823">
      <w:pPr>
        <w:rPr>
          <w:sz w:val="20"/>
          <w:szCs w:val="20"/>
        </w:rPr>
      </w:pPr>
    </w:p>
    <w:p w14:paraId="62AB3E8B" w14:textId="77777777" w:rsidR="00AC1614" w:rsidRDefault="00AC1614" w:rsidP="00144823">
      <w:pPr>
        <w:rPr>
          <w:sz w:val="20"/>
          <w:szCs w:val="20"/>
        </w:rPr>
      </w:pPr>
    </w:p>
    <w:p w14:paraId="5E8B402C" w14:textId="77777777" w:rsidR="00AC1614" w:rsidRDefault="00AC1614" w:rsidP="00144823">
      <w:pPr>
        <w:rPr>
          <w:sz w:val="20"/>
          <w:szCs w:val="20"/>
        </w:rPr>
      </w:pPr>
    </w:p>
    <w:p w14:paraId="1F29C47C" w14:textId="77777777" w:rsidR="00AC1614" w:rsidRDefault="00AC1614" w:rsidP="00144823">
      <w:pPr>
        <w:rPr>
          <w:sz w:val="20"/>
          <w:szCs w:val="20"/>
        </w:rPr>
      </w:pPr>
    </w:p>
    <w:p w14:paraId="20637D20" w14:textId="77777777" w:rsidR="00AC1614" w:rsidRDefault="00AC1614" w:rsidP="00144823">
      <w:pPr>
        <w:rPr>
          <w:sz w:val="20"/>
          <w:szCs w:val="20"/>
        </w:rPr>
      </w:pPr>
    </w:p>
    <w:p w14:paraId="23C3F152" w14:textId="77777777" w:rsidR="00AC1614" w:rsidRDefault="00AC1614" w:rsidP="00144823">
      <w:pPr>
        <w:rPr>
          <w:sz w:val="20"/>
          <w:szCs w:val="20"/>
        </w:rPr>
      </w:pPr>
    </w:p>
    <w:p w14:paraId="2F0D8F36" w14:textId="77777777" w:rsidR="00AC1614" w:rsidRDefault="00AC1614" w:rsidP="00144823">
      <w:pPr>
        <w:rPr>
          <w:sz w:val="20"/>
          <w:szCs w:val="20"/>
        </w:rPr>
      </w:pPr>
    </w:p>
    <w:p w14:paraId="363BDBD7" w14:textId="77777777" w:rsidR="00AC1614" w:rsidRPr="00574DD7" w:rsidRDefault="00AC1614" w:rsidP="00144823">
      <w:pPr>
        <w:rPr>
          <w:sz w:val="20"/>
          <w:szCs w:val="20"/>
        </w:rPr>
      </w:pPr>
    </w:p>
    <w:p w14:paraId="316D9D0D" w14:textId="77777777" w:rsidR="00B21A2F" w:rsidRPr="00480A40" w:rsidRDefault="00B21A2F" w:rsidP="00144823">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552EBC4F" w14:textId="77777777" w:rsidR="00B21A2F" w:rsidRPr="00480A40" w:rsidRDefault="00B21A2F" w:rsidP="00144823">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0D9759E3" wp14:editId="02600D2B">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CFB1290" w14:textId="59FC854C" w:rsidR="00B21A2F" w:rsidRPr="008403C4" w:rsidRDefault="00B21A2F" w:rsidP="00144823">
      <w:pPr>
        <w:pStyle w:val="NormalWeb"/>
        <w:spacing w:before="60" w:beforeAutospacing="0" w:after="60" w:afterAutospacing="0"/>
        <w:rPr>
          <w:rFonts w:ascii="Arial" w:hAnsi="Arial" w:cs="Arial"/>
          <w:sz w:val="16"/>
          <w:szCs w:val="16"/>
        </w:rPr>
      </w:pPr>
      <w:r w:rsidRPr="008403C4">
        <w:rPr>
          <w:rFonts w:ascii="Arial" w:hAnsi="Arial" w:cs="Arial"/>
          <w:i/>
          <w:sz w:val="16"/>
          <w:szCs w:val="16"/>
        </w:rPr>
        <w:t xml:space="preserve">Assessment of the </w:t>
      </w:r>
      <w:r w:rsidR="000D3B5C">
        <w:rPr>
          <w:rFonts w:ascii="Arial" w:hAnsi="Arial" w:cs="Arial"/>
          <w:i/>
          <w:sz w:val="16"/>
          <w:szCs w:val="16"/>
        </w:rPr>
        <w:t xml:space="preserve">Take of Gould’s Squid in the </w:t>
      </w:r>
      <w:r w:rsidR="003A047E">
        <w:rPr>
          <w:rFonts w:ascii="Arial" w:hAnsi="Arial" w:cs="Arial"/>
          <w:i/>
          <w:sz w:val="16"/>
          <w:szCs w:val="16"/>
        </w:rPr>
        <w:t>Tasmanian</w:t>
      </w:r>
      <w:r w:rsidRPr="008403C4">
        <w:rPr>
          <w:rFonts w:ascii="Arial" w:hAnsi="Arial" w:cs="Arial"/>
          <w:i/>
          <w:sz w:val="16"/>
          <w:szCs w:val="16"/>
        </w:rPr>
        <w:t xml:space="preserve"> </w:t>
      </w:r>
      <w:r w:rsidR="000D3B5C">
        <w:rPr>
          <w:rFonts w:ascii="Arial" w:hAnsi="Arial" w:cs="Arial"/>
          <w:i/>
          <w:sz w:val="16"/>
          <w:szCs w:val="16"/>
        </w:rPr>
        <w:t>Scalefish</w:t>
      </w:r>
      <w:r w:rsidR="00860544" w:rsidRPr="008403C4">
        <w:rPr>
          <w:rFonts w:ascii="Arial" w:hAnsi="Arial" w:cs="Arial"/>
          <w:i/>
          <w:sz w:val="16"/>
          <w:szCs w:val="16"/>
        </w:rPr>
        <w:t xml:space="preserve"> Fishery </w:t>
      </w:r>
      <w:r w:rsidR="006C0AB7">
        <w:rPr>
          <w:rFonts w:ascii="Arial" w:hAnsi="Arial" w:cs="Arial"/>
          <w:i/>
          <w:sz w:val="16"/>
          <w:szCs w:val="16"/>
        </w:rPr>
        <w:t xml:space="preserve">August </w:t>
      </w:r>
      <w:r w:rsidRPr="008403C4">
        <w:rPr>
          <w:rFonts w:ascii="Arial" w:hAnsi="Arial" w:cs="Arial"/>
          <w:i/>
          <w:sz w:val="16"/>
          <w:szCs w:val="16"/>
        </w:rPr>
        <w:t xml:space="preserve">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470425C8" w14:textId="3B2B0F5D" w:rsidR="00B21A2F" w:rsidRPr="00480A40" w:rsidRDefault="00B21A2F" w:rsidP="00144823">
      <w:pPr>
        <w:pStyle w:val="NormalWeb"/>
        <w:spacing w:before="60" w:beforeAutospacing="0" w:after="6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sidR="000D3B5C">
        <w:rPr>
          <w:rFonts w:ascii="Arial" w:hAnsi="Arial" w:cs="Arial"/>
          <w:i/>
          <w:sz w:val="16"/>
          <w:szCs w:val="16"/>
        </w:rPr>
        <w:t>Take of Gould’s Squid in the Tasmanian</w:t>
      </w:r>
      <w:r w:rsidR="000D3B5C" w:rsidRPr="008403C4">
        <w:rPr>
          <w:rFonts w:ascii="Arial" w:hAnsi="Arial" w:cs="Arial"/>
          <w:i/>
          <w:sz w:val="16"/>
          <w:szCs w:val="16"/>
        </w:rPr>
        <w:t xml:space="preserve"> </w:t>
      </w:r>
      <w:r w:rsidR="000D3B5C">
        <w:rPr>
          <w:rFonts w:ascii="Arial" w:hAnsi="Arial" w:cs="Arial"/>
          <w:i/>
          <w:sz w:val="16"/>
          <w:szCs w:val="16"/>
        </w:rPr>
        <w:t>Scalefish</w:t>
      </w:r>
      <w:r w:rsidR="000D3B5C" w:rsidRPr="008403C4">
        <w:rPr>
          <w:rFonts w:ascii="Arial" w:hAnsi="Arial" w:cs="Arial"/>
          <w:i/>
          <w:sz w:val="16"/>
          <w:szCs w:val="16"/>
        </w:rPr>
        <w:t xml:space="preserve"> </w:t>
      </w:r>
      <w:r w:rsidR="00860544" w:rsidRPr="008403C4">
        <w:rPr>
          <w:rFonts w:ascii="Arial" w:hAnsi="Arial" w:cs="Arial"/>
          <w:i/>
          <w:sz w:val="16"/>
          <w:szCs w:val="16"/>
        </w:rPr>
        <w:t xml:space="preserve">Fishery </w:t>
      </w:r>
      <w:r w:rsidR="006C0AB7">
        <w:rPr>
          <w:rFonts w:ascii="Arial" w:hAnsi="Arial" w:cs="Arial"/>
          <w:i/>
          <w:sz w:val="16"/>
          <w:szCs w:val="16"/>
        </w:rPr>
        <w:t xml:space="preserve">August </w:t>
      </w:r>
      <w:r w:rsidRPr="008403C4">
        <w:rPr>
          <w:rFonts w:ascii="Arial" w:hAnsi="Arial" w:cs="Arial"/>
          <w:i/>
          <w:sz w:val="16"/>
          <w:szCs w:val="16"/>
        </w:rPr>
        <w:t>2016</w:t>
      </w:r>
      <w:r w:rsidRPr="008403C4">
        <w:rPr>
          <w:rFonts w:ascii="Arial" w:hAnsi="Arial" w:cs="Arial"/>
          <w:sz w:val="16"/>
          <w:szCs w:val="16"/>
        </w:rPr>
        <w:t>, Commonwealth of Australia 2016’.</w:t>
      </w:r>
    </w:p>
    <w:p w14:paraId="052A5316" w14:textId="77777777" w:rsidR="00B21A2F" w:rsidRPr="00F6308F" w:rsidRDefault="00B21A2F" w:rsidP="00144823">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43C215E9" w14:textId="77777777" w:rsidR="00B21A2F" w:rsidRPr="00F6308F" w:rsidRDefault="00B21A2F" w:rsidP="00144823">
      <w:pPr>
        <w:rPr>
          <w:b/>
          <w:sz w:val="16"/>
          <w:szCs w:val="16"/>
        </w:rPr>
      </w:pPr>
      <w:r w:rsidRPr="00F6308F">
        <w:rPr>
          <w:b/>
          <w:sz w:val="16"/>
          <w:szCs w:val="16"/>
        </w:rPr>
        <w:t>Disclaimer</w:t>
      </w:r>
    </w:p>
    <w:p w14:paraId="07CF57DA" w14:textId="77777777" w:rsidR="00B21A2F" w:rsidRPr="00F6308F" w:rsidRDefault="00B21A2F" w:rsidP="00144823">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3869EF42" w14:textId="77777777" w:rsidR="00B21A2F" w:rsidRDefault="00B21A2F" w:rsidP="00144823">
      <w:pPr>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30C7F22" w14:textId="77777777" w:rsidR="00B21A2F" w:rsidRDefault="00B21A2F" w:rsidP="00144823">
      <w:pPr>
        <w:rPr>
          <w:sz w:val="16"/>
          <w:szCs w:val="16"/>
        </w:rPr>
      </w:pPr>
    </w:p>
    <w:p w14:paraId="2176121F" w14:textId="77777777" w:rsidR="00B21A2F" w:rsidRPr="00F6308F" w:rsidRDefault="00B21A2F" w:rsidP="00144823">
      <w:pPr>
        <w:rPr>
          <w:sz w:val="16"/>
          <w:szCs w:val="16"/>
        </w:rPr>
      </w:pPr>
    </w:p>
    <w:p w14:paraId="49A1EFC6" w14:textId="77777777" w:rsidR="00B21A2F" w:rsidRPr="00A14FF4" w:rsidRDefault="00B21A2F" w:rsidP="00144823">
      <w:pPr>
        <w:pStyle w:val="Heading1"/>
      </w:pPr>
    </w:p>
    <w:p w14:paraId="647867D4" w14:textId="77777777" w:rsidR="00B21A2F" w:rsidRDefault="00B21A2F" w:rsidP="00AC1614">
      <w:pPr>
        <w:rPr>
          <w:b/>
        </w:rPr>
        <w:sectPr w:rsidR="00B21A2F" w:rsidSect="001955CD">
          <w:pgSz w:w="11906" w:h="16838"/>
          <w:pgMar w:top="1418" w:right="1276" w:bottom="567" w:left="1418" w:header="425" w:footer="425" w:gutter="0"/>
          <w:pgNumType w:start="1"/>
          <w:cols w:space="708"/>
          <w:titlePg/>
          <w:docGrid w:linePitch="360"/>
        </w:sectPr>
      </w:pPr>
    </w:p>
    <w:sdt>
      <w:sdtPr>
        <w:rPr>
          <w:b/>
          <w:sz w:val="22"/>
          <w:szCs w:val="22"/>
        </w:rPr>
        <w:id w:val="992149566"/>
        <w:docPartObj>
          <w:docPartGallery w:val="Table of Contents"/>
          <w:docPartUnique/>
        </w:docPartObj>
      </w:sdtPr>
      <w:sdtEndPr>
        <w:rPr>
          <w:b w:val="0"/>
          <w:noProof/>
        </w:rPr>
      </w:sdtEndPr>
      <w:sdtContent>
        <w:p w14:paraId="7A34153E" w14:textId="77777777" w:rsidR="00B21A2F" w:rsidRPr="00E22088" w:rsidRDefault="00B21A2F" w:rsidP="00E22088">
          <w:pPr>
            <w:rPr>
              <w:b/>
              <w:sz w:val="22"/>
              <w:szCs w:val="22"/>
            </w:rPr>
          </w:pPr>
          <w:r w:rsidRPr="00E22088">
            <w:rPr>
              <w:b/>
              <w:sz w:val="22"/>
              <w:szCs w:val="22"/>
            </w:rPr>
            <w:t>CONTENTS</w:t>
          </w:r>
        </w:p>
        <w:p w14:paraId="3B1FD493" w14:textId="77777777" w:rsidR="00B21A2F" w:rsidRDefault="00B21A2F" w:rsidP="00B21A2F">
          <w:pPr>
            <w:pStyle w:val="TOC1"/>
          </w:pPr>
        </w:p>
        <w:p w14:paraId="4632CE26" w14:textId="77777777" w:rsidR="00013268" w:rsidRDefault="00B21A2F">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8883412" w:history="1">
            <w:r w:rsidR="00013268" w:rsidRPr="00BC3E8B">
              <w:rPr>
                <w:rStyle w:val="Hyperlink"/>
              </w:rPr>
              <w:t>Section 1: Summary of the Assessment for the Take of Gould’s Squid in the Tasmanian Scalefish Fishery Against the Guidelines for the Ecologically Sustainable Management of Fisheries (2nd Edition)</w:t>
            </w:r>
            <w:r w:rsidR="00013268">
              <w:rPr>
                <w:webHidden/>
              </w:rPr>
              <w:tab/>
            </w:r>
            <w:r w:rsidR="00013268">
              <w:rPr>
                <w:webHidden/>
              </w:rPr>
              <w:fldChar w:fldCharType="begin"/>
            </w:r>
            <w:r w:rsidR="00013268">
              <w:rPr>
                <w:webHidden/>
              </w:rPr>
              <w:instrText xml:space="preserve"> PAGEREF _Toc518883412 \h </w:instrText>
            </w:r>
            <w:r w:rsidR="00013268">
              <w:rPr>
                <w:webHidden/>
              </w:rPr>
            </w:r>
            <w:r w:rsidR="00013268">
              <w:rPr>
                <w:webHidden/>
              </w:rPr>
              <w:fldChar w:fldCharType="separate"/>
            </w:r>
            <w:r w:rsidR="00C67AFA">
              <w:rPr>
                <w:webHidden/>
              </w:rPr>
              <w:t>2</w:t>
            </w:r>
            <w:r w:rsidR="00013268">
              <w:rPr>
                <w:webHidden/>
              </w:rPr>
              <w:fldChar w:fldCharType="end"/>
            </w:r>
          </w:hyperlink>
        </w:p>
        <w:p w14:paraId="261B5E80" w14:textId="77777777" w:rsidR="00013268" w:rsidRDefault="00774AA6">
          <w:pPr>
            <w:pStyle w:val="TOC1"/>
            <w:rPr>
              <w:rFonts w:asciiTheme="minorHAnsi" w:eastAsiaTheme="minorEastAsia" w:hAnsiTheme="minorHAnsi" w:cstheme="minorBidi"/>
              <w:sz w:val="22"/>
              <w:szCs w:val="22"/>
            </w:rPr>
          </w:pPr>
          <w:hyperlink w:anchor="_Toc518883413" w:history="1">
            <w:r w:rsidR="00013268" w:rsidRPr="00BC3E8B">
              <w:rPr>
                <w:rStyle w:val="Hyperlink"/>
              </w:rPr>
              <w:t>Section 2: Detailed Analysis of the Take of Gould’s Squid in the Tasmanian Scalefish Fishery Against the Guidelines for the Ecologically Sustainable Management of Fisheries (2nd Edition)</w:t>
            </w:r>
            <w:r w:rsidR="00013268">
              <w:rPr>
                <w:webHidden/>
              </w:rPr>
              <w:tab/>
            </w:r>
            <w:r w:rsidR="00013268">
              <w:rPr>
                <w:webHidden/>
              </w:rPr>
              <w:fldChar w:fldCharType="begin"/>
            </w:r>
            <w:r w:rsidR="00013268">
              <w:rPr>
                <w:webHidden/>
              </w:rPr>
              <w:instrText xml:space="preserve"> PAGEREF _Toc518883413 \h </w:instrText>
            </w:r>
            <w:r w:rsidR="00013268">
              <w:rPr>
                <w:webHidden/>
              </w:rPr>
            </w:r>
            <w:r w:rsidR="00013268">
              <w:rPr>
                <w:webHidden/>
              </w:rPr>
              <w:fldChar w:fldCharType="separate"/>
            </w:r>
            <w:r w:rsidR="00C67AFA">
              <w:rPr>
                <w:webHidden/>
              </w:rPr>
              <w:t>5</w:t>
            </w:r>
            <w:r w:rsidR="00013268">
              <w:rPr>
                <w:webHidden/>
              </w:rPr>
              <w:fldChar w:fldCharType="end"/>
            </w:r>
          </w:hyperlink>
        </w:p>
        <w:p w14:paraId="03050E0D" w14:textId="77777777" w:rsidR="00013268" w:rsidRDefault="00774AA6">
          <w:pPr>
            <w:pStyle w:val="TOC1"/>
            <w:rPr>
              <w:rFonts w:asciiTheme="minorHAnsi" w:eastAsiaTheme="minorEastAsia" w:hAnsiTheme="minorHAnsi" w:cstheme="minorBidi"/>
              <w:sz w:val="22"/>
              <w:szCs w:val="22"/>
            </w:rPr>
          </w:pPr>
          <w:hyperlink w:anchor="_Toc518883414" w:history="1">
            <w:r w:rsidR="00013268" w:rsidRPr="00BC3E8B">
              <w:rPr>
                <w:rStyle w:val="Hyperlink"/>
              </w:rPr>
              <w:t>Section 3: Assessment of the Take of Gould’s Squid in the Tasmanian Scalefish Fishery Against the Requirements of the EPBC Act</w:t>
            </w:r>
            <w:r w:rsidR="00013268">
              <w:rPr>
                <w:webHidden/>
              </w:rPr>
              <w:tab/>
            </w:r>
            <w:r w:rsidR="00013268">
              <w:rPr>
                <w:webHidden/>
              </w:rPr>
              <w:fldChar w:fldCharType="begin"/>
            </w:r>
            <w:r w:rsidR="00013268">
              <w:rPr>
                <w:webHidden/>
              </w:rPr>
              <w:instrText xml:space="preserve"> PAGEREF _Toc518883414 \h </w:instrText>
            </w:r>
            <w:r w:rsidR="00013268">
              <w:rPr>
                <w:webHidden/>
              </w:rPr>
            </w:r>
            <w:r w:rsidR="00013268">
              <w:rPr>
                <w:webHidden/>
              </w:rPr>
              <w:fldChar w:fldCharType="separate"/>
            </w:r>
            <w:r w:rsidR="00C67AFA">
              <w:rPr>
                <w:webHidden/>
              </w:rPr>
              <w:t>13</w:t>
            </w:r>
            <w:r w:rsidR="00013268">
              <w:rPr>
                <w:webHidden/>
              </w:rPr>
              <w:fldChar w:fldCharType="end"/>
            </w:r>
          </w:hyperlink>
        </w:p>
        <w:p w14:paraId="07F042F0" w14:textId="77777777" w:rsidR="00B21A2F" w:rsidRPr="00666592" w:rsidRDefault="00B21A2F" w:rsidP="00666592">
          <w:pPr>
            <w:rPr>
              <w:sz w:val="22"/>
              <w:szCs w:val="22"/>
            </w:rPr>
          </w:pPr>
          <w:r w:rsidRPr="00893305">
            <w:rPr>
              <w:b/>
              <w:bCs/>
              <w:noProof/>
            </w:rPr>
            <w:fldChar w:fldCharType="end"/>
          </w:r>
        </w:p>
      </w:sdtContent>
    </w:sdt>
    <w:p w14:paraId="2744B4D9" w14:textId="77777777" w:rsidR="00B21A2F" w:rsidRPr="00666592" w:rsidRDefault="00B21A2F" w:rsidP="00666592">
      <w:pPr>
        <w:tabs>
          <w:tab w:val="right" w:leader="dot" w:pos="8302"/>
        </w:tabs>
        <w:ind w:left="1166" w:right="792" w:hanging="1166"/>
        <w:rPr>
          <w:noProof/>
          <w:webHidden/>
          <w:sz w:val="22"/>
          <w:szCs w:val="22"/>
        </w:rPr>
      </w:pPr>
    </w:p>
    <w:p w14:paraId="11DAC380" w14:textId="77777777" w:rsidR="00B21A2F" w:rsidRPr="00666592" w:rsidRDefault="00B21A2F" w:rsidP="00666592">
      <w:pPr>
        <w:rPr>
          <w:b/>
          <w:sz w:val="22"/>
          <w:szCs w:val="22"/>
        </w:rPr>
      </w:pPr>
    </w:p>
    <w:p w14:paraId="108AB0BD" w14:textId="77777777" w:rsidR="00B21A2F" w:rsidRPr="00666592" w:rsidRDefault="00B21A2F" w:rsidP="00666592">
      <w:pPr>
        <w:pStyle w:val="Heading1"/>
        <w:spacing w:before="60" w:after="60" w:line="240" w:lineRule="auto"/>
        <w:sectPr w:rsidR="00B21A2F" w:rsidRPr="00666592" w:rsidSect="001955CD">
          <w:pgSz w:w="11906" w:h="16838"/>
          <w:pgMar w:top="1418" w:right="1276" w:bottom="567" w:left="1418" w:header="425" w:footer="425" w:gutter="0"/>
          <w:pgNumType w:start="1"/>
          <w:cols w:space="708"/>
          <w:titlePg/>
          <w:docGrid w:linePitch="360"/>
        </w:sectPr>
      </w:pPr>
    </w:p>
    <w:p w14:paraId="33AAEEB8" w14:textId="77777777" w:rsidR="003A047E" w:rsidRPr="009E0662" w:rsidRDefault="003A047E" w:rsidP="003A047E">
      <w:pPr>
        <w:pStyle w:val="Heading1"/>
      </w:pPr>
      <w:bookmarkStart w:id="2" w:name="_Toc514849743"/>
      <w:bookmarkStart w:id="3" w:name="_Toc515454830"/>
      <w:bookmarkStart w:id="4" w:name="_Toc518883412"/>
      <w:bookmarkStart w:id="5" w:name="_Toc514848955"/>
      <w:bookmarkStart w:id="6" w:name="_Toc514848956"/>
      <w:bookmarkEnd w:id="0"/>
      <w:r w:rsidRPr="009E0662">
        <w:lastRenderedPageBreak/>
        <w:t xml:space="preserve">Section 1: Summary of the Assessment for the </w:t>
      </w:r>
      <w:r w:rsidR="00B40489">
        <w:t>Take of Gould’s Squid</w:t>
      </w:r>
      <w:r w:rsidR="00B40489" w:rsidRPr="009E0662">
        <w:t xml:space="preserve"> </w:t>
      </w:r>
      <w:r w:rsidR="00B40489">
        <w:t xml:space="preserve">in the </w:t>
      </w:r>
      <w:r>
        <w:t>Tasmanian</w:t>
      </w:r>
      <w:r w:rsidRPr="009E0662">
        <w:t xml:space="preserve"> </w:t>
      </w:r>
      <w:r w:rsidR="00B40489">
        <w:t xml:space="preserve">Scalefish </w:t>
      </w:r>
      <w:r w:rsidRPr="009E0662">
        <w:t>Fishery Against the Guidelines for the Ecologically Sustainable Management of Fisheries (2nd Edition)</w:t>
      </w:r>
      <w:bookmarkEnd w:id="2"/>
      <w:bookmarkEnd w:id="3"/>
      <w:bookmarkEnd w:id="4"/>
    </w:p>
    <w:bookmarkEnd w:id="5"/>
    <w:bookmarkEnd w:id="6"/>
    <w:p w14:paraId="4CA9B22E" w14:textId="70D270B6" w:rsidR="003A047E" w:rsidRPr="00E53632" w:rsidRDefault="003A047E" w:rsidP="003A047E">
      <w:pPr>
        <w:rPr>
          <w:sz w:val="22"/>
          <w:szCs w:val="22"/>
        </w:rPr>
      </w:pPr>
      <w:r w:rsidRPr="00E53632">
        <w:rPr>
          <w:b/>
          <w:sz w:val="22"/>
          <w:szCs w:val="22"/>
        </w:rPr>
        <w:t>Purpose</w:t>
      </w:r>
      <w:r w:rsidRPr="00E53632">
        <w:rPr>
          <w:sz w:val="22"/>
          <w:szCs w:val="22"/>
        </w:rPr>
        <w:t>: To enable transparent articulation of which commercial fisheries assessed under the EPBC Act clearly meet all legislative requirements and all Guidelines, and those which may require further investigation or assessment to demonstrate requirements are met.</w:t>
      </w:r>
      <w:r w:rsidR="000D3B5C">
        <w:rPr>
          <w:sz w:val="22"/>
          <w:szCs w:val="22"/>
        </w:rPr>
        <w:t xml:space="preserve"> </w:t>
      </w:r>
    </w:p>
    <w:p w14:paraId="25255E36" w14:textId="77777777" w:rsidR="003A047E" w:rsidRPr="000305D2" w:rsidRDefault="003A047E" w:rsidP="000305D2">
      <w:pPr>
        <w:rPr>
          <w:sz w:val="22"/>
          <w:szCs w:val="22"/>
        </w:rPr>
      </w:pPr>
      <w:r w:rsidRPr="000305D2">
        <w:rPr>
          <w:sz w:val="22"/>
          <w:szCs w:val="22"/>
        </w:rPr>
        <w:t xml:space="preserve">Overview of </w:t>
      </w:r>
      <w:r w:rsidR="00B40489" w:rsidRPr="000305D2">
        <w:rPr>
          <w:sz w:val="22"/>
          <w:szCs w:val="22"/>
        </w:rPr>
        <w:t xml:space="preserve">the take of Gould’s Squid in the Tasmanian Scalefish Fishery </w:t>
      </w:r>
      <w:r w:rsidRPr="000305D2">
        <w:rPr>
          <w:sz w:val="22"/>
          <w:szCs w:val="22"/>
        </w:rPr>
        <w:t>against the relevant requirements of the Guidelines and the EPBC Act.</w:t>
      </w:r>
    </w:p>
    <w:tbl>
      <w:tblPr>
        <w:tblStyle w:val="TableGrid"/>
        <w:tblW w:w="5000" w:type="pct"/>
        <w:tblLook w:val="04A0" w:firstRow="1" w:lastRow="0" w:firstColumn="1" w:lastColumn="0" w:noHBand="0" w:noVBand="1"/>
      </w:tblPr>
      <w:tblGrid>
        <w:gridCol w:w="2820"/>
        <w:gridCol w:w="1411"/>
        <w:gridCol w:w="1411"/>
        <w:gridCol w:w="1411"/>
        <w:gridCol w:w="7053"/>
      </w:tblGrid>
      <w:tr w:rsidR="003A047E" w:rsidRPr="000D3B5C" w14:paraId="620B0CA1" w14:textId="77777777" w:rsidTr="00860544">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259C0CBE" w14:textId="77777777" w:rsidR="003A047E" w:rsidRPr="000D3B5C" w:rsidRDefault="003A047E" w:rsidP="00860544">
            <w:pPr>
              <w:ind w:left="426" w:hanging="426"/>
              <w:rPr>
                <w:b/>
                <w:sz w:val="20"/>
                <w:szCs w:val="20"/>
              </w:rPr>
            </w:pPr>
            <w:r w:rsidRPr="000D3B5C">
              <w:rPr>
                <w:b/>
                <w:sz w:val="20"/>
                <w:szCs w:val="20"/>
              </w:rPr>
              <w:t>Guidelines</w:t>
            </w:r>
          </w:p>
        </w:tc>
        <w:tc>
          <w:tcPr>
            <w:tcW w:w="500" w:type="pct"/>
            <w:shd w:val="clear" w:color="auto" w:fill="92D050"/>
            <w:vAlign w:val="center"/>
          </w:tcPr>
          <w:p w14:paraId="6EA1A7AB" w14:textId="77777777" w:rsidR="003A047E" w:rsidRPr="000D3B5C" w:rsidRDefault="003A047E" w:rsidP="00860544">
            <w:pPr>
              <w:rPr>
                <w:b/>
                <w:sz w:val="20"/>
                <w:szCs w:val="20"/>
              </w:rPr>
            </w:pPr>
            <w:r w:rsidRPr="000D3B5C">
              <w:rPr>
                <w:b/>
                <w:sz w:val="20"/>
                <w:szCs w:val="20"/>
              </w:rPr>
              <w:t>Meets</w:t>
            </w:r>
          </w:p>
        </w:tc>
        <w:tc>
          <w:tcPr>
            <w:tcW w:w="500" w:type="pct"/>
            <w:shd w:val="clear" w:color="auto" w:fill="FFC000"/>
            <w:vAlign w:val="center"/>
          </w:tcPr>
          <w:p w14:paraId="4AAA325F" w14:textId="77777777" w:rsidR="003A047E" w:rsidRPr="000D3B5C" w:rsidRDefault="003A047E" w:rsidP="00860544">
            <w:pPr>
              <w:rPr>
                <w:b/>
                <w:sz w:val="20"/>
                <w:szCs w:val="20"/>
              </w:rPr>
            </w:pPr>
            <w:r w:rsidRPr="000D3B5C">
              <w:rPr>
                <w:b/>
                <w:sz w:val="20"/>
                <w:szCs w:val="20"/>
              </w:rPr>
              <w:t>Partially meets</w:t>
            </w:r>
          </w:p>
        </w:tc>
        <w:tc>
          <w:tcPr>
            <w:tcW w:w="500" w:type="pct"/>
            <w:shd w:val="clear" w:color="auto" w:fill="FF0000"/>
            <w:vAlign w:val="center"/>
          </w:tcPr>
          <w:p w14:paraId="7E5B4C09" w14:textId="77777777" w:rsidR="003A047E" w:rsidRPr="000D3B5C" w:rsidRDefault="003A047E" w:rsidP="00860544">
            <w:pPr>
              <w:rPr>
                <w:b/>
                <w:sz w:val="20"/>
                <w:szCs w:val="20"/>
              </w:rPr>
            </w:pPr>
            <w:r w:rsidRPr="000D3B5C">
              <w:rPr>
                <w:b/>
                <w:sz w:val="20"/>
                <w:szCs w:val="20"/>
              </w:rPr>
              <w:t>Does not meet</w:t>
            </w:r>
          </w:p>
        </w:tc>
        <w:tc>
          <w:tcPr>
            <w:tcW w:w="2500" w:type="pct"/>
            <w:vAlign w:val="center"/>
          </w:tcPr>
          <w:p w14:paraId="0F80FA32" w14:textId="77777777" w:rsidR="003A047E" w:rsidRPr="000D3B5C" w:rsidRDefault="003A047E" w:rsidP="00860544">
            <w:pPr>
              <w:rPr>
                <w:b/>
                <w:sz w:val="20"/>
                <w:szCs w:val="20"/>
              </w:rPr>
            </w:pPr>
            <w:r w:rsidRPr="000D3B5C">
              <w:rPr>
                <w:b/>
                <w:sz w:val="20"/>
                <w:szCs w:val="20"/>
              </w:rPr>
              <w:t>Details</w:t>
            </w:r>
          </w:p>
        </w:tc>
      </w:tr>
      <w:tr w:rsidR="00666592" w:rsidRPr="000D3B5C" w14:paraId="6D9A264D" w14:textId="77777777" w:rsidTr="0092066F">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CF06CBB" w14:textId="77777777" w:rsidR="00666592" w:rsidRPr="000D3B5C" w:rsidRDefault="00666592" w:rsidP="00666592">
            <w:pPr>
              <w:ind w:left="426" w:hanging="426"/>
              <w:rPr>
                <w:sz w:val="20"/>
                <w:szCs w:val="20"/>
              </w:rPr>
            </w:pPr>
            <w:r w:rsidRPr="000D3B5C">
              <w:rPr>
                <w:sz w:val="20"/>
                <w:szCs w:val="20"/>
              </w:rPr>
              <w:t>Management regime</w:t>
            </w:r>
          </w:p>
        </w:tc>
        <w:tc>
          <w:tcPr>
            <w:tcW w:w="500" w:type="pct"/>
            <w:shd w:val="clear" w:color="auto" w:fill="92D050"/>
            <w:vAlign w:val="center"/>
          </w:tcPr>
          <w:p w14:paraId="0E881F86" w14:textId="0F7E7B39" w:rsidR="00666592" w:rsidRPr="000D3B5C" w:rsidRDefault="0092066F" w:rsidP="00666592">
            <w:pPr>
              <w:rPr>
                <w:sz w:val="20"/>
                <w:szCs w:val="20"/>
              </w:rPr>
            </w:pPr>
            <w:r w:rsidRPr="000D3B5C">
              <w:rPr>
                <w:sz w:val="20"/>
                <w:szCs w:val="20"/>
              </w:rPr>
              <w:t>8</w:t>
            </w:r>
            <w:r w:rsidR="006C6D5B">
              <w:rPr>
                <w:sz w:val="20"/>
                <w:szCs w:val="20"/>
              </w:rPr>
              <w:t xml:space="preserve"> </w:t>
            </w:r>
            <w:r w:rsidR="00666592" w:rsidRPr="000D3B5C">
              <w:rPr>
                <w:sz w:val="20"/>
                <w:szCs w:val="20"/>
              </w:rPr>
              <w:t>of 9</w:t>
            </w:r>
          </w:p>
          <w:p w14:paraId="172E0623" w14:textId="77777777" w:rsidR="00666592" w:rsidRPr="000D3B5C" w:rsidRDefault="00666592" w:rsidP="00666592">
            <w:pPr>
              <w:rPr>
                <w:sz w:val="20"/>
                <w:szCs w:val="20"/>
              </w:rPr>
            </w:pPr>
            <w:r w:rsidRPr="000D3B5C">
              <w:rPr>
                <w:sz w:val="20"/>
                <w:szCs w:val="20"/>
              </w:rPr>
              <w:t>1 of 9 N/a</w:t>
            </w:r>
          </w:p>
        </w:tc>
        <w:tc>
          <w:tcPr>
            <w:tcW w:w="500" w:type="pct"/>
            <w:shd w:val="clear" w:color="auto" w:fill="auto"/>
            <w:vAlign w:val="center"/>
          </w:tcPr>
          <w:p w14:paraId="5BAE37DE" w14:textId="452484AC" w:rsidR="00666592" w:rsidRPr="000D3B5C" w:rsidRDefault="00666592" w:rsidP="00666592">
            <w:pPr>
              <w:rPr>
                <w:sz w:val="20"/>
                <w:szCs w:val="20"/>
              </w:rPr>
            </w:pPr>
          </w:p>
        </w:tc>
        <w:tc>
          <w:tcPr>
            <w:tcW w:w="500" w:type="pct"/>
            <w:shd w:val="clear" w:color="auto" w:fill="auto"/>
          </w:tcPr>
          <w:p w14:paraId="45A2209B" w14:textId="77777777" w:rsidR="00666592" w:rsidRPr="000D3B5C" w:rsidRDefault="00666592" w:rsidP="00666592">
            <w:pPr>
              <w:rPr>
                <w:sz w:val="20"/>
                <w:szCs w:val="20"/>
              </w:rPr>
            </w:pPr>
          </w:p>
        </w:tc>
        <w:tc>
          <w:tcPr>
            <w:tcW w:w="2500" w:type="pct"/>
          </w:tcPr>
          <w:p w14:paraId="77C9B5CB" w14:textId="77777777" w:rsidR="00B40489" w:rsidRPr="000D3B5C" w:rsidRDefault="00B40489" w:rsidP="00B40489">
            <w:pPr>
              <w:rPr>
                <w:b/>
                <w:sz w:val="20"/>
                <w:szCs w:val="20"/>
              </w:rPr>
            </w:pPr>
            <w:r w:rsidRPr="000D3B5C">
              <w:rPr>
                <w:b/>
                <w:sz w:val="20"/>
                <w:szCs w:val="20"/>
              </w:rPr>
              <w:t>The management regime is effective.</w:t>
            </w:r>
          </w:p>
          <w:p w14:paraId="105024A2" w14:textId="07401526" w:rsidR="00666592" w:rsidRPr="000D3B5C" w:rsidRDefault="00B40489" w:rsidP="000305D2">
            <w:pPr>
              <w:rPr>
                <w:sz w:val="20"/>
                <w:szCs w:val="20"/>
              </w:rPr>
            </w:pPr>
            <w:r w:rsidRPr="000D3B5C">
              <w:rPr>
                <w:sz w:val="20"/>
                <w:szCs w:val="20"/>
              </w:rPr>
              <w:t>Management arrangements for the take of Gould’s Squid in t</w:t>
            </w:r>
            <w:r w:rsidR="000305D2" w:rsidRPr="000D3B5C">
              <w:rPr>
                <w:sz w:val="20"/>
                <w:szCs w:val="20"/>
              </w:rPr>
              <w:t>he Tasmanian Scalefish Fishery</w:t>
            </w:r>
            <w:r w:rsidRPr="000D3B5C">
              <w:rPr>
                <w:sz w:val="20"/>
                <w:szCs w:val="20"/>
              </w:rPr>
              <w:t xml:space="preserve"> </w:t>
            </w:r>
            <w:r w:rsidR="000305D2" w:rsidRPr="000D3B5C">
              <w:rPr>
                <w:sz w:val="20"/>
                <w:szCs w:val="20"/>
              </w:rPr>
              <w:t xml:space="preserve">(the fishery) </w:t>
            </w:r>
            <w:r w:rsidRPr="000D3B5C">
              <w:rPr>
                <w:sz w:val="20"/>
                <w:szCs w:val="20"/>
              </w:rPr>
              <w:t xml:space="preserve">are regulated by the </w:t>
            </w:r>
            <w:r w:rsidRPr="000D3B5C">
              <w:rPr>
                <w:bCs/>
                <w:iCs/>
                <w:sz w:val="20"/>
                <w:szCs w:val="20"/>
              </w:rPr>
              <w:t>F</w:t>
            </w:r>
            <w:r w:rsidR="000305D2" w:rsidRPr="000D3B5C">
              <w:rPr>
                <w:bCs/>
                <w:iCs/>
                <w:sz w:val="20"/>
                <w:szCs w:val="20"/>
              </w:rPr>
              <w:t xml:space="preserve">isheries (Scalefish) Rules 2015 </w:t>
            </w:r>
            <w:r w:rsidRPr="000D3B5C">
              <w:rPr>
                <w:iCs/>
                <w:sz w:val="20"/>
                <w:szCs w:val="20"/>
              </w:rPr>
              <w:t>and</w:t>
            </w:r>
            <w:r w:rsidRPr="000D3B5C">
              <w:rPr>
                <w:sz w:val="20"/>
                <w:szCs w:val="20"/>
              </w:rPr>
              <w:t xml:space="preserve"> closely monitored by the </w:t>
            </w:r>
            <w:r w:rsidRPr="000D3B5C">
              <w:rPr>
                <w:snapToGrid w:val="0"/>
                <w:sz w:val="20"/>
                <w:szCs w:val="20"/>
              </w:rPr>
              <w:t>Department of Primary Industries, Parks, Water and Environment (</w:t>
            </w:r>
            <w:r w:rsidRPr="000D3B5C">
              <w:rPr>
                <w:sz w:val="20"/>
                <w:szCs w:val="20"/>
              </w:rPr>
              <w:t>DPIPWE). Management is transparent, information is publically accessible, and the general public is involved in consultation processes.</w:t>
            </w:r>
          </w:p>
        </w:tc>
      </w:tr>
      <w:tr w:rsidR="00666592" w:rsidRPr="000D3B5C" w14:paraId="698166DD"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DBC54CD" w14:textId="77777777" w:rsidR="00666592" w:rsidRPr="000D3B5C" w:rsidRDefault="00666592" w:rsidP="00666592">
            <w:pPr>
              <w:ind w:left="426" w:hanging="426"/>
              <w:rPr>
                <w:sz w:val="20"/>
                <w:szCs w:val="20"/>
              </w:rPr>
            </w:pPr>
            <w:r w:rsidRPr="000D3B5C">
              <w:rPr>
                <w:sz w:val="20"/>
                <w:szCs w:val="20"/>
              </w:rPr>
              <w:t>Principle 1 (target stocks)</w:t>
            </w:r>
          </w:p>
        </w:tc>
        <w:tc>
          <w:tcPr>
            <w:tcW w:w="500" w:type="pct"/>
            <w:shd w:val="clear" w:color="auto" w:fill="92D050"/>
            <w:vAlign w:val="center"/>
          </w:tcPr>
          <w:p w14:paraId="4D0E2DFD" w14:textId="250289C3" w:rsidR="00666592" w:rsidRPr="000D3B5C" w:rsidRDefault="0092066F" w:rsidP="00666592">
            <w:pPr>
              <w:rPr>
                <w:sz w:val="20"/>
                <w:szCs w:val="20"/>
              </w:rPr>
            </w:pPr>
            <w:r w:rsidRPr="000D3B5C">
              <w:rPr>
                <w:sz w:val="20"/>
                <w:szCs w:val="20"/>
              </w:rPr>
              <w:t>7</w:t>
            </w:r>
            <w:r w:rsidR="00666592" w:rsidRPr="000D3B5C">
              <w:rPr>
                <w:sz w:val="20"/>
                <w:szCs w:val="20"/>
              </w:rPr>
              <w:t xml:space="preserve"> of 11</w:t>
            </w:r>
          </w:p>
          <w:p w14:paraId="340723DE" w14:textId="5880F675" w:rsidR="00666592" w:rsidRPr="000D3B5C" w:rsidRDefault="0092066F" w:rsidP="0092066F">
            <w:pPr>
              <w:rPr>
                <w:sz w:val="20"/>
                <w:szCs w:val="20"/>
              </w:rPr>
            </w:pPr>
            <w:r w:rsidRPr="000D3B5C">
              <w:rPr>
                <w:sz w:val="20"/>
                <w:szCs w:val="20"/>
              </w:rPr>
              <w:t>2</w:t>
            </w:r>
            <w:r w:rsidR="00666592" w:rsidRPr="000D3B5C">
              <w:rPr>
                <w:sz w:val="20"/>
                <w:szCs w:val="20"/>
              </w:rPr>
              <w:t xml:space="preserve"> of 11 N/a</w:t>
            </w:r>
          </w:p>
        </w:tc>
        <w:tc>
          <w:tcPr>
            <w:tcW w:w="500" w:type="pct"/>
            <w:shd w:val="clear" w:color="auto" w:fill="FFC000"/>
            <w:vAlign w:val="center"/>
          </w:tcPr>
          <w:p w14:paraId="10F7D724" w14:textId="36662C6F" w:rsidR="00666592" w:rsidRPr="000D3B5C" w:rsidRDefault="0092066F" w:rsidP="0092066F">
            <w:pPr>
              <w:rPr>
                <w:sz w:val="20"/>
                <w:szCs w:val="20"/>
              </w:rPr>
            </w:pPr>
            <w:r w:rsidRPr="000D3B5C">
              <w:rPr>
                <w:sz w:val="20"/>
                <w:szCs w:val="20"/>
              </w:rPr>
              <w:t>2</w:t>
            </w:r>
            <w:r w:rsidR="00666592" w:rsidRPr="000D3B5C">
              <w:rPr>
                <w:sz w:val="20"/>
                <w:szCs w:val="20"/>
              </w:rPr>
              <w:t xml:space="preserve"> of 11</w:t>
            </w:r>
          </w:p>
        </w:tc>
        <w:tc>
          <w:tcPr>
            <w:tcW w:w="500" w:type="pct"/>
            <w:shd w:val="clear" w:color="auto" w:fill="auto"/>
          </w:tcPr>
          <w:p w14:paraId="0F052B3D" w14:textId="77777777" w:rsidR="00666592" w:rsidRPr="000D3B5C" w:rsidRDefault="00666592" w:rsidP="00666592">
            <w:pPr>
              <w:rPr>
                <w:sz w:val="20"/>
                <w:szCs w:val="20"/>
              </w:rPr>
            </w:pPr>
          </w:p>
        </w:tc>
        <w:tc>
          <w:tcPr>
            <w:tcW w:w="2500" w:type="pct"/>
          </w:tcPr>
          <w:p w14:paraId="54588E9D" w14:textId="77777777" w:rsidR="0092066F" w:rsidRPr="000D3B5C" w:rsidRDefault="0092066F" w:rsidP="0092066F">
            <w:pPr>
              <w:rPr>
                <w:b/>
                <w:sz w:val="20"/>
                <w:szCs w:val="20"/>
              </w:rPr>
            </w:pPr>
            <w:r w:rsidRPr="000D3B5C">
              <w:rPr>
                <w:b/>
                <w:sz w:val="20"/>
                <w:szCs w:val="20"/>
              </w:rPr>
              <w:t>Target stocks are generally well managed.</w:t>
            </w:r>
          </w:p>
          <w:p w14:paraId="6463F380" w14:textId="2C79F5E3" w:rsidR="00666592" w:rsidRPr="000D3B5C" w:rsidRDefault="0092066F" w:rsidP="000D3B5C">
            <w:pPr>
              <w:rPr>
                <w:sz w:val="20"/>
                <w:szCs w:val="20"/>
              </w:rPr>
            </w:pPr>
            <w:r w:rsidRPr="000D3B5C">
              <w:rPr>
                <w:sz w:val="20"/>
                <w:szCs w:val="20"/>
              </w:rPr>
              <w:t xml:space="preserve">There is a reliable level of data collection and a robust assessment of the dynamics of the fishery. However, the productivity of the fished stock is currently being estimated and the reference points that would trigger a management response are currently under development. No biological bottom line or effort upper limit is specified in the management </w:t>
            </w:r>
            <w:r w:rsidR="000D3B5C">
              <w:rPr>
                <w:sz w:val="20"/>
                <w:szCs w:val="20"/>
              </w:rPr>
              <w:t>arrangements</w:t>
            </w:r>
            <w:r w:rsidRPr="000D3B5C">
              <w:rPr>
                <w:sz w:val="20"/>
                <w:szCs w:val="20"/>
              </w:rPr>
              <w:t>. Relatively low catch levels compared to historic catches together with the biological characteristics of the target species (short lived, highly fecund and fast growing) mean the stock is unlikely to be susceptible to overfishing in the near future. Additionally, the management arrangements are sufficient to maintain fishing pressure at a sustainable level which is unlikely to lead to overfishing.</w:t>
            </w:r>
          </w:p>
        </w:tc>
      </w:tr>
      <w:tr w:rsidR="00666592" w:rsidRPr="000D3B5C" w14:paraId="66CC3EDC" w14:textId="77777777" w:rsidTr="00666592">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45425AC" w14:textId="77777777" w:rsidR="00666592" w:rsidRPr="000D3B5C" w:rsidRDefault="00666592" w:rsidP="00666592">
            <w:pPr>
              <w:ind w:left="426" w:hanging="426"/>
              <w:rPr>
                <w:sz w:val="20"/>
                <w:szCs w:val="20"/>
              </w:rPr>
            </w:pPr>
            <w:r w:rsidRPr="000D3B5C">
              <w:rPr>
                <w:sz w:val="20"/>
                <w:szCs w:val="20"/>
              </w:rPr>
              <w:t>Principle 2 (bycatch and TEPS)</w:t>
            </w:r>
          </w:p>
        </w:tc>
        <w:tc>
          <w:tcPr>
            <w:tcW w:w="500" w:type="pct"/>
            <w:shd w:val="clear" w:color="auto" w:fill="92D050"/>
            <w:vAlign w:val="center"/>
          </w:tcPr>
          <w:p w14:paraId="4B35F4DA" w14:textId="08C3600A" w:rsidR="00666592" w:rsidRPr="000D3B5C" w:rsidRDefault="0092066F" w:rsidP="00666592">
            <w:pPr>
              <w:rPr>
                <w:sz w:val="20"/>
                <w:szCs w:val="20"/>
              </w:rPr>
            </w:pPr>
            <w:r w:rsidRPr="000D3B5C">
              <w:rPr>
                <w:sz w:val="20"/>
                <w:szCs w:val="20"/>
              </w:rPr>
              <w:t>3</w:t>
            </w:r>
            <w:r w:rsidR="00666592" w:rsidRPr="000D3B5C">
              <w:rPr>
                <w:sz w:val="20"/>
                <w:szCs w:val="20"/>
              </w:rPr>
              <w:t xml:space="preserve"> of 12 </w:t>
            </w:r>
          </w:p>
          <w:p w14:paraId="6FFF1FF7" w14:textId="77777777" w:rsidR="00666592" w:rsidRPr="000D3B5C" w:rsidRDefault="0092066F" w:rsidP="00666592">
            <w:pPr>
              <w:rPr>
                <w:sz w:val="20"/>
                <w:szCs w:val="20"/>
              </w:rPr>
            </w:pPr>
            <w:r w:rsidRPr="000D3B5C">
              <w:rPr>
                <w:sz w:val="20"/>
                <w:szCs w:val="20"/>
              </w:rPr>
              <w:t>8</w:t>
            </w:r>
            <w:r w:rsidR="00666592" w:rsidRPr="000D3B5C">
              <w:rPr>
                <w:sz w:val="20"/>
                <w:szCs w:val="20"/>
              </w:rPr>
              <w:t xml:space="preserve"> of 12 N/a</w:t>
            </w:r>
          </w:p>
        </w:tc>
        <w:tc>
          <w:tcPr>
            <w:tcW w:w="500" w:type="pct"/>
            <w:shd w:val="clear" w:color="auto" w:fill="FFC000"/>
            <w:vAlign w:val="center"/>
          </w:tcPr>
          <w:p w14:paraId="297A3F97" w14:textId="77777777" w:rsidR="00666592" w:rsidRPr="000D3B5C" w:rsidRDefault="0092066F" w:rsidP="00666592">
            <w:pPr>
              <w:rPr>
                <w:sz w:val="20"/>
                <w:szCs w:val="20"/>
              </w:rPr>
            </w:pPr>
            <w:r w:rsidRPr="000D3B5C">
              <w:rPr>
                <w:sz w:val="20"/>
                <w:szCs w:val="20"/>
              </w:rPr>
              <w:t>1</w:t>
            </w:r>
            <w:r w:rsidR="00666592" w:rsidRPr="000D3B5C">
              <w:rPr>
                <w:sz w:val="20"/>
                <w:szCs w:val="20"/>
              </w:rPr>
              <w:t xml:space="preserve"> of 12</w:t>
            </w:r>
          </w:p>
        </w:tc>
        <w:tc>
          <w:tcPr>
            <w:tcW w:w="500" w:type="pct"/>
            <w:shd w:val="clear" w:color="auto" w:fill="auto"/>
          </w:tcPr>
          <w:p w14:paraId="51E65D3F" w14:textId="77777777" w:rsidR="00666592" w:rsidRPr="000D3B5C" w:rsidRDefault="00666592" w:rsidP="00666592">
            <w:pPr>
              <w:rPr>
                <w:sz w:val="20"/>
                <w:szCs w:val="20"/>
              </w:rPr>
            </w:pPr>
          </w:p>
        </w:tc>
        <w:tc>
          <w:tcPr>
            <w:tcW w:w="2500" w:type="pct"/>
          </w:tcPr>
          <w:p w14:paraId="0D94081E" w14:textId="77777777" w:rsidR="0092066F" w:rsidRPr="000D3B5C" w:rsidRDefault="0092066F" w:rsidP="0092066F">
            <w:pPr>
              <w:rPr>
                <w:b/>
                <w:sz w:val="20"/>
                <w:szCs w:val="20"/>
              </w:rPr>
            </w:pPr>
            <w:r w:rsidRPr="000D3B5C">
              <w:rPr>
                <w:b/>
                <w:sz w:val="20"/>
                <w:szCs w:val="20"/>
              </w:rPr>
              <w:t>Risks to bycatch and protected species are minimal.</w:t>
            </w:r>
          </w:p>
          <w:p w14:paraId="03080C4B" w14:textId="1844BEFF" w:rsidR="00666592" w:rsidRPr="000D3B5C" w:rsidRDefault="0092066F" w:rsidP="000D3B5C">
            <w:pPr>
              <w:rPr>
                <w:sz w:val="20"/>
                <w:szCs w:val="20"/>
              </w:rPr>
            </w:pPr>
            <w:r w:rsidRPr="000D3B5C">
              <w:rPr>
                <w:sz w:val="20"/>
                <w:szCs w:val="20"/>
              </w:rPr>
              <w:t>Bycatch is considered negligible due to the highly selective fishing method and gear (i.e. automatic squid jig/hand jig). Licensed automatic squid jig operators are prohibited from retaining any species other than Gould’s Squid and the risk of interacting with threatened</w:t>
            </w:r>
            <w:r w:rsidR="000D3B5C">
              <w:rPr>
                <w:sz w:val="20"/>
                <w:szCs w:val="20"/>
              </w:rPr>
              <w:t>,</w:t>
            </w:r>
            <w:r w:rsidR="000D3B5C" w:rsidRPr="000D3B5C">
              <w:rPr>
                <w:sz w:val="20"/>
                <w:szCs w:val="20"/>
              </w:rPr>
              <w:t xml:space="preserve"> </w:t>
            </w:r>
            <w:r w:rsidR="000D3B5C">
              <w:rPr>
                <w:sz w:val="20"/>
                <w:szCs w:val="20"/>
              </w:rPr>
              <w:t>endangered</w:t>
            </w:r>
            <w:r w:rsidRPr="000D3B5C">
              <w:rPr>
                <w:sz w:val="20"/>
                <w:szCs w:val="20"/>
              </w:rPr>
              <w:t xml:space="preserve"> or protected species is considered low. However, there is no reporting mechanism in place to ensure bycatch remains negligible.</w:t>
            </w:r>
          </w:p>
        </w:tc>
      </w:tr>
      <w:tr w:rsidR="00666592" w:rsidRPr="000D3B5C" w14:paraId="78E735AF"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4945ECE" w14:textId="77777777" w:rsidR="00666592" w:rsidRPr="000D3B5C" w:rsidRDefault="00666592" w:rsidP="00666592">
            <w:pPr>
              <w:ind w:left="426" w:hanging="426"/>
              <w:rPr>
                <w:sz w:val="20"/>
                <w:szCs w:val="20"/>
              </w:rPr>
            </w:pPr>
            <w:r w:rsidRPr="000D3B5C">
              <w:rPr>
                <w:sz w:val="20"/>
                <w:szCs w:val="20"/>
              </w:rPr>
              <w:t>Principle 2 (ecosystem impacts)</w:t>
            </w:r>
          </w:p>
        </w:tc>
        <w:tc>
          <w:tcPr>
            <w:tcW w:w="500" w:type="pct"/>
            <w:shd w:val="clear" w:color="auto" w:fill="92D050"/>
            <w:vAlign w:val="center"/>
          </w:tcPr>
          <w:p w14:paraId="0B05F05D" w14:textId="4D186CCB" w:rsidR="00666592" w:rsidRPr="000D3B5C" w:rsidRDefault="0092066F" w:rsidP="00666592">
            <w:pPr>
              <w:rPr>
                <w:sz w:val="20"/>
                <w:szCs w:val="20"/>
              </w:rPr>
            </w:pPr>
            <w:r w:rsidRPr="000D3B5C">
              <w:rPr>
                <w:sz w:val="20"/>
                <w:szCs w:val="20"/>
              </w:rPr>
              <w:t>2</w:t>
            </w:r>
            <w:r w:rsidR="00666592" w:rsidRPr="000D3B5C">
              <w:rPr>
                <w:sz w:val="20"/>
                <w:szCs w:val="20"/>
              </w:rPr>
              <w:t xml:space="preserve"> of 5 </w:t>
            </w:r>
          </w:p>
          <w:p w14:paraId="7DE2C5FF" w14:textId="09CE6B7F" w:rsidR="00666592" w:rsidRPr="000D3B5C" w:rsidRDefault="0092066F" w:rsidP="0092066F">
            <w:pPr>
              <w:rPr>
                <w:sz w:val="20"/>
                <w:szCs w:val="20"/>
              </w:rPr>
            </w:pPr>
            <w:r w:rsidRPr="000D3B5C">
              <w:rPr>
                <w:sz w:val="20"/>
                <w:szCs w:val="20"/>
              </w:rPr>
              <w:t>3</w:t>
            </w:r>
            <w:r w:rsidR="00666592" w:rsidRPr="000D3B5C">
              <w:rPr>
                <w:sz w:val="20"/>
                <w:szCs w:val="20"/>
              </w:rPr>
              <w:t xml:space="preserve"> of 5 N/a</w:t>
            </w:r>
          </w:p>
        </w:tc>
        <w:tc>
          <w:tcPr>
            <w:tcW w:w="500" w:type="pct"/>
            <w:shd w:val="clear" w:color="auto" w:fill="auto"/>
            <w:vAlign w:val="center"/>
          </w:tcPr>
          <w:p w14:paraId="7FD2B9E6" w14:textId="77777777" w:rsidR="00666592" w:rsidRPr="000D3B5C" w:rsidRDefault="00666592" w:rsidP="00666592">
            <w:pPr>
              <w:rPr>
                <w:sz w:val="20"/>
                <w:szCs w:val="20"/>
              </w:rPr>
            </w:pPr>
          </w:p>
        </w:tc>
        <w:tc>
          <w:tcPr>
            <w:tcW w:w="500" w:type="pct"/>
            <w:shd w:val="clear" w:color="auto" w:fill="auto"/>
          </w:tcPr>
          <w:p w14:paraId="5232ACE8" w14:textId="77777777" w:rsidR="00666592" w:rsidRPr="000D3B5C" w:rsidRDefault="00666592" w:rsidP="00666592">
            <w:pPr>
              <w:rPr>
                <w:sz w:val="20"/>
                <w:szCs w:val="20"/>
              </w:rPr>
            </w:pPr>
          </w:p>
        </w:tc>
        <w:tc>
          <w:tcPr>
            <w:tcW w:w="2500" w:type="pct"/>
            <w:vAlign w:val="center"/>
          </w:tcPr>
          <w:p w14:paraId="7D201FF6" w14:textId="77777777" w:rsidR="00154A76" w:rsidRPr="000D3B5C" w:rsidRDefault="00154A76" w:rsidP="00154A76">
            <w:pPr>
              <w:tabs>
                <w:tab w:val="decimal" w:pos="240"/>
              </w:tabs>
              <w:rPr>
                <w:b/>
                <w:sz w:val="20"/>
                <w:szCs w:val="20"/>
              </w:rPr>
            </w:pPr>
            <w:r w:rsidRPr="000D3B5C">
              <w:rPr>
                <w:b/>
                <w:sz w:val="20"/>
                <w:szCs w:val="20"/>
              </w:rPr>
              <w:t>Ecological risk is inherently low due to the fishing method used</w:t>
            </w:r>
          </w:p>
          <w:p w14:paraId="54771ED8" w14:textId="1682EC7C" w:rsidR="00666592" w:rsidRPr="000D3B5C" w:rsidRDefault="00154A76" w:rsidP="0082794B">
            <w:pPr>
              <w:rPr>
                <w:sz w:val="20"/>
                <w:szCs w:val="20"/>
              </w:rPr>
            </w:pPr>
            <w:r w:rsidRPr="000D3B5C">
              <w:rPr>
                <w:bCs/>
                <w:sz w:val="20"/>
                <w:szCs w:val="20"/>
              </w:rPr>
              <w:t xml:space="preserve">An ecological risk assessment (ERA) for the </w:t>
            </w:r>
            <w:r w:rsidR="000305D2" w:rsidRPr="000D3B5C">
              <w:rPr>
                <w:bCs/>
                <w:sz w:val="20"/>
                <w:szCs w:val="20"/>
              </w:rPr>
              <w:t>f</w:t>
            </w:r>
            <w:r w:rsidRPr="000D3B5C">
              <w:rPr>
                <w:bCs/>
                <w:sz w:val="20"/>
                <w:szCs w:val="20"/>
              </w:rPr>
              <w:t xml:space="preserve">ishery </w:t>
            </w:r>
            <w:r w:rsidRPr="000D3B5C">
              <w:rPr>
                <w:sz w:val="20"/>
                <w:szCs w:val="20"/>
              </w:rPr>
              <w:t>has been finalised and is expected to be published in 2016</w:t>
            </w:r>
            <w:r w:rsidRPr="000D3B5C">
              <w:rPr>
                <w:bCs/>
                <w:sz w:val="20"/>
                <w:szCs w:val="20"/>
              </w:rPr>
              <w:t>. T</w:t>
            </w:r>
            <w:r w:rsidRPr="000D3B5C">
              <w:rPr>
                <w:sz w:val="20"/>
                <w:szCs w:val="20"/>
              </w:rPr>
              <w:t xml:space="preserve">he ERA reports that the use of automatic squid jigs/hand jigs pose a negligible to low risk to species, habitats or </w:t>
            </w:r>
            <w:r w:rsidRPr="000D3B5C">
              <w:rPr>
                <w:sz w:val="20"/>
                <w:szCs w:val="20"/>
              </w:rPr>
              <w:lastRenderedPageBreak/>
              <w:t xml:space="preserve">communities. Due to the limited licences in the fishery, the highly selective fishing method and a relatively low catch comparative to historical quotas, the harvest of Gould’s Squid in the </w:t>
            </w:r>
            <w:r w:rsidR="0082794B" w:rsidRPr="000D3B5C">
              <w:rPr>
                <w:sz w:val="20"/>
                <w:szCs w:val="20"/>
              </w:rPr>
              <w:t>f</w:t>
            </w:r>
            <w:r w:rsidRPr="000D3B5C">
              <w:rPr>
                <w:sz w:val="20"/>
                <w:szCs w:val="20"/>
              </w:rPr>
              <w:t>ishery is considered to have no significant impact on the wider marine ecosystem.</w:t>
            </w:r>
          </w:p>
        </w:tc>
      </w:tr>
      <w:tr w:rsidR="00666592" w:rsidRPr="000D3B5C" w14:paraId="726DB9EF"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9036605" w14:textId="77777777" w:rsidR="00666592" w:rsidRPr="000D3B5C" w:rsidRDefault="00666592" w:rsidP="00666592">
            <w:pPr>
              <w:rPr>
                <w:b/>
                <w:sz w:val="20"/>
                <w:szCs w:val="20"/>
              </w:rPr>
            </w:pPr>
            <w:r w:rsidRPr="000D3B5C">
              <w:rPr>
                <w:b/>
                <w:sz w:val="20"/>
                <w:szCs w:val="20"/>
              </w:rPr>
              <w:lastRenderedPageBreak/>
              <w:t>EPBC requirements</w:t>
            </w:r>
          </w:p>
        </w:tc>
      </w:tr>
      <w:tr w:rsidR="00666592" w:rsidRPr="000D3B5C" w14:paraId="4E96C863"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6830A25" w14:textId="77777777" w:rsidR="00666592" w:rsidRPr="000D3B5C" w:rsidRDefault="00666592" w:rsidP="00666592">
            <w:pPr>
              <w:ind w:left="426" w:hanging="426"/>
              <w:rPr>
                <w:sz w:val="20"/>
                <w:szCs w:val="20"/>
              </w:rPr>
            </w:pPr>
            <w:r w:rsidRPr="000D3B5C">
              <w:rPr>
                <w:sz w:val="20"/>
                <w:szCs w:val="20"/>
              </w:rPr>
              <w:t>Part 12</w:t>
            </w:r>
          </w:p>
        </w:tc>
        <w:tc>
          <w:tcPr>
            <w:tcW w:w="500" w:type="pct"/>
            <w:shd w:val="clear" w:color="auto" w:fill="auto"/>
            <w:vAlign w:val="center"/>
          </w:tcPr>
          <w:p w14:paraId="1C292541" w14:textId="77777777" w:rsidR="00666592" w:rsidRPr="000D3B5C" w:rsidRDefault="00666592" w:rsidP="00666592">
            <w:pPr>
              <w:rPr>
                <w:sz w:val="20"/>
                <w:szCs w:val="20"/>
              </w:rPr>
            </w:pPr>
          </w:p>
        </w:tc>
        <w:tc>
          <w:tcPr>
            <w:tcW w:w="500" w:type="pct"/>
            <w:shd w:val="clear" w:color="auto" w:fill="auto"/>
            <w:vAlign w:val="center"/>
          </w:tcPr>
          <w:p w14:paraId="7186F32C" w14:textId="77777777" w:rsidR="00666592" w:rsidRPr="000D3B5C" w:rsidRDefault="00666592" w:rsidP="00666592">
            <w:pPr>
              <w:rPr>
                <w:sz w:val="20"/>
                <w:szCs w:val="20"/>
              </w:rPr>
            </w:pPr>
          </w:p>
        </w:tc>
        <w:tc>
          <w:tcPr>
            <w:tcW w:w="500" w:type="pct"/>
            <w:shd w:val="clear" w:color="auto" w:fill="auto"/>
            <w:vAlign w:val="center"/>
          </w:tcPr>
          <w:p w14:paraId="612BC08A" w14:textId="77777777" w:rsidR="00666592" w:rsidRPr="000D3B5C" w:rsidRDefault="00666592" w:rsidP="00666592">
            <w:pPr>
              <w:rPr>
                <w:sz w:val="20"/>
                <w:szCs w:val="20"/>
              </w:rPr>
            </w:pPr>
          </w:p>
        </w:tc>
        <w:tc>
          <w:tcPr>
            <w:tcW w:w="2500" w:type="pct"/>
            <w:vAlign w:val="center"/>
          </w:tcPr>
          <w:p w14:paraId="4B63CC05" w14:textId="05044F85" w:rsidR="00666592" w:rsidRPr="000D3B5C" w:rsidRDefault="00154A76" w:rsidP="00666592">
            <w:pPr>
              <w:rPr>
                <w:sz w:val="20"/>
                <w:szCs w:val="20"/>
              </w:rPr>
            </w:pPr>
            <w:r w:rsidRPr="000D3B5C">
              <w:rPr>
                <w:sz w:val="20"/>
                <w:szCs w:val="20"/>
              </w:rPr>
              <w:t>Not applicable. There is no fishing activity within areas covered by a bioregional plan.</w:t>
            </w:r>
          </w:p>
        </w:tc>
      </w:tr>
      <w:tr w:rsidR="00666592" w:rsidRPr="000D3B5C" w14:paraId="3EB1CC23"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9925F60" w14:textId="77777777" w:rsidR="00666592" w:rsidRPr="000D3B5C" w:rsidRDefault="00666592" w:rsidP="00666592">
            <w:pPr>
              <w:ind w:left="426" w:hanging="426"/>
              <w:rPr>
                <w:sz w:val="20"/>
                <w:szCs w:val="20"/>
              </w:rPr>
            </w:pPr>
            <w:r w:rsidRPr="000D3B5C">
              <w:rPr>
                <w:sz w:val="20"/>
                <w:szCs w:val="20"/>
              </w:rPr>
              <w:t>Part 13</w:t>
            </w:r>
          </w:p>
        </w:tc>
        <w:tc>
          <w:tcPr>
            <w:tcW w:w="500" w:type="pct"/>
            <w:shd w:val="clear" w:color="auto" w:fill="auto"/>
            <w:vAlign w:val="center"/>
          </w:tcPr>
          <w:p w14:paraId="4F619E72" w14:textId="77777777" w:rsidR="00666592" w:rsidRPr="000D3B5C" w:rsidRDefault="00666592" w:rsidP="00666592">
            <w:pPr>
              <w:rPr>
                <w:sz w:val="20"/>
                <w:szCs w:val="20"/>
              </w:rPr>
            </w:pPr>
          </w:p>
        </w:tc>
        <w:tc>
          <w:tcPr>
            <w:tcW w:w="500" w:type="pct"/>
            <w:shd w:val="clear" w:color="auto" w:fill="auto"/>
            <w:vAlign w:val="center"/>
          </w:tcPr>
          <w:p w14:paraId="6F085A92" w14:textId="77777777" w:rsidR="00666592" w:rsidRPr="000D3B5C" w:rsidRDefault="00666592" w:rsidP="00666592">
            <w:pPr>
              <w:rPr>
                <w:sz w:val="20"/>
                <w:szCs w:val="20"/>
              </w:rPr>
            </w:pPr>
          </w:p>
        </w:tc>
        <w:tc>
          <w:tcPr>
            <w:tcW w:w="500" w:type="pct"/>
            <w:shd w:val="clear" w:color="auto" w:fill="auto"/>
            <w:vAlign w:val="center"/>
          </w:tcPr>
          <w:p w14:paraId="2E87871B" w14:textId="77777777" w:rsidR="00666592" w:rsidRPr="000D3B5C" w:rsidRDefault="00666592" w:rsidP="00666592">
            <w:pPr>
              <w:rPr>
                <w:sz w:val="20"/>
                <w:szCs w:val="20"/>
              </w:rPr>
            </w:pPr>
          </w:p>
        </w:tc>
        <w:tc>
          <w:tcPr>
            <w:tcW w:w="2500" w:type="pct"/>
            <w:vAlign w:val="center"/>
          </w:tcPr>
          <w:p w14:paraId="2056D839" w14:textId="38287F6F" w:rsidR="00666592" w:rsidRPr="000D3B5C" w:rsidRDefault="00154A76" w:rsidP="000D3B5C">
            <w:pPr>
              <w:rPr>
                <w:sz w:val="20"/>
                <w:szCs w:val="20"/>
              </w:rPr>
            </w:pPr>
            <w:r w:rsidRPr="000D3B5C">
              <w:rPr>
                <w:sz w:val="20"/>
                <w:szCs w:val="20"/>
              </w:rPr>
              <w:t xml:space="preserve">Not applicable. No Part 13 assessment required as no fishing activity occurs in the Commonwealth </w:t>
            </w:r>
            <w:r w:rsidR="000D3B5C">
              <w:rPr>
                <w:sz w:val="20"/>
                <w:szCs w:val="20"/>
              </w:rPr>
              <w:t>m</w:t>
            </w:r>
            <w:r w:rsidRPr="000D3B5C">
              <w:rPr>
                <w:sz w:val="20"/>
                <w:szCs w:val="20"/>
              </w:rPr>
              <w:t>arine </w:t>
            </w:r>
            <w:r w:rsidR="000D3B5C">
              <w:rPr>
                <w:sz w:val="20"/>
                <w:szCs w:val="20"/>
              </w:rPr>
              <w:t>a</w:t>
            </w:r>
            <w:r w:rsidRPr="000D3B5C">
              <w:rPr>
                <w:sz w:val="20"/>
                <w:szCs w:val="20"/>
              </w:rPr>
              <w:t>rea.</w:t>
            </w:r>
          </w:p>
        </w:tc>
      </w:tr>
      <w:tr w:rsidR="00666592" w:rsidRPr="000D3B5C" w14:paraId="373002BF" w14:textId="77777777" w:rsidTr="00860544">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5F134DB" w14:textId="77777777" w:rsidR="00666592" w:rsidRPr="000D3B5C" w:rsidRDefault="00666592" w:rsidP="00666592">
            <w:pPr>
              <w:ind w:left="426" w:hanging="426"/>
              <w:rPr>
                <w:sz w:val="20"/>
                <w:szCs w:val="20"/>
              </w:rPr>
            </w:pPr>
            <w:r w:rsidRPr="000D3B5C">
              <w:rPr>
                <w:sz w:val="20"/>
                <w:szCs w:val="20"/>
              </w:rPr>
              <w:t>Part 13A</w:t>
            </w:r>
          </w:p>
        </w:tc>
        <w:tc>
          <w:tcPr>
            <w:tcW w:w="500" w:type="pct"/>
            <w:shd w:val="clear" w:color="auto" w:fill="92D050"/>
            <w:vAlign w:val="center"/>
          </w:tcPr>
          <w:p w14:paraId="51857CBD" w14:textId="77777777" w:rsidR="00666592" w:rsidRPr="000D3B5C" w:rsidRDefault="00666592" w:rsidP="00666592">
            <w:pPr>
              <w:rPr>
                <w:sz w:val="20"/>
                <w:szCs w:val="20"/>
              </w:rPr>
            </w:pPr>
            <w:r w:rsidRPr="000D3B5C">
              <w:rPr>
                <w:sz w:val="20"/>
                <w:szCs w:val="20"/>
              </w:rPr>
              <w:t>1 of 3</w:t>
            </w:r>
          </w:p>
          <w:p w14:paraId="090F4DEF" w14:textId="77777777" w:rsidR="00666592" w:rsidRPr="000D3B5C" w:rsidRDefault="00666592" w:rsidP="00666592">
            <w:pPr>
              <w:rPr>
                <w:sz w:val="20"/>
                <w:szCs w:val="20"/>
              </w:rPr>
            </w:pPr>
            <w:r w:rsidRPr="000D3B5C">
              <w:rPr>
                <w:sz w:val="20"/>
                <w:szCs w:val="20"/>
              </w:rPr>
              <w:t>1 of 3 N/a</w:t>
            </w:r>
          </w:p>
        </w:tc>
        <w:tc>
          <w:tcPr>
            <w:tcW w:w="500" w:type="pct"/>
            <w:shd w:val="clear" w:color="auto" w:fill="FFC000"/>
            <w:vAlign w:val="center"/>
          </w:tcPr>
          <w:p w14:paraId="2B2D7330" w14:textId="77777777" w:rsidR="00666592" w:rsidRPr="000D3B5C" w:rsidRDefault="00666592" w:rsidP="00666592">
            <w:pPr>
              <w:rPr>
                <w:sz w:val="20"/>
                <w:szCs w:val="20"/>
              </w:rPr>
            </w:pPr>
            <w:r w:rsidRPr="000D3B5C">
              <w:rPr>
                <w:sz w:val="20"/>
                <w:szCs w:val="20"/>
              </w:rPr>
              <w:t>1 of 3</w:t>
            </w:r>
          </w:p>
        </w:tc>
        <w:tc>
          <w:tcPr>
            <w:tcW w:w="500" w:type="pct"/>
            <w:shd w:val="clear" w:color="auto" w:fill="auto"/>
            <w:vAlign w:val="center"/>
          </w:tcPr>
          <w:p w14:paraId="09A8B61B" w14:textId="77777777" w:rsidR="00666592" w:rsidRPr="000D3B5C" w:rsidRDefault="00666592" w:rsidP="00666592">
            <w:pPr>
              <w:rPr>
                <w:sz w:val="20"/>
                <w:szCs w:val="20"/>
              </w:rPr>
            </w:pPr>
          </w:p>
        </w:tc>
        <w:tc>
          <w:tcPr>
            <w:tcW w:w="2500" w:type="pct"/>
            <w:vAlign w:val="center"/>
          </w:tcPr>
          <w:p w14:paraId="5D2D8ABB" w14:textId="43A3C67D" w:rsidR="00666592" w:rsidRPr="000D3B5C" w:rsidRDefault="00154A76" w:rsidP="0082794B">
            <w:pPr>
              <w:rPr>
                <w:sz w:val="20"/>
                <w:szCs w:val="20"/>
              </w:rPr>
            </w:pPr>
            <w:r w:rsidRPr="000D3B5C">
              <w:rPr>
                <w:sz w:val="20"/>
                <w:szCs w:val="20"/>
              </w:rPr>
              <w:t xml:space="preserve">The Department considers that the amendment of the list of exempt native specimens to include Gould’s Squid taken in the </w:t>
            </w:r>
            <w:r w:rsidR="0082794B" w:rsidRPr="000D3B5C">
              <w:rPr>
                <w:sz w:val="20"/>
                <w:szCs w:val="20"/>
              </w:rPr>
              <w:t>f</w:t>
            </w:r>
            <w:r w:rsidRPr="000D3B5C">
              <w:rPr>
                <w:sz w:val="20"/>
                <w:szCs w:val="20"/>
              </w:rPr>
              <w:t>ishery would be consistent with the provisions of Part 13A.</w:t>
            </w:r>
            <w:r w:rsidR="0082794B" w:rsidRPr="000D3B5C">
              <w:rPr>
                <w:sz w:val="20"/>
                <w:szCs w:val="20"/>
              </w:rPr>
              <w:t xml:space="preserve"> </w:t>
            </w:r>
            <w:r w:rsidRPr="000D3B5C">
              <w:rPr>
                <w:sz w:val="20"/>
                <w:szCs w:val="20"/>
              </w:rPr>
              <w:t>There is limited consultation if LENS is amended, although it is sufficient for strict requirements, as per advice to Minister in MS14-002367.</w:t>
            </w:r>
          </w:p>
        </w:tc>
      </w:tr>
      <w:tr w:rsidR="00666592" w:rsidRPr="000D3B5C" w14:paraId="04DFD698" w14:textId="77777777" w:rsidTr="0086054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7E638EC" w14:textId="77777777" w:rsidR="00666592" w:rsidRPr="000D3B5C" w:rsidRDefault="00666592" w:rsidP="00666592">
            <w:pPr>
              <w:ind w:left="426" w:hanging="426"/>
              <w:rPr>
                <w:sz w:val="20"/>
                <w:szCs w:val="20"/>
              </w:rPr>
            </w:pPr>
            <w:r w:rsidRPr="000D3B5C">
              <w:rPr>
                <w:sz w:val="20"/>
                <w:szCs w:val="20"/>
              </w:rPr>
              <w:t>Part 16</w:t>
            </w:r>
          </w:p>
        </w:tc>
        <w:tc>
          <w:tcPr>
            <w:tcW w:w="500" w:type="pct"/>
            <w:shd w:val="clear" w:color="auto" w:fill="92D050"/>
            <w:vAlign w:val="center"/>
          </w:tcPr>
          <w:p w14:paraId="66227FE9" w14:textId="77777777" w:rsidR="00666592" w:rsidRPr="000D3B5C" w:rsidRDefault="00666592" w:rsidP="00666592">
            <w:pPr>
              <w:rPr>
                <w:sz w:val="20"/>
                <w:szCs w:val="20"/>
              </w:rPr>
            </w:pPr>
            <w:r w:rsidRPr="000D3B5C">
              <w:rPr>
                <w:sz w:val="20"/>
                <w:szCs w:val="20"/>
              </w:rPr>
              <w:t>1 of 1</w:t>
            </w:r>
          </w:p>
        </w:tc>
        <w:tc>
          <w:tcPr>
            <w:tcW w:w="500" w:type="pct"/>
            <w:shd w:val="clear" w:color="auto" w:fill="auto"/>
            <w:vAlign w:val="center"/>
          </w:tcPr>
          <w:p w14:paraId="5492071A" w14:textId="77777777" w:rsidR="00666592" w:rsidRPr="000D3B5C" w:rsidRDefault="00666592" w:rsidP="00666592">
            <w:pPr>
              <w:rPr>
                <w:sz w:val="20"/>
                <w:szCs w:val="20"/>
              </w:rPr>
            </w:pPr>
          </w:p>
        </w:tc>
        <w:tc>
          <w:tcPr>
            <w:tcW w:w="500" w:type="pct"/>
            <w:shd w:val="clear" w:color="auto" w:fill="auto"/>
            <w:vAlign w:val="center"/>
          </w:tcPr>
          <w:p w14:paraId="01275B26" w14:textId="77777777" w:rsidR="00666592" w:rsidRPr="000D3B5C" w:rsidRDefault="00666592" w:rsidP="00666592">
            <w:pPr>
              <w:rPr>
                <w:sz w:val="20"/>
                <w:szCs w:val="20"/>
              </w:rPr>
            </w:pPr>
          </w:p>
        </w:tc>
        <w:tc>
          <w:tcPr>
            <w:tcW w:w="2500" w:type="pct"/>
            <w:vAlign w:val="center"/>
          </w:tcPr>
          <w:p w14:paraId="5DE06717" w14:textId="77777777" w:rsidR="00666592" w:rsidRPr="000D3B5C" w:rsidRDefault="00154A76" w:rsidP="00666592">
            <w:pPr>
              <w:rPr>
                <w:sz w:val="20"/>
                <w:szCs w:val="20"/>
              </w:rPr>
            </w:pPr>
            <w:r w:rsidRPr="000D3B5C">
              <w:rPr>
                <w:sz w:val="20"/>
                <w:szCs w:val="20"/>
              </w:rPr>
              <w:t>The Department has accounted for the precautionary principle in the preparation of its advice.</w:t>
            </w:r>
          </w:p>
        </w:tc>
      </w:tr>
      <w:tr w:rsidR="00666592" w:rsidRPr="000D3B5C" w14:paraId="59DD6DCE" w14:textId="77777777" w:rsidTr="00860544">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1A38401D" w14:textId="77777777" w:rsidR="00666592" w:rsidRPr="000D3B5C" w:rsidRDefault="00666592" w:rsidP="00666592">
            <w:pPr>
              <w:rPr>
                <w:rStyle w:val="Emphasis"/>
                <w:i w:val="0"/>
                <w:iCs w:val="0"/>
                <w:sz w:val="20"/>
                <w:szCs w:val="20"/>
              </w:rPr>
            </w:pPr>
            <w:r w:rsidRPr="000D3B5C">
              <w:rPr>
                <w:rStyle w:val="Emphasis"/>
                <w:b/>
                <w:i w:val="0"/>
                <w:sz w:val="20"/>
                <w:szCs w:val="20"/>
              </w:rPr>
              <w:t>Conclusion</w:t>
            </w:r>
            <w:r w:rsidRPr="000D3B5C">
              <w:rPr>
                <w:rStyle w:val="Emphasis"/>
                <w:i w:val="0"/>
                <w:sz w:val="20"/>
                <w:szCs w:val="20"/>
              </w:rPr>
              <w:t>:</w:t>
            </w:r>
          </w:p>
          <w:p w14:paraId="7B006988" w14:textId="0B9A390A" w:rsidR="00666592" w:rsidRPr="000D3B5C" w:rsidRDefault="00154A76" w:rsidP="000D3B5C">
            <w:pPr>
              <w:rPr>
                <w:sz w:val="20"/>
                <w:szCs w:val="20"/>
              </w:rPr>
            </w:pPr>
            <w:r w:rsidRPr="000D3B5C">
              <w:rPr>
                <w:rStyle w:val="Emphasis"/>
                <w:i w:val="0"/>
                <w:iCs w:val="0"/>
                <w:sz w:val="20"/>
                <w:szCs w:val="20"/>
              </w:rPr>
              <w:t>Gould’s Squid (</w:t>
            </w:r>
            <w:proofErr w:type="spellStart"/>
            <w:r w:rsidRPr="000D3B5C">
              <w:rPr>
                <w:rStyle w:val="Emphasis"/>
                <w:iCs w:val="0"/>
                <w:sz w:val="20"/>
                <w:szCs w:val="20"/>
              </w:rPr>
              <w:t>Nototodarus</w:t>
            </w:r>
            <w:proofErr w:type="spellEnd"/>
            <w:r w:rsidRPr="000D3B5C">
              <w:rPr>
                <w:rStyle w:val="Emphasis"/>
                <w:iCs w:val="0"/>
                <w:sz w:val="20"/>
                <w:szCs w:val="20"/>
              </w:rPr>
              <w:t xml:space="preserve"> </w:t>
            </w:r>
            <w:proofErr w:type="spellStart"/>
            <w:r w:rsidRPr="000D3B5C">
              <w:rPr>
                <w:rStyle w:val="Emphasis"/>
                <w:iCs w:val="0"/>
                <w:sz w:val="20"/>
                <w:szCs w:val="20"/>
              </w:rPr>
              <w:t>gouldi</w:t>
            </w:r>
            <w:proofErr w:type="spellEnd"/>
            <w:r w:rsidRPr="000D3B5C">
              <w:rPr>
                <w:rStyle w:val="Emphasis"/>
                <w:i w:val="0"/>
                <w:iCs w:val="0"/>
                <w:sz w:val="20"/>
                <w:szCs w:val="20"/>
              </w:rPr>
              <w:t xml:space="preserve">) </w:t>
            </w:r>
            <w:r w:rsidR="0082794B" w:rsidRPr="000D3B5C">
              <w:rPr>
                <w:rStyle w:val="Emphasis"/>
                <w:i w:val="0"/>
                <w:iCs w:val="0"/>
                <w:sz w:val="20"/>
                <w:szCs w:val="20"/>
              </w:rPr>
              <w:t>is harvested by</w:t>
            </w:r>
            <w:r w:rsidRPr="000D3B5C">
              <w:rPr>
                <w:rStyle w:val="Emphasis"/>
                <w:i w:val="0"/>
                <w:iCs w:val="0"/>
                <w:sz w:val="20"/>
                <w:szCs w:val="20"/>
              </w:rPr>
              <w:t xml:space="preserve"> automatic squid jig machines and hand jigs. While there has been an overall decline in harvest levels across the Gould’s Squid biological stock since the peak fishing effort in 1997, the decline is considered a result of economic factors. Gould’s Squid</w:t>
            </w:r>
            <w:r w:rsidRPr="000D3B5C">
              <w:rPr>
                <w:sz w:val="20"/>
                <w:szCs w:val="20"/>
              </w:rPr>
              <w:t xml:space="preserve"> </w:t>
            </w:r>
            <w:r w:rsidR="000D3B5C">
              <w:rPr>
                <w:sz w:val="20"/>
                <w:szCs w:val="20"/>
              </w:rPr>
              <w:t>is</w:t>
            </w:r>
            <w:r w:rsidRPr="000D3B5C">
              <w:rPr>
                <w:sz w:val="20"/>
                <w:szCs w:val="20"/>
              </w:rPr>
              <w:t xml:space="preserve"> short lived, highly fecund, and fast growing. This means the species can rapidly increase in numbers during favourable environmental conditions and is therefore less susceptible to overfishing than longer lived species. Management arrangements control the level of take through input controls such as limiting the number of participants and enforcing vessel size limits. There are no bycatch, protected species or wider ecosystem concerns with this fishery, therefore it meets all environmental requirements of the EPBC Act and most of the Guidelines.</w:t>
            </w:r>
          </w:p>
        </w:tc>
      </w:tr>
      <w:tr w:rsidR="00666592" w:rsidRPr="000D3B5C" w14:paraId="27930988"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1ECA6B27" w14:textId="77777777" w:rsidR="00154A76" w:rsidRPr="000D3B5C" w:rsidRDefault="00154A76" w:rsidP="00154A76">
            <w:pPr>
              <w:rPr>
                <w:rStyle w:val="Emphasis"/>
                <w:i w:val="0"/>
                <w:iCs w:val="0"/>
                <w:sz w:val="20"/>
                <w:szCs w:val="20"/>
              </w:rPr>
            </w:pPr>
            <w:r w:rsidRPr="000D3B5C">
              <w:rPr>
                <w:rStyle w:val="Emphasis"/>
                <w:b/>
                <w:i w:val="0"/>
                <w:iCs w:val="0"/>
                <w:sz w:val="20"/>
                <w:szCs w:val="20"/>
              </w:rPr>
              <w:t>Final recommendation for 2016 assessment of the take of Gould’s Squid taken in the Tasmanian Scalefish Fishery</w:t>
            </w:r>
            <w:r w:rsidRPr="000D3B5C">
              <w:rPr>
                <w:rStyle w:val="Emphasis"/>
                <w:i w:val="0"/>
                <w:iCs w:val="0"/>
                <w:sz w:val="20"/>
                <w:szCs w:val="20"/>
              </w:rPr>
              <w:t>:</w:t>
            </w:r>
          </w:p>
          <w:p w14:paraId="567D7F8C" w14:textId="77777777" w:rsidR="00666592" w:rsidRPr="000D3B5C" w:rsidRDefault="00154A76" w:rsidP="00154A76">
            <w:pPr>
              <w:rPr>
                <w:b/>
                <w:i/>
                <w:sz w:val="20"/>
                <w:szCs w:val="20"/>
              </w:rPr>
            </w:pPr>
            <w:r w:rsidRPr="000D3B5C">
              <w:rPr>
                <w:rStyle w:val="Emphasis"/>
                <w:i w:val="0"/>
                <w:iCs w:val="0"/>
                <w:sz w:val="20"/>
                <w:szCs w:val="20"/>
              </w:rPr>
              <w:t>Low risk, eligible for 10 year approval (2016-2026).</w:t>
            </w:r>
          </w:p>
        </w:tc>
      </w:tr>
    </w:tbl>
    <w:p w14:paraId="4EE180EB" w14:textId="77777777" w:rsidR="003A047E" w:rsidRPr="00E53632" w:rsidRDefault="003A047E" w:rsidP="00E53632">
      <w:pPr>
        <w:rPr>
          <w:rStyle w:val="Emphasis"/>
          <w:i w:val="0"/>
          <w:iCs w:val="0"/>
          <w:sz w:val="22"/>
          <w:szCs w:val="22"/>
        </w:rPr>
      </w:pPr>
    </w:p>
    <w:p w14:paraId="5261C6A8" w14:textId="77777777" w:rsidR="003A047E" w:rsidRPr="00E53632" w:rsidRDefault="003A047E" w:rsidP="00E53632">
      <w:pPr>
        <w:rPr>
          <w:rStyle w:val="Emphasis"/>
          <w:i w:val="0"/>
          <w:iCs w:val="0"/>
          <w:sz w:val="22"/>
          <w:szCs w:val="22"/>
          <w:u w:val="single"/>
        </w:rPr>
      </w:pPr>
    </w:p>
    <w:p w14:paraId="0C0EED75" w14:textId="77777777" w:rsidR="003A047E" w:rsidRPr="00E53632" w:rsidRDefault="003A047E" w:rsidP="00E53632">
      <w:pPr>
        <w:rPr>
          <w:rStyle w:val="Emphasis"/>
          <w:i w:val="0"/>
          <w:iCs w:val="0"/>
          <w:sz w:val="22"/>
          <w:szCs w:val="22"/>
          <w:u w:val="single"/>
        </w:rPr>
      </w:pPr>
    </w:p>
    <w:p w14:paraId="33B84D7D" w14:textId="77777777" w:rsidR="003A047E" w:rsidRPr="00E53632" w:rsidRDefault="003A047E" w:rsidP="00E53632">
      <w:pPr>
        <w:rPr>
          <w:rStyle w:val="Emphasis"/>
          <w:b/>
          <w:i w:val="0"/>
          <w:iCs w:val="0"/>
          <w:sz w:val="22"/>
          <w:szCs w:val="22"/>
          <w:u w:val="single"/>
        </w:rPr>
        <w:sectPr w:rsidR="003A047E" w:rsidRPr="00E53632" w:rsidSect="00625455">
          <w:pgSz w:w="16838" w:h="11906" w:orient="landscape"/>
          <w:pgMar w:top="709" w:right="1361" w:bottom="709" w:left="1361" w:header="709" w:footer="54" w:gutter="0"/>
          <w:cols w:space="708"/>
          <w:docGrid w:linePitch="360"/>
        </w:sectPr>
      </w:pPr>
    </w:p>
    <w:p w14:paraId="40817FCA" w14:textId="77777777" w:rsidR="003A047E" w:rsidRPr="000D3B5C" w:rsidRDefault="003A047E" w:rsidP="00C31FA1">
      <w:pPr>
        <w:rPr>
          <w:rStyle w:val="Emphasis"/>
          <w:b/>
          <w:i w:val="0"/>
          <w:iCs w:val="0"/>
          <w:sz w:val="22"/>
          <w:szCs w:val="22"/>
          <w:u w:val="single"/>
        </w:rPr>
      </w:pPr>
      <w:r w:rsidRPr="000D3B5C">
        <w:rPr>
          <w:rStyle w:val="Emphasis"/>
          <w:b/>
          <w:i w:val="0"/>
          <w:sz w:val="22"/>
          <w:szCs w:val="22"/>
          <w:u w:val="single"/>
        </w:rPr>
        <w:lastRenderedPageBreak/>
        <w:t>Notes:</w:t>
      </w:r>
    </w:p>
    <w:p w14:paraId="431037E2" w14:textId="77777777" w:rsidR="003A047E" w:rsidRPr="000D3B5C" w:rsidRDefault="003A047E" w:rsidP="00C31FA1">
      <w:pPr>
        <w:rPr>
          <w:b/>
          <w:sz w:val="22"/>
          <w:szCs w:val="22"/>
        </w:rPr>
      </w:pPr>
      <w:r w:rsidRPr="000D3B5C">
        <w:rPr>
          <w:b/>
          <w:sz w:val="22"/>
          <w:szCs w:val="22"/>
        </w:rPr>
        <w:t xml:space="preserve">Assessment history: </w:t>
      </w:r>
    </w:p>
    <w:p w14:paraId="603CA839" w14:textId="0A3C356F" w:rsidR="003A047E" w:rsidRPr="000D3B5C" w:rsidRDefault="003A047E" w:rsidP="00C31FA1">
      <w:pPr>
        <w:rPr>
          <w:sz w:val="22"/>
          <w:szCs w:val="22"/>
        </w:rPr>
      </w:pPr>
      <w:r w:rsidRPr="000D3B5C">
        <w:rPr>
          <w:sz w:val="22"/>
          <w:szCs w:val="22"/>
        </w:rPr>
        <w:t>The assessment history</w:t>
      </w:r>
      <w:r w:rsidR="002C094F" w:rsidRPr="000D3B5C">
        <w:rPr>
          <w:sz w:val="22"/>
          <w:szCs w:val="22"/>
        </w:rPr>
        <w:t>, including agency application</w:t>
      </w:r>
      <w:r w:rsidRPr="000D3B5C">
        <w:rPr>
          <w:sz w:val="22"/>
          <w:szCs w:val="22"/>
        </w:rPr>
        <w:t xml:space="preserve"> for the </w:t>
      </w:r>
      <w:r w:rsidR="00A0416F" w:rsidRPr="000D3B5C">
        <w:rPr>
          <w:sz w:val="22"/>
          <w:szCs w:val="22"/>
        </w:rPr>
        <w:t xml:space="preserve">Gould’s Squid </w:t>
      </w:r>
      <w:r w:rsidRPr="000D3B5C">
        <w:rPr>
          <w:sz w:val="22"/>
          <w:szCs w:val="22"/>
        </w:rPr>
        <w:t xml:space="preserve">Fishery is available on the Departments website at </w:t>
      </w:r>
      <w:r w:rsidR="000D3B5C" w:rsidRPr="000D3B5C">
        <w:rPr>
          <w:sz w:val="22"/>
          <w:szCs w:val="22"/>
        </w:rPr>
        <w:t>http://environment.gov.au/marine/fisheries/tas/goulds-squid</w:t>
      </w:r>
      <w:r w:rsidRPr="000D3B5C">
        <w:rPr>
          <w:sz w:val="22"/>
          <w:szCs w:val="22"/>
        </w:rPr>
        <w:t>.</w:t>
      </w:r>
      <w:r w:rsidR="000D3B5C">
        <w:rPr>
          <w:sz w:val="22"/>
          <w:szCs w:val="22"/>
        </w:rPr>
        <w:t xml:space="preserve"> </w:t>
      </w:r>
    </w:p>
    <w:p w14:paraId="120E8BB8" w14:textId="49861F3B" w:rsidR="00860544" w:rsidRPr="000D3B5C" w:rsidRDefault="00860544" w:rsidP="00C31FA1">
      <w:pPr>
        <w:rPr>
          <w:sz w:val="22"/>
          <w:szCs w:val="22"/>
        </w:rPr>
      </w:pPr>
      <w:r w:rsidRPr="000D3B5C">
        <w:rPr>
          <w:sz w:val="22"/>
          <w:szCs w:val="22"/>
        </w:rPr>
        <w:t>1</w:t>
      </w:r>
      <w:r w:rsidRPr="000D3B5C">
        <w:rPr>
          <w:sz w:val="22"/>
          <w:szCs w:val="22"/>
          <w:vertAlign w:val="superscript"/>
        </w:rPr>
        <w:t>st</w:t>
      </w:r>
      <w:r w:rsidRPr="000D3B5C">
        <w:rPr>
          <w:sz w:val="22"/>
          <w:szCs w:val="22"/>
        </w:rPr>
        <w:t xml:space="preserve"> assessment finalised </w:t>
      </w:r>
      <w:r w:rsidR="000D3B5C">
        <w:rPr>
          <w:sz w:val="22"/>
          <w:szCs w:val="22"/>
        </w:rPr>
        <w:t>June</w:t>
      </w:r>
      <w:r w:rsidR="00562685" w:rsidRPr="000D3B5C">
        <w:rPr>
          <w:sz w:val="22"/>
          <w:szCs w:val="22"/>
        </w:rPr>
        <w:t xml:space="preserve"> </w:t>
      </w:r>
      <w:r w:rsidR="00154A76" w:rsidRPr="000D3B5C">
        <w:rPr>
          <w:sz w:val="22"/>
          <w:szCs w:val="22"/>
        </w:rPr>
        <w:t>2014</w:t>
      </w:r>
      <w:r w:rsidR="0064096B" w:rsidRPr="000D3B5C">
        <w:rPr>
          <w:sz w:val="22"/>
          <w:szCs w:val="22"/>
        </w:rPr>
        <w:t xml:space="preserve"> </w:t>
      </w:r>
      <w:r w:rsidRPr="000D3B5C">
        <w:rPr>
          <w:sz w:val="22"/>
          <w:szCs w:val="22"/>
        </w:rPr>
        <w:t xml:space="preserve">– </w:t>
      </w:r>
      <w:r w:rsidR="00154A76" w:rsidRPr="000D3B5C">
        <w:rPr>
          <w:sz w:val="22"/>
          <w:szCs w:val="22"/>
        </w:rPr>
        <w:t>Exempt from export provisions</w:t>
      </w:r>
      <w:r w:rsidR="000D3B5C">
        <w:rPr>
          <w:sz w:val="22"/>
          <w:szCs w:val="22"/>
        </w:rPr>
        <w:t xml:space="preserve"> of Part 13A of the EPBC Act</w:t>
      </w:r>
      <w:r w:rsidR="00154A76" w:rsidRPr="000D3B5C">
        <w:rPr>
          <w:sz w:val="22"/>
          <w:szCs w:val="22"/>
        </w:rPr>
        <w:t xml:space="preserve"> </w:t>
      </w:r>
      <w:r w:rsidR="00C31FA1" w:rsidRPr="000D3B5C">
        <w:rPr>
          <w:sz w:val="22"/>
          <w:szCs w:val="22"/>
        </w:rPr>
        <w:t xml:space="preserve">until </w:t>
      </w:r>
      <w:r w:rsidR="00A0416F" w:rsidRPr="000D3B5C">
        <w:rPr>
          <w:sz w:val="22"/>
          <w:szCs w:val="22"/>
        </w:rPr>
        <w:t>19</w:t>
      </w:r>
      <w:r w:rsidR="0064096B" w:rsidRPr="000D3B5C">
        <w:rPr>
          <w:sz w:val="22"/>
          <w:szCs w:val="22"/>
        </w:rPr>
        <w:t> </w:t>
      </w:r>
      <w:r w:rsidR="00A0416F" w:rsidRPr="000D3B5C">
        <w:rPr>
          <w:sz w:val="22"/>
          <w:szCs w:val="22"/>
        </w:rPr>
        <w:t>June </w:t>
      </w:r>
      <w:r w:rsidR="0064096B" w:rsidRPr="000D3B5C">
        <w:rPr>
          <w:sz w:val="22"/>
          <w:szCs w:val="22"/>
        </w:rPr>
        <w:t>20</w:t>
      </w:r>
      <w:r w:rsidR="00A0416F" w:rsidRPr="000D3B5C">
        <w:rPr>
          <w:sz w:val="22"/>
          <w:szCs w:val="22"/>
        </w:rPr>
        <w:t>1</w:t>
      </w:r>
      <w:r w:rsidR="0064096B" w:rsidRPr="000D3B5C">
        <w:rPr>
          <w:sz w:val="22"/>
          <w:szCs w:val="22"/>
        </w:rPr>
        <w:t xml:space="preserve">9 </w:t>
      </w:r>
      <w:r w:rsidR="00C31FA1" w:rsidRPr="000D3B5C">
        <w:rPr>
          <w:sz w:val="22"/>
          <w:szCs w:val="22"/>
        </w:rPr>
        <w:t>(</w:t>
      </w:r>
      <w:r w:rsidR="00A0416F" w:rsidRPr="000D3B5C">
        <w:rPr>
          <w:bCs/>
          <w:sz w:val="22"/>
          <w:szCs w:val="22"/>
          <w:shd w:val="clear" w:color="auto" w:fill="FFFFFF"/>
        </w:rPr>
        <w:t>F2014L00822</w:t>
      </w:r>
      <w:r w:rsidR="00C31FA1" w:rsidRPr="000D3B5C">
        <w:rPr>
          <w:sz w:val="22"/>
          <w:szCs w:val="22"/>
        </w:rPr>
        <w:t xml:space="preserve">). Export approval was subject to </w:t>
      </w:r>
      <w:r w:rsidR="002C094F" w:rsidRPr="000D3B5C">
        <w:rPr>
          <w:sz w:val="22"/>
          <w:szCs w:val="22"/>
        </w:rPr>
        <w:t>five</w:t>
      </w:r>
      <w:r w:rsidR="003C16E9" w:rsidRPr="000D3B5C">
        <w:rPr>
          <w:sz w:val="22"/>
          <w:szCs w:val="22"/>
        </w:rPr>
        <w:t xml:space="preserve"> </w:t>
      </w:r>
      <w:r w:rsidR="00C31FA1" w:rsidRPr="000D3B5C">
        <w:rPr>
          <w:sz w:val="22"/>
          <w:szCs w:val="22"/>
        </w:rPr>
        <w:t>recommendations</w:t>
      </w:r>
      <w:r w:rsidRPr="000D3B5C">
        <w:rPr>
          <w:sz w:val="22"/>
          <w:szCs w:val="22"/>
        </w:rPr>
        <w:t xml:space="preserve">. </w:t>
      </w:r>
    </w:p>
    <w:p w14:paraId="5312D2BB" w14:textId="77777777" w:rsidR="00A0416F" w:rsidRPr="000D3B5C" w:rsidRDefault="00A0416F" w:rsidP="003C16E9">
      <w:pPr>
        <w:rPr>
          <w:sz w:val="22"/>
          <w:szCs w:val="22"/>
        </w:rPr>
      </w:pPr>
    </w:p>
    <w:p w14:paraId="142B3551" w14:textId="77777777" w:rsidR="003A047E" w:rsidRPr="000D3B5C" w:rsidRDefault="003A047E" w:rsidP="00C31FA1">
      <w:pPr>
        <w:rPr>
          <w:rStyle w:val="Emphasis"/>
          <w:b/>
          <w:i w:val="0"/>
          <w:iCs w:val="0"/>
          <w:sz w:val="22"/>
          <w:szCs w:val="22"/>
        </w:rPr>
      </w:pPr>
      <w:r w:rsidRPr="000D3B5C">
        <w:rPr>
          <w:rStyle w:val="Emphasis"/>
          <w:b/>
          <w:i w:val="0"/>
          <w:sz w:val="22"/>
          <w:szCs w:val="22"/>
        </w:rPr>
        <w:t>Fishery reporting:</w:t>
      </w:r>
    </w:p>
    <w:p w14:paraId="58A90EAF" w14:textId="77777777" w:rsidR="00860544" w:rsidRPr="000D3B5C" w:rsidRDefault="00860544" w:rsidP="00C31FA1">
      <w:pPr>
        <w:rPr>
          <w:rStyle w:val="Emphasis"/>
          <w:iCs w:val="0"/>
          <w:sz w:val="22"/>
          <w:szCs w:val="22"/>
        </w:rPr>
      </w:pPr>
      <w:r w:rsidRPr="000D3B5C">
        <w:rPr>
          <w:rStyle w:val="Emphasis"/>
          <w:i w:val="0"/>
          <w:sz w:val="22"/>
          <w:szCs w:val="22"/>
          <w:u w:val="single"/>
        </w:rPr>
        <w:t>Annual report</w:t>
      </w:r>
      <w:r w:rsidRPr="000D3B5C">
        <w:rPr>
          <w:rStyle w:val="Emphasis"/>
          <w:sz w:val="22"/>
          <w:szCs w:val="22"/>
        </w:rPr>
        <w:t xml:space="preserve"> – </w:t>
      </w:r>
      <w:r w:rsidR="00A0416F" w:rsidRPr="000D3B5C">
        <w:rPr>
          <w:rStyle w:val="Emphasis"/>
          <w:i w:val="0"/>
          <w:iCs w:val="0"/>
          <w:sz w:val="22"/>
          <w:szCs w:val="22"/>
        </w:rPr>
        <w:t>A formal assessment report is undertaken by the Institute for Marine and Antarctic Studies (IMAS) annually</w:t>
      </w:r>
      <w:r w:rsidRPr="000D3B5C">
        <w:rPr>
          <w:rStyle w:val="Emphasis"/>
          <w:sz w:val="22"/>
          <w:szCs w:val="22"/>
        </w:rPr>
        <w:t>.</w:t>
      </w:r>
    </w:p>
    <w:p w14:paraId="68A53A7F" w14:textId="77777777" w:rsidR="00860544" w:rsidRPr="000D3B5C" w:rsidRDefault="00860544" w:rsidP="00C31FA1">
      <w:pPr>
        <w:rPr>
          <w:rStyle w:val="Emphasis"/>
          <w:i w:val="0"/>
          <w:sz w:val="22"/>
          <w:szCs w:val="22"/>
        </w:rPr>
      </w:pPr>
      <w:r w:rsidRPr="000D3B5C">
        <w:rPr>
          <w:rStyle w:val="Emphasis"/>
          <w:i w:val="0"/>
          <w:sz w:val="22"/>
          <w:szCs w:val="22"/>
          <w:u w:val="single"/>
        </w:rPr>
        <w:t>Protected species interactions</w:t>
      </w:r>
      <w:r w:rsidRPr="000D3B5C">
        <w:rPr>
          <w:rStyle w:val="Emphasis"/>
          <w:i w:val="0"/>
          <w:sz w:val="22"/>
          <w:szCs w:val="22"/>
        </w:rPr>
        <w:t xml:space="preserve"> – </w:t>
      </w:r>
      <w:r w:rsidR="00A0416F" w:rsidRPr="000D3B5C">
        <w:rPr>
          <w:sz w:val="22"/>
          <w:szCs w:val="22"/>
        </w:rPr>
        <w:t>interactions are negligible due to the selective harvest method (automatic squid jig / hand jig)</w:t>
      </w:r>
      <w:r w:rsidRPr="000D3B5C">
        <w:rPr>
          <w:rStyle w:val="Emphasis"/>
          <w:i w:val="0"/>
          <w:sz w:val="22"/>
          <w:szCs w:val="22"/>
        </w:rPr>
        <w:t>.</w:t>
      </w:r>
    </w:p>
    <w:p w14:paraId="25C1FBB2" w14:textId="77777777" w:rsidR="00A0416F" w:rsidRPr="000D3B5C" w:rsidRDefault="00A0416F" w:rsidP="00C31FA1">
      <w:pPr>
        <w:rPr>
          <w:rStyle w:val="Emphasis"/>
          <w:i w:val="0"/>
          <w:iCs w:val="0"/>
          <w:sz w:val="22"/>
          <w:szCs w:val="22"/>
        </w:rPr>
      </w:pPr>
    </w:p>
    <w:p w14:paraId="1DE1A22D" w14:textId="77777777" w:rsidR="003A047E" w:rsidRPr="000D3B5C" w:rsidRDefault="003A047E" w:rsidP="00C31FA1">
      <w:pPr>
        <w:rPr>
          <w:rStyle w:val="Emphasis"/>
          <w:b/>
          <w:i w:val="0"/>
          <w:iCs w:val="0"/>
          <w:sz w:val="22"/>
          <w:szCs w:val="22"/>
        </w:rPr>
      </w:pPr>
      <w:r w:rsidRPr="000D3B5C">
        <w:rPr>
          <w:rStyle w:val="Emphasis"/>
          <w:b/>
          <w:i w:val="0"/>
          <w:sz w:val="22"/>
          <w:szCs w:val="22"/>
        </w:rPr>
        <w:t>Key links</w:t>
      </w:r>
      <w:r w:rsidR="008E646F" w:rsidRPr="000D3B5C">
        <w:rPr>
          <w:rStyle w:val="Emphasis"/>
          <w:b/>
          <w:i w:val="0"/>
          <w:sz w:val="22"/>
          <w:szCs w:val="22"/>
        </w:rPr>
        <w:t xml:space="preserve"> and references</w:t>
      </w:r>
      <w:r w:rsidRPr="000D3B5C">
        <w:rPr>
          <w:rStyle w:val="Emphasis"/>
          <w:b/>
          <w:i w:val="0"/>
          <w:sz w:val="22"/>
          <w:szCs w:val="22"/>
        </w:rPr>
        <w:t xml:space="preserve">: </w:t>
      </w:r>
    </w:p>
    <w:p w14:paraId="741748E6" w14:textId="77777777" w:rsidR="003D2DB1" w:rsidRPr="000D3B5C" w:rsidRDefault="003D2DB1" w:rsidP="00C31FA1">
      <w:pPr>
        <w:rPr>
          <w:sz w:val="22"/>
          <w:szCs w:val="22"/>
        </w:rPr>
      </w:pPr>
      <w:r w:rsidRPr="000D3B5C">
        <w:rPr>
          <w:sz w:val="22"/>
          <w:szCs w:val="22"/>
        </w:rPr>
        <w:t xml:space="preserve">The fishery is managed in accordance with provisions in the following </w:t>
      </w:r>
      <w:r w:rsidR="003A047E" w:rsidRPr="000D3B5C">
        <w:rPr>
          <w:sz w:val="22"/>
          <w:szCs w:val="22"/>
        </w:rPr>
        <w:t>Tasmanian</w:t>
      </w:r>
      <w:r w:rsidRPr="000D3B5C">
        <w:rPr>
          <w:sz w:val="22"/>
          <w:szCs w:val="22"/>
        </w:rPr>
        <w:t xml:space="preserve"> legislation and regulations, and is available at https://www.legislation.tas.gov.au/:</w:t>
      </w:r>
    </w:p>
    <w:p w14:paraId="3C54945E" w14:textId="77777777" w:rsidR="00A0416F" w:rsidRPr="000D3B5C" w:rsidRDefault="00A0416F" w:rsidP="00A0416F">
      <w:pPr>
        <w:rPr>
          <w:sz w:val="22"/>
          <w:szCs w:val="22"/>
        </w:rPr>
      </w:pPr>
      <w:r w:rsidRPr="000D3B5C">
        <w:rPr>
          <w:sz w:val="22"/>
          <w:szCs w:val="22"/>
        </w:rPr>
        <w:t xml:space="preserve">– Tasmanian </w:t>
      </w:r>
      <w:r w:rsidRPr="000D3B5C">
        <w:rPr>
          <w:i/>
          <w:sz w:val="22"/>
          <w:szCs w:val="22"/>
        </w:rPr>
        <w:t>Living Marine Resources Management Act 1995</w:t>
      </w:r>
    </w:p>
    <w:p w14:paraId="13CCBAE2" w14:textId="77777777" w:rsidR="00A0416F" w:rsidRPr="000D3B5C" w:rsidRDefault="00A0416F" w:rsidP="00A0416F">
      <w:pPr>
        <w:rPr>
          <w:sz w:val="22"/>
          <w:szCs w:val="22"/>
        </w:rPr>
      </w:pPr>
      <w:r w:rsidRPr="000D3B5C">
        <w:rPr>
          <w:i/>
          <w:sz w:val="22"/>
          <w:szCs w:val="22"/>
        </w:rPr>
        <w:t>– Fisheries (Scalefish) Rules 2015</w:t>
      </w:r>
    </w:p>
    <w:p w14:paraId="302A36AF" w14:textId="77777777" w:rsidR="00A0416F" w:rsidRPr="000D3B5C" w:rsidRDefault="00A0416F" w:rsidP="00A0416F">
      <w:pPr>
        <w:rPr>
          <w:i/>
          <w:sz w:val="22"/>
          <w:szCs w:val="22"/>
        </w:rPr>
      </w:pPr>
      <w:r w:rsidRPr="000D3B5C">
        <w:rPr>
          <w:i/>
          <w:sz w:val="22"/>
          <w:szCs w:val="22"/>
        </w:rPr>
        <w:t>– Fisheries Rules 2009</w:t>
      </w:r>
    </w:p>
    <w:p w14:paraId="5E80B575" w14:textId="77777777" w:rsidR="00A0416F" w:rsidRPr="000D3B5C" w:rsidRDefault="00A0416F" w:rsidP="00A0416F">
      <w:pPr>
        <w:rPr>
          <w:sz w:val="22"/>
          <w:szCs w:val="22"/>
        </w:rPr>
      </w:pPr>
      <w:r w:rsidRPr="000D3B5C">
        <w:rPr>
          <w:sz w:val="22"/>
          <w:szCs w:val="22"/>
        </w:rPr>
        <w:t>Department of Primary Industries, Parks, Water and Environment ‘Commercial Scalefish Fishery’ webpage – http://dpipwe.tas.gov.au/sea-fishing-aquaculture/commercial-fishing/scalefish-fishery/commercial-scalefish.</w:t>
      </w:r>
    </w:p>
    <w:p w14:paraId="0ABE3A33" w14:textId="77777777" w:rsidR="00A0416F" w:rsidRPr="000D3B5C" w:rsidRDefault="00A0416F" w:rsidP="00A0416F">
      <w:pPr>
        <w:rPr>
          <w:rStyle w:val="Emphasis"/>
          <w:i w:val="0"/>
          <w:iCs w:val="0"/>
          <w:sz w:val="22"/>
          <w:szCs w:val="22"/>
        </w:rPr>
      </w:pPr>
      <w:r w:rsidRPr="000D3B5C">
        <w:rPr>
          <w:rStyle w:val="Emphasis"/>
          <w:i w:val="0"/>
          <w:iCs w:val="0"/>
          <w:sz w:val="22"/>
          <w:szCs w:val="22"/>
        </w:rPr>
        <w:t>Emery T, Bell J, Lyle J</w:t>
      </w:r>
      <w:r w:rsidR="002C094F" w:rsidRPr="000D3B5C">
        <w:rPr>
          <w:rStyle w:val="Emphasis"/>
          <w:i w:val="0"/>
          <w:iCs w:val="0"/>
          <w:sz w:val="22"/>
          <w:szCs w:val="22"/>
        </w:rPr>
        <w:t>,</w:t>
      </w:r>
      <w:r w:rsidRPr="000D3B5C">
        <w:rPr>
          <w:rStyle w:val="Emphasis"/>
          <w:i w:val="0"/>
          <w:iCs w:val="0"/>
          <w:sz w:val="22"/>
          <w:szCs w:val="22"/>
        </w:rPr>
        <w:t xml:space="preserve"> and Hartmann K</w:t>
      </w:r>
      <w:r w:rsidR="002C094F" w:rsidRPr="000D3B5C">
        <w:rPr>
          <w:rStyle w:val="Emphasis"/>
          <w:i w:val="0"/>
          <w:iCs w:val="0"/>
          <w:sz w:val="22"/>
          <w:szCs w:val="22"/>
        </w:rPr>
        <w:t xml:space="preserve"> 2014</w:t>
      </w:r>
      <w:r w:rsidRPr="000D3B5C">
        <w:rPr>
          <w:rStyle w:val="Emphasis"/>
          <w:i w:val="0"/>
          <w:iCs w:val="0"/>
          <w:sz w:val="22"/>
          <w:szCs w:val="22"/>
        </w:rPr>
        <w:t xml:space="preserve"> </w:t>
      </w:r>
      <w:r w:rsidR="002C094F" w:rsidRPr="000D3B5C">
        <w:rPr>
          <w:rStyle w:val="Emphasis"/>
          <w:i w:val="0"/>
          <w:iCs w:val="0"/>
          <w:sz w:val="22"/>
          <w:szCs w:val="22"/>
        </w:rPr>
        <w:t>‘</w:t>
      </w:r>
      <w:r w:rsidR="002C094F" w:rsidRPr="000D3B5C">
        <w:rPr>
          <w:sz w:val="22"/>
          <w:szCs w:val="22"/>
        </w:rPr>
        <w:t>Tasmanian Scalefish Fishery assessment 2013-14’,</w:t>
      </w:r>
      <w:r w:rsidRPr="000D3B5C">
        <w:rPr>
          <w:rStyle w:val="Emphasis"/>
          <w:i w:val="0"/>
          <w:iCs w:val="0"/>
          <w:sz w:val="22"/>
          <w:szCs w:val="22"/>
        </w:rPr>
        <w:t xml:space="preserve"> Institute for Marine and Antar</w:t>
      </w:r>
      <w:r w:rsidR="002C094F" w:rsidRPr="000D3B5C">
        <w:rPr>
          <w:rStyle w:val="Emphasis"/>
          <w:i w:val="0"/>
          <w:iCs w:val="0"/>
          <w:sz w:val="22"/>
          <w:szCs w:val="22"/>
        </w:rPr>
        <w:t>ctic Studies, Hobart TAS, Available at http://www.imas.utas.edu.au/__data/assets/pdf_file/0011/778556/Scalefish-Assessment_2013_2014-Web.pdf.</w:t>
      </w:r>
    </w:p>
    <w:p w14:paraId="3ECB7132" w14:textId="77777777" w:rsidR="00A0416F" w:rsidRPr="000D3B5C" w:rsidRDefault="00A0416F" w:rsidP="00A0416F">
      <w:pPr>
        <w:rPr>
          <w:rStyle w:val="Emphasis"/>
          <w:i w:val="0"/>
          <w:iCs w:val="0"/>
          <w:sz w:val="22"/>
          <w:szCs w:val="22"/>
        </w:rPr>
      </w:pPr>
      <w:r w:rsidRPr="000D3B5C">
        <w:rPr>
          <w:rStyle w:val="Emphasis"/>
          <w:i w:val="0"/>
          <w:iCs w:val="0"/>
          <w:sz w:val="22"/>
          <w:szCs w:val="22"/>
        </w:rPr>
        <w:t xml:space="preserve">Fisheries Research and </w:t>
      </w:r>
      <w:r w:rsidR="002C094F" w:rsidRPr="000D3B5C">
        <w:rPr>
          <w:rStyle w:val="Emphasis"/>
          <w:i w:val="0"/>
          <w:iCs w:val="0"/>
          <w:sz w:val="22"/>
          <w:szCs w:val="22"/>
        </w:rPr>
        <w:t>Development Corporation (FRDC) 2014 ‘</w:t>
      </w:r>
      <w:r w:rsidR="002C094F" w:rsidRPr="000D3B5C">
        <w:rPr>
          <w:sz w:val="22"/>
          <w:szCs w:val="22"/>
        </w:rPr>
        <w:t>Status of Key Australian Fish Stocks Reports 2014’, pp. 132-137, Available at http://www.fish.gov.au/Pages/SAFS_Report.aspx.</w:t>
      </w:r>
    </w:p>
    <w:p w14:paraId="1DC26D9F" w14:textId="77777777" w:rsidR="000010E3" w:rsidRPr="000D3B5C" w:rsidRDefault="000010E3" w:rsidP="000010E3">
      <w:pPr>
        <w:rPr>
          <w:sz w:val="22"/>
          <w:szCs w:val="22"/>
        </w:rPr>
      </w:pPr>
      <w:r w:rsidRPr="000D3B5C">
        <w:rPr>
          <w:sz w:val="22"/>
          <w:szCs w:val="22"/>
        </w:rPr>
        <w:t xml:space="preserve">Department of the Environment and Heritage </w:t>
      </w:r>
      <w:proofErr w:type="spellStart"/>
      <w:r w:rsidRPr="000D3B5C">
        <w:rPr>
          <w:sz w:val="22"/>
          <w:szCs w:val="22"/>
        </w:rPr>
        <w:t>n.d</w:t>
      </w:r>
      <w:proofErr w:type="spellEnd"/>
      <w:r w:rsidRPr="000D3B5C">
        <w:rPr>
          <w:sz w:val="22"/>
          <w:szCs w:val="22"/>
        </w:rPr>
        <w:t xml:space="preserve"> ‘</w:t>
      </w:r>
      <w:r w:rsidRPr="000D3B5C">
        <w:rPr>
          <w:i/>
          <w:iCs/>
          <w:sz w:val="22"/>
          <w:szCs w:val="22"/>
        </w:rPr>
        <w:t>Fishing risk assessment for the development of a representative system of Marine Protected Areas in the south–east marine region – report of the Technical Working Group</w:t>
      </w:r>
      <w:r w:rsidRPr="000D3B5C">
        <w:rPr>
          <w:iCs/>
          <w:sz w:val="22"/>
          <w:szCs w:val="22"/>
        </w:rPr>
        <w:t>, u</w:t>
      </w:r>
      <w:r w:rsidRPr="000D3B5C">
        <w:rPr>
          <w:sz w:val="22"/>
          <w:szCs w:val="22"/>
        </w:rPr>
        <w:t>npublished report, Department of Environment and Heritage, Canberra ACT.</w:t>
      </w:r>
    </w:p>
    <w:p w14:paraId="46F43A2A" w14:textId="77777777" w:rsidR="000010E3" w:rsidRPr="000D3B5C" w:rsidRDefault="000010E3" w:rsidP="000010E3">
      <w:pPr>
        <w:pStyle w:val="Default"/>
        <w:spacing w:before="60" w:after="60"/>
        <w:rPr>
          <w:rFonts w:ascii="Arial" w:hAnsi="Arial" w:cs="Arial"/>
          <w:color w:val="auto"/>
          <w:sz w:val="22"/>
          <w:szCs w:val="22"/>
        </w:rPr>
      </w:pPr>
      <w:r w:rsidRPr="000D3B5C">
        <w:rPr>
          <w:rFonts w:ascii="Arial" w:hAnsi="Arial" w:cs="Arial"/>
          <w:color w:val="auto"/>
          <w:sz w:val="22"/>
          <w:szCs w:val="22"/>
        </w:rPr>
        <w:t xml:space="preserve">Bell JD, Lyle JM, Andre J and </w:t>
      </w:r>
      <w:proofErr w:type="spellStart"/>
      <w:r w:rsidRPr="000D3B5C">
        <w:rPr>
          <w:rFonts w:ascii="Arial" w:hAnsi="Arial" w:cs="Arial"/>
          <w:color w:val="auto"/>
          <w:sz w:val="22"/>
          <w:szCs w:val="22"/>
        </w:rPr>
        <w:t>Harmann</w:t>
      </w:r>
      <w:proofErr w:type="spellEnd"/>
      <w:r w:rsidRPr="000D3B5C">
        <w:rPr>
          <w:rFonts w:ascii="Arial" w:hAnsi="Arial" w:cs="Arial"/>
          <w:color w:val="auto"/>
          <w:sz w:val="22"/>
          <w:szCs w:val="22"/>
        </w:rPr>
        <w:t xml:space="preserve"> K 2016 ‘Tasmanian Scalefish Fishery: Ecological risk assessment, May 2016’, Institute for Marine and Antarctic Studies, Hobart TAS, Available at http://www.imas.utas.edu.au/__data/assets/pdf_file/0003/868215/ERA_report_TasmanianScalefishFishery-FINAL-REPORT.pdf.</w:t>
      </w:r>
    </w:p>
    <w:p w14:paraId="22682916" w14:textId="77777777" w:rsidR="00C31FA1" w:rsidRPr="000D3B5C" w:rsidRDefault="00A0416F" w:rsidP="00C31FA1">
      <w:pPr>
        <w:pStyle w:val="Default"/>
        <w:spacing w:before="60" w:after="60"/>
        <w:rPr>
          <w:rFonts w:ascii="Arial" w:hAnsi="Arial" w:cs="Arial"/>
          <w:color w:val="auto"/>
          <w:sz w:val="22"/>
          <w:szCs w:val="22"/>
        </w:rPr>
      </w:pPr>
      <w:r w:rsidRPr="000D3B5C">
        <w:rPr>
          <w:rFonts w:ascii="Arial" w:hAnsi="Arial" w:cs="Arial"/>
          <w:color w:val="auto"/>
          <w:sz w:val="22"/>
          <w:szCs w:val="22"/>
        </w:rPr>
        <w:t xml:space="preserve"> </w:t>
      </w:r>
    </w:p>
    <w:p w14:paraId="10FD03F1" w14:textId="77777777" w:rsidR="003A047E" w:rsidRPr="00C31FA1" w:rsidRDefault="003A047E" w:rsidP="00C31FA1">
      <w:pPr>
        <w:rPr>
          <w:sz w:val="20"/>
          <w:szCs w:val="20"/>
        </w:rPr>
      </w:pPr>
    </w:p>
    <w:p w14:paraId="558CEAF3" w14:textId="77777777" w:rsidR="003A047E" w:rsidRPr="00C31FA1" w:rsidRDefault="003A047E" w:rsidP="00C31FA1">
      <w:pPr>
        <w:rPr>
          <w:b/>
          <w:sz w:val="20"/>
          <w:szCs w:val="20"/>
        </w:rPr>
        <w:sectPr w:rsidR="003A047E" w:rsidRPr="00C31FA1" w:rsidSect="00860544">
          <w:pgSz w:w="11906" w:h="16838"/>
          <w:pgMar w:top="1361" w:right="709" w:bottom="1361" w:left="709" w:header="709" w:footer="57" w:gutter="0"/>
          <w:cols w:space="708"/>
          <w:docGrid w:linePitch="360"/>
        </w:sectPr>
      </w:pPr>
    </w:p>
    <w:p w14:paraId="1A1E412C" w14:textId="77777777" w:rsidR="003A047E" w:rsidRPr="00D05A3F" w:rsidRDefault="003A047E" w:rsidP="003A047E">
      <w:pPr>
        <w:pStyle w:val="Heading1"/>
      </w:pPr>
      <w:bookmarkStart w:id="7" w:name="_Toc514849744"/>
      <w:bookmarkStart w:id="8" w:name="_Toc515454831"/>
      <w:bookmarkStart w:id="9" w:name="_Toc518883413"/>
      <w:bookmarkStart w:id="10" w:name="_Toc506553892"/>
      <w:r w:rsidRPr="00D47B6E">
        <w:lastRenderedPageBreak/>
        <w:t xml:space="preserve">Section 2: Detailed Analysis of the </w:t>
      </w:r>
      <w:r w:rsidR="000010E3">
        <w:t xml:space="preserve">Take of Gould’s Squid in the </w:t>
      </w:r>
      <w:r>
        <w:t>Tasmanian</w:t>
      </w:r>
      <w:r w:rsidRPr="00D47B6E">
        <w:t xml:space="preserve"> </w:t>
      </w:r>
      <w:r w:rsidR="000010E3">
        <w:t>Scalefish</w:t>
      </w:r>
      <w:r w:rsidRPr="00D47B6E">
        <w:t xml:space="preserve"> Fishery </w:t>
      </w:r>
      <w:r>
        <w:t>A</w:t>
      </w:r>
      <w:r w:rsidRPr="00D47B6E">
        <w:t>gainst the Guidelines for the Ecologically Sustainable Management of Fisheries (2nd Edition)</w:t>
      </w:r>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3A047E" w:rsidRPr="000D3B5C" w14:paraId="6BFCB6FB" w14:textId="77777777" w:rsidTr="00860544">
        <w:tc>
          <w:tcPr>
            <w:tcW w:w="1500" w:type="pct"/>
            <w:shd w:val="clear" w:color="auto" w:fill="auto"/>
          </w:tcPr>
          <w:bookmarkEnd w:id="10"/>
          <w:p w14:paraId="15B7071C" w14:textId="77777777" w:rsidR="003A047E" w:rsidRPr="000D3B5C" w:rsidRDefault="003A047E" w:rsidP="000D3B5C">
            <w:pPr>
              <w:rPr>
                <w:sz w:val="20"/>
                <w:szCs w:val="20"/>
              </w:rPr>
            </w:pPr>
            <w:r w:rsidRPr="000D3B5C">
              <w:rPr>
                <w:b/>
                <w:sz w:val="20"/>
                <w:szCs w:val="20"/>
              </w:rPr>
              <w:t>Guidelines</w:t>
            </w:r>
            <w:r w:rsidRPr="000D3B5C">
              <w:rPr>
                <w:rStyle w:val="FootnoteReference"/>
                <w:sz w:val="20"/>
                <w:szCs w:val="20"/>
              </w:rPr>
              <w:t xml:space="preserve"> </w:t>
            </w:r>
          </w:p>
        </w:tc>
        <w:tc>
          <w:tcPr>
            <w:tcW w:w="500" w:type="pct"/>
            <w:shd w:val="clear" w:color="auto" w:fill="92D050"/>
          </w:tcPr>
          <w:p w14:paraId="299873A5" w14:textId="77777777" w:rsidR="003A047E" w:rsidRPr="000D3B5C" w:rsidRDefault="003A047E" w:rsidP="000D3B5C">
            <w:pPr>
              <w:rPr>
                <w:b/>
                <w:sz w:val="20"/>
                <w:szCs w:val="20"/>
              </w:rPr>
            </w:pPr>
            <w:r w:rsidRPr="000D3B5C">
              <w:rPr>
                <w:b/>
                <w:sz w:val="20"/>
                <w:szCs w:val="20"/>
              </w:rPr>
              <w:t>Meets</w:t>
            </w:r>
          </w:p>
        </w:tc>
        <w:tc>
          <w:tcPr>
            <w:tcW w:w="500" w:type="pct"/>
            <w:shd w:val="clear" w:color="auto" w:fill="FFC000"/>
          </w:tcPr>
          <w:p w14:paraId="58995CCD" w14:textId="77777777" w:rsidR="003A047E" w:rsidRPr="000D3B5C" w:rsidRDefault="003A047E" w:rsidP="000D3B5C">
            <w:pPr>
              <w:rPr>
                <w:b/>
                <w:sz w:val="20"/>
                <w:szCs w:val="20"/>
              </w:rPr>
            </w:pPr>
            <w:r w:rsidRPr="000D3B5C">
              <w:rPr>
                <w:b/>
                <w:sz w:val="20"/>
                <w:szCs w:val="20"/>
              </w:rPr>
              <w:t>Partially meets</w:t>
            </w:r>
          </w:p>
        </w:tc>
        <w:tc>
          <w:tcPr>
            <w:tcW w:w="500" w:type="pct"/>
            <w:shd w:val="clear" w:color="auto" w:fill="FF0000"/>
          </w:tcPr>
          <w:p w14:paraId="0E8A18D7" w14:textId="77777777" w:rsidR="003A047E" w:rsidRPr="000D3B5C" w:rsidRDefault="003A047E" w:rsidP="000D3B5C">
            <w:pPr>
              <w:rPr>
                <w:b/>
                <w:sz w:val="20"/>
                <w:szCs w:val="20"/>
              </w:rPr>
            </w:pPr>
            <w:r w:rsidRPr="000D3B5C">
              <w:rPr>
                <w:b/>
                <w:sz w:val="20"/>
                <w:szCs w:val="20"/>
              </w:rPr>
              <w:t>Does not meet</w:t>
            </w:r>
          </w:p>
        </w:tc>
        <w:tc>
          <w:tcPr>
            <w:tcW w:w="2000" w:type="pct"/>
            <w:shd w:val="clear" w:color="auto" w:fill="FFFFFF"/>
          </w:tcPr>
          <w:p w14:paraId="62E7A6F4" w14:textId="77777777" w:rsidR="003A047E" w:rsidRPr="000D3B5C" w:rsidRDefault="003A047E" w:rsidP="000D3B5C">
            <w:pPr>
              <w:rPr>
                <w:b/>
                <w:sz w:val="20"/>
                <w:szCs w:val="20"/>
              </w:rPr>
            </w:pPr>
            <w:r w:rsidRPr="000D3B5C">
              <w:rPr>
                <w:b/>
                <w:sz w:val="20"/>
                <w:szCs w:val="20"/>
              </w:rPr>
              <w:t>Comment</w:t>
            </w:r>
          </w:p>
        </w:tc>
      </w:tr>
      <w:tr w:rsidR="003A047E" w:rsidRPr="000D3B5C" w14:paraId="20B8EEC9" w14:textId="77777777" w:rsidTr="00860544">
        <w:tc>
          <w:tcPr>
            <w:tcW w:w="5000" w:type="pct"/>
            <w:gridSpan w:val="5"/>
            <w:shd w:val="clear" w:color="auto" w:fill="FFFF66"/>
          </w:tcPr>
          <w:p w14:paraId="59049AF1" w14:textId="77777777" w:rsidR="003A047E" w:rsidRPr="000D3B5C" w:rsidRDefault="003A047E" w:rsidP="000D3B5C">
            <w:pPr>
              <w:rPr>
                <w:b/>
                <w:sz w:val="20"/>
                <w:szCs w:val="20"/>
              </w:rPr>
            </w:pPr>
            <w:r w:rsidRPr="000D3B5C">
              <w:rPr>
                <w:b/>
                <w:sz w:val="20"/>
                <w:szCs w:val="20"/>
              </w:rPr>
              <w:t>THE MANAGEMENT REGIME</w:t>
            </w:r>
          </w:p>
        </w:tc>
      </w:tr>
      <w:tr w:rsidR="003A047E" w:rsidRPr="000D3B5C" w14:paraId="24BC6885" w14:textId="77777777" w:rsidTr="00860544">
        <w:tc>
          <w:tcPr>
            <w:tcW w:w="5000" w:type="pct"/>
            <w:gridSpan w:val="5"/>
            <w:shd w:val="clear" w:color="auto" w:fill="FFFF99"/>
          </w:tcPr>
          <w:p w14:paraId="71AD69B0" w14:textId="77777777" w:rsidR="003A047E" w:rsidRPr="000D3B5C" w:rsidRDefault="003A047E" w:rsidP="000D3B5C">
            <w:pPr>
              <w:rPr>
                <w:b/>
                <w:sz w:val="20"/>
                <w:szCs w:val="20"/>
              </w:rPr>
            </w:pPr>
            <w:r w:rsidRPr="000D3B5C">
              <w:rPr>
                <w:sz w:val="20"/>
                <w:szCs w:val="20"/>
              </w:rPr>
              <w:t>The management regime does not have to be a formal statutory fishery management plan as such, and may include non-statutory management arrangements or management policies and programs. The regime should:</w:t>
            </w:r>
          </w:p>
        </w:tc>
      </w:tr>
      <w:tr w:rsidR="00860544" w:rsidRPr="000D3B5C" w14:paraId="722AA870" w14:textId="77777777" w:rsidTr="00860544">
        <w:tc>
          <w:tcPr>
            <w:tcW w:w="1500" w:type="pct"/>
            <w:shd w:val="clear" w:color="auto" w:fill="auto"/>
          </w:tcPr>
          <w:p w14:paraId="6B02793A" w14:textId="77777777" w:rsidR="00860544" w:rsidRPr="000D3B5C" w:rsidRDefault="00860544" w:rsidP="000D3B5C">
            <w:pPr>
              <w:rPr>
                <w:sz w:val="20"/>
                <w:szCs w:val="20"/>
              </w:rPr>
            </w:pPr>
            <w:r w:rsidRPr="000D3B5C">
              <w:rPr>
                <w:sz w:val="20"/>
                <w:szCs w:val="20"/>
              </w:rPr>
              <w:t>Be documented, publicly available and transparent</w:t>
            </w:r>
          </w:p>
        </w:tc>
        <w:tc>
          <w:tcPr>
            <w:tcW w:w="3500" w:type="pct"/>
            <w:gridSpan w:val="4"/>
            <w:shd w:val="clear" w:color="auto" w:fill="92D050"/>
          </w:tcPr>
          <w:p w14:paraId="58F187C7" w14:textId="77777777" w:rsidR="000010E3" w:rsidRPr="000D3B5C" w:rsidRDefault="000010E3" w:rsidP="000D3B5C">
            <w:pPr>
              <w:rPr>
                <w:b/>
                <w:sz w:val="20"/>
                <w:szCs w:val="20"/>
              </w:rPr>
            </w:pPr>
            <w:r w:rsidRPr="000D3B5C">
              <w:rPr>
                <w:b/>
                <w:sz w:val="20"/>
                <w:szCs w:val="20"/>
              </w:rPr>
              <w:t>Meets.</w:t>
            </w:r>
          </w:p>
          <w:p w14:paraId="44F2B1BD" w14:textId="3B9ABBC2" w:rsidR="000010E3" w:rsidRPr="000D3B5C" w:rsidRDefault="000010E3" w:rsidP="000D3B5C">
            <w:pPr>
              <w:rPr>
                <w:bCs/>
                <w:iCs/>
                <w:sz w:val="20"/>
                <w:szCs w:val="20"/>
              </w:rPr>
            </w:pPr>
            <w:r w:rsidRPr="000D3B5C">
              <w:rPr>
                <w:bCs/>
                <w:iCs/>
                <w:sz w:val="20"/>
                <w:szCs w:val="20"/>
              </w:rPr>
              <w:t>Management arrangements are documented, publicly available and transparent.</w:t>
            </w:r>
            <w:r w:rsidR="000D3B5C">
              <w:rPr>
                <w:bCs/>
                <w:iCs/>
                <w:sz w:val="20"/>
                <w:szCs w:val="20"/>
              </w:rPr>
              <w:t xml:space="preserve"> </w:t>
            </w:r>
          </w:p>
          <w:p w14:paraId="2D996E56" w14:textId="1260A507" w:rsidR="00860544" w:rsidRPr="000D3B5C" w:rsidRDefault="000010E3" w:rsidP="000D3B5C">
            <w:pPr>
              <w:rPr>
                <w:sz w:val="20"/>
                <w:szCs w:val="20"/>
              </w:rPr>
            </w:pPr>
            <w:r w:rsidRPr="000D3B5C">
              <w:rPr>
                <w:bCs/>
                <w:iCs/>
                <w:sz w:val="20"/>
                <w:szCs w:val="20"/>
              </w:rPr>
              <w:t xml:space="preserve">Fisheries under Tasmanian jurisdiction are administered through the provisions of the Tasmanian </w:t>
            </w:r>
            <w:r w:rsidRPr="000D3B5C">
              <w:rPr>
                <w:bCs/>
                <w:i/>
                <w:iCs/>
                <w:sz w:val="20"/>
                <w:szCs w:val="20"/>
              </w:rPr>
              <w:t>Living Marine Resources Management Act 1995</w:t>
            </w:r>
            <w:r w:rsidRPr="000D3B5C">
              <w:rPr>
                <w:bCs/>
                <w:iCs/>
                <w:sz w:val="20"/>
                <w:szCs w:val="20"/>
              </w:rPr>
              <w:t xml:space="preserve"> (the LMRM Act) and its subordinate legislation. The Fisheries (Scalefish) Rules 2015</w:t>
            </w:r>
            <w:r w:rsidR="00043C7E" w:rsidRPr="000D3B5C">
              <w:rPr>
                <w:bCs/>
                <w:iCs/>
                <w:sz w:val="20"/>
                <w:szCs w:val="20"/>
              </w:rPr>
              <w:t xml:space="preserve"> (</w:t>
            </w:r>
            <w:r w:rsidR="00043C7E" w:rsidRPr="000D3B5C">
              <w:rPr>
                <w:sz w:val="20"/>
                <w:szCs w:val="20"/>
              </w:rPr>
              <w:t>Scalefish Rules</w:t>
            </w:r>
            <w:r w:rsidR="00043C7E" w:rsidRPr="000D3B5C">
              <w:rPr>
                <w:bCs/>
                <w:iCs/>
                <w:sz w:val="20"/>
                <w:szCs w:val="20"/>
              </w:rPr>
              <w:t>)</w:t>
            </w:r>
            <w:r w:rsidRPr="000D3B5C">
              <w:rPr>
                <w:bCs/>
                <w:iCs/>
                <w:sz w:val="20"/>
                <w:szCs w:val="20"/>
              </w:rPr>
              <w:t xml:space="preserve"> is the overarching legislation for take of Gould’s Squid in the Tasmanian Scalefish Fishery (the fishery).</w:t>
            </w:r>
            <w:r w:rsidRPr="000D3B5C">
              <w:rPr>
                <w:sz w:val="20"/>
                <w:szCs w:val="20"/>
              </w:rPr>
              <w:t xml:space="preserve"> All Tasmanian legislation is available at www.thelaw.tas.gov.au. Information on the fishery is </w:t>
            </w:r>
            <w:r w:rsidR="000D3B5C">
              <w:rPr>
                <w:sz w:val="20"/>
                <w:szCs w:val="20"/>
              </w:rPr>
              <w:t xml:space="preserve">also </w:t>
            </w:r>
            <w:r w:rsidRPr="000D3B5C">
              <w:rPr>
                <w:sz w:val="20"/>
                <w:szCs w:val="20"/>
              </w:rPr>
              <w:t xml:space="preserve">available on the Department of Primary Industries, Parks, Water and Environment (DPIPWE) website </w:t>
            </w:r>
            <w:r w:rsidR="000D3B5C">
              <w:rPr>
                <w:sz w:val="20"/>
                <w:szCs w:val="20"/>
              </w:rPr>
              <w:t>(see link above)</w:t>
            </w:r>
            <w:r w:rsidRPr="000D3B5C">
              <w:rPr>
                <w:sz w:val="20"/>
                <w:szCs w:val="20"/>
              </w:rPr>
              <w:t>. DPIPWE’s website contains information regarding the policy framework for the management of Tasmanian fisheries.</w:t>
            </w:r>
          </w:p>
        </w:tc>
      </w:tr>
      <w:tr w:rsidR="00860544" w:rsidRPr="000D3B5C" w14:paraId="3B267F72" w14:textId="77777777" w:rsidTr="00860544">
        <w:tc>
          <w:tcPr>
            <w:tcW w:w="1500" w:type="pct"/>
            <w:shd w:val="clear" w:color="auto" w:fill="auto"/>
          </w:tcPr>
          <w:p w14:paraId="698CD0AA" w14:textId="77777777" w:rsidR="00860544" w:rsidRPr="000D3B5C" w:rsidRDefault="00860544" w:rsidP="000D3B5C">
            <w:pPr>
              <w:rPr>
                <w:sz w:val="20"/>
                <w:szCs w:val="20"/>
              </w:rPr>
            </w:pPr>
            <w:r w:rsidRPr="000D3B5C">
              <w:rPr>
                <w:sz w:val="20"/>
                <w:szCs w:val="20"/>
              </w:rPr>
              <w:t>Be developed through a consultative process providing opportunity to all interested and affected parties, including the general public</w:t>
            </w:r>
          </w:p>
        </w:tc>
        <w:tc>
          <w:tcPr>
            <w:tcW w:w="3500" w:type="pct"/>
            <w:gridSpan w:val="4"/>
            <w:shd w:val="clear" w:color="auto" w:fill="92D050"/>
          </w:tcPr>
          <w:p w14:paraId="5A2DECE3" w14:textId="77777777" w:rsidR="000010E3" w:rsidRPr="000D3B5C" w:rsidRDefault="000010E3" w:rsidP="000D3B5C">
            <w:pPr>
              <w:rPr>
                <w:b/>
                <w:sz w:val="20"/>
                <w:szCs w:val="20"/>
              </w:rPr>
            </w:pPr>
            <w:r w:rsidRPr="000D3B5C">
              <w:rPr>
                <w:b/>
                <w:sz w:val="20"/>
                <w:szCs w:val="20"/>
              </w:rPr>
              <w:t>Meets.</w:t>
            </w:r>
          </w:p>
          <w:p w14:paraId="2EE5A638" w14:textId="77777777" w:rsidR="00860544" w:rsidRPr="000D3B5C" w:rsidRDefault="000010E3" w:rsidP="000D3B5C">
            <w:pPr>
              <w:rPr>
                <w:sz w:val="20"/>
                <w:szCs w:val="20"/>
              </w:rPr>
            </w:pPr>
            <w:r w:rsidRPr="000D3B5C">
              <w:rPr>
                <w:sz w:val="20"/>
                <w:szCs w:val="20"/>
              </w:rPr>
              <w:t>All changes to a management regime must be released for public consultation with all stakeholders and the wider public.</w:t>
            </w:r>
          </w:p>
        </w:tc>
      </w:tr>
      <w:tr w:rsidR="00860544" w:rsidRPr="000D3B5C" w14:paraId="1207D26D" w14:textId="77777777" w:rsidTr="001326B6">
        <w:tc>
          <w:tcPr>
            <w:tcW w:w="1500" w:type="pct"/>
            <w:shd w:val="clear" w:color="auto" w:fill="auto"/>
          </w:tcPr>
          <w:p w14:paraId="4EF40EBB" w14:textId="77777777" w:rsidR="00860544" w:rsidRPr="000D3B5C" w:rsidRDefault="00860544" w:rsidP="000D3B5C">
            <w:pPr>
              <w:rPr>
                <w:sz w:val="20"/>
                <w:szCs w:val="20"/>
              </w:rPr>
            </w:pPr>
            <w:r w:rsidRPr="000D3B5C">
              <w:rPr>
                <w:sz w:val="20"/>
                <w:szCs w:val="20"/>
              </w:rPr>
              <w:t>Ensure that a range of expertise and community interests are involved in individual fishery management committees and during the stock assessment process</w:t>
            </w:r>
          </w:p>
        </w:tc>
        <w:tc>
          <w:tcPr>
            <w:tcW w:w="3500" w:type="pct"/>
            <w:gridSpan w:val="4"/>
            <w:shd w:val="clear" w:color="auto" w:fill="92D050"/>
          </w:tcPr>
          <w:p w14:paraId="03E5FF5E" w14:textId="77777777" w:rsidR="001326B6" w:rsidRPr="000D3B5C" w:rsidRDefault="001326B6" w:rsidP="000D3B5C">
            <w:pPr>
              <w:rPr>
                <w:b/>
                <w:sz w:val="20"/>
                <w:szCs w:val="20"/>
              </w:rPr>
            </w:pPr>
            <w:r w:rsidRPr="000D3B5C">
              <w:rPr>
                <w:b/>
                <w:sz w:val="20"/>
                <w:szCs w:val="20"/>
              </w:rPr>
              <w:t>Meets.</w:t>
            </w:r>
          </w:p>
          <w:p w14:paraId="0BC4A558" w14:textId="2E3F300C" w:rsidR="00860544" w:rsidRPr="000D3B5C" w:rsidRDefault="001326B6" w:rsidP="000D3B5C">
            <w:pPr>
              <w:rPr>
                <w:sz w:val="20"/>
                <w:szCs w:val="20"/>
              </w:rPr>
            </w:pPr>
            <w:r w:rsidRPr="000D3B5C">
              <w:rPr>
                <w:sz w:val="20"/>
                <w:szCs w:val="20"/>
              </w:rPr>
              <w:t>Advisory committees are formed under the LMRM Act to provide advice to the Tasmanian Minister on the management of Tasmanian fisheries, including considerations for stock viability. To ensure a range of expertise and community interests are represented, these advisory committees include a range of expertise from the recreational fishery, management, police, scientists and broader community.</w:t>
            </w:r>
            <w:r w:rsidR="000D3B5C">
              <w:rPr>
                <w:sz w:val="20"/>
                <w:szCs w:val="20"/>
              </w:rPr>
              <w:t xml:space="preserve"> </w:t>
            </w:r>
            <w:r w:rsidRPr="000D3B5C">
              <w:rPr>
                <w:sz w:val="20"/>
                <w:szCs w:val="20"/>
              </w:rPr>
              <w:t>Relevant fishing industry representatives are also provided membership to the relevant advisory committee to ensure appropriate representation and consultative processes. The commercial sector is also represented by the Tasmanian Seafood Industry Council.</w:t>
            </w:r>
          </w:p>
        </w:tc>
      </w:tr>
      <w:tr w:rsidR="00746419" w:rsidRPr="000D3B5C" w14:paraId="437BE6CE" w14:textId="77777777" w:rsidTr="00746419">
        <w:tc>
          <w:tcPr>
            <w:tcW w:w="1500" w:type="pct"/>
            <w:shd w:val="clear" w:color="auto" w:fill="auto"/>
          </w:tcPr>
          <w:p w14:paraId="51204E94" w14:textId="77777777" w:rsidR="00746419" w:rsidRPr="000D3B5C" w:rsidRDefault="00746419" w:rsidP="000D3B5C">
            <w:pPr>
              <w:rPr>
                <w:sz w:val="20"/>
                <w:szCs w:val="20"/>
              </w:rPr>
            </w:pPr>
            <w:r w:rsidRPr="000D3B5C">
              <w:rPr>
                <w:sz w:val="20"/>
                <w:szCs w:val="20"/>
              </w:rPr>
              <w:t>Be strategic, containing objectives and performance criteria by which the effectiveness of the management arrangements are measured</w:t>
            </w:r>
          </w:p>
        </w:tc>
        <w:tc>
          <w:tcPr>
            <w:tcW w:w="3500" w:type="pct"/>
            <w:gridSpan w:val="4"/>
            <w:shd w:val="clear" w:color="auto" w:fill="92D050"/>
          </w:tcPr>
          <w:p w14:paraId="5F735955" w14:textId="77777777" w:rsidR="001326B6" w:rsidRPr="000D3B5C" w:rsidRDefault="001326B6" w:rsidP="000D3B5C">
            <w:pPr>
              <w:rPr>
                <w:b/>
                <w:sz w:val="20"/>
                <w:szCs w:val="20"/>
              </w:rPr>
            </w:pPr>
            <w:r w:rsidRPr="000D3B5C">
              <w:rPr>
                <w:b/>
                <w:sz w:val="20"/>
                <w:szCs w:val="20"/>
              </w:rPr>
              <w:t>Meets.</w:t>
            </w:r>
          </w:p>
          <w:p w14:paraId="6736FC5A" w14:textId="77777777" w:rsidR="00746419" w:rsidRPr="000D3B5C" w:rsidRDefault="001326B6" w:rsidP="000D3B5C">
            <w:pPr>
              <w:rPr>
                <w:sz w:val="20"/>
                <w:szCs w:val="20"/>
              </w:rPr>
            </w:pPr>
            <w:r w:rsidRPr="000D3B5C">
              <w:rPr>
                <w:sz w:val="20"/>
                <w:szCs w:val="20"/>
              </w:rPr>
              <w:t>The objectives and performance measures for assessing the effectiveness of management arrangements for harvesting Gould’s Squid are contained in the annual Institute for Marine and Antarctic Studies (IMAS) fishery assessment reports. The performance measures are currently under review to further refine their effectiveness in assessing the management arrangements. This review is subject to assessment processes in the Commonwealth Southern Squid Jig Fishery (SSJF).</w:t>
            </w:r>
          </w:p>
        </w:tc>
      </w:tr>
      <w:tr w:rsidR="00746419" w:rsidRPr="000D3B5C" w14:paraId="606E5BD3" w14:textId="77777777" w:rsidTr="00860544">
        <w:tc>
          <w:tcPr>
            <w:tcW w:w="1500" w:type="pct"/>
            <w:shd w:val="clear" w:color="auto" w:fill="auto"/>
          </w:tcPr>
          <w:p w14:paraId="03524C13" w14:textId="77777777" w:rsidR="00746419" w:rsidRPr="000D3B5C" w:rsidRDefault="00746419" w:rsidP="000D3B5C">
            <w:pPr>
              <w:rPr>
                <w:sz w:val="20"/>
                <w:szCs w:val="20"/>
              </w:rPr>
            </w:pPr>
            <w:r w:rsidRPr="000D3B5C">
              <w:rPr>
                <w:sz w:val="20"/>
                <w:szCs w:val="20"/>
              </w:rPr>
              <w:t>Be capable of controlling the level of harvest in the fishery using input and/or output controls</w:t>
            </w:r>
          </w:p>
        </w:tc>
        <w:tc>
          <w:tcPr>
            <w:tcW w:w="3500" w:type="pct"/>
            <w:gridSpan w:val="4"/>
            <w:shd w:val="clear" w:color="auto" w:fill="92D050"/>
          </w:tcPr>
          <w:p w14:paraId="073D2336" w14:textId="77777777" w:rsidR="00043C7E" w:rsidRPr="000D3B5C" w:rsidRDefault="00043C7E" w:rsidP="000D3B5C">
            <w:pPr>
              <w:rPr>
                <w:b/>
                <w:sz w:val="20"/>
                <w:szCs w:val="20"/>
              </w:rPr>
            </w:pPr>
            <w:r w:rsidRPr="000D3B5C">
              <w:rPr>
                <w:b/>
                <w:sz w:val="20"/>
                <w:szCs w:val="20"/>
              </w:rPr>
              <w:t>Meets.</w:t>
            </w:r>
          </w:p>
          <w:p w14:paraId="35BE4BCA" w14:textId="438C35A4" w:rsidR="00746419" w:rsidRPr="000D3B5C" w:rsidRDefault="00043C7E" w:rsidP="00805BF6">
            <w:pPr>
              <w:rPr>
                <w:sz w:val="20"/>
                <w:szCs w:val="20"/>
              </w:rPr>
            </w:pPr>
            <w:r w:rsidRPr="000D3B5C">
              <w:rPr>
                <w:sz w:val="20"/>
                <w:szCs w:val="20"/>
              </w:rPr>
              <w:t xml:space="preserve">The dedicated squid fishery—the auto jig sector—is input-control managed through limited entry and vessel size limits. There is a maximum of 18 fishing licences (automatic squid jig) granted in the fishery. The fishing </w:t>
            </w:r>
            <w:r w:rsidRPr="000D3B5C">
              <w:rPr>
                <w:sz w:val="20"/>
                <w:szCs w:val="20"/>
              </w:rPr>
              <w:lastRenderedPageBreak/>
              <w:t xml:space="preserve">licence authorises the holder to use not more than four automatic squid jig machines, fish attraction lamps and lines to take Gould’s Squid. The licence is limited to the harvest of Gould’s Squid and does not authorise the take and/or possession of any other type of fish or bycatch. Under the </w:t>
            </w:r>
            <w:r w:rsidR="00805BF6" w:rsidRPr="000D3B5C">
              <w:rPr>
                <w:sz w:val="20"/>
                <w:szCs w:val="20"/>
              </w:rPr>
              <w:t xml:space="preserve">Scalefish Rules </w:t>
            </w:r>
            <w:r w:rsidRPr="000D3B5C">
              <w:rPr>
                <w:sz w:val="20"/>
                <w:szCs w:val="20"/>
              </w:rPr>
              <w:t>there are limits set for the length of vessels. The vessel length limits restrict the maximum number of squid jigs that can fit on a vessel and consequently cap the amount of effort that can be exerted in the fishery. Scalefish licence holders that do not hold a fishing licence (automatic squid jig) are restricted to the use of not more than four automatic squid jig machines and lights of no more than a total of 2000 watts.</w:t>
            </w:r>
          </w:p>
        </w:tc>
      </w:tr>
      <w:tr w:rsidR="00746419" w:rsidRPr="000D3B5C" w14:paraId="29DD3E6D" w14:textId="77777777" w:rsidTr="00860544">
        <w:tc>
          <w:tcPr>
            <w:tcW w:w="1500" w:type="pct"/>
            <w:shd w:val="clear" w:color="auto" w:fill="auto"/>
          </w:tcPr>
          <w:p w14:paraId="04C58685" w14:textId="77777777" w:rsidR="00746419" w:rsidRPr="000D3B5C" w:rsidRDefault="00746419" w:rsidP="000D3B5C">
            <w:pPr>
              <w:rPr>
                <w:sz w:val="20"/>
                <w:szCs w:val="20"/>
              </w:rPr>
            </w:pPr>
            <w:r w:rsidRPr="000D3B5C">
              <w:rPr>
                <w:sz w:val="20"/>
                <w:szCs w:val="20"/>
              </w:rPr>
              <w:lastRenderedPageBreak/>
              <w:t>Contain the means of enforcing critical aspects of the management arrangements</w:t>
            </w:r>
          </w:p>
        </w:tc>
        <w:tc>
          <w:tcPr>
            <w:tcW w:w="3500" w:type="pct"/>
            <w:gridSpan w:val="4"/>
            <w:shd w:val="clear" w:color="auto" w:fill="92D050"/>
          </w:tcPr>
          <w:p w14:paraId="28C66021" w14:textId="77777777" w:rsidR="00043C7E" w:rsidRPr="000D3B5C" w:rsidRDefault="00043C7E" w:rsidP="000D3B5C">
            <w:pPr>
              <w:rPr>
                <w:b/>
                <w:sz w:val="20"/>
                <w:szCs w:val="20"/>
              </w:rPr>
            </w:pPr>
            <w:r w:rsidRPr="000D3B5C">
              <w:rPr>
                <w:b/>
                <w:sz w:val="20"/>
                <w:szCs w:val="20"/>
              </w:rPr>
              <w:t>Meets.</w:t>
            </w:r>
          </w:p>
          <w:p w14:paraId="5D629439" w14:textId="77777777" w:rsidR="00746419" w:rsidRPr="000D3B5C" w:rsidRDefault="00043C7E" w:rsidP="000D3B5C">
            <w:pPr>
              <w:rPr>
                <w:sz w:val="20"/>
                <w:szCs w:val="20"/>
              </w:rPr>
            </w:pPr>
            <w:r w:rsidRPr="000D3B5C">
              <w:rPr>
                <w:sz w:val="20"/>
                <w:szCs w:val="20"/>
              </w:rPr>
              <w:t>The Scalefish Rules contain a grade of penalty attached to each rule, which is imposed by the Court if an offence is proven. Also, provisions apply for infringement notices with mandated smaller penalties—which can be issued at discretion by a fisheries officer for lesser or first offences. Enforcement of these rules is undertaken by Tasmania Police, who are authorised fishery officers under the LMRM Act.</w:t>
            </w:r>
          </w:p>
        </w:tc>
      </w:tr>
      <w:tr w:rsidR="00746419" w:rsidRPr="000D3B5C" w14:paraId="38AD9F4C" w14:textId="77777777" w:rsidTr="00860544">
        <w:tc>
          <w:tcPr>
            <w:tcW w:w="1500" w:type="pct"/>
            <w:shd w:val="clear" w:color="auto" w:fill="auto"/>
          </w:tcPr>
          <w:p w14:paraId="27B0AEC5" w14:textId="77777777" w:rsidR="00746419" w:rsidRPr="000D3B5C" w:rsidRDefault="00746419" w:rsidP="000D3B5C">
            <w:pPr>
              <w:rPr>
                <w:sz w:val="20"/>
                <w:szCs w:val="20"/>
              </w:rPr>
            </w:pPr>
            <w:r w:rsidRPr="000D3B5C">
              <w:rPr>
                <w:sz w:val="20"/>
                <w:szCs w:val="20"/>
              </w:rPr>
              <w:t>Provide for the periodic review of the performance of the fishery management arrangements and the management strategies, objectives and criteria</w:t>
            </w:r>
          </w:p>
        </w:tc>
        <w:tc>
          <w:tcPr>
            <w:tcW w:w="3500" w:type="pct"/>
            <w:gridSpan w:val="4"/>
            <w:shd w:val="clear" w:color="auto" w:fill="92D050"/>
          </w:tcPr>
          <w:p w14:paraId="402D86DF" w14:textId="77777777" w:rsidR="00043C7E" w:rsidRPr="000D3B5C" w:rsidRDefault="00043C7E" w:rsidP="000D3B5C">
            <w:pPr>
              <w:rPr>
                <w:b/>
                <w:sz w:val="20"/>
                <w:szCs w:val="20"/>
              </w:rPr>
            </w:pPr>
            <w:r w:rsidRPr="000D3B5C">
              <w:rPr>
                <w:b/>
                <w:sz w:val="20"/>
                <w:szCs w:val="20"/>
              </w:rPr>
              <w:t>Meets.</w:t>
            </w:r>
          </w:p>
          <w:p w14:paraId="502864BE" w14:textId="525BFCEE" w:rsidR="00746419" w:rsidRPr="000D3B5C" w:rsidRDefault="00043C7E" w:rsidP="00805BF6">
            <w:pPr>
              <w:rPr>
                <w:sz w:val="20"/>
                <w:szCs w:val="20"/>
              </w:rPr>
            </w:pPr>
            <w:r w:rsidRPr="000D3B5C">
              <w:rPr>
                <w:sz w:val="20"/>
                <w:szCs w:val="20"/>
              </w:rPr>
              <w:t>All fishery management rules are subject to periodical formal review</w:t>
            </w:r>
            <w:r w:rsidR="00805BF6">
              <w:rPr>
                <w:sz w:val="20"/>
                <w:szCs w:val="20"/>
              </w:rPr>
              <w:t xml:space="preserve"> – </w:t>
            </w:r>
            <w:r w:rsidRPr="000D3B5C">
              <w:rPr>
                <w:sz w:val="20"/>
                <w:szCs w:val="20"/>
              </w:rPr>
              <w:t>generally every ten years. However, if issues arise then more specific reviews can be undertaken and statutory management changes made as required. IMAS conduct annual fishery assessments and produce reports that include the performance measures in place for the fishery and reports against those measures using standardised methodology.</w:t>
            </w:r>
          </w:p>
        </w:tc>
      </w:tr>
      <w:tr w:rsidR="00746419" w:rsidRPr="000D3B5C" w14:paraId="5387560D" w14:textId="77777777" w:rsidTr="00860544">
        <w:tc>
          <w:tcPr>
            <w:tcW w:w="1500" w:type="pct"/>
            <w:shd w:val="clear" w:color="auto" w:fill="auto"/>
          </w:tcPr>
          <w:p w14:paraId="77C4EB04" w14:textId="77777777" w:rsidR="00746419" w:rsidRPr="000D3B5C" w:rsidRDefault="00746419" w:rsidP="000D3B5C">
            <w:pPr>
              <w:rPr>
                <w:sz w:val="20"/>
                <w:szCs w:val="20"/>
              </w:rPr>
            </w:pPr>
            <w:r w:rsidRPr="000D3B5C">
              <w:rPr>
                <w:sz w:val="20"/>
                <w:szCs w:val="20"/>
              </w:rPr>
              <w:t>Be capable of assessing, monitoring and avoiding, remedying or mitigating any adverse impacts on the wider marine ecosystem in which the target species lives and the fishery operates</w:t>
            </w:r>
          </w:p>
        </w:tc>
        <w:tc>
          <w:tcPr>
            <w:tcW w:w="3500" w:type="pct"/>
            <w:gridSpan w:val="4"/>
            <w:shd w:val="clear" w:color="auto" w:fill="92D050"/>
          </w:tcPr>
          <w:p w14:paraId="5878F26F" w14:textId="77777777" w:rsidR="00D533A5" w:rsidRPr="000D3B5C" w:rsidRDefault="00D533A5" w:rsidP="000D3B5C">
            <w:pPr>
              <w:rPr>
                <w:b/>
                <w:sz w:val="20"/>
                <w:szCs w:val="20"/>
              </w:rPr>
            </w:pPr>
            <w:r w:rsidRPr="000D3B5C">
              <w:rPr>
                <w:b/>
                <w:sz w:val="20"/>
                <w:szCs w:val="20"/>
              </w:rPr>
              <w:t>Meets.</w:t>
            </w:r>
          </w:p>
          <w:p w14:paraId="28E77BDB" w14:textId="3C5820E1" w:rsidR="00746419" w:rsidRPr="000D3B5C" w:rsidRDefault="00D533A5" w:rsidP="00805BF6">
            <w:pPr>
              <w:rPr>
                <w:sz w:val="20"/>
                <w:szCs w:val="20"/>
              </w:rPr>
            </w:pPr>
            <w:r w:rsidRPr="000D3B5C">
              <w:rPr>
                <w:sz w:val="20"/>
                <w:szCs w:val="20"/>
              </w:rPr>
              <w:t>Given the highly selective nature of the fishing gear used, interactions with threatened, endangered or protected species (TEPS) is not a concern for this fishery. Available information suggests that the current take of Gould’s Squid in Australian waters is very low in comparison to historical catch levels. Current management arrangements are sufficient and any adverse impacts on the wider marine ecosystem are unlikely (see section 1.1.5).</w:t>
            </w:r>
          </w:p>
        </w:tc>
      </w:tr>
      <w:tr w:rsidR="00746419" w:rsidRPr="000D3B5C" w14:paraId="56835A92" w14:textId="77777777" w:rsidTr="00860544">
        <w:tc>
          <w:tcPr>
            <w:tcW w:w="1500" w:type="pct"/>
            <w:shd w:val="clear" w:color="auto" w:fill="auto"/>
          </w:tcPr>
          <w:p w14:paraId="09FD143B" w14:textId="77777777" w:rsidR="00746419" w:rsidRPr="000D3B5C" w:rsidRDefault="00746419" w:rsidP="000D3B5C">
            <w:pPr>
              <w:rPr>
                <w:sz w:val="20"/>
                <w:szCs w:val="20"/>
              </w:rPr>
            </w:pPr>
            <w:r w:rsidRPr="000D3B5C">
              <w:rPr>
                <w:sz w:val="20"/>
                <w:szCs w:val="20"/>
              </w:rPr>
              <w:t>Requires compliance with relevant threat abatement plans, recovery plans, the National Policy on Fisheries Bycatch, and bycatch action strategies developed under the policy</w:t>
            </w:r>
          </w:p>
        </w:tc>
        <w:tc>
          <w:tcPr>
            <w:tcW w:w="3500" w:type="pct"/>
            <w:gridSpan w:val="4"/>
            <w:shd w:val="clear" w:color="auto" w:fill="auto"/>
          </w:tcPr>
          <w:p w14:paraId="13EA9D13" w14:textId="77777777" w:rsidR="00B7680C" w:rsidRPr="000D3B5C" w:rsidRDefault="00B7680C" w:rsidP="000D3B5C">
            <w:pPr>
              <w:rPr>
                <w:b/>
                <w:sz w:val="20"/>
                <w:szCs w:val="20"/>
              </w:rPr>
            </w:pPr>
            <w:r w:rsidRPr="000D3B5C">
              <w:rPr>
                <w:b/>
                <w:sz w:val="20"/>
                <w:szCs w:val="20"/>
              </w:rPr>
              <w:t>Not applicable.</w:t>
            </w:r>
          </w:p>
          <w:p w14:paraId="413983D5" w14:textId="4E30DB07" w:rsidR="00746419" w:rsidRPr="000D3B5C" w:rsidRDefault="00B7680C" w:rsidP="000D3B5C">
            <w:pPr>
              <w:rPr>
                <w:sz w:val="20"/>
                <w:szCs w:val="20"/>
              </w:rPr>
            </w:pPr>
            <w:r w:rsidRPr="000D3B5C">
              <w:rPr>
                <w:sz w:val="20"/>
                <w:szCs w:val="20"/>
              </w:rPr>
              <w:t>There are no relevant plans or strategies relating to threat abatement, recovery or bycatch with which the fishery is required to be compliant.</w:t>
            </w:r>
          </w:p>
        </w:tc>
      </w:tr>
      <w:tr w:rsidR="00746419" w:rsidRPr="000D3B5C" w14:paraId="29C83340" w14:textId="77777777" w:rsidTr="00860544">
        <w:tc>
          <w:tcPr>
            <w:tcW w:w="5000" w:type="pct"/>
            <w:gridSpan w:val="5"/>
            <w:shd w:val="clear" w:color="auto" w:fill="92CDDC"/>
          </w:tcPr>
          <w:p w14:paraId="083664DD" w14:textId="77777777" w:rsidR="00746419" w:rsidRPr="000D3B5C" w:rsidRDefault="00746419" w:rsidP="000D3B5C">
            <w:pPr>
              <w:autoSpaceDE w:val="0"/>
              <w:autoSpaceDN w:val="0"/>
              <w:adjustRightInd w:val="0"/>
              <w:rPr>
                <w:b/>
                <w:bCs/>
                <w:sz w:val="20"/>
                <w:szCs w:val="20"/>
              </w:rPr>
            </w:pPr>
            <w:r w:rsidRPr="000D3B5C">
              <w:rPr>
                <w:b/>
                <w:bCs/>
                <w:sz w:val="20"/>
                <w:szCs w:val="20"/>
              </w:rPr>
              <w:t xml:space="preserve">PRINCIPLE 1 - </w:t>
            </w:r>
            <w:r w:rsidRPr="000D3B5C">
              <w:rPr>
                <w:sz w:val="20"/>
                <w:szCs w:val="20"/>
              </w:rPr>
              <w:t>A fishery must be conducted in a manner that does not lead to over-fishing, or for those stocks that are over-fished, the fishery must be conducted such that there is a high degree of probability the stock(s) will recover</w:t>
            </w:r>
            <w:r w:rsidRPr="000D3B5C">
              <w:rPr>
                <w:b/>
                <w:bCs/>
                <w:sz w:val="20"/>
                <w:szCs w:val="20"/>
              </w:rPr>
              <w:t xml:space="preserve">. </w:t>
            </w:r>
          </w:p>
        </w:tc>
      </w:tr>
      <w:tr w:rsidR="00746419" w:rsidRPr="000D3B5C" w14:paraId="6CDA9E4C" w14:textId="77777777" w:rsidTr="00860544">
        <w:tc>
          <w:tcPr>
            <w:tcW w:w="5000" w:type="pct"/>
            <w:gridSpan w:val="5"/>
            <w:shd w:val="clear" w:color="auto" w:fill="B6DDE8"/>
          </w:tcPr>
          <w:p w14:paraId="0062E43D" w14:textId="77777777" w:rsidR="00746419" w:rsidRPr="000D3B5C" w:rsidRDefault="00746419" w:rsidP="000D3B5C">
            <w:pPr>
              <w:rPr>
                <w:b/>
                <w:bCs/>
                <w:sz w:val="20"/>
                <w:szCs w:val="20"/>
              </w:rPr>
            </w:pPr>
            <w:r w:rsidRPr="000D3B5C">
              <w:rPr>
                <w:b/>
                <w:bCs/>
                <w:sz w:val="20"/>
                <w:szCs w:val="20"/>
              </w:rPr>
              <w:t xml:space="preserve">Objective 1 - </w:t>
            </w:r>
            <w:r w:rsidRPr="000D3B5C">
              <w:rPr>
                <w:sz w:val="20"/>
                <w:szCs w:val="20"/>
              </w:rPr>
              <w:t xml:space="preserve">The fishery shall be conducted at catch levels that maintain ecologically viable stock levels at an agreed point or range, with acceptable levels of probability. </w:t>
            </w:r>
          </w:p>
        </w:tc>
      </w:tr>
      <w:tr w:rsidR="00746419" w:rsidRPr="000D3B5C" w14:paraId="4EE414B4" w14:textId="77777777" w:rsidTr="00860544">
        <w:tc>
          <w:tcPr>
            <w:tcW w:w="5000" w:type="pct"/>
            <w:gridSpan w:val="5"/>
            <w:shd w:val="clear" w:color="auto" w:fill="DAEEF3"/>
          </w:tcPr>
          <w:p w14:paraId="19F7B4E9" w14:textId="77777777" w:rsidR="00746419" w:rsidRPr="000D3B5C" w:rsidRDefault="00746419" w:rsidP="000D3B5C">
            <w:pPr>
              <w:rPr>
                <w:b/>
                <w:bCs/>
                <w:i/>
                <w:iCs/>
                <w:sz w:val="20"/>
                <w:szCs w:val="20"/>
              </w:rPr>
            </w:pPr>
            <w:r w:rsidRPr="000D3B5C">
              <w:rPr>
                <w:b/>
                <w:bCs/>
                <w:i/>
                <w:iCs/>
                <w:sz w:val="20"/>
                <w:szCs w:val="20"/>
              </w:rPr>
              <w:t xml:space="preserve">Information requirements </w:t>
            </w:r>
          </w:p>
        </w:tc>
      </w:tr>
      <w:tr w:rsidR="00746419" w:rsidRPr="000D3B5C" w14:paraId="6C852684" w14:textId="77777777" w:rsidTr="00860544">
        <w:tc>
          <w:tcPr>
            <w:tcW w:w="1500" w:type="pct"/>
          </w:tcPr>
          <w:p w14:paraId="1EFB10DD" w14:textId="77777777" w:rsidR="00746419" w:rsidRPr="000D3B5C" w:rsidRDefault="00746419" w:rsidP="000D3B5C">
            <w:pPr>
              <w:rPr>
                <w:b/>
                <w:bCs/>
                <w:i/>
                <w:iCs/>
                <w:sz w:val="20"/>
                <w:szCs w:val="20"/>
              </w:rPr>
            </w:pPr>
            <w:r w:rsidRPr="000D3B5C">
              <w:rPr>
                <w:b/>
                <w:bCs/>
                <w:i/>
                <w:iCs/>
                <w:sz w:val="20"/>
                <w:szCs w:val="20"/>
              </w:rPr>
              <w:t xml:space="preserve">1.1.1 </w:t>
            </w:r>
            <w:r w:rsidRPr="000D3B5C">
              <w:rPr>
                <w:sz w:val="20"/>
                <w:szCs w:val="20"/>
              </w:rPr>
              <w:t xml:space="preserve">There is a reliable information collection system in place appropriate to the scale of the fishery. The level of data collection should be based upon an </w:t>
            </w:r>
            <w:r w:rsidRPr="000D3B5C">
              <w:rPr>
                <w:sz w:val="20"/>
                <w:szCs w:val="20"/>
              </w:rPr>
              <w:lastRenderedPageBreak/>
              <w:t xml:space="preserve">appropriate mix of fishery independent and dependent research and monitoring. </w:t>
            </w:r>
          </w:p>
        </w:tc>
        <w:tc>
          <w:tcPr>
            <w:tcW w:w="3500" w:type="pct"/>
            <w:gridSpan w:val="4"/>
            <w:shd w:val="clear" w:color="auto" w:fill="92D050"/>
          </w:tcPr>
          <w:p w14:paraId="78262C46" w14:textId="77777777" w:rsidR="00B7680C" w:rsidRPr="000D3B5C" w:rsidRDefault="00B7680C" w:rsidP="000D3B5C">
            <w:pPr>
              <w:rPr>
                <w:b/>
                <w:sz w:val="20"/>
                <w:szCs w:val="20"/>
              </w:rPr>
            </w:pPr>
            <w:r w:rsidRPr="000D3B5C">
              <w:rPr>
                <w:b/>
                <w:sz w:val="20"/>
                <w:szCs w:val="20"/>
              </w:rPr>
              <w:lastRenderedPageBreak/>
              <w:t>Meets.</w:t>
            </w:r>
          </w:p>
          <w:p w14:paraId="6B7D7236" w14:textId="77777777" w:rsidR="00B7680C" w:rsidRPr="000D3B5C" w:rsidRDefault="00B7680C" w:rsidP="000D3B5C">
            <w:pPr>
              <w:rPr>
                <w:sz w:val="20"/>
                <w:szCs w:val="20"/>
              </w:rPr>
            </w:pPr>
            <w:r w:rsidRPr="000D3B5C">
              <w:rPr>
                <w:sz w:val="20"/>
                <w:szCs w:val="20"/>
              </w:rPr>
              <w:t>There is no formal observer program, which is not inappropriate given the small size of the fishery. Instead, information gathered is based around fishing returns and the analysis of catch, effort, and catch per unit effort (CPUE).</w:t>
            </w:r>
          </w:p>
          <w:p w14:paraId="46937A54" w14:textId="77777777" w:rsidR="00B7680C" w:rsidRPr="000D3B5C" w:rsidRDefault="00B7680C" w:rsidP="000D3B5C">
            <w:pPr>
              <w:rPr>
                <w:sz w:val="20"/>
                <w:szCs w:val="20"/>
              </w:rPr>
            </w:pPr>
            <w:r w:rsidRPr="000D3B5C">
              <w:rPr>
                <w:sz w:val="20"/>
                <w:szCs w:val="20"/>
              </w:rPr>
              <w:lastRenderedPageBreak/>
              <w:t>The Commercial Catch, Effort and Disposal Record (formerly known as the General Fishing Returns and Scalefish Fishing Record) has been amended several times to provide finer spatial scales and greater operational detail. Current reporting practices are now aligned with the national methodology for reporting on fishery performance.</w:t>
            </w:r>
          </w:p>
          <w:p w14:paraId="67C4307D" w14:textId="54AC1125" w:rsidR="00746419" w:rsidRPr="000D3B5C" w:rsidRDefault="00B7680C" w:rsidP="000D3B5C">
            <w:pPr>
              <w:rPr>
                <w:sz w:val="20"/>
                <w:szCs w:val="20"/>
              </w:rPr>
            </w:pPr>
            <w:r w:rsidRPr="000D3B5C">
              <w:rPr>
                <w:sz w:val="20"/>
                <w:szCs w:val="20"/>
              </w:rPr>
              <w:t>The Gould’s Squid chapter in the Status of Key Australian Fish Stocks (SAFS) Reports 2014 (FRDC 2014) reported on the state of Gould’s Squid at a whole of stock level, providing a cross-jurisdictional stock analysis. The stock is currently reported as sustainable.</w:t>
            </w:r>
          </w:p>
        </w:tc>
      </w:tr>
      <w:tr w:rsidR="00746419" w:rsidRPr="000D3B5C" w14:paraId="2C0593BB" w14:textId="77777777" w:rsidTr="00860544">
        <w:tc>
          <w:tcPr>
            <w:tcW w:w="5000" w:type="pct"/>
            <w:gridSpan w:val="5"/>
            <w:shd w:val="clear" w:color="auto" w:fill="DAEEF3"/>
          </w:tcPr>
          <w:p w14:paraId="4B238080" w14:textId="77777777" w:rsidR="00746419" w:rsidRPr="000D3B5C" w:rsidRDefault="00746419" w:rsidP="000D3B5C">
            <w:pPr>
              <w:rPr>
                <w:b/>
                <w:bCs/>
                <w:i/>
                <w:iCs/>
                <w:sz w:val="20"/>
                <w:szCs w:val="20"/>
              </w:rPr>
            </w:pPr>
            <w:r w:rsidRPr="000D3B5C">
              <w:rPr>
                <w:b/>
                <w:bCs/>
                <w:i/>
                <w:iCs/>
                <w:sz w:val="20"/>
                <w:szCs w:val="20"/>
              </w:rPr>
              <w:lastRenderedPageBreak/>
              <w:t xml:space="preserve">Assessment </w:t>
            </w:r>
          </w:p>
        </w:tc>
      </w:tr>
      <w:tr w:rsidR="00746419" w:rsidRPr="000D3B5C" w14:paraId="5BBB3537" w14:textId="77777777" w:rsidTr="00802133">
        <w:tc>
          <w:tcPr>
            <w:tcW w:w="1500" w:type="pct"/>
          </w:tcPr>
          <w:p w14:paraId="6D012F9E" w14:textId="77777777" w:rsidR="00746419" w:rsidRPr="000D3B5C" w:rsidRDefault="00746419" w:rsidP="000D3B5C">
            <w:pPr>
              <w:rPr>
                <w:b/>
                <w:bCs/>
                <w:i/>
                <w:iCs/>
                <w:sz w:val="20"/>
                <w:szCs w:val="20"/>
              </w:rPr>
            </w:pPr>
            <w:r w:rsidRPr="000D3B5C">
              <w:rPr>
                <w:b/>
                <w:bCs/>
                <w:i/>
                <w:iCs/>
                <w:sz w:val="20"/>
                <w:szCs w:val="20"/>
              </w:rPr>
              <w:t xml:space="preserve">1.1.2 </w:t>
            </w:r>
            <w:r w:rsidRPr="000D3B5C">
              <w:rPr>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gridSpan w:val="4"/>
            <w:shd w:val="clear" w:color="auto" w:fill="92D050"/>
          </w:tcPr>
          <w:p w14:paraId="208CBD16" w14:textId="77777777" w:rsidR="00B7680C" w:rsidRPr="000D3B5C" w:rsidRDefault="00B7680C" w:rsidP="000D3B5C">
            <w:pPr>
              <w:rPr>
                <w:b/>
                <w:sz w:val="20"/>
                <w:szCs w:val="20"/>
              </w:rPr>
            </w:pPr>
            <w:r w:rsidRPr="000D3B5C">
              <w:rPr>
                <w:b/>
                <w:sz w:val="20"/>
                <w:szCs w:val="20"/>
              </w:rPr>
              <w:t>Meets.</w:t>
            </w:r>
          </w:p>
          <w:p w14:paraId="18965EB0" w14:textId="651F3B25" w:rsidR="00746419" w:rsidRPr="000D3B5C" w:rsidRDefault="00B7680C" w:rsidP="00805BF6">
            <w:pPr>
              <w:rPr>
                <w:sz w:val="20"/>
                <w:szCs w:val="20"/>
              </w:rPr>
            </w:pPr>
            <w:r w:rsidRPr="000D3B5C">
              <w:rPr>
                <w:sz w:val="20"/>
                <w:szCs w:val="20"/>
              </w:rPr>
              <w:t xml:space="preserve">Fishery </w:t>
            </w:r>
            <w:r w:rsidR="0082794B" w:rsidRPr="000D3B5C">
              <w:rPr>
                <w:sz w:val="20"/>
                <w:szCs w:val="20"/>
              </w:rPr>
              <w:t>a</w:t>
            </w:r>
            <w:r w:rsidRPr="000D3B5C">
              <w:rPr>
                <w:sz w:val="20"/>
                <w:szCs w:val="20"/>
              </w:rPr>
              <w:t xml:space="preserve">ssessment </w:t>
            </w:r>
            <w:r w:rsidR="0082794B" w:rsidRPr="000D3B5C">
              <w:rPr>
                <w:sz w:val="20"/>
                <w:szCs w:val="20"/>
              </w:rPr>
              <w:t>r</w:t>
            </w:r>
            <w:r w:rsidRPr="000D3B5C">
              <w:rPr>
                <w:sz w:val="20"/>
                <w:szCs w:val="20"/>
              </w:rPr>
              <w:t>eport</w:t>
            </w:r>
            <w:r w:rsidR="0082794B" w:rsidRPr="000D3B5C">
              <w:rPr>
                <w:sz w:val="20"/>
                <w:szCs w:val="20"/>
              </w:rPr>
              <w:t>s are</w:t>
            </w:r>
            <w:r w:rsidRPr="000D3B5C">
              <w:rPr>
                <w:sz w:val="20"/>
                <w:szCs w:val="20"/>
              </w:rPr>
              <w:t xml:space="preserve"> produced by IMAS</w:t>
            </w:r>
            <w:r w:rsidR="0082794B" w:rsidRPr="000D3B5C">
              <w:rPr>
                <w:sz w:val="20"/>
                <w:szCs w:val="20"/>
              </w:rPr>
              <w:t xml:space="preserve"> and are</w:t>
            </w:r>
            <w:r w:rsidRPr="000D3B5C">
              <w:rPr>
                <w:sz w:val="20"/>
                <w:szCs w:val="20"/>
              </w:rPr>
              <w:t xml:space="preserve"> the primary vehicle for reporting on Gould’s Squid taken in Tasmanian waters. As suggested above, this report has now been aligned with the national methodology for reporting on fishery performance. The Australian Bureau of Agricultural and Resource Economics and Sciences also conduct an annual assessment of the Commonwealth SSJF that must account for catches taken in other jurisdictions, including Tasmania.</w:t>
            </w:r>
            <w:r w:rsidR="00805BF6">
              <w:rPr>
                <w:sz w:val="20"/>
                <w:szCs w:val="20"/>
              </w:rPr>
              <w:t xml:space="preserve"> </w:t>
            </w:r>
            <w:r w:rsidRPr="000D3B5C">
              <w:rPr>
                <w:sz w:val="20"/>
                <w:szCs w:val="20"/>
              </w:rPr>
              <w:t>The SAFS Report 2014 (FRDC</w:t>
            </w:r>
            <w:r w:rsidR="00805BF6">
              <w:rPr>
                <w:sz w:val="20"/>
                <w:szCs w:val="20"/>
              </w:rPr>
              <w:t xml:space="preserve"> 2014</w:t>
            </w:r>
            <w:r w:rsidRPr="000D3B5C">
              <w:rPr>
                <w:sz w:val="20"/>
                <w:szCs w:val="20"/>
              </w:rPr>
              <w:t xml:space="preserve">) provides a consistent format and approach for reporting on the performance of squid fisheries across jurisdictions. </w:t>
            </w:r>
            <w:r w:rsidR="0082794B" w:rsidRPr="000D3B5C">
              <w:rPr>
                <w:sz w:val="20"/>
                <w:szCs w:val="20"/>
              </w:rPr>
              <w:t>DPIPWE</w:t>
            </w:r>
            <w:r w:rsidRPr="000D3B5C">
              <w:rPr>
                <w:sz w:val="20"/>
                <w:szCs w:val="20"/>
              </w:rPr>
              <w:t xml:space="preserve"> will utilise this</w:t>
            </w:r>
            <w:r w:rsidR="0082794B" w:rsidRPr="000D3B5C">
              <w:rPr>
                <w:sz w:val="20"/>
                <w:szCs w:val="20"/>
              </w:rPr>
              <w:t xml:space="preserve"> information </w:t>
            </w:r>
            <w:r w:rsidRPr="000D3B5C">
              <w:rPr>
                <w:sz w:val="20"/>
                <w:szCs w:val="20"/>
              </w:rPr>
              <w:t>to inform local management practices.</w:t>
            </w:r>
          </w:p>
        </w:tc>
      </w:tr>
      <w:tr w:rsidR="00746419" w:rsidRPr="000D3B5C" w14:paraId="3758B793" w14:textId="77777777" w:rsidTr="00860544">
        <w:tc>
          <w:tcPr>
            <w:tcW w:w="1500" w:type="pct"/>
          </w:tcPr>
          <w:p w14:paraId="37F5706C" w14:textId="77777777" w:rsidR="00746419" w:rsidRPr="000D3B5C" w:rsidRDefault="00746419" w:rsidP="000D3B5C">
            <w:pPr>
              <w:rPr>
                <w:b/>
                <w:bCs/>
                <w:i/>
                <w:iCs/>
                <w:sz w:val="20"/>
                <w:szCs w:val="20"/>
              </w:rPr>
            </w:pPr>
            <w:r w:rsidRPr="000D3B5C">
              <w:rPr>
                <w:b/>
                <w:bCs/>
                <w:i/>
                <w:iCs/>
                <w:sz w:val="20"/>
                <w:szCs w:val="20"/>
              </w:rPr>
              <w:t xml:space="preserve">1.1.3 </w:t>
            </w:r>
            <w:r w:rsidRPr="000D3B5C">
              <w:rPr>
                <w:sz w:val="20"/>
                <w:szCs w:val="20"/>
              </w:rPr>
              <w:t>The distribution and spatial structure of the stock(s) has been established and factored into management responses</w:t>
            </w:r>
            <w:r w:rsidRPr="000D3B5C">
              <w:rPr>
                <w:i/>
                <w:iCs/>
                <w:sz w:val="20"/>
                <w:szCs w:val="20"/>
              </w:rPr>
              <w:t xml:space="preserve">. </w:t>
            </w:r>
          </w:p>
        </w:tc>
        <w:tc>
          <w:tcPr>
            <w:tcW w:w="3500" w:type="pct"/>
            <w:gridSpan w:val="4"/>
            <w:shd w:val="clear" w:color="auto" w:fill="92D050"/>
          </w:tcPr>
          <w:p w14:paraId="1BA39E49" w14:textId="77777777" w:rsidR="009640AE" w:rsidRPr="000D3B5C" w:rsidRDefault="009640AE" w:rsidP="000D3B5C">
            <w:pPr>
              <w:rPr>
                <w:b/>
                <w:sz w:val="20"/>
                <w:szCs w:val="20"/>
              </w:rPr>
            </w:pPr>
            <w:r w:rsidRPr="000D3B5C">
              <w:rPr>
                <w:b/>
                <w:sz w:val="20"/>
                <w:szCs w:val="20"/>
              </w:rPr>
              <w:t>Meets.</w:t>
            </w:r>
          </w:p>
          <w:p w14:paraId="775C9F50" w14:textId="450A74E3" w:rsidR="00746419" w:rsidRPr="000D3B5C" w:rsidRDefault="009640AE" w:rsidP="000D3B5C">
            <w:pPr>
              <w:rPr>
                <w:sz w:val="20"/>
                <w:szCs w:val="20"/>
              </w:rPr>
            </w:pPr>
            <w:r w:rsidRPr="000D3B5C">
              <w:rPr>
                <w:sz w:val="20"/>
                <w:szCs w:val="20"/>
              </w:rPr>
              <w:t>Distribution and spatial structure is not factored into management responses. However, there is assumed to be a single biological stock of Gould’s Squid throughout southern Australian waters and harvest is managed accordingly. Genetic studies are limited, but support this hypothesis.</w:t>
            </w:r>
          </w:p>
        </w:tc>
      </w:tr>
      <w:tr w:rsidR="00746419" w:rsidRPr="000D3B5C" w14:paraId="120F5B9E" w14:textId="77777777" w:rsidTr="00860544">
        <w:tc>
          <w:tcPr>
            <w:tcW w:w="1500" w:type="pct"/>
          </w:tcPr>
          <w:p w14:paraId="61875173" w14:textId="77777777" w:rsidR="00746419" w:rsidRPr="000D3B5C" w:rsidRDefault="00746419" w:rsidP="000D3B5C">
            <w:pPr>
              <w:rPr>
                <w:b/>
                <w:bCs/>
                <w:i/>
                <w:iCs/>
                <w:sz w:val="20"/>
                <w:szCs w:val="20"/>
              </w:rPr>
            </w:pPr>
            <w:r w:rsidRPr="000D3B5C">
              <w:rPr>
                <w:b/>
                <w:bCs/>
                <w:i/>
                <w:iCs/>
                <w:sz w:val="20"/>
                <w:szCs w:val="20"/>
              </w:rPr>
              <w:t xml:space="preserve">1.1.4 </w:t>
            </w:r>
            <w:r w:rsidRPr="000D3B5C">
              <w:rPr>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3500" w:type="pct"/>
            <w:gridSpan w:val="4"/>
            <w:shd w:val="clear" w:color="auto" w:fill="92D050"/>
          </w:tcPr>
          <w:p w14:paraId="4920473B" w14:textId="77777777" w:rsidR="009640AE" w:rsidRPr="000D3B5C" w:rsidRDefault="009640AE" w:rsidP="000D3B5C">
            <w:pPr>
              <w:rPr>
                <w:b/>
                <w:sz w:val="20"/>
                <w:szCs w:val="20"/>
              </w:rPr>
            </w:pPr>
            <w:r w:rsidRPr="000D3B5C">
              <w:rPr>
                <w:b/>
                <w:sz w:val="20"/>
                <w:szCs w:val="20"/>
              </w:rPr>
              <w:t>Meets.</w:t>
            </w:r>
          </w:p>
          <w:p w14:paraId="7659887C" w14:textId="2642CF89" w:rsidR="009640AE" w:rsidRPr="000D3B5C" w:rsidRDefault="00805BF6" w:rsidP="000D3B5C">
            <w:pPr>
              <w:rPr>
                <w:sz w:val="20"/>
                <w:szCs w:val="20"/>
              </w:rPr>
            </w:pPr>
            <w:r>
              <w:rPr>
                <w:sz w:val="20"/>
                <w:szCs w:val="20"/>
              </w:rPr>
              <w:t>Log</w:t>
            </w:r>
            <w:r w:rsidR="009640AE" w:rsidRPr="000D3B5C">
              <w:rPr>
                <w:sz w:val="20"/>
                <w:szCs w:val="20"/>
              </w:rPr>
              <w:t xml:space="preserve">books and catch disposal records give reliable estimates of removals from the Tasmanian fishery and catch from the Commonwealth SSJF is considered in stock assessments. </w:t>
            </w:r>
          </w:p>
          <w:p w14:paraId="58DC2F4C" w14:textId="20D9AA86" w:rsidR="00746419" w:rsidRPr="000D3B5C" w:rsidRDefault="009640AE" w:rsidP="00805BF6">
            <w:pPr>
              <w:rPr>
                <w:sz w:val="20"/>
                <w:szCs w:val="20"/>
              </w:rPr>
            </w:pPr>
            <w:r w:rsidRPr="000D3B5C">
              <w:rPr>
                <w:sz w:val="20"/>
                <w:szCs w:val="20"/>
              </w:rPr>
              <w:t>A survey of recreational fishing in Tasmania is conducted every five years. The recreational harvest is factored into local stock assessment. Although no estimate of Indigenous harvest of Gould’s squid has been provided, the catch is considered to be low.</w:t>
            </w:r>
          </w:p>
        </w:tc>
      </w:tr>
      <w:tr w:rsidR="00746419" w:rsidRPr="000D3B5C" w14:paraId="7A1ACAF8" w14:textId="77777777" w:rsidTr="00860544">
        <w:tc>
          <w:tcPr>
            <w:tcW w:w="1500" w:type="pct"/>
          </w:tcPr>
          <w:p w14:paraId="723A6A2D" w14:textId="77777777" w:rsidR="00746419" w:rsidRPr="000D3B5C" w:rsidRDefault="00746419" w:rsidP="000D3B5C">
            <w:pPr>
              <w:rPr>
                <w:sz w:val="20"/>
                <w:szCs w:val="20"/>
              </w:rPr>
            </w:pPr>
            <w:r w:rsidRPr="000D3B5C">
              <w:rPr>
                <w:b/>
                <w:bCs/>
                <w:i/>
                <w:iCs/>
                <w:sz w:val="20"/>
                <w:szCs w:val="20"/>
              </w:rPr>
              <w:t xml:space="preserve">1.1.5 </w:t>
            </w:r>
            <w:r w:rsidRPr="000D3B5C">
              <w:rPr>
                <w:sz w:val="20"/>
                <w:szCs w:val="20"/>
              </w:rPr>
              <w:t xml:space="preserve">There is a sound estimate of the potential productivity of the fished stock/s and the proportion that could be harvested. </w:t>
            </w:r>
          </w:p>
        </w:tc>
        <w:tc>
          <w:tcPr>
            <w:tcW w:w="3500" w:type="pct"/>
            <w:gridSpan w:val="4"/>
            <w:shd w:val="clear" w:color="auto" w:fill="FFC000"/>
          </w:tcPr>
          <w:p w14:paraId="559A698F" w14:textId="77777777" w:rsidR="009640AE" w:rsidRPr="000D3B5C" w:rsidRDefault="009640AE" w:rsidP="000D3B5C">
            <w:pPr>
              <w:rPr>
                <w:b/>
                <w:sz w:val="20"/>
                <w:szCs w:val="20"/>
              </w:rPr>
            </w:pPr>
            <w:r w:rsidRPr="000D3B5C">
              <w:rPr>
                <w:b/>
                <w:sz w:val="20"/>
                <w:szCs w:val="20"/>
              </w:rPr>
              <w:t>Partially meets.</w:t>
            </w:r>
          </w:p>
          <w:p w14:paraId="1FD0801F" w14:textId="6C40BDC3" w:rsidR="009640AE" w:rsidRPr="000D3B5C" w:rsidRDefault="009640AE" w:rsidP="000D3B5C">
            <w:pPr>
              <w:rPr>
                <w:sz w:val="20"/>
                <w:szCs w:val="20"/>
              </w:rPr>
            </w:pPr>
            <w:r w:rsidRPr="000D3B5C">
              <w:rPr>
                <w:sz w:val="20"/>
                <w:szCs w:val="20"/>
              </w:rPr>
              <w:t>No comprehensive stock assessment exists for Gould’s Squid. However, Gould’s Squid</w:t>
            </w:r>
            <w:r w:rsidR="0082794B" w:rsidRPr="000D3B5C">
              <w:rPr>
                <w:sz w:val="20"/>
                <w:szCs w:val="20"/>
              </w:rPr>
              <w:t xml:space="preserve"> </w:t>
            </w:r>
            <w:r w:rsidR="00805BF6">
              <w:rPr>
                <w:sz w:val="20"/>
                <w:szCs w:val="20"/>
              </w:rPr>
              <w:t>is</w:t>
            </w:r>
            <w:r w:rsidR="0082794B" w:rsidRPr="000D3B5C">
              <w:rPr>
                <w:sz w:val="20"/>
                <w:szCs w:val="20"/>
              </w:rPr>
              <w:t xml:space="preserve"> short lived (&lt;1 </w:t>
            </w:r>
            <w:r w:rsidRPr="000D3B5C">
              <w:rPr>
                <w:sz w:val="20"/>
                <w:szCs w:val="20"/>
              </w:rPr>
              <w:t>year), spawn multiple times during their life, and display highly variable growth and size/age at maturity. These characteristics mean that the species can rapidly increase in numbers during favourable environmental conditions and is therefore less susceptible to overfishing than longer lived species.</w:t>
            </w:r>
            <w:r w:rsidR="00805BF6">
              <w:rPr>
                <w:sz w:val="20"/>
                <w:szCs w:val="20"/>
              </w:rPr>
              <w:t xml:space="preserve"> </w:t>
            </w:r>
          </w:p>
          <w:p w14:paraId="1CCFF1B1" w14:textId="77777777" w:rsidR="009640AE" w:rsidRPr="000D3B5C" w:rsidRDefault="009640AE" w:rsidP="000D3B5C">
            <w:pPr>
              <w:rPr>
                <w:sz w:val="20"/>
                <w:szCs w:val="20"/>
              </w:rPr>
            </w:pPr>
            <w:r w:rsidRPr="000D3B5C">
              <w:rPr>
                <w:sz w:val="20"/>
                <w:szCs w:val="20"/>
              </w:rPr>
              <w:t>There has been an overall decline in harvest levels by other fisheries across the Gould’s Squid biological stock. The total fishing effort in the Commonwealth SSJF has decreased markedly since the peak fishing effort in 1997, to a historical low in 2014. Fishing effort from Commonwealth Trawl fisheries has also substantially decreased since 2000. The fall in fishing effort levels is considered a result of economic factors rather than long term changes in Gould’s Squid catch rates. This indicates that the current level of fishing mortality is unlikely to cause the biological stock to become recruitment overfished.</w:t>
            </w:r>
          </w:p>
          <w:p w14:paraId="35D9A850" w14:textId="6FAAB991" w:rsidR="00746419" w:rsidRPr="000D3B5C" w:rsidRDefault="009640AE" w:rsidP="00805BF6">
            <w:pPr>
              <w:rPr>
                <w:sz w:val="20"/>
                <w:szCs w:val="20"/>
              </w:rPr>
            </w:pPr>
            <w:r w:rsidRPr="000D3B5C">
              <w:rPr>
                <w:sz w:val="20"/>
                <w:szCs w:val="20"/>
              </w:rPr>
              <w:lastRenderedPageBreak/>
              <w:t xml:space="preserve">The peak historical catch of Gould’s Squid in south-eastern Australian waters is estimated at 7,914 tonnes for the 1979–80 fishing season. A preliminary analysis of biological stock depletion off western Victoria by foreign fishing during the early 1980s, and for the domestic fishery for the period 1995 to 2006, suggests that jigging or demersal trawling had not resulted in overfishing during these seasons. Comparative to these historical harvests, the total commercial catch of Gould's Squid in 2013 was 1,866 tonnes. These findings suggest that the current harvesting levels across the south-eastern Australian Gould’s Squid biological stock </w:t>
            </w:r>
            <w:r w:rsidR="00805BF6">
              <w:rPr>
                <w:sz w:val="20"/>
                <w:szCs w:val="20"/>
              </w:rPr>
              <w:t>is</w:t>
            </w:r>
            <w:r w:rsidRPr="000D3B5C">
              <w:rPr>
                <w:sz w:val="20"/>
                <w:szCs w:val="20"/>
              </w:rPr>
              <w:t xml:space="preserve"> sustainable.</w:t>
            </w:r>
          </w:p>
        </w:tc>
      </w:tr>
      <w:tr w:rsidR="00746419" w:rsidRPr="000D3B5C" w14:paraId="47AD1454" w14:textId="77777777" w:rsidTr="00860544">
        <w:tc>
          <w:tcPr>
            <w:tcW w:w="5000" w:type="pct"/>
            <w:gridSpan w:val="5"/>
            <w:shd w:val="clear" w:color="auto" w:fill="DAEEF3"/>
          </w:tcPr>
          <w:p w14:paraId="70E977FD" w14:textId="77777777" w:rsidR="00746419" w:rsidRPr="000D3B5C" w:rsidRDefault="00746419" w:rsidP="000D3B5C">
            <w:pPr>
              <w:rPr>
                <w:b/>
                <w:bCs/>
                <w:i/>
                <w:iCs/>
                <w:sz w:val="20"/>
                <w:szCs w:val="20"/>
              </w:rPr>
            </w:pPr>
            <w:r w:rsidRPr="000D3B5C">
              <w:rPr>
                <w:b/>
                <w:bCs/>
                <w:i/>
                <w:iCs/>
                <w:sz w:val="20"/>
                <w:szCs w:val="20"/>
              </w:rPr>
              <w:lastRenderedPageBreak/>
              <w:t xml:space="preserve">Management responses </w:t>
            </w:r>
          </w:p>
        </w:tc>
      </w:tr>
      <w:tr w:rsidR="00746419" w:rsidRPr="000D3B5C" w14:paraId="6B6197C3" w14:textId="77777777" w:rsidTr="009640AE">
        <w:tc>
          <w:tcPr>
            <w:tcW w:w="1500" w:type="pct"/>
          </w:tcPr>
          <w:p w14:paraId="55F1B840" w14:textId="77777777" w:rsidR="00746419" w:rsidRPr="000D3B5C" w:rsidRDefault="00746419" w:rsidP="000D3B5C">
            <w:pPr>
              <w:autoSpaceDE w:val="0"/>
              <w:autoSpaceDN w:val="0"/>
              <w:adjustRightInd w:val="0"/>
              <w:rPr>
                <w:sz w:val="20"/>
                <w:szCs w:val="20"/>
              </w:rPr>
            </w:pPr>
            <w:r w:rsidRPr="000D3B5C">
              <w:rPr>
                <w:b/>
                <w:bCs/>
                <w:i/>
                <w:iCs/>
                <w:sz w:val="20"/>
                <w:szCs w:val="20"/>
              </w:rPr>
              <w:t xml:space="preserve">1.1.6 </w:t>
            </w:r>
            <w:r w:rsidRPr="000D3B5C">
              <w:rPr>
                <w:sz w:val="20"/>
                <w:szCs w:val="20"/>
              </w:rPr>
              <w:t>There are reference points (target and/or limit), that trigger management actions including a biological bottom line and/or a catch or effort upper limit beyond which the stock should not be taken.</w:t>
            </w:r>
          </w:p>
        </w:tc>
        <w:tc>
          <w:tcPr>
            <w:tcW w:w="3500" w:type="pct"/>
            <w:gridSpan w:val="4"/>
            <w:shd w:val="clear" w:color="auto" w:fill="FFC000"/>
          </w:tcPr>
          <w:p w14:paraId="605FB436" w14:textId="77777777" w:rsidR="009640AE" w:rsidRPr="000D3B5C" w:rsidRDefault="009640AE" w:rsidP="000D3B5C">
            <w:pPr>
              <w:rPr>
                <w:b/>
                <w:sz w:val="20"/>
                <w:szCs w:val="20"/>
              </w:rPr>
            </w:pPr>
            <w:r w:rsidRPr="000D3B5C">
              <w:rPr>
                <w:b/>
                <w:sz w:val="20"/>
                <w:szCs w:val="20"/>
              </w:rPr>
              <w:t>Partially meets.</w:t>
            </w:r>
          </w:p>
          <w:p w14:paraId="2A787D09" w14:textId="718DE302" w:rsidR="00746419" w:rsidRPr="000D3B5C" w:rsidRDefault="009640AE" w:rsidP="00805BF6">
            <w:pPr>
              <w:rPr>
                <w:sz w:val="20"/>
                <w:szCs w:val="20"/>
              </w:rPr>
            </w:pPr>
            <w:r w:rsidRPr="000D3B5C">
              <w:rPr>
                <w:sz w:val="20"/>
                <w:szCs w:val="20"/>
              </w:rPr>
              <w:t xml:space="preserve">The Tasmanian Gould’s Squid Fishery has no biological bottom line or an effort upper limit specified in the management regime. Reference points are contained within the annual fishery assessment reports. The reference points are currently under review to further refine their effectiveness in assessing the management arrangements. </w:t>
            </w:r>
          </w:p>
        </w:tc>
      </w:tr>
      <w:tr w:rsidR="00746419" w:rsidRPr="000D3B5C" w14:paraId="41E33A28" w14:textId="77777777" w:rsidTr="00860544">
        <w:tc>
          <w:tcPr>
            <w:tcW w:w="1500" w:type="pct"/>
          </w:tcPr>
          <w:p w14:paraId="1A07F759" w14:textId="77777777" w:rsidR="00746419" w:rsidRPr="000D3B5C" w:rsidRDefault="00746419" w:rsidP="000D3B5C">
            <w:pPr>
              <w:rPr>
                <w:sz w:val="20"/>
                <w:szCs w:val="20"/>
              </w:rPr>
            </w:pPr>
            <w:r w:rsidRPr="000D3B5C">
              <w:rPr>
                <w:b/>
                <w:bCs/>
                <w:i/>
                <w:iCs/>
                <w:sz w:val="20"/>
                <w:szCs w:val="20"/>
              </w:rPr>
              <w:t xml:space="preserve">1.1.7 </w:t>
            </w:r>
            <w:r w:rsidRPr="000D3B5C">
              <w:rPr>
                <w:sz w:val="20"/>
                <w:szCs w:val="20"/>
              </w:rPr>
              <w:t xml:space="preserve">There are management strategies in place capable of controlling the level of take. </w:t>
            </w:r>
          </w:p>
        </w:tc>
        <w:tc>
          <w:tcPr>
            <w:tcW w:w="3500" w:type="pct"/>
            <w:gridSpan w:val="4"/>
            <w:shd w:val="clear" w:color="auto" w:fill="92D050"/>
          </w:tcPr>
          <w:p w14:paraId="6244ED47" w14:textId="77777777" w:rsidR="009F2A9B" w:rsidRPr="000D3B5C" w:rsidRDefault="009F2A9B" w:rsidP="000D3B5C">
            <w:pPr>
              <w:rPr>
                <w:b/>
                <w:sz w:val="20"/>
                <w:szCs w:val="20"/>
              </w:rPr>
            </w:pPr>
            <w:r w:rsidRPr="000D3B5C">
              <w:rPr>
                <w:b/>
                <w:sz w:val="20"/>
                <w:szCs w:val="20"/>
              </w:rPr>
              <w:t>Meets.</w:t>
            </w:r>
          </w:p>
          <w:p w14:paraId="6CD4FC62" w14:textId="0BBA6C74" w:rsidR="00746419" w:rsidRPr="000D3B5C" w:rsidRDefault="009F2A9B" w:rsidP="00805BF6">
            <w:pPr>
              <w:rPr>
                <w:sz w:val="20"/>
                <w:szCs w:val="20"/>
              </w:rPr>
            </w:pPr>
            <w:r w:rsidRPr="000D3B5C">
              <w:rPr>
                <w:sz w:val="20"/>
                <w:szCs w:val="20"/>
              </w:rPr>
              <w:t xml:space="preserve">Management controls are in the form of input controls on the number of participants and vessel size limits. There are 18 licences that allow targeting of Gould’s Squid using four or more automatic squid jig machines. Under the </w:t>
            </w:r>
            <w:r w:rsidR="00805BF6">
              <w:rPr>
                <w:sz w:val="20"/>
                <w:szCs w:val="20"/>
              </w:rPr>
              <w:t>Scalefish</w:t>
            </w:r>
            <w:r w:rsidRPr="000D3B5C">
              <w:rPr>
                <w:sz w:val="20"/>
                <w:szCs w:val="20"/>
              </w:rPr>
              <w:t xml:space="preserve"> Rules there are limits set for the length of vessels. The vessel length limits restrict the maximum number of squid jigs that can fit on a vessel and consequently cap the amount of effort that can be exerted in the fishery.</w:t>
            </w:r>
          </w:p>
        </w:tc>
      </w:tr>
      <w:tr w:rsidR="00746419" w:rsidRPr="000D3B5C" w14:paraId="7A21D209" w14:textId="77777777" w:rsidTr="00746419">
        <w:tc>
          <w:tcPr>
            <w:tcW w:w="1500" w:type="pct"/>
          </w:tcPr>
          <w:p w14:paraId="453AE26E" w14:textId="77777777" w:rsidR="00746419" w:rsidRPr="000D3B5C" w:rsidRDefault="00746419" w:rsidP="000D3B5C">
            <w:pPr>
              <w:autoSpaceDE w:val="0"/>
              <w:autoSpaceDN w:val="0"/>
              <w:adjustRightInd w:val="0"/>
              <w:rPr>
                <w:b/>
                <w:i/>
                <w:sz w:val="20"/>
                <w:szCs w:val="20"/>
              </w:rPr>
            </w:pPr>
            <w:r w:rsidRPr="000D3B5C">
              <w:rPr>
                <w:b/>
                <w:bCs/>
                <w:i/>
                <w:iCs/>
                <w:sz w:val="20"/>
                <w:szCs w:val="20"/>
              </w:rPr>
              <w:t xml:space="preserve">1.1.8 </w:t>
            </w:r>
            <w:r w:rsidRPr="000D3B5C">
              <w:rPr>
                <w:sz w:val="20"/>
                <w:szCs w:val="20"/>
              </w:rPr>
              <w:t>Fishing is conducted in a manner that does not threaten stocks of byproduct species.</w:t>
            </w:r>
          </w:p>
        </w:tc>
        <w:tc>
          <w:tcPr>
            <w:tcW w:w="3500" w:type="pct"/>
            <w:gridSpan w:val="4"/>
            <w:shd w:val="clear" w:color="auto" w:fill="92D050"/>
          </w:tcPr>
          <w:p w14:paraId="76FA92A7" w14:textId="77777777" w:rsidR="009F2A9B" w:rsidRPr="000D3B5C" w:rsidRDefault="009F2A9B" w:rsidP="000D3B5C">
            <w:pPr>
              <w:rPr>
                <w:b/>
                <w:sz w:val="20"/>
                <w:szCs w:val="20"/>
              </w:rPr>
            </w:pPr>
            <w:r w:rsidRPr="000D3B5C">
              <w:rPr>
                <w:b/>
                <w:sz w:val="20"/>
                <w:szCs w:val="20"/>
              </w:rPr>
              <w:t>Meets.</w:t>
            </w:r>
          </w:p>
          <w:p w14:paraId="3ED7DC0E" w14:textId="1CE31CFF" w:rsidR="00746419" w:rsidRPr="000D3B5C" w:rsidRDefault="009F2A9B" w:rsidP="000D3B5C">
            <w:pPr>
              <w:rPr>
                <w:sz w:val="20"/>
                <w:szCs w:val="20"/>
              </w:rPr>
            </w:pPr>
            <w:r w:rsidRPr="000D3B5C">
              <w:rPr>
                <w:sz w:val="20"/>
                <w:szCs w:val="20"/>
              </w:rPr>
              <w:t>There are no concerns for byproduct species identified in the fishery, due to the high selectivity of the fishing gear used for the target species (i.e. automatic squid jig/hand jig). This view is supported by the experience and data collected in the Commonwealth SSJF. The Commonwealth SSJF operates in adjacent waters with dual licensed (Commonwealth and Tasmanian) fishers operating in both fisheries.</w:t>
            </w:r>
          </w:p>
        </w:tc>
      </w:tr>
      <w:tr w:rsidR="00746419" w:rsidRPr="000D3B5C" w14:paraId="188568EA" w14:textId="77777777" w:rsidTr="00860544">
        <w:tc>
          <w:tcPr>
            <w:tcW w:w="5000" w:type="pct"/>
            <w:gridSpan w:val="5"/>
            <w:shd w:val="clear" w:color="auto" w:fill="DAEEF3"/>
            <w:vAlign w:val="center"/>
          </w:tcPr>
          <w:p w14:paraId="7E839203" w14:textId="77777777" w:rsidR="00746419" w:rsidRPr="000D3B5C" w:rsidRDefault="00746419" w:rsidP="000D3B5C">
            <w:pPr>
              <w:rPr>
                <w:sz w:val="20"/>
                <w:szCs w:val="20"/>
              </w:rPr>
            </w:pPr>
            <w:r w:rsidRPr="000D3B5C">
              <w:rPr>
                <w:sz w:val="20"/>
                <w:szCs w:val="20"/>
              </w:rPr>
              <w:t xml:space="preserve">(Guidelines 1.1.1 to 1.1.7 should be applied to byproduct species to an appropriate level) </w:t>
            </w:r>
          </w:p>
        </w:tc>
      </w:tr>
      <w:tr w:rsidR="00746419" w:rsidRPr="000D3B5C" w14:paraId="2A0041D7" w14:textId="77777777" w:rsidTr="00860544">
        <w:tc>
          <w:tcPr>
            <w:tcW w:w="1500" w:type="pct"/>
          </w:tcPr>
          <w:p w14:paraId="51169B2B" w14:textId="77777777" w:rsidR="00746419" w:rsidRPr="000D3B5C" w:rsidRDefault="00746419" w:rsidP="000D3B5C">
            <w:pPr>
              <w:autoSpaceDE w:val="0"/>
              <w:autoSpaceDN w:val="0"/>
              <w:adjustRightInd w:val="0"/>
              <w:rPr>
                <w:sz w:val="20"/>
                <w:szCs w:val="20"/>
              </w:rPr>
            </w:pPr>
            <w:r w:rsidRPr="000D3B5C">
              <w:rPr>
                <w:b/>
                <w:bCs/>
                <w:i/>
                <w:iCs/>
                <w:sz w:val="20"/>
                <w:szCs w:val="20"/>
              </w:rPr>
              <w:t xml:space="preserve">1.1.9 </w:t>
            </w:r>
            <w:r w:rsidRPr="000D3B5C">
              <w:rPr>
                <w:sz w:val="20"/>
                <w:szCs w:val="20"/>
              </w:rPr>
              <w:t>The management response, considering uncertainties in the assessment and precautionary management actions, has a high chance of achieving the objective.</w:t>
            </w:r>
          </w:p>
        </w:tc>
        <w:tc>
          <w:tcPr>
            <w:tcW w:w="3500" w:type="pct"/>
            <w:gridSpan w:val="4"/>
            <w:shd w:val="clear" w:color="auto" w:fill="92D050"/>
          </w:tcPr>
          <w:p w14:paraId="0EDD7B28" w14:textId="77777777" w:rsidR="009F2A9B" w:rsidRPr="000D3B5C" w:rsidRDefault="009F2A9B" w:rsidP="000D3B5C">
            <w:pPr>
              <w:rPr>
                <w:b/>
                <w:sz w:val="20"/>
                <w:szCs w:val="20"/>
              </w:rPr>
            </w:pPr>
            <w:r w:rsidRPr="000D3B5C">
              <w:rPr>
                <w:b/>
                <w:sz w:val="20"/>
                <w:szCs w:val="20"/>
              </w:rPr>
              <w:t>Meets.</w:t>
            </w:r>
          </w:p>
          <w:p w14:paraId="50AD78CD" w14:textId="133C33D9" w:rsidR="00746419" w:rsidRPr="000D3B5C" w:rsidRDefault="009F2A9B" w:rsidP="000D3B5C">
            <w:pPr>
              <w:rPr>
                <w:sz w:val="20"/>
                <w:szCs w:val="20"/>
              </w:rPr>
            </w:pPr>
            <w:r w:rsidRPr="000D3B5C">
              <w:rPr>
                <w:bCs/>
                <w:sz w:val="20"/>
                <w:szCs w:val="20"/>
              </w:rPr>
              <w:t>The capability of the management strategy to constrain the harvest of Gould’s Squid to within sustainable levels is high.</w:t>
            </w:r>
          </w:p>
        </w:tc>
      </w:tr>
      <w:tr w:rsidR="00746419" w:rsidRPr="000D3B5C" w14:paraId="74C6EED4" w14:textId="77777777" w:rsidTr="00860544">
        <w:tc>
          <w:tcPr>
            <w:tcW w:w="5000" w:type="pct"/>
            <w:gridSpan w:val="5"/>
            <w:shd w:val="clear" w:color="auto" w:fill="DAEEF3"/>
          </w:tcPr>
          <w:p w14:paraId="66EAA820" w14:textId="77777777" w:rsidR="00746419" w:rsidRPr="000D3B5C" w:rsidRDefault="00746419" w:rsidP="000D3B5C">
            <w:pPr>
              <w:rPr>
                <w:b/>
                <w:bCs/>
                <w:sz w:val="20"/>
                <w:szCs w:val="20"/>
              </w:rPr>
            </w:pPr>
            <w:r w:rsidRPr="000D3B5C">
              <w:rPr>
                <w:b/>
                <w:bCs/>
                <w:sz w:val="20"/>
                <w:szCs w:val="20"/>
              </w:rPr>
              <w:t>If overfished, go to Objective 2:</w:t>
            </w:r>
          </w:p>
          <w:p w14:paraId="5340B75B" w14:textId="77777777" w:rsidR="00746419" w:rsidRPr="000D3B5C" w:rsidRDefault="00746419" w:rsidP="000D3B5C">
            <w:pPr>
              <w:rPr>
                <w:b/>
                <w:bCs/>
                <w:sz w:val="20"/>
                <w:szCs w:val="20"/>
              </w:rPr>
            </w:pPr>
            <w:r w:rsidRPr="000D3B5C">
              <w:rPr>
                <w:b/>
                <w:bCs/>
                <w:sz w:val="20"/>
                <w:szCs w:val="20"/>
              </w:rPr>
              <w:t>If not overfished, go to PRINCIPLE 2:</w:t>
            </w:r>
          </w:p>
        </w:tc>
      </w:tr>
      <w:tr w:rsidR="00746419" w:rsidRPr="000D3B5C" w14:paraId="3E63F1C4" w14:textId="77777777" w:rsidTr="00860544">
        <w:tc>
          <w:tcPr>
            <w:tcW w:w="5000" w:type="pct"/>
            <w:gridSpan w:val="5"/>
            <w:shd w:val="clear" w:color="auto" w:fill="B6DDE8"/>
          </w:tcPr>
          <w:p w14:paraId="0EC533E1" w14:textId="77777777" w:rsidR="00746419" w:rsidRPr="000D3B5C" w:rsidRDefault="00746419" w:rsidP="000D3B5C">
            <w:pPr>
              <w:rPr>
                <w:b/>
                <w:bCs/>
                <w:sz w:val="20"/>
                <w:szCs w:val="20"/>
              </w:rPr>
            </w:pPr>
            <w:r w:rsidRPr="000D3B5C">
              <w:rPr>
                <w:b/>
                <w:bCs/>
                <w:sz w:val="20"/>
                <w:szCs w:val="20"/>
              </w:rPr>
              <w:t xml:space="preserve">Objective 2 - </w:t>
            </w:r>
            <w:r w:rsidRPr="000D3B5C">
              <w:rPr>
                <w:sz w:val="20"/>
                <w:szCs w:val="20"/>
              </w:rPr>
              <w:t xml:space="preserve">Where the fished stock(s) are below a defined reference point, the fishery will be managed to promote recovery to ecologically viable stock levels within nominated timeframes. </w:t>
            </w:r>
          </w:p>
        </w:tc>
      </w:tr>
      <w:tr w:rsidR="00746419" w:rsidRPr="000D3B5C" w14:paraId="5082D9B6" w14:textId="77777777" w:rsidTr="00860544">
        <w:tc>
          <w:tcPr>
            <w:tcW w:w="5000" w:type="pct"/>
            <w:gridSpan w:val="5"/>
            <w:shd w:val="clear" w:color="auto" w:fill="DAEEF3"/>
          </w:tcPr>
          <w:p w14:paraId="1B3EBA6E" w14:textId="77777777" w:rsidR="00746419" w:rsidRPr="000D3B5C" w:rsidRDefault="00746419" w:rsidP="000D3B5C">
            <w:pPr>
              <w:rPr>
                <w:b/>
                <w:bCs/>
                <w:i/>
                <w:iCs/>
                <w:sz w:val="20"/>
                <w:szCs w:val="20"/>
              </w:rPr>
            </w:pPr>
            <w:r w:rsidRPr="000D3B5C">
              <w:rPr>
                <w:b/>
                <w:bCs/>
                <w:i/>
                <w:iCs/>
                <w:sz w:val="20"/>
                <w:szCs w:val="20"/>
              </w:rPr>
              <w:t xml:space="preserve">Management responses </w:t>
            </w:r>
          </w:p>
        </w:tc>
      </w:tr>
      <w:tr w:rsidR="00746419" w:rsidRPr="000D3B5C" w14:paraId="4078DEB1" w14:textId="77777777" w:rsidTr="00E93893">
        <w:tc>
          <w:tcPr>
            <w:tcW w:w="1500" w:type="pct"/>
            <w:tcBorders>
              <w:bottom w:val="single" w:sz="4" w:space="0" w:color="auto"/>
            </w:tcBorders>
          </w:tcPr>
          <w:p w14:paraId="46E70D75" w14:textId="77777777" w:rsidR="00746419" w:rsidRPr="000D3B5C" w:rsidRDefault="00746419" w:rsidP="000D3B5C">
            <w:pPr>
              <w:rPr>
                <w:sz w:val="20"/>
                <w:szCs w:val="20"/>
              </w:rPr>
            </w:pPr>
            <w:r w:rsidRPr="000D3B5C">
              <w:rPr>
                <w:b/>
                <w:bCs/>
                <w:i/>
                <w:iCs/>
                <w:sz w:val="20"/>
                <w:szCs w:val="20"/>
              </w:rPr>
              <w:t xml:space="preserve">1.2.1 </w:t>
            </w:r>
            <w:r w:rsidRPr="000D3B5C">
              <w:rPr>
                <w:sz w:val="20"/>
                <w:szCs w:val="20"/>
              </w:rPr>
              <w:t xml:space="preserve">A precautionary recovery strategy is in place specifying management actions, or staged management responses, which are </w:t>
            </w:r>
            <w:r w:rsidRPr="000D3B5C">
              <w:rPr>
                <w:sz w:val="20"/>
                <w:szCs w:val="20"/>
              </w:rPr>
              <w:lastRenderedPageBreak/>
              <w:t>linked to reference points. The recovery strategy should apply until the stock recovers, and should aim for recovery within a specific time period appropriate to the biology of the stock.</w:t>
            </w:r>
          </w:p>
        </w:tc>
        <w:tc>
          <w:tcPr>
            <w:tcW w:w="3500" w:type="pct"/>
            <w:gridSpan w:val="4"/>
            <w:tcBorders>
              <w:bottom w:val="single" w:sz="4" w:space="0" w:color="auto"/>
            </w:tcBorders>
            <w:shd w:val="clear" w:color="auto" w:fill="auto"/>
          </w:tcPr>
          <w:p w14:paraId="4B631B78" w14:textId="77777777" w:rsidR="009F2A9B" w:rsidRPr="000D3B5C" w:rsidRDefault="009F2A9B" w:rsidP="000D3B5C">
            <w:pPr>
              <w:rPr>
                <w:b/>
                <w:sz w:val="20"/>
                <w:szCs w:val="20"/>
              </w:rPr>
            </w:pPr>
            <w:r w:rsidRPr="000D3B5C">
              <w:rPr>
                <w:b/>
                <w:sz w:val="20"/>
                <w:szCs w:val="20"/>
              </w:rPr>
              <w:lastRenderedPageBreak/>
              <w:t>Not applicable.</w:t>
            </w:r>
          </w:p>
          <w:p w14:paraId="6BC0047B" w14:textId="4D4E2B9A" w:rsidR="00746419" w:rsidRPr="000D3B5C" w:rsidRDefault="009F2A9B" w:rsidP="000D3B5C">
            <w:pPr>
              <w:rPr>
                <w:sz w:val="20"/>
                <w:szCs w:val="20"/>
              </w:rPr>
            </w:pPr>
            <w:r w:rsidRPr="000D3B5C">
              <w:rPr>
                <w:sz w:val="20"/>
                <w:szCs w:val="20"/>
              </w:rPr>
              <w:lastRenderedPageBreak/>
              <w:t xml:space="preserve">Stocks are considered robust and are not in a recovery state. Therefore, no specific management arrangements are in place to address a precautionary recovery response. </w:t>
            </w:r>
          </w:p>
        </w:tc>
      </w:tr>
      <w:tr w:rsidR="00746419" w:rsidRPr="000D3B5C" w14:paraId="0C51D24E" w14:textId="77777777" w:rsidTr="00E93893">
        <w:tc>
          <w:tcPr>
            <w:tcW w:w="1500" w:type="pct"/>
            <w:tcBorders>
              <w:bottom w:val="single" w:sz="4" w:space="0" w:color="auto"/>
            </w:tcBorders>
          </w:tcPr>
          <w:p w14:paraId="7803F773" w14:textId="77777777" w:rsidR="00746419" w:rsidRPr="000D3B5C" w:rsidRDefault="00746419" w:rsidP="000D3B5C">
            <w:pPr>
              <w:rPr>
                <w:sz w:val="20"/>
                <w:szCs w:val="20"/>
              </w:rPr>
            </w:pPr>
            <w:r w:rsidRPr="000D3B5C">
              <w:rPr>
                <w:b/>
                <w:bCs/>
                <w:i/>
                <w:iCs/>
                <w:sz w:val="20"/>
                <w:szCs w:val="20"/>
              </w:rPr>
              <w:lastRenderedPageBreak/>
              <w:t xml:space="preserve">1.2.2 </w:t>
            </w:r>
            <w:r w:rsidRPr="000D3B5C">
              <w:rPr>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gridSpan w:val="4"/>
            <w:tcBorders>
              <w:bottom w:val="single" w:sz="4" w:space="0" w:color="auto"/>
            </w:tcBorders>
            <w:shd w:val="clear" w:color="auto" w:fill="auto"/>
          </w:tcPr>
          <w:p w14:paraId="1976ED57" w14:textId="77777777" w:rsidR="009F2A9B" w:rsidRPr="000D3B5C" w:rsidRDefault="009F2A9B" w:rsidP="000D3B5C">
            <w:pPr>
              <w:rPr>
                <w:b/>
                <w:sz w:val="20"/>
                <w:szCs w:val="20"/>
              </w:rPr>
            </w:pPr>
            <w:r w:rsidRPr="000D3B5C">
              <w:rPr>
                <w:b/>
                <w:sz w:val="20"/>
                <w:szCs w:val="20"/>
              </w:rPr>
              <w:t>Not applicable.</w:t>
            </w:r>
          </w:p>
          <w:p w14:paraId="6478E0B8" w14:textId="79870EC2" w:rsidR="00746419" w:rsidRPr="000D3B5C" w:rsidRDefault="009F2A9B" w:rsidP="000D3B5C">
            <w:pPr>
              <w:rPr>
                <w:sz w:val="20"/>
                <w:szCs w:val="20"/>
              </w:rPr>
            </w:pPr>
            <w:r w:rsidRPr="000D3B5C">
              <w:rPr>
                <w:sz w:val="20"/>
                <w:szCs w:val="20"/>
              </w:rPr>
              <w:t xml:space="preserve">Not currently classified as overfished. </w:t>
            </w:r>
          </w:p>
        </w:tc>
      </w:tr>
      <w:tr w:rsidR="00746419" w:rsidRPr="000D3B5C" w14:paraId="565D7B13" w14:textId="77777777" w:rsidTr="00860544">
        <w:tc>
          <w:tcPr>
            <w:tcW w:w="5000" w:type="pct"/>
            <w:gridSpan w:val="5"/>
            <w:tcBorders>
              <w:top w:val="single" w:sz="4" w:space="0" w:color="auto"/>
            </w:tcBorders>
            <w:shd w:val="clear" w:color="auto" w:fill="B2A1C7"/>
          </w:tcPr>
          <w:p w14:paraId="39FDBD8C" w14:textId="77777777" w:rsidR="00746419" w:rsidRPr="000D3B5C" w:rsidRDefault="00746419" w:rsidP="000D3B5C">
            <w:pPr>
              <w:autoSpaceDE w:val="0"/>
              <w:autoSpaceDN w:val="0"/>
              <w:adjustRightInd w:val="0"/>
              <w:rPr>
                <w:b/>
                <w:bCs/>
                <w:sz w:val="20"/>
                <w:szCs w:val="20"/>
              </w:rPr>
            </w:pPr>
            <w:r w:rsidRPr="000D3B5C">
              <w:rPr>
                <w:b/>
                <w:bCs/>
                <w:sz w:val="20"/>
                <w:szCs w:val="20"/>
              </w:rPr>
              <w:t xml:space="preserve">PRINCIPLE 2 - </w:t>
            </w:r>
            <w:r w:rsidRPr="000D3B5C">
              <w:rPr>
                <w:sz w:val="20"/>
                <w:szCs w:val="20"/>
              </w:rPr>
              <w:t>Fishing operations should be managed to minimise their impact on the structure, productivity, function and biological diversity of the ecosystem.</w:t>
            </w:r>
          </w:p>
        </w:tc>
      </w:tr>
      <w:tr w:rsidR="00746419" w:rsidRPr="000D3B5C" w14:paraId="5EF5EB3E" w14:textId="77777777" w:rsidTr="00860544">
        <w:tc>
          <w:tcPr>
            <w:tcW w:w="5000" w:type="pct"/>
            <w:gridSpan w:val="5"/>
            <w:shd w:val="clear" w:color="auto" w:fill="CCC0D9"/>
          </w:tcPr>
          <w:p w14:paraId="5B477239" w14:textId="77777777" w:rsidR="00746419" w:rsidRPr="000D3B5C" w:rsidRDefault="00746419" w:rsidP="000D3B5C">
            <w:pPr>
              <w:autoSpaceDE w:val="0"/>
              <w:autoSpaceDN w:val="0"/>
              <w:adjustRightInd w:val="0"/>
              <w:rPr>
                <w:b/>
                <w:bCs/>
                <w:sz w:val="20"/>
                <w:szCs w:val="20"/>
              </w:rPr>
            </w:pPr>
            <w:r w:rsidRPr="000D3B5C">
              <w:rPr>
                <w:b/>
                <w:bCs/>
                <w:sz w:val="20"/>
                <w:szCs w:val="20"/>
              </w:rPr>
              <w:t xml:space="preserve">Objective 1 - </w:t>
            </w:r>
            <w:r w:rsidRPr="000D3B5C">
              <w:rPr>
                <w:sz w:val="20"/>
                <w:szCs w:val="20"/>
              </w:rPr>
              <w:t>The fishery is conducted in a manner that does not threaten bycatch species.</w:t>
            </w:r>
          </w:p>
        </w:tc>
      </w:tr>
      <w:tr w:rsidR="00746419" w:rsidRPr="000D3B5C" w14:paraId="301D80EC" w14:textId="77777777" w:rsidTr="00860544">
        <w:tc>
          <w:tcPr>
            <w:tcW w:w="5000" w:type="pct"/>
            <w:gridSpan w:val="5"/>
            <w:shd w:val="clear" w:color="auto" w:fill="E5DFEC"/>
          </w:tcPr>
          <w:p w14:paraId="1B4E9101" w14:textId="77777777" w:rsidR="00746419" w:rsidRPr="000D3B5C" w:rsidRDefault="00746419" w:rsidP="000D3B5C">
            <w:pPr>
              <w:rPr>
                <w:b/>
                <w:bCs/>
                <w:i/>
                <w:iCs/>
                <w:sz w:val="20"/>
                <w:szCs w:val="20"/>
              </w:rPr>
            </w:pPr>
            <w:r w:rsidRPr="000D3B5C">
              <w:rPr>
                <w:b/>
                <w:bCs/>
                <w:i/>
                <w:iCs/>
                <w:sz w:val="20"/>
                <w:szCs w:val="20"/>
              </w:rPr>
              <w:t>Information requirements</w:t>
            </w:r>
          </w:p>
        </w:tc>
      </w:tr>
      <w:tr w:rsidR="00746419" w:rsidRPr="000D3B5C" w14:paraId="2C732ED1" w14:textId="77777777" w:rsidTr="009F2A9B">
        <w:tc>
          <w:tcPr>
            <w:tcW w:w="1500" w:type="pct"/>
          </w:tcPr>
          <w:p w14:paraId="76E7A1FE" w14:textId="77777777" w:rsidR="00746419" w:rsidRPr="000D3B5C" w:rsidRDefault="00746419" w:rsidP="000D3B5C">
            <w:pPr>
              <w:autoSpaceDE w:val="0"/>
              <w:autoSpaceDN w:val="0"/>
              <w:adjustRightInd w:val="0"/>
              <w:rPr>
                <w:b/>
                <w:i/>
                <w:sz w:val="20"/>
                <w:szCs w:val="20"/>
              </w:rPr>
            </w:pPr>
            <w:r w:rsidRPr="000D3B5C">
              <w:rPr>
                <w:b/>
                <w:bCs/>
                <w:i/>
                <w:iCs/>
                <w:sz w:val="20"/>
                <w:szCs w:val="20"/>
              </w:rPr>
              <w:t xml:space="preserve">2.1.1 </w:t>
            </w:r>
            <w:r w:rsidRPr="000D3B5C">
              <w:rPr>
                <w:sz w:val="20"/>
                <w:szCs w:val="20"/>
              </w:rPr>
              <w:t>Reliable information, appropriate to the scale of the fishery, is collected on the composition and abundance of bycatch.</w:t>
            </w:r>
          </w:p>
        </w:tc>
        <w:tc>
          <w:tcPr>
            <w:tcW w:w="3500" w:type="pct"/>
            <w:gridSpan w:val="4"/>
            <w:shd w:val="clear" w:color="auto" w:fill="FFC000"/>
          </w:tcPr>
          <w:p w14:paraId="3E8CAE1F" w14:textId="77777777" w:rsidR="009F2A9B" w:rsidRPr="000D3B5C" w:rsidRDefault="009F2A9B" w:rsidP="000D3B5C">
            <w:pPr>
              <w:rPr>
                <w:b/>
                <w:sz w:val="20"/>
                <w:szCs w:val="20"/>
              </w:rPr>
            </w:pPr>
            <w:r w:rsidRPr="000D3B5C">
              <w:rPr>
                <w:b/>
                <w:sz w:val="20"/>
                <w:szCs w:val="20"/>
              </w:rPr>
              <w:t>Partially meets.</w:t>
            </w:r>
          </w:p>
          <w:p w14:paraId="0AC115EF" w14:textId="60B52954" w:rsidR="0034623B" w:rsidRPr="000D3B5C" w:rsidRDefault="009F2A9B" w:rsidP="000D3B5C">
            <w:pPr>
              <w:rPr>
                <w:sz w:val="20"/>
                <w:szCs w:val="20"/>
              </w:rPr>
            </w:pPr>
            <w:r w:rsidRPr="000D3B5C">
              <w:rPr>
                <w:color w:val="000000"/>
                <w:sz w:val="20"/>
                <w:szCs w:val="20"/>
              </w:rPr>
              <w:t xml:space="preserve">While bycatch is considered negligible due to the highly selective fishing method, i.e. automatic </w:t>
            </w:r>
            <w:r w:rsidRPr="000D3B5C">
              <w:rPr>
                <w:sz w:val="20"/>
                <w:szCs w:val="20"/>
              </w:rPr>
              <w:t>squid jig / hand jig</w:t>
            </w:r>
            <w:r w:rsidRPr="000D3B5C">
              <w:rPr>
                <w:color w:val="000000"/>
                <w:sz w:val="20"/>
                <w:szCs w:val="20"/>
              </w:rPr>
              <w:t>, there is no reporting mechanism in place.</w:t>
            </w:r>
          </w:p>
        </w:tc>
      </w:tr>
      <w:tr w:rsidR="00746419" w:rsidRPr="000D3B5C" w14:paraId="49283772" w14:textId="77777777" w:rsidTr="00860544">
        <w:tc>
          <w:tcPr>
            <w:tcW w:w="5000" w:type="pct"/>
            <w:gridSpan w:val="5"/>
            <w:shd w:val="clear" w:color="auto" w:fill="E5DFEC"/>
          </w:tcPr>
          <w:p w14:paraId="59D7DC38" w14:textId="77777777" w:rsidR="00746419" w:rsidRPr="000D3B5C" w:rsidRDefault="00746419" w:rsidP="000D3B5C">
            <w:pPr>
              <w:rPr>
                <w:b/>
                <w:bCs/>
                <w:i/>
                <w:iCs/>
                <w:sz w:val="20"/>
                <w:szCs w:val="20"/>
              </w:rPr>
            </w:pPr>
            <w:r w:rsidRPr="000D3B5C">
              <w:rPr>
                <w:b/>
                <w:bCs/>
                <w:i/>
                <w:iCs/>
                <w:sz w:val="20"/>
                <w:szCs w:val="20"/>
              </w:rPr>
              <w:t>Assessments</w:t>
            </w:r>
          </w:p>
        </w:tc>
      </w:tr>
      <w:tr w:rsidR="00746419" w:rsidRPr="000D3B5C" w14:paraId="5DAC9061" w14:textId="77777777" w:rsidTr="009F2A9B">
        <w:tc>
          <w:tcPr>
            <w:tcW w:w="1500" w:type="pct"/>
          </w:tcPr>
          <w:p w14:paraId="26E3E7DB" w14:textId="77777777" w:rsidR="00746419" w:rsidRPr="000D3B5C" w:rsidRDefault="00746419" w:rsidP="000D3B5C">
            <w:pPr>
              <w:autoSpaceDE w:val="0"/>
              <w:autoSpaceDN w:val="0"/>
              <w:adjustRightInd w:val="0"/>
              <w:rPr>
                <w:b/>
                <w:i/>
                <w:sz w:val="20"/>
                <w:szCs w:val="20"/>
              </w:rPr>
            </w:pPr>
            <w:r w:rsidRPr="000D3B5C">
              <w:rPr>
                <w:b/>
                <w:bCs/>
                <w:i/>
                <w:iCs/>
                <w:sz w:val="20"/>
                <w:szCs w:val="20"/>
              </w:rPr>
              <w:t xml:space="preserve">2.1.2 </w:t>
            </w:r>
            <w:r w:rsidRPr="000D3B5C">
              <w:rPr>
                <w:sz w:val="20"/>
                <w:szCs w:val="20"/>
              </w:rPr>
              <w:t>There is a risk analysis of the bycatch with respect to its vulnerability to fishing.</w:t>
            </w:r>
          </w:p>
        </w:tc>
        <w:tc>
          <w:tcPr>
            <w:tcW w:w="3500" w:type="pct"/>
            <w:gridSpan w:val="4"/>
            <w:shd w:val="clear" w:color="auto" w:fill="92D050"/>
          </w:tcPr>
          <w:p w14:paraId="726A5B8B" w14:textId="77777777" w:rsidR="009F2A9B" w:rsidRPr="000D3B5C" w:rsidRDefault="009F2A9B" w:rsidP="000D3B5C">
            <w:pPr>
              <w:rPr>
                <w:sz w:val="20"/>
                <w:szCs w:val="20"/>
              </w:rPr>
            </w:pPr>
            <w:r w:rsidRPr="000D3B5C">
              <w:rPr>
                <w:b/>
                <w:sz w:val="20"/>
                <w:szCs w:val="20"/>
              </w:rPr>
              <w:t>Meets.</w:t>
            </w:r>
          </w:p>
          <w:p w14:paraId="7546E7AB" w14:textId="77777777" w:rsidR="009F2A9B" w:rsidRPr="000D3B5C" w:rsidRDefault="009F2A9B" w:rsidP="000D3B5C">
            <w:pPr>
              <w:rPr>
                <w:sz w:val="20"/>
                <w:szCs w:val="20"/>
              </w:rPr>
            </w:pPr>
            <w:r w:rsidRPr="000D3B5C">
              <w:rPr>
                <w:sz w:val="20"/>
                <w:szCs w:val="20"/>
              </w:rPr>
              <w:t xml:space="preserve">DPIPWE </w:t>
            </w:r>
            <w:proofErr w:type="gramStart"/>
            <w:r w:rsidRPr="000D3B5C">
              <w:rPr>
                <w:sz w:val="20"/>
                <w:szCs w:val="20"/>
              </w:rPr>
              <w:t>advise</w:t>
            </w:r>
            <w:proofErr w:type="gramEnd"/>
            <w:r w:rsidRPr="000D3B5C">
              <w:rPr>
                <w:sz w:val="20"/>
                <w:szCs w:val="20"/>
              </w:rPr>
              <w:t xml:space="preserve"> that an ecological risk analysis (ERA) has been finalised and is expected to be published in 2016 for the Tasmanian Scalefish Fishery, including the harvest of Gould’s Squid (see Bell </w:t>
            </w:r>
            <w:r w:rsidRPr="000D3B5C">
              <w:rPr>
                <w:i/>
                <w:sz w:val="20"/>
                <w:szCs w:val="20"/>
              </w:rPr>
              <w:t>et al</w:t>
            </w:r>
            <w:r w:rsidRPr="000D3B5C">
              <w:rPr>
                <w:sz w:val="20"/>
                <w:szCs w:val="20"/>
              </w:rPr>
              <w:t xml:space="preserve">. 2016). </w:t>
            </w:r>
          </w:p>
          <w:p w14:paraId="656B3A68" w14:textId="7B8DA49D" w:rsidR="00746419" w:rsidRPr="000D3B5C" w:rsidRDefault="009F2A9B" w:rsidP="000D3B5C">
            <w:pPr>
              <w:rPr>
                <w:color w:val="000000"/>
                <w:sz w:val="20"/>
                <w:szCs w:val="20"/>
              </w:rPr>
            </w:pPr>
            <w:r w:rsidRPr="000D3B5C">
              <w:rPr>
                <w:sz w:val="20"/>
                <w:szCs w:val="20"/>
              </w:rPr>
              <w:t xml:space="preserve">An ERA conducted for the Commonwealth SSJF found no species, habitats or communities to be at risk from squid fishing activities in waters adjacent to the Tasmanian </w:t>
            </w:r>
            <w:r w:rsidR="0082794B" w:rsidRPr="000D3B5C">
              <w:rPr>
                <w:sz w:val="20"/>
                <w:szCs w:val="20"/>
              </w:rPr>
              <w:t>f</w:t>
            </w:r>
            <w:r w:rsidRPr="000D3B5C">
              <w:rPr>
                <w:sz w:val="20"/>
                <w:szCs w:val="20"/>
              </w:rPr>
              <w:t>ishery. Similarly, the ERA for the Tasmanian Scalefish Fishery reported the use of automatic squid jigs/hand jigs pose a negligible to low risk to species, habitats or communities</w:t>
            </w:r>
            <w:r w:rsidR="0082794B" w:rsidRPr="000D3B5C">
              <w:rPr>
                <w:sz w:val="20"/>
                <w:szCs w:val="20"/>
              </w:rPr>
              <w:t xml:space="preserve"> (Bell </w:t>
            </w:r>
            <w:r w:rsidR="0082794B" w:rsidRPr="000D3B5C">
              <w:rPr>
                <w:i/>
                <w:sz w:val="20"/>
                <w:szCs w:val="20"/>
              </w:rPr>
              <w:t>et al</w:t>
            </w:r>
            <w:r w:rsidR="0082794B" w:rsidRPr="000D3B5C">
              <w:rPr>
                <w:sz w:val="20"/>
                <w:szCs w:val="20"/>
              </w:rPr>
              <w:t>. 2016)</w:t>
            </w:r>
            <w:r w:rsidRPr="000D3B5C">
              <w:rPr>
                <w:sz w:val="20"/>
                <w:szCs w:val="20"/>
              </w:rPr>
              <w:t>.</w:t>
            </w:r>
          </w:p>
        </w:tc>
      </w:tr>
      <w:tr w:rsidR="00746419" w:rsidRPr="000D3B5C" w14:paraId="6AC9322C" w14:textId="77777777" w:rsidTr="00860544">
        <w:tc>
          <w:tcPr>
            <w:tcW w:w="5000" w:type="pct"/>
            <w:gridSpan w:val="5"/>
            <w:shd w:val="clear" w:color="auto" w:fill="E5DFEC"/>
          </w:tcPr>
          <w:p w14:paraId="402BC8F5" w14:textId="77777777" w:rsidR="00746419" w:rsidRPr="000D3B5C" w:rsidRDefault="00746419" w:rsidP="000D3B5C">
            <w:pPr>
              <w:rPr>
                <w:b/>
                <w:bCs/>
                <w:i/>
                <w:iCs/>
                <w:sz w:val="20"/>
                <w:szCs w:val="20"/>
              </w:rPr>
            </w:pPr>
            <w:r w:rsidRPr="000D3B5C">
              <w:rPr>
                <w:b/>
                <w:bCs/>
                <w:i/>
                <w:iCs/>
                <w:sz w:val="20"/>
                <w:szCs w:val="20"/>
              </w:rPr>
              <w:t>Management responses</w:t>
            </w:r>
          </w:p>
        </w:tc>
      </w:tr>
      <w:tr w:rsidR="009F2A9B" w:rsidRPr="000D3B5C" w14:paraId="2BD62918" w14:textId="77777777" w:rsidTr="00860544">
        <w:tc>
          <w:tcPr>
            <w:tcW w:w="1500" w:type="pct"/>
          </w:tcPr>
          <w:p w14:paraId="4396B3A7" w14:textId="77777777" w:rsidR="009F2A9B" w:rsidRPr="000D3B5C" w:rsidRDefault="009F2A9B" w:rsidP="000D3B5C">
            <w:pPr>
              <w:autoSpaceDE w:val="0"/>
              <w:autoSpaceDN w:val="0"/>
              <w:adjustRightInd w:val="0"/>
              <w:rPr>
                <w:b/>
                <w:bCs/>
                <w:i/>
                <w:iCs/>
                <w:sz w:val="20"/>
                <w:szCs w:val="20"/>
              </w:rPr>
            </w:pPr>
            <w:r w:rsidRPr="000D3B5C">
              <w:rPr>
                <w:b/>
                <w:bCs/>
                <w:i/>
                <w:iCs/>
                <w:sz w:val="20"/>
                <w:szCs w:val="20"/>
              </w:rPr>
              <w:t xml:space="preserve">2.1.3 </w:t>
            </w:r>
            <w:r w:rsidRPr="000D3B5C">
              <w:rPr>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500" w:type="pct"/>
            <w:gridSpan w:val="4"/>
            <w:shd w:val="clear" w:color="auto" w:fill="auto"/>
          </w:tcPr>
          <w:p w14:paraId="5A25EA1E" w14:textId="77777777" w:rsidR="009F2A9B" w:rsidRPr="000D3B5C" w:rsidRDefault="009F2A9B" w:rsidP="000D3B5C">
            <w:pPr>
              <w:rPr>
                <w:b/>
                <w:sz w:val="20"/>
                <w:szCs w:val="20"/>
              </w:rPr>
            </w:pPr>
            <w:r w:rsidRPr="000D3B5C">
              <w:rPr>
                <w:b/>
                <w:sz w:val="20"/>
                <w:szCs w:val="20"/>
              </w:rPr>
              <w:t>Not applicable.</w:t>
            </w:r>
          </w:p>
          <w:p w14:paraId="750715A4" w14:textId="1A7A15C2" w:rsidR="009F2A9B" w:rsidRPr="000D3B5C" w:rsidRDefault="009F2A9B" w:rsidP="000D3B5C">
            <w:pPr>
              <w:rPr>
                <w:sz w:val="20"/>
                <w:szCs w:val="20"/>
              </w:rPr>
            </w:pPr>
            <w:r w:rsidRPr="000D3B5C">
              <w:rPr>
                <w:sz w:val="20"/>
                <w:szCs w:val="20"/>
              </w:rPr>
              <w:t>No management measures are in place to specifically address the capture or mortality of bycatch. However, bycatch in this fishery is considered negligible due to the highly selective fishing method, i.e. automatic squid jig / hand jig. Furthermore, licensed automatic squid jig operators are prohibited from retaining any species other than Gould’s Squid and the risk of interacting with endangered, threatened or protected species is considered low.</w:t>
            </w:r>
          </w:p>
        </w:tc>
      </w:tr>
      <w:tr w:rsidR="009F2A9B" w:rsidRPr="000D3B5C" w14:paraId="4FBAF0B1" w14:textId="77777777" w:rsidTr="00860544">
        <w:tc>
          <w:tcPr>
            <w:tcW w:w="1500" w:type="pct"/>
          </w:tcPr>
          <w:p w14:paraId="51F34294" w14:textId="77777777" w:rsidR="009F2A9B" w:rsidRPr="000D3B5C" w:rsidRDefault="009F2A9B" w:rsidP="000D3B5C">
            <w:pPr>
              <w:autoSpaceDE w:val="0"/>
              <w:autoSpaceDN w:val="0"/>
              <w:adjustRightInd w:val="0"/>
              <w:rPr>
                <w:sz w:val="20"/>
                <w:szCs w:val="20"/>
              </w:rPr>
            </w:pPr>
            <w:r w:rsidRPr="000D3B5C">
              <w:rPr>
                <w:b/>
                <w:bCs/>
                <w:i/>
                <w:iCs/>
                <w:sz w:val="20"/>
                <w:szCs w:val="20"/>
              </w:rPr>
              <w:t xml:space="preserve">2.1.4 </w:t>
            </w:r>
            <w:r w:rsidRPr="000D3B5C">
              <w:rPr>
                <w:sz w:val="20"/>
                <w:szCs w:val="20"/>
              </w:rPr>
              <w:t xml:space="preserve">An indicator group of bycatch species is monitored. </w:t>
            </w:r>
          </w:p>
        </w:tc>
        <w:tc>
          <w:tcPr>
            <w:tcW w:w="3500" w:type="pct"/>
            <w:gridSpan w:val="4"/>
            <w:shd w:val="clear" w:color="auto" w:fill="auto"/>
          </w:tcPr>
          <w:p w14:paraId="4683B4AF" w14:textId="77777777" w:rsidR="009F2A9B" w:rsidRPr="000D3B5C" w:rsidRDefault="009F2A9B" w:rsidP="000D3B5C">
            <w:pPr>
              <w:rPr>
                <w:b/>
                <w:sz w:val="20"/>
                <w:szCs w:val="20"/>
              </w:rPr>
            </w:pPr>
            <w:r w:rsidRPr="000D3B5C">
              <w:rPr>
                <w:b/>
                <w:sz w:val="20"/>
                <w:szCs w:val="20"/>
              </w:rPr>
              <w:t>Not applicable.</w:t>
            </w:r>
          </w:p>
          <w:p w14:paraId="57360DC4" w14:textId="46A36606" w:rsidR="009F2A9B" w:rsidRPr="000D3B5C" w:rsidRDefault="009F2A9B" w:rsidP="000D3B5C">
            <w:pPr>
              <w:rPr>
                <w:sz w:val="20"/>
                <w:szCs w:val="20"/>
              </w:rPr>
            </w:pPr>
            <w:r w:rsidRPr="000D3B5C">
              <w:rPr>
                <w:sz w:val="20"/>
                <w:szCs w:val="20"/>
              </w:rPr>
              <w:lastRenderedPageBreak/>
              <w:t xml:space="preserve">No specific indicator group has been identified as the ERA for the Commonwealth SSJF has indicated this method of fishing poses low risk to bycatch species. Recorded catch is continually monitored by DPIPWE for any noticeable change. </w:t>
            </w:r>
          </w:p>
        </w:tc>
      </w:tr>
      <w:tr w:rsidR="009F2A9B" w:rsidRPr="000D3B5C" w14:paraId="46E7320A" w14:textId="77777777" w:rsidTr="00860544">
        <w:tc>
          <w:tcPr>
            <w:tcW w:w="1500" w:type="pct"/>
          </w:tcPr>
          <w:p w14:paraId="51B0A3FF" w14:textId="77777777" w:rsidR="009F2A9B" w:rsidRPr="000D3B5C" w:rsidRDefault="009F2A9B" w:rsidP="000D3B5C">
            <w:pPr>
              <w:autoSpaceDE w:val="0"/>
              <w:autoSpaceDN w:val="0"/>
              <w:adjustRightInd w:val="0"/>
              <w:rPr>
                <w:b/>
                <w:bCs/>
                <w:i/>
                <w:iCs/>
                <w:sz w:val="20"/>
                <w:szCs w:val="20"/>
              </w:rPr>
            </w:pPr>
            <w:r w:rsidRPr="000D3B5C">
              <w:rPr>
                <w:b/>
                <w:bCs/>
                <w:i/>
                <w:iCs/>
                <w:sz w:val="20"/>
                <w:szCs w:val="20"/>
              </w:rPr>
              <w:lastRenderedPageBreak/>
              <w:t xml:space="preserve">2.1.5 </w:t>
            </w:r>
            <w:r w:rsidRPr="000D3B5C">
              <w:rPr>
                <w:sz w:val="20"/>
                <w:szCs w:val="20"/>
              </w:rPr>
              <w:t>There are decision rules that trigger additional management measures when there are significant perturbations in the indicator species numbers</w:t>
            </w:r>
            <w:r w:rsidRPr="000D3B5C">
              <w:rPr>
                <w:i/>
                <w:iCs/>
                <w:sz w:val="20"/>
                <w:szCs w:val="20"/>
              </w:rPr>
              <w:t xml:space="preserve">. </w:t>
            </w:r>
          </w:p>
        </w:tc>
        <w:tc>
          <w:tcPr>
            <w:tcW w:w="3500" w:type="pct"/>
            <w:gridSpan w:val="4"/>
            <w:shd w:val="clear" w:color="auto" w:fill="auto"/>
          </w:tcPr>
          <w:p w14:paraId="73753594" w14:textId="77777777" w:rsidR="009F2A9B" w:rsidRPr="000D3B5C" w:rsidRDefault="009F2A9B" w:rsidP="000D3B5C">
            <w:pPr>
              <w:rPr>
                <w:b/>
                <w:sz w:val="20"/>
                <w:szCs w:val="20"/>
              </w:rPr>
            </w:pPr>
            <w:r w:rsidRPr="000D3B5C">
              <w:rPr>
                <w:b/>
                <w:sz w:val="20"/>
                <w:szCs w:val="20"/>
              </w:rPr>
              <w:t>Not applicable.</w:t>
            </w:r>
          </w:p>
          <w:p w14:paraId="399FEA2A" w14:textId="7073042B" w:rsidR="009F2A9B" w:rsidRPr="000D3B5C" w:rsidRDefault="009F2A9B" w:rsidP="000D3B5C">
            <w:pPr>
              <w:rPr>
                <w:sz w:val="20"/>
                <w:szCs w:val="20"/>
              </w:rPr>
            </w:pPr>
            <w:r w:rsidRPr="000D3B5C">
              <w:rPr>
                <w:sz w:val="20"/>
                <w:szCs w:val="20"/>
              </w:rPr>
              <w:t>Bycatch rates have been negligible for this fishery. Therefore management is focussed on target species only.</w:t>
            </w:r>
          </w:p>
        </w:tc>
      </w:tr>
      <w:tr w:rsidR="009F2A9B" w:rsidRPr="000D3B5C" w14:paraId="0BBD0C02" w14:textId="77777777" w:rsidTr="00860544">
        <w:tc>
          <w:tcPr>
            <w:tcW w:w="1500" w:type="pct"/>
          </w:tcPr>
          <w:p w14:paraId="2E777456" w14:textId="77777777" w:rsidR="009F2A9B" w:rsidRPr="000D3B5C" w:rsidRDefault="009F2A9B" w:rsidP="000D3B5C">
            <w:pPr>
              <w:autoSpaceDE w:val="0"/>
              <w:autoSpaceDN w:val="0"/>
              <w:adjustRightInd w:val="0"/>
              <w:rPr>
                <w:b/>
                <w:bCs/>
                <w:i/>
                <w:iCs/>
                <w:sz w:val="20"/>
                <w:szCs w:val="20"/>
              </w:rPr>
            </w:pPr>
            <w:r w:rsidRPr="000D3B5C">
              <w:rPr>
                <w:b/>
                <w:bCs/>
                <w:i/>
                <w:iCs/>
                <w:sz w:val="20"/>
                <w:szCs w:val="20"/>
              </w:rPr>
              <w:t xml:space="preserve">2.1.6 </w:t>
            </w:r>
            <w:r w:rsidRPr="000D3B5C">
              <w:rPr>
                <w:sz w:val="20"/>
                <w:szCs w:val="20"/>
              </w:rPr>
              <w:t>The management response, considering uncertainties in the assessment and precautionary management actions, has a high chance of achieving the objective.</w:t>
            </w:r>
          </w:p>
        </w:tc>
        <w:tc>
          <w:tcPr>
            <w:tcW w:w="3500" w:type="pct"/>
            <w:gridSpan w:val="4"/>
            <w:shd w:val="clear" w:color="auto" w:fill="auto"/>
          </w:tcPr>
          <w:p w14:paraId="4A8A9F36" w14:textId="77777777" w:rsidR="009F2A9B" w:rsidRPr="000D3B5C" w:rsidRDefault="009F2A9B" w:rsidP="000D3B5C">
            <w:pPr>
              <w:rPr>
                <w:b/>
                <w:sz w:val="20"/>
                <w:szCs w:val="20"/>
              </w:rPr>
            </w:pPr>
            <w:r w:rsidRPr="000D3B5C">
              <w:rPr>
                <w:b/>
                <w:sz w:val="20"/>
                <w:szCs w:val="20"/>
              </w:rPr>
              <w:t>Not applicable.</w:t>
            </w:r>
          </w:p>
          <w:p w14:paraId="7E728DF6" w14:textId="00DDA884" w:rsidR="009F2A9B" w:rsidRPr="000D3B5C" w:rsidRDefault="009F2A9B" w:rsidP="000D3B5C">
            <w:pPr>
              <w:rPr>
                <w:sz w:val="20"/>
                <w:szCs w:val="20"/>
              </w:rPr>
            </w:pPr>
            <w:r w:rsidRPr="000D3B5C">
              <w:rPr>
                <w:sz w:val="20"/>
                <w:szCs w:val="20"/>
              </w:rPr>
              <w:t xml:space="preserve">No management response is necessary, given the risk to bycatch species has been identified as low. </w:t>
            </w:r>
          </w:p>
        </w:tc>
      </w:tr>
      <w:tr w:rsidR="009F2A9B" w:rsidRPr="000D3B5C" w14:paraId="1B207CAB" w14:textId="77777777" w:rsidTr="00860544">
        <w:tc>
          <w:tcPr>
            <w:tcW w:w="5000" w:type="pct"/>
            <w:gridSpan w:val="5"/>
            <w:shd w:val="clear" w:color="auto" w:fill="CCC0D9"/>
          </w:tcPr>
          <w:p w14:paraId="6E826318" w14:textId="77777777" w:rsidR="009F2A9B" w:rsidRPr="000D3B5C" w:rsidRDefault="009F2A9B" w:rsidP="000D3B5C">
            <w:pPr>
              <w:rPr>
                <w:b/>
                <w:bCs/>
                <w:sz w:val="20"/>
                <w:szCs w:val="20"/>
              </w:rPr>
            </w:pPr>
            <w:r w:rsidRPr="000D3B5C">
              <w:rPr>
                <w:b/>
                <w:bCs/>
                <w:sz w:val="20"/>
                <w:szCs w:val="20"/>
              </w:rPr>
              <w:t xml:space="preserve">Objective 2 - </w:t>
            </w:r>
            <w:r w:rsidRPr="000D3B5C">
              <w:rPr>
                <w:sz w:val="20"/>
                <w:szCs w:val="20"/>
              </w:rPr>
              <w:t>The fishery is conducted in a manner that avoids mortality of, or injuries to, endangered, threatened or protected species and avoids or minimises impacts on threatened ecological communities.</w:t>
            </w:r>
          </w:p>
        </w:tc>
      </w:tr>
      <w:tr w:rsidR="009F2A9B" w:rsidRPr="000D3B5C" w14:paraId="75103B02" w14:textId="77777777" w:rsidTr="00860544">
        <w:tc>
          <w:tcPr>
            <w:tcW w:w="5000" w:type="pct"/>
            <w:gridSpan w:val="5"/>
            <w:shd w:val="clear" w:color="auto" w:fill="E5DFEC"/>
          </w:tcPr>
          <w:p w14:paraId="485B63CB" w14:textId="77777777" w:rsidR="009F2A9B" w:rsidRPr="000D3B5C" w:rsidRDefault="009F2A9B" w:rsidP="000D3B5C">
            <w:pPr>
              <w:rPr>
                <w:sz w:val="20"/>
                <w:szCs w:val="20"/>
              </w:rPr>
            </w:pPr>
            <w:r w:rsidRPr="000D3B5C">
              <w:rPr>
                <w:b/>
                <w:bCs/>
                <w:i/>
                <w:iCs/>
                <w:sz w:val="20"/>
                <w:szCs w:val="20"/>
              </w:rPr>
              <w:t xml:space="preserve">Information requirements </w:t>
            </w:r>
          </w:p>
        </w:tc>
      </w:tr>
      <w:tr w:rsidR="009F2A9B" w:rsidRPr="000D3B5C" w14:paraId="0BCADE4E" w14:textId="77777777" w:rsidTr="00860544">
        <w:tc>
          <w:tcPr>
            <w:tcW w:w="1500" w:type="pct"/>
          </w:tcPr>
          <w:p w14:paraId="0AB4BAE2" w14:textId="058FFD57" w:rsidR="009F2A9B" w:rsidRPr="000D3B5C" w:rsidRDefault="009F2A9B" w:rsidP="000D3B5C">
            <w:pPr>
              <w:autoSpaceDE w:val="0"/>
              <w:autoSpaceDN w:val="0"/>
              <w:adjustRightInd w:val="0"/>
              <w:rPr>
                <w:b/>
                <w:i/>
                <w:sz w:val="20"/>
                <w:szCs w:val="20"/>
              </w:rPr>
            </w:pPr>
            <w:r w:rsidRPr="000D3B5C">
              <w:rPr>
                <w:b/>
                <w:bCs/>
                <w:i/>
                <w:iCs/>
                <w:sz w:val="20"/>
                <w:szCs w:val="20"/>
              </w:rPr>
              <w:t xml:space="preserve">2.2.1 </w:t>
            </w:r>
            <w:r w:rsidRPr="000D3B5C">
              <w:rPr>
                <w:sz w:val="20"/>
                <w:szCs w:val="20"/>
              </w:rPr>
              <w:t>Reliable information is collected on the interaction with endangered, threatened or protected species</w:t>
            </w:r>
            <w:r w:rsidR="000968E2" w:rsidRPr="000D3B5C">
              <w:rPr>
                <w:sz w:val="20"/>
                <w:szCs w:val="20"/>
              </w:rPr>
              <w:t xml:space="preserve"> (TEPS)</w:t>
            </w:r>
            <w:r w:rsidRPr="000D3B5C">
              <w:rPr>
                <w:sz w:val="20"/>
                <w:szCs w:val="20"/>
              </w:rPr>
              <w:t xml:space="preserve"> and threatened ecological communities</w:t>
            </w:r>
            <w:r w:rsidR="000968E2" w:rsidRPr="000D3B5C">
              <w:rPr>
                <w:sz w:val="20"/>
                <w:szCs w:val="20"/>
              </w:rPr>
              <w:t xml:space="preserve"> (TECs)</w:t>
            </w:r>
            <w:r w:rsidRPr="000D3B5C">
              <w:rPr>
                <w:sz w:val="20"/>
                <w:szCs w:val="20"/>
              </w:rPr>
              <w:t xml:space="preserve">. </w:t>
            </w:r>
          </w:p>
        </w:tc>
        <w:tc>
          <w:tcPr>
            <w:tcW w:w="3500" w:type="pct"/>
            <w:gridSpan w:val="4"/>
            <w:shd w:val="clear" w:color="auto" w:fill="auto"/>
          </w:tcPr>
          <w:p w14:paraId="7A05C59E" w14:textId="77777777" w:rsidR="000968E2" w:rsidRPr="000D3B5C" w:rsidRDefault="000968E2" w:rsidP="000D3B5C">
            <w:pPr>
              <w:rPr>
                <w:sz w:val="20"/>
                <w:szCs w:val="20"/>
              </w:rPr>
            </w:pPr>
            <w:r w:rsidRPr="000D3B5C">
              <w:rPr>
                <w:b/>
                <w:sz w:val="20"/>
                <w:szCs w:val="20"/>
              </w:rPr>
              <w:t>Meets.</w:t>
            </w:r>
          </w:p>
          <w:p w14:paraId="0135E626" w14:textId="2F65D060" w:rsidR="009F2A9B" w:rsidRPr="000D3B5C" w:rsidRDefault="000968E2" w:rsidP="000D3B5C">
            <w:pPr>
              <w:rPr>
                <w:sz w:val="20"/>
                <w:szCs w:val="20"/>
              </w:rPr>
            </w:pPr>
            <w:r w:rsidRPr="000D3B5C">
              <w:rPr>
                <w:sz w:val="20"/>
                <w:szCs w:val="20"/>
              </w:rPr>
              <w:t>Any interactions with TEPS is required to be recorded in the mandatory logbooks.</w:t>
            </w:r>
          </w:p>
        </w:tc>
      </w:tr>
      <w:tr w:rsidR="009F2A9B" w:rsidRPr="000D3B5C" w14:paraId="3B7DF286" w14:textId="77777777" w:rsidTr="00860544">
        <w:tc>
          <w:tcPr>
            <w:tcW w:w="5000" w:type="pct"/>
            <w:gridSpan w:val="5"/>
            <w:shd w:val="clear" w:color="auto" w:fill="E5DFEC"/>
          </w:tcPr>
          <w:p w14:paraId="00BF070B" w14:textId="77777777" w:rsidR="009F2A9B" w:rsidRPr="000D3B5C" w:rsidRDefault="009F2A9B" w:rsidP="000D3B5C">
            <w:pPr>
              <w:rPr>
                <w:b/>
                <w:bCs/>
                <w:i/>
                <w:iCs/>
                <w:sz w:val="20"/>
                <w:szCs w:val="20"/>
              </w:rPr>
            </w:pPr>
            <w:r w:rsidRPr="000D3B5C">
              <w:rPr>
                <w:b/>
                <w:bCs/>
                <w:i/>
                <w:iCs/>
                <w:sz w:val="20"/>
                <w:szCs w:val="20"/>
              </w:rPr>
              <w:t xml:space="preserve">Assessments </w:t>
            </w:r>
          </w:p>
        </w:tc>
      </w:tr>
      <w:tr w:rsidR="009F2A9B" w:rsidRPr="000D3B5C" w14:paraId="76AEC062" w14:textId="77777777" w:rsidTr="00860544">
        <w:tc>
          <w:tcPr>
            <w:tcW w:w="1500" w:type="pct"/>
          </w:tcPr>
          <w:p w14:paraId="69CDBF61" w14:textId="77777777" w:rsidR="009F2A9B" w:rsidRPr="000D3B5C" w:rsidRDefault="009F2A9B" w:rsidP="000D3B5C">
            <w:pPr>
              <w:autoSpaceDE w:val="0"/>
              <w:autoSpaceDN w:val="0"/>
              <w:adjustRightInd w:val="0"/>
              <w:rPr>
                <w:b/>
                <w:bCs/>
                <w:i/>
                <w:iCs/>
                <w:sz w:val="20"/>
                <w:szCs w:val="20"/>
              </w:rPr>
            </w:pPr>
            <w:r w:rsidRPr="000D3B5C">
              <w:rPr>
                <w:b/>
                <w:bCs/>
                <w:i/>
                <w:iCs/>
                <w:sz w:val="20"/>
                <w:szCs w:val="20"/>
              </w:rPr>
              <w:t xml:space="preserve">2.2.2 </w:t>
            </w:r>
            <w:r w:rsidRPr="000D3B5C">
              <w:rPr>
                <w:sz w:val="20"/>
                <w:szCs w:val="20"/>
              </w:rPr>
              <w:t xml:space="preserve">There is an assessment of the impact of the fishery on endangered, threatened or protected species. </w:t>
            </w:r>
          </w:p>
        </w:tc>
        <w:tc>
          <w:tcPr>
            <w:tcW w:w="3500" w:type="pct"/>
            <w:gridSpan w:val="4"/>
            <w:shd w:val="clear" w:color="auto" w:fill="auto"/>
          </w:tcPr>
          <w:p w14:paraId="367DD62D" w14:textId="77777777" w:rsidR="000968E2" w:rsidRPr="000D3B5C" w:rsidRDefault="000968E2" w:rsidP="000D3B5C">
            <w:pPr>
              <w:rPr>
                <w:sz w:val="20"/>
                <w:szCs w:val="20"/>
              </w:rPr>
            </w:pPr>
            <w:r w:rsidRPr="000D3B5C">
              <w:rPr>
                <w:b/>
                <w:sz w:val="20"/>
                <w:szCs w:val="20"/>
              </w:rPr>
              <w:t>Meets.</w:t>
            </w:r>
          </w:p>
          <w:p w14:paraId="01FA3422" w14:textId="53962080" w:rsidR="009F2A9B" w:rsidRPr="000D3B5C" w:rsidRDefault="000968E2" w:rsidP="000D3B5C">
            <w:pPr>
              <w:rPr>
                <w:sz w:val="20"/>
                <w:szCs w:val="20"/>
              </w:rPr>
            </w:pPr>
            <w:r w:rsidRPr="000D3B5C">
              <w:rPr>
                <w:sz w:val="20"/>
                <w:szCs w:val="20"/>
              </w:rPr>
              <w:t xml:space="preserve">Interactions with TEPS is considered negligible to zero. However, fishers are legally required to record any interactions in the mandatory logbooks and DPIPWE continually monitor the fishing operations.   </w:t>
            </w:r>
          </w:p>
        </w:tc>
      </w:tr>
      <w:tr w:rsidR="009F2A9B" w:rsidRPr="000D3B5C" w14:paraId="097B0FC3" w14:textId="77777777" w:rsidTr="00860544">
        <w:tc>
          <w:tcPr>
            <w:tcW w:w="1500" w:type="pct"/>
          </w:tcPr>
          <w:p w14:paraId="29176D1C" w14:textId="77777777" w:rsidR="009F2A9B" w:rsidRPr="000D3B5C" w:rsidRDefault="009F2A9B" w:rsidP="000D3B5C">
            <w:pPr>
              <w:autoSpaceDE w:val="0"/>
              <w:autoSpaceDN w:val="0"/>
              <w:adjustRightInd w:val="0"/>
              <w:rPr>
                <w:b/>
                <w:bCs/>
                <w:i/>
                <w:iCs/>
                <w:sz w:val="20"/>
                <w:szCs w:val="20"/>
              </w:rPr>
            </w:pPr>
            <w:r w:rsidRPr="000D3B5C">
              <w:rPr>
                <w:b/>
                <w:bCs/>
                <w:i/>
                <w:iCs/>
                <w:sz w:val="20"/>
                <w:szCs w:val="20"/>
              </w:rPr>
              <w:t xml:space="preserve">2.2.3 </w:t>
            </w:r>
            <w:r w:rsidRPr="000D3B5C">
              <w:rPr>
                <w:sz w:val="20"/>
                <w:szCs w:val="20"/>
              </w:rPr>
              <w:t xml:space="preserve">There is an assessment of the impact of the fishery on threatened ecological communities. </w:t>
            </w:r>
          </w:p>
        </w:tc>
        <w:tc>
          <w:tcPr>
            <w:tcW w:w="3500" w:type="pct"/>
            <w:gridSpan w:val="4"/>
            <w:shd w:val="clear" w:color="auto" w:fill="auto"/>
          </w:tcPr>
          <w:p w14:paraId="03686169" w14:textId="77777777" w:rsidR="000968E2" w:rsidRPr="000D3B5C" w:rsidRDefault="000968E2" w:rsidP="000D3B5C">
            <w:pPr>
              <w:rPr>
                <w:b/>
                <w:sz w:val="20"/>
                <w:szCs w:val="20"/>
              </w:rPr>
            </w:pPr>
            <w:r w:rsidRPr="000D3B5C">
              <w:rPr>
                <w:b/>
                <w:sz w:val="20"/>
                <w:szCs w:val="20"/>
              </w:rPr>
              <w:t>Not applicable.</w:t>
            </w:r>
          </w:p>
          <w:p w14:paraId="5903FFD9" w14:textId="0E5ACEDE" w:rsidR="009F2A9B" w:rsidRPr="000D3B5C" w:rsidRDefault="000968E2" w:rsidP="000D3B5C">
            <w:pPr>
              <w:rPr>
                <w:sz w:val="20"/>
                <w:szCs w:val="20"/>
              </w:rPr>
            </w:pPr>
            <w:r w:rsidRPr="000D3B5C">
              <w:rPr>
                <w:sz w:val="20"/>
                <w:szCs w:val="20"/>
              </w:rPr>
              <w:t>The harvest of Gould’s Squid occurs in waters between 58 m and 65 m in depth. Therefore, there is limited interaction with the Giant Kelp Marine Forests of South East Australia ecological community that occurs in shallower waters.</w:t>
            </w:r>
          </w:p>
        </w:tc>
      </w:tr>
      <w:tr w:rsidR="009F2A9B" w:rsidRPr="000D3B5C" w14:paraId="322114AA" w14:textId="77777777" w:rsidTr="00860544">
        <w:tc>
          <w:tcPr>
            <w:tcW w:w="5000" w:type="pct"/>
            <w:gridSpan w:val="5"/>
            <w:shd w:val="clear" w:color="auto" w:fill="E5DFEC"/>
          </w:tcPr>
          <w:p w14:paraId="511873D8" w14:textId="77777777" w:rsidR="009F2A9B" w:rsidRPr="000D3B5C" w:rsidRDefault="009F2A9B" w:rsidP="000D3B5C">
            <w:pPr>
              <w:rPr>
                <w:b/>
                <w:bCs/>
                <w:i/>
                <w:iCs/>
                <w:sz w:val="20"/>
                <w:szCs w:val="20"/>
              </w:rPr>
            </w:pPr>
            <w:r w:rsidRPr="000D3B5C">
              <w:rPr>
                <w:b/>
                <w:bCs/>
                <w:i/>
                <w:iCs/>
                <w:sz w:val="20"/>
                <w:szCs w:val="20"/>
              </w:rPr>
              <w:t xml:space="preserve">Management responses </w:t>
            </w:r>
          </w:p>
        </w:tc>
      </w:tr>
      <w:tr w:rsidR="009F2A9B" w:rsidRPr="000D3B5C" w14:paraId="2E6D4B5C" w14:textId="77777777" w:rsidTr="00860544">
        <w:tc>
          <w:tcPr>
            <w:tcW w:w="1500" w:type="pct"/>
          </w:tcPr>
          <w:p w14:paraId="3A228684" w14:textId="77777777" w:rsidR="009F2A9B" w:rsidRPr="000D3B5C" w:rsidRDefault="009F2A9B" w:rsidP="000D3B5C">
            <w:pPr>
              <w:autoSpaceDE w:val="0"/>
              <w:autoSpaceDN w:val="0"/>
              <w:adjustRightInd w:val="0"/>
              <w:rPr>
                <w:b/>
                <w:bCs/>
                <w:i/>
                <w:iCs/>
                <w:sz w:val="20"/>
                <w:szCs w:val="20"/>
              </w:rPr>
            </w:pPr>
            <w:r w:rsidRPr="000D3B5C">
              <w:rPr>
                <w:b/>
                <w:bCs/>
                <w:i/>
                <w:iCs/>
                <w:sz w:val="20"/>
                <w:szCs w:val="20"/>
              </w:rPr>
              <w:t xml:space="preserve">2.2.4 </w:t>
            </w:r>
            <w:r w:rsidRPr="000D3B5C">
              <w:rPr>
                <w:sz w:val="20"/>
                <w:szCs w:val="20"/>
              </w:rPr>
              <w:t xml:space="preserve">There are measures in place to avoid capture and/or mortality of endangered, threatened or protected species. </w:t>
            </w:r>
          </w:p>
        </w:tc>
        <w:tc>
          <w:tcPr>
            <w:tcW w:w="3500" w:type="pct"/>
            <w:gridSpan w:val="4"/>
            <w:shd w:val="clear" w:color="auto" w:fill="auto"/>
          </w:tcPr>
          <w:p w14:paraId="6F6E44B4" w14:textId="77777777" w:rsidR="009F2A9B" w:rsidRPr="000D3B5C" w:rsidRDefault="009F2A9B" w:rsidP="000D3B5C">
            <w:pPr>
              <w:rPr>
                <w:b/>
                <w:sz w:val="20"/>
                <w:szCs w:val="20"/>
              </w:rPr>
            </w:pPr>
            <w:r w:rsidRPr="000D3B5C">
              <w:rPr>
                <w:b/>
                <w:sz w:val="20"/>
                <w:szCs w:val="20"/>
              </w:rPr>
              <w:t>Not applicable.</w:t>
            </w:r>
          </w:p>
          <w:p w14:paraId="665A39EE" w14:textId="7B609D68" w:rsidR="009F2A9B" w:rsidRPr="000D3B5C" w:rsidRDefault="009F2A9B" w:rsidP="000D3B5C">
            <w:pPr>
              <w:rPr>
                <w:sz w:val="20"/>
                <w:szCs w:val="20"/>
              </w:rPr>
            </w:pPr>
            <w:r w:rsidRPr="000D3B5C">
              <w:rPr>
                <w:sz w:val="20"/>
                <w:szCs w:val="20"/>
              </w:rPr>
              <w:t>As per 2.2.2</w:t>
            </w:r>
          </w:p>
        </w:tc>
      </w:tr>
      <w:tr w:rsidR="000968E2" w:rsidRPr="000D3B5C" w14:paraId="3F18D190" w14:textId="77777777" w:rsidTr="00860544">
        <w:tc>
          <w:tcPr>
            <w:tcW w:w="1500" w:type="pct"/>
          </w:tcPr>
          <w:p w14:paraId="31F0D17A" w14:textId="77777777" w:rsidR="000968E2" w:rsidRPr="000D3B5C" w:rsidRDefault="000968E2" w:rsidP="000D3B5C">
            <w:pPr>
              <w:autoSpaceDE w:val="0"/>
              <w:autoSpaceDN w:val="0"/>
              <w:adjustRightInd w:val="0"/>
              <w:rPr>
                <w:sz w:val="20"/>
                <w:szCs w:val="20"/>
              </w:rPr>
            </w:pPr>
            <w:r w:rsidRPr="000D3B5C">
              <w:rPr>
                <w:b/>
                <w:bCs/>
                <w:i/>
                <w:iCs/>
                <w:sz w:val="20"/>
                <w:szCs w:val="20"/>
              </w:rPr>
              <w:t xml:space="preserve">2.2.5 </w:t>
            </w:r>
            <w:r w:rsidRPr="000D3B5C">
              <w:rPr>
                <w:sz w:val="20"/>
                <w:szCs w:val="20"/>
              </w:rPr>
              <w:t xml:space="preserve">There are measures in place to avoid impact on threatened ecological communities. </w:t>
            </w:r>
          </w:p>
        </w:tc>
        <w:tc>
          <w:tcPr>
            <w:tcW w:w="3500" w:type="pct"/>
            <w:gridSpan w:val="4"/>
            <w:shd w:val="clear" w:color="auto" w:fill="auto"/>
          </w:tcPr>
          <w:p w14:paraId="230217F5" w14:textId="77777777" w:rsidR="000968E2" w:rsidRPr="000D3B5C" w:rsidRDefault="000968E2" w:rsidP="000D3B5C">
            <w:pPr>
              <w:rPr>
                <w:b/>
                <w:sz w:val="20"/>
                <w:szCs w:val="20"/>
              </w:rPr>
            </w:pPr>
            <w:r w:rsidRPr="000D3B5C">
              <w:rPr>
                <w:b/>
                <w:sz w:val="20"/>
                <w:szCs w:val="20"/>
              </w:rPr>
              <w:t>Not applicable.</w:t>
            </w:r>
          </w:p>
          <w:p w14:paraId="046202FA" w14:textId="708F86CD" w:rsidR="000968E2" w:rsidRPr="000D3B5C" w:rsidRDefault="000968E2" w:rsidP="000D3B5C">
            <w:pPr>
              <w:rPr>
                <w:sz w:val="20"/>
                <w:szCs w:val="20"/>
              </w:rPr>
            </w:pPr>
            <w:r w:rsidRPr="000D3B5C">
              <w:rPr>
                <w:sz w:val="20"/>
                <w:szCs w:val="20"/>
              </w:rPr>
              <w:t>As per 2.2.3</w:t>
            </w:r>
          </w:p>
        </w:tc>
      </w:tr>
      <w:tr w:rsidR="000968E2" w:rsidRPr="000D3B5C" w14:paraId="7DEEF27E" w14:textId="77777777" w:rsidTr="00860544">
        <w:tc>
          <w:tcPr>
            <w:tcW w:w="1500" w:type="pct"/>
          </w:tcPr>
          <w:p w14:paraId="362C699D" w14:textId="77777777" w:rsidR="000968E2" w:rsidRPr="000D3B5C" w:rsidRDefault="000968E2" w:rsidP="000D3B5C">
            <w:pPr>
              <w:autoSpaceDE w:val="0"/>
              <w:autoSpaceDN w:val="0"/>
              <w:adjustRightInd w:val="0"/>
              <w:rPr>
                <w:sz w:val="20"/>
                <w:szCs w:val="20"/>
              </w:rPr>
            </w:pPr>
            <w:r w:rsidRPr="000D3B5C">
              <w:rPr>
                <w:b/>
                <w:bCs/>
                <w:i/>
                <w:iCs/>
                <w:sz w:val="20"/>
                <w:szCs w:val="20"/>
              </w:rPr>
              <w:t xml:space="preserve">2.2.6 </w:t>
            </w:r>
            <w:r w:rsidRPr="000D3B5C">
              <w:rPr>
                <w:sz w:val="20"/>
                <w:szCs w:val="20"/>
              </w:rPr>
              <w:t xml:space="preserve">The management response, considering uncertainties in the assessment </w:t>
            </w:r>
            <w:r w:rsidRPr="000D3B5C">
              <w:rPr>
                <w:sz w:val="20"/>
                <w:szCs w:val="20"/>
              </w:rPr>
              <w:lastRenderedPageBreak/>
              <w:t xml:space="preserve">and precautionary management actions, has a high chance of achieving the objective. </w:t>
            </w:r>
          </w:p>
        </w:tc>
        <w:tc>
          <w:tcPr>
            <w:tcW w:w="3500" w:type="pct"/>
            <w:gridSpan w:val="4"/>
            <w:shd w:val="clear" w:color="auto" w:fill="auto"/>
          </w:tcPr>
          <w:p w14:paraId="0F41AAF9" w14:textId="77777777" w:rsidR="000968E2" w:rsidRPr="000D3B5C" w:rsidRDefault="000968E2" w:rsidP="000D3B5C">
            <w:pPr>
              <w:rPr>
                <w:b/>
                <w:sz w:val="20"/>
                <w:szCs w:val="20"/>
              </w:rPr>
            </w:pPr>
            <w:r w:rsidRPr="000D3B5C">
              <w:rPr>
                <w:b/>
                <w:sz w:val="20"/>
                <w:szCs w:val="20"/>
              </w:rPr>
              <w:lastRenderedPageBreak/>
              <w:t>Not applicable.</w:t>
            </w:r>
          </w:p>
          <w:p w14:paraId="0622BE66" w14:textId="46B1FB48" w:rsidR="000968E2" w:rsidRPr="000D3B5C" w:rsidRDefault="000968E2" w:rsidP="000D3B5C">
            <w:pPr>
              <w:rPr>
                <w:sz w:val="20"/>
                <w:szCs w:val="20"/>
              </w:rPr>
            </w:pPr>
            <w:r w:rsidRPr="000D3B5C">
              <w:rPr>
                <w:sz w:val="20"/>
                <w:szCs w:val="20"/>
              </w:rPr>
              <w:lastRenderedPageBreak/>
              <w:t xml:space="preserve">No management response necessary due to the fishery having negligible to zero interactions with protected species or ecological communities. </w:t>
            </w:r>
          </w:p>
        </w:tc>
      </w:tr>
      <w:tr w:rsidR="000968E2" w:rsidRPr="000D3B5C" w14:paraId="07F76D0F" w14:textId="77777777" w:rsidTr="00860544">
        <w:tc>
          <w:tcPr>
            <w:tcW w:w="5000" w:type="pct"/>
            <w:gridSpan w:val="5"/>
            <w:shd w:val="clear" w:color="auto" w:fill="CCC0D9"/>
          </w:tcPr>
          <w:p w14:paraId="52D9C8C1" w14:textId="77777777" w:rsidR="000968E2" w:rsidRPr="000D3B5C" w:rsidRDefault="000968E2" w:rsidP="000D3B5C">
            <w:pPr>
              <w:rPr>
                <w:b/>
                <w:bCs/>
                <w:sz w:val="20"/>
                <w:szCs w:val="20"/>
              </w:rPr>
            </w:pPr>
            <w:r w:rsidRPr="000D3B5C">
              <w:rPr>
                <w:b/>
                <w:bCs/>
                <w:sz w:val="20"/>
                <w:szCs w:val="20"/>
              </w:rPr>
              <w:lastRenderedPageBreak/>
              <w:t xml:space="preserve">Objective 3 - </w:t>
            </w:r>
            <w:r w:rsidRPr="000D3B5C">
              <w:rPr>
                <w:sz w:val="20"/>
                <w:szCs w:val="20"/>
              </w:rPr>
              <w:t>The fishery is conducted, in a manner that minimises the impact of fishing operations on the ecosystem generally.</w:t>
            </w:r>
          </w:p>
        </w:tc>
      </w:tr>
      <w:tr w:rsidR="000968E2" w:rsidRPr="000D3B5C" w14:paraId="65060EC3" w14:textId="77777777" w:rsidTr="00860544">
        <w:tc>
          <w:tcPr>
            <w:tcW w:w="5000" w:type="pct"/>
            <w:gridSpan w:val="5"/>
            <w:shd w:val="clear" w:color="auto" w:fill="E5DFEC"/>
          </w:tcPr>
          <w:p w14:paraId="3A1F7CDD" w14:textId="77777777" w:rsidR="000968E2" w:rsidRPr="000D3B5C" w:rsidRDefault="000968E2" w:rsidP="000D3B5C">
            <w:pPr>
              <w:rPr>
                <w:b/>
                <w:bCs/>
                <w:i/>
                <w:iCs/>
                <w:sz w:val="20"/>
                <w:szCs w:val="20"/>
              </w:rPr>
            </w:pPr>
            <w:r w:rsidRPr="000D3B5C">
              <w:rPr>
                <w:b/>
                <w:bCs/>
                <w:i/>
                <w:iCs/>
                <w:sz w:val="20"/>
                <w:szCs w:val="20"/>
              </w:rPr>
              <w:t xml:space="preserve">Information requirements </w:t>
            </w:r>
          </w:p>
        </w:tc>
      </w:tr>
      <w:tr w:rsidR="000968E2" w:rsidRPr="000D3B5C" w14:paraId="65742315" w14:textId="77777777" w:rsidTr="00860544">
        <w:tc>
          <w:tcPr>
            <w:tcW w:w="1500" w:type="pct"/>
          </w:tcPr>
          <w:p w14:paraId="34713EEF" w14:textId="77777777" w:rsidR="000968E2" w:rsidRPr="000D3B5C" w:rsidRDefault="000968E2" w:rsidP="000D3B5C">
            <w:pPr>
              <w:autoSpaceDE w:val="0"/>
              <w:autoSpaceDN w:val="0"/>
              <w:adjustRightInd w:val="0"/>
              <w:rPr>
                <w:sz w:val="20"/>
                <w:szCs w:val="20"/>
              </w:rPr>
            </w:pPr>
            <w:r w:rsidRPr="000D3B5C">
              <w:rPr>
                <w:b/>
                <w:bCs/>
                <w:iCs/>
                <w:sz w:val="20"/>
                <w:szCs w:val="20"/>
              </w:rPr>
              <w:t xml:space="preserve">2.3.1 </w:t>
            </w:r>
            <w:r w:rsidRPr="000D3B5C">
              <w:rPr>
                <w:sz w:val="20"/>
                <w:szCs w:val="20"/>
              </w:rPr>
              <w:t xml:space="preserve">Information appropriate for the analysis in 2.3.2 is collated and/or collected covering the fisheries impact on the ecosystem and environment generally. </w:t>
            </w:r>
          </w:p>
        </w:tc>
        <w:tc>
          <w:tcPr>
            <w:tcW w:w="3500" w:type="pct"/>
            <w:gridSpan w:val="4"/>
            <w:shd w:val="clear" w:color="auto" w:fill="92D050"/>
          </w:tcPr>
          <w:p w14:paraId="30113C76" w14:textId="77777777" w:rsidR="0053640C" w:rsidRPr="000D3B5C" w:rsidRDefault="0053640C" w:rsidP="000D3B5C">
            <w:pPr>
              <w:rPr>
                <w:b/>
                <w:sz w:val="20"/>
                <w:szCs w:val="20"/>
              </w:rPr>
            </w:pPr>
            <w:r w:rsidRPr="000D3B5C">
              <w:rPr>
                <w:b/>
                <w:sz w:val="20"/>
                <w:szCs w:val="20"/>
              </w:rPr>
              <w:t>Meets.</w:t>
            </w:r>
          </w:p>
          <w:p w14:paraId="471E035F" w14:textId="1913D1D4" w:rsidR="000968E2" w:rsidRPr="000D3B5C" w:rsidRDefault="0053640C" w:rsidP="000D3B5C">
            <w:pPr>
              <w:rPr>
                <w:sz w:val="20"/>
                <w:szCs w:val="20"/>
              </w:rPr>
            </w:pPr>
            <w:r w:rsidRPr="000D3B5C">
              <w:rPr>
                <w:sz w:val="20"/>
                <w:szCs w:val="20"/>
              </w:rPr>
              <w:t>The take of Gould’s Squid has minimal impacts on the wider ecosystem due to the relatively benign nature of the harvesting method (i.e. automatic squid jig/hand jig). However, information collected to conduct an ERA for the Commonwealth SSJF has been considered by DPIPWE in the establishment of the Gould’s Squid management regime.</w:t>
            </w:r>
          </w:p>
        </w:tc>
      </w:tr>
      <w:tr w:rsidR="000968E2" w:rsidRPr="000D3B5C" w14:paraId="57FEEF84" w14:textId="77777777" w:rsidTr="00860544">
        <w:tc>
          <w:tcPr>
            <w:tcW w:w="5000" w:type="pct"/>
            <w:gridSpan w:val="5"/>
            <w:shd w:val="clear" w:color="auto" w:fill="E5DFEC"/>
          </w:tcPr>
          <w:p w14:paraId="3372D916" w14:textId="77777777" w:rsidR="000968E2" w:rsidRPr="000D3B5C" w:rsidRDefault="000968E2" w:rsidP="000D3B5C">
            <w:pPr>
              <w:rPr>
                <w:sz w:val="20"/>
                <w:szCs w:val="20"/>
              </w:rPr>
            </w:pPr>
            <w:r w:rsidRPr="000D3B5C">
              <w:rPr>
                <w:b/>
                <w:bCs/>
                <w:i/>
                <w:iCs/>
                <w:sz w:val="20"/>
                <w:szCs w:val="20"/>
              </w:rPr>
              <w:t>Assessment</w:t>
            </w:r>
          </w:p>
        </w:tc>
      </w:tr>
      <w:tr w:rsidR="000968E2" w:rsidRPr="000D3B5C" w14:paraId="3BADADB5" w14:textId="77777777" w:rsidTr="0053640C">
        <w:tc>
          <w:tcPr>
            <w:tcW w:w="1500" w:type="pct"/>
          </w:tcPr>
          <w:p w14:paraId="6A378294" w14:textId="77777777" w:rsidR="000968E2" w:rsidRPr="000D3B5C" w:rsidRDefault="000968E2" w:rsidP="000D3B5C">
            <w:pPr>
              <w:autoSpaceDE w:val="0"/>
              <w:autoSpaceDN w:val="0"/>
              <w:adjustRightInd w:val="0"/>
              <w:rPr>
                <w:sz w:val="20"/>
                <w:szCs w:val="20"/>
              </w:rPr>
            </w:pPr>
            <w:r w:rsidRPr="000D3B5C">
              <w:rPr>
                <w:b/>
                <w:bCs/>
                <w:sz w:val="20"/>
                <w:szCs w:val="20"/>
              </w:rPr>
              <w:t xml:space="preserve">2.3.2 </w:t>
            </w:r>
            <w:r w:rsidRPr="000D3B5C">
              <w:rPr>
                <w:sz w:val="20"/>
                <w:szCs w:val="20"/>
              </w:rPr>
              <w:t>Information is collected and a risk analysis, appropriate to the scale of the fishery and its potential impacts, is conducted into the susceptibility of each of the following ecosystem components to the fishery:</w:t>
            </w:r>
          </w:p>
          <w:p w14:paraId="6E99499F" w14:textId="77777777" w:rsidR="000968E2" w:rsidRPr="000D3B5C" w:rsidRDefault="000968E2" w:rsidP="000D3B5C">
            <w:pPr>
              <w:autoSpaceDE w:val="0"/>
              <w:autoSpaceDN w:val="0"/>
              <w:adjustRightInd w:val="0"/>
              <w:rPr>
                <w:sz w:val="20"/>
                <w:szCs w:val="20"/>
              </w:rPr>
            </w:pPr>
            <w:r w:rsidRPr="000D3B5C">
              <w:rPr>
                <w:sz w:val="20"/>
                <w:szCs w:val="20"/>
              </w:rPr>
              <w:t>1. Impacts on ecological communities</w:t>
            </w:r>
          </w:p>
          <w:p w14:paraId="09AA3B25" w14:textId="77777777" w:rsidR="000968E2" w:rsidRPr="000D3B5C" w:rsidRDefault="000968E2" w:rsidP="000D3B5C">
            <w:pPr>
              <w:autoSpaceDE w:val="0"/>
              <w:autoSpaceDN w:val="0"/>
              <w:adjustRightInd w:val="0"/>
              <w:ind w:left="360"/>
              <w:rPr>
                <w:sz w:val="20"/>
                <w:szCs w:val="20"/>
              </w:rPr>
            </w:pPr>
            <w:r w:rsidRPr="000D3B5C">
              <w:rPr>
                <w:sz w:val="20"/>
                <w:szCs w:val="20"/>
              </w:rPr>
              <w:t>• Benthic communities</w:t>
            </w:r>
          </w:p>
          <w:p w14:paraId="62ABC0F2" w14:textId="77777777" w:rsidR="000968E2" w:rsidRPr="000D3B5C" w:rsidRDefault="000968E2" w:rsidP="000D3B5C">
            <w:pPr>
              <w:autoSpaceDE w:val="0"/>
              <w:autoSpaceDN w:val="0"/>
              <w:adjustRightInd w:val="0"/>
              <w:ind w:left="360"/>
              <w:rPr>
                <w:sz w:val="20"/>
                <w:szCs w:val="20"/>
              </w:rPr>
            </w:pPr>
            <w:r w:rsidRPr="000D3B5C">
              <w:rPr>
                <w:sz w:val="20"/>
                <w:szCs w:val="20"/>
              </w:rPr>
              <w:t>• Ecologically related, associated or dependent species</w:t>
            </w:r>
          </w:p>
          <w:p w14:paraId="72160131" w14:textId="77777777" w:rsidR="000968E2" w:rsidRPr="000D3B5C" w:rsidRDefault="000968E2" w:rsidP="000D3B5C">
            <w:pPr>
              <w:autoSpaceDE w:val="0"/>
              <w:autoSpaceDN w:val="0"/>
              <w:adjustRightInd w:val="0"/>
              <w:ind w:left="360"/>
              <w:rPr>
                <w:sz w:val="20"/>
                <w:szCs w:val="20"/>
              </w:rPr>
            </w:pPr>
            <w:r w:rsidRPr="000D3B5C">
              <w:rPr>
                <w:sz w:val="20"/>
                <w:szCs w:val="20"/>
              </w:rPr>
              <w:t>• Water column communities</w:t>
            </w:r>
          </w:p>
          <w:p w14:paraId="5138A99D" w14:textId="77777777" w:rsidR="000968E2" w:rsidRPr="000D3B5C" w:rsidRDefault="000968E2" w:rsidP="000D3B5C">
            <w:pPr>
              <w:autoSpaceDE w:val="0"/>
              <w:autoSpaceDN w:val="0"/>
              <w:adjustRightInd w:val="0"/>
              <w:rPr>
                <w:sz w:val="20"/>
                <w:szCs w:val="20"/>
              </w:rPr>
            </w:pPr>
            <w:r w:rsidRPr="000D3B5C">
              <w:rPr>
                <w:sz w:val="20"/>
                <w:szCs w:val="20"/>
              </w:rPr>
              <w:t>2. Impacts on food chains</w:t>
            </w:r>
          </w:p>
          <w:p w14:paraId="05CFCCC5" w14:textId="77777777" w:rsidR="000968E2" w:rsidRPr="000D3B5C" w:rsidRDefault="000968E2" w:rsidP="000D3B5C">
            <w:pPr>
              <w:autoSpaceDE w:val="0"/>
              <w:autoSpaceDN w:val="0"/>
              <w:adjustRightInd w:val="0"/>
              <w:ind w:left="360"/>
              <w:rPr>
                <w:sz w:val="20"/>
                <w:szCs w:val="20"/>
              </w:rPr>
            </w:pPr>
            <w:r w:rsidRPr="000D3B5C">
              <w:rPr>
                <w:sz w:val="20"/>
                <w:szCs w:val="20"/>
              </w:rPr>
              <w:t>• Structure</w:t>
            </w:r>
          </w:p>
          <w:p w14:paraId="0FEF6827" w14:textId="77777777" w:rsidR="000968E2" w:rsidRPr="000D3B5C" w:rsidRDefault="000968E2" w:rsidP="000D3B5C">
            <w:pPr>
              <w:autoSpaceDE w:val="0"/>
              <w:autoSpaceDN w:val="0"/>
              <w:adjustRightInd w:val="0"/>
              <w:ind w:left="360"/>
              <w:rPr>
                <w:sz w:val="20"/>
                <w:szCs w:val="20"/>
              </w:rPr>
            </w:pPr>
            <w:r w:rsidRPr="000D3B5C">
              <w:rPr>
                <w:sz w:val="20"/>
                <w:szCs w:val="20"/>
              </w:rPr>
              <w:t>• Productivity/flows</w:t>
            </w:r>
          </w:p>
          <w:p w14:paraId="6E7B57B0" w14:textId="77777777" w:rsidR="000968E2" w:rsidRPr="000D3B5C" w:rsidRDefault="000968E2" w:rsidP="000D3B5C">
            <w:pPr>
              <w:autoSpaceDE w:val="0"/>
              <w:autoSpaceDN w:val="0"/>
              <w:adjustRightInd w:val="0"/>
              <w:rPr>
                <w:sz w:val="20"/>
                <w:szCs w:val="20"/>
              </w:rPr>
            </w:pPr>
            <w:r w:rsidRPr="000D3B5C">
              <w:rPr>
                <w:sz w:val="20"/>
                <w:szCs w:val="20"/>
              </w:rPr>
              <w:t>3. Impacts on the physical environment</w:t>
            </w:r>
          </w:p>
          <w:p w14:paraId="0CDFEBA2" w14:textId="77777777" w:rsidR="000968E2" w:rsidRPr="000D3B5C" w:rsidRDefault="000968E2" w:rsidP="000D3B5C">
            <w:pPr>
              <w:autoSpaceDE w:val="0"/>
              <w:autoSpaceDN w:val="0"/>
              <w:adjustRightInd w:val="0"/>
              <w:ind w:left="360"/>
              <w:rPr>
                <w:sz w:val="20"/>
                <w:szCs w:val="20"/>
              </w:rPr>
            </w:pPr>
            <w:r w:rsidRPr="000D3B5C">
              <w:rPr>
                <w:sz w:val="20"/>
                <w:szCs w:val="20"/>
              </w:rPr>
              <w:t>• Physical habitat</w:t>
            </w:r>
          </w:p>
          <w:p w14:paraId="055F6086" w14:textId="77777777" w:rsidR="000968E2" w:rsidRPr="000D3B5C" w:rsidRDefault="000968E2" w:rsidP="000D3B5C">
            <w:pPr>
              <w:autoSpaceDE w:val="0"/>
              <w:autoSpaceDN w:val="0"/>
              <w:adjustRightInd w:val="0"/>
              <w:ind w:left="360"/>
              <w:rPr>
                <w:b/>
                <w:i/>
                <w:sz w:val="20"/>
                <w:szCs w:val="20"/>
              </w:rPr>
            </w:pPr>
            <w:r w:rsidRPr="000D3B5C">
              <w:rPr>
                <w:sz w:val="20"/>
                <w:szCs w:val="20"/>
              </w:rPr>
              <w:t>• Water quality.</w:t>
            </w:r>
          </w:p>
        </w:tc>
        <w:tc>
          <w:tcPr>
            <w:tcW w:w="3500" w:type="pct"/>
            <w:gridSpan w:val="4"/>
            <w:shd w:val="clear" w:color="auto" w:fill="92D050"/>
          </w:tcPr>
          <w:p w14:paraId="41DDA6FD" w14:textId="77777777" w:rsidR="0053640C" w:rsidRPr="000D3B5C" w:rsidRDefault="0053640C" w:rsidP="000D3B5C">
            <w:pPr>
              <w:rPr>
                <w:b/>
                <w:sz w:val="20"/>
                <w:szCs w:val="20"/>
              </w:rPr>
            </w:pPr>
            <w:r w:rsidRPr="000D3B5C">
              <w:rPr>
                <w:b/>
                <w:sz w:val="20"/>
                <w:szCs w:val="20"/>
              </w:rPr>
              <w:t>Meets.</w:t>
            </w:r>
          </w:p>
          <w:p w14:paraId="6F5C0CBA" w14:textId="31B6692B" w:rsidR="0053640C" w:rsidRPr="000D3B5C" w:rsidRDefault="0053640C" w:rsidP="000D3B5C">
            <w:pPr>
              <w:rPr>
                <w:sz w:val="20"/>
                <w:szCs w:val="20"/>
              </w:rPr>
            </w:pPr>
            <w:r w:rsidRPr="000D3B5C">
              <w:rPr>
                <w:sz w:val="20"/>
                <w:szCs w:val="20"/>
              </w:rPr>
              <w:t xml:space="preserve">An ERA for the Commonwealth SSJF was completed in 2006 and did not identify any indicators of threat to the environment from jig fishing. It is considered that this information is also indicative of the adjacent </w:t>
            </w:r>
            <w:r w:rsidR="00802133" w:rsidRPr="000D3B5C">
              <w:rPr>
                <w:sz w:val="20"/>
                <w:szCs w:val="20"/>
              </w:rPr>
              <w:t xml:space="preserve">Tasmanian Scalefish Fishery </w:t>
            </w:r>
            <w:r w:rsidRPr="000D3B5C">
              <w:rPr>
                <w:sz w:val="20"/>
                <w:szCs w:val="20"/>
              </w:rPr>
              <w:t xml:space="preserve">that uses the same gear type (i.e. automatic squid jigs). Furthermore, a revised ERA for the Tasmanian Scalefish Fishery is due to be published in 2016 (see Bell </w:t>
            </w:r>
            <w:r w:rsidRPr="000D3B5C">
              <w:rPr>
                <w:i/>
                <w:sz w:val="20"/>
                <w:szCs w:val="20"/>
              </w:rPr>
              <w:t>et al</w:t>
            </w:r>
            <w:r w:rsidRPr="000D3B5C">
              <w:rPr>
                <w:sz w:val="20"/>
                <w:szCs w:val="20"/>
              </w:rPr>
              <w:t>. 2016). DPIPWE report that the revised ERA determined the risks from the use of automatic squid jigs/hand jigs remains negligible to low.</w:t>
            </w:r>
          </w:p>
          <w:p w14:paraId="406B277B" w14:textId="77777777" w:rsidR="000968E2" w:rsidRDefault="0053640C" w:rsidP="000D3B5C">
            <w:pPr>
              <w:rPr>
                <w:sz w:val="20"/>
                <w:szCs w:val="20"/>
              </w:rPr>
            </w:pPr>
            <w:r w:rsidRPr="000D3B5C">
              <w:rPr>
                <w:sz w:val="20"/>
                <w:szCs w:val="20"/>
              </w:rPr>
              <w:t xml:space="preserve">Due to the limited </w:t>
            </w:r>
            <w:r w:rsidR="00820A44">
              <w:rPr>
                <w:sz w:val="20"/>
                <w:szCs w:val="20"/>
              </w:rPr>
              <w:t xml:space="preserve">number of </w:t>
            </w:r>
            <w:r w:rsidRPr="000D3B5C">
              <w:rPr>
                <w:sz w:val="20"/>
                <w:szCs w:val="20"/>
              </w:rPr>
              <w:t>licences in the fishery, the highly selective fishing method and a relatively low catch comparative to historical quotas, the harvest of Gould’s Squid in the Tasmanian Scalefish Fishery is considered to have no significant impact on physical habitat or water quality. There is no contact on benthic or water column communities in the fishery. However, due to the relatively small size of the fishery and fluctuating nature of the Gould’s Squid, there is no specific research available regarding broader food chain impacts.</w:t>
            </w:r>
          </w:p>
          <w:p w14:paraId="16B86955" w14:textId="69D66E0D" w:rsidR="00820A44" w:rsidRPr="000D3B5C" w:rsidRDefault="00820A44" w:rsidP="000D3B5C">
            <w:pPr>
              <w:rPr>
                <w:sz w:val="20"/>
                <w:szCs w:val="20"/>
              </w:rPr>
            </w:pPr>
          </w:p>
        </w:tc>
      </w:tr>
      <w:tr w:rsidR="000968E2" w:rsidRPr="000D3B5C" w14:paraId="0DAC6ECB" w14:textId="77777777" w:rsidTr="00860544">
        <w:trPr>
          <w:trHeight w:val="77"/>
        </w:trPr>
        <w:tc>
          <w:tcPr>
            <w:tcW w:w="5000" w:type="pct"/>
            <w:gridSpan w:val="5"/>
            <w:shd w:val="clear" w:color="auto" w:fill="E5DFEC"/>
          </w:tcPr>
          <w:p w14:paraId="10EDCBB4" w14:textId="77777777" w:rsidR="000968E2" w:rsidRPr="000D3B5C" w:rsidRDefault="000968E2" w:rsidP="000D3B5C">
            <w:pPr>
              <w:rPr>
                <w:b/>
                <w:bCs/>
                <w:i/>
                <w:iCs/>
                <w:sz w:val="20"/>
                <w:szCs w:val="20"/>
              </w:rPr>
            </w:pPr>
            <w:r w:rsidRPr="000D3B5C">
              <w:rPr>
                <w:b/>
                <w:bCs/>
                <w:i/>
                <w:iCs/>
                <w:sz w:val="20"/>
                <w:szCs w:val="20"/>
              </w:rPr>
              <w:t>Management responses</w:t>
            </w:r>
          </w:p>
        </w:tc>
      </w:tr>
      <w:tr w:rsidR="00785FFD" w:rsidRPr="000D3B5C" w14:paraId="54769249" w14:textId="77777777" w:rsidTr="00785FFD">
        <w:trPr>
          <w:trHeight w:val="77"/>
        </w:trPr>
        <w:tc>
          <w:tcPr>
            <w:tcW w:w="1500" w:type="pct"/>
          </w:tcPr>
          <w:p w14:paraId="2B231047" w14:textId="77777777" w:rsidR="00785FFD" w:rsidRPr="000D3B5C" w:rsidRDefault="00785FFD" w:rsidP="000D3B5C">
            <w:pPr>
              <w:autoSpaceDE w:val="0"/>
              <w:autoSpaceDN w:val="0"/>
              <w:adjustRightInd w:val="0"/>
              <w:rPr>
                <w:sz w:val="20"/>
                <w:szCs w:val="20"/>
              </w:rPr>
            </w:pPr>
            <w:r w:rsidRPr="000D3B5C">
              <w:rPr>
                <w:b/>
                <w:bCs/>
                <w:i/>
                <w:iCs/>
                <w:sz w:val="20"/>
                <w:szCs w:val="20"/>
              </w:rPr>
              <w:t xml:space="preserve">2.3.3 </w:t>
            </w:r>
            <w:r w:rsidRPr="000D3B5C">
              <w:rPr>
                <w:sz w:val="20"/>
                <w:szCs w:val="20"/>
              </w:rPr>
              <w:t>Management actions are in place to ensure significant damage to ecosystems does not arise from the impacts described in 2.3.1.</w:t>
            </w:r>
          </w:p>
        </w:tc>
        <w:tc>
          <w:tcPr>
            <w:tcW w:w="3500" w:type="pct"/>
            <w:gridSpan w:val="4"/>
            <w:shd w:val="clear" w:color="auto" w:fill="auto"/>
          </w:tcPr>
          <w:p w14:paraId="00566BED" w14:textId="77777777" w:rsidR="00785FFD" w:rsidRPr="000D3B5C" w:rsidRDefault="00785FFD" w:rsidP="000D3B5C">
            <w:pPr>
              <w:rPr>
                <w:b/>
                <w:sz w:val="20"/>
                <w:szCs w:val="20"/>
              </w:rPr>
            </w:pPr>
            <w:r w:rsidRPr="000D3B5C">
              <w:rPr>
                <w:b/>
                <w:sz w:val="20"/>
                <w:szCs w:val="20"/>
              </w:rPr>
              <w:t>Not applicable.</w:t>
            </w:r>
          </w:p>
          <w:p w14:paraId="71473985" w14:textId="0E7714A1" w:rsidR="00785FFD" w:rsidRPr="000D3B5C" w:rsidRDefault="00785FFD" w:rsidP="000D3B5C">
            <w:pPr>
              <w:rPr>
                <w:sz w:val="20"/>
                <w:szCs w:val="20"/>
              </w:rPr>
            </w:pPr>
            <w:r w:rsidRPr="000D3B5C">
              <w:rPr>
                <w:sz w:val="20"/>
                <w:szCs w:val="20"/>
              </w:rPr>
              <w:t xml:space="preserve">As described in 2.3.2, there is no evidence of significant damage to ecosystems caused by this fishery. </w:t>
            </w:r>
          </w:p>
        </w:tc>
      </w:tr>
      <w:tr w:rsidR="00785FFD" w:rsidRPr="000D3B5C" w14:paraId="0AE5229E" w14:textId="77777777" w:rsidTr="00860544">
        <w:tc>
          <w:tcPr>
            <w:tcW w:w="1500" w:type="pct"/>
          </w:tcPr>
          <w:p w14:paraId="63D6D4CE" w14:textId="77777777" w:rsidR="00785FFD" w:rsidRPr="000D3B5C" w:rsidRDefault="00785FFD" w:rsidP="000D3B5C">
            <w:pPr>
              <w:autoSpaceDE w:val="0"/>
              <w:autoSpaceDN w:val="0"/>
              <w:adjustRightInd w:val="0"/>
              <w:rPr>
                <w:b/>
                <w:bCs/>
                <w:i/>
                <w:iCs/>
                <w:sz w:val="20"/>
                <w:szCs w:val="20"/>
              </w:rPr>
            </w:pPr>
            <w:r w:rsidRPr="000D3B5C">
              <w:rPr>
                <w:b/>
                <w:bCs/>
                <w:i/>
                <w:iCs/>
                <w:sz w:val="20"/>
                <w:szCs w:val="20"/>
              </w:rPr>
              <w:t xml:space="preserve">2.3.4 </w:t>
            </w:r>
            <w:r w:rsidRPr="000D3B5C">
              <w:rPr>
                <w:sz w:val="20"/>
                <w:szCs w:val="20"/>
              </w:rPr>
              <w:t xml:space="preserve">There are decision rules that trigger further management responses when monitoring detects impacts on selected ecosystem indicators beyond a </w:t>
            </w:r>
            <w:r w:rsidRPr="000D3B5C">
              <w:rPr>
                <w:sz w:val="20"/>
                <w:szCs w:val="20"/>
              </w:rPr>
              <w:lastRenderedPageBreak/>
              <w:t xml:space="preserve">predetermined level, or where action is indicated by application of the precautionary approach. </w:t>
            </w:r>
          </w:p>
        </w:tc>
        <w:tc>
          <w:tcPr>
            <w:tcW w:w="3500" w:type="pct"/>
            <w:gridSpan w:val="4"/>
            <w:shd w:val="clear" w:color="auto" w:fill="auto"/>
          </w:tcPr>
          <w:p w14:paraId="2A6AD2AC" w14:textId="77777777" w:rsidR="00785FFD" w:rsidRPr="000D3B5C" w:rsidRDefault="00785FFD" w:rsidP="000D3B5C">
            <w:pPr>
              <w:rPr>
                <w:b/>
                <w:sz w:val="20"/>
                <w:szCs w:val="20"/>
              </w:rPr>
            </w:pPr>
            <w:r w:rsidRPr="000D3B5C">
              <w:rPr>
                <w:b/>
                <w:sz w:val="20"/>
                <w:szCs w:val="20"/>
              </w:rPr>
              <w:lastRenderedPageBreak/>
              <w:t>Not applicable.</w:t>
            </w:r>
          </w:p>
          <w:p w14:paraId="2693B074" w14:textId="211ACB97" w:rsidR="00785FFD" w:rsidRPr="000D3B5C" w:rsidRDefault="00785FFD" w:rsidP="000D3B5C">
            <w:pPr>
              <w:rPr>
                <w:sz w:val="20"/>
                <w:szCs w:val="20"/>
              </w:rPr>
            </w:pPr>
            <w:r w:rsidRPr="000D3B5C">
              <w:rPr>
                <w:sz w:val="20"/>
                <w:szCs w:val="20"/>
              </w:rPr>
              <w:t>As per 2.3.3</w:t>
            </w:r>
          </w:p>
        </w:tc>
      </w:tr>
      <w:tr w:rsidR="00785FFD" w:rsidRPr="000D3B5C" w14:paraId="02760A92" w14:textId="77777777" w:rsidTr="00860544">
        <w:tc>
          <w:tcPr>
            <w:tcW w:w="1500" w:type="pct"/>
          </w:tcPr>
          <w:p w14:paraId="136DBE06" w14:textId="77777777" w:rsidR="00785FFD" w:rsidRPr="000D3B5C" w:rsidRDefault="00785FFD" w:rsidP="000D3B5C">
            <w:pPr>
              <w:autoSpaceDE w:val="0"/>
              <w:autoSpaceDN w:val="0"/>
              <w:adjustRightInd w:val="0"/>
              <w:rPr>
                <w:b/>
                <w:bCs/>
                <w:i/>
                <w:iCs/>
                <w:sz w:val="20"/>
                <w:szCs w:val="20"/>
              </w:rPr>
            </w:pPr>
            <w:r w:rsidRPr="000D3B5C">
              <w:rPr>
                <w:b/>
                <w:bCs/>
                <w:i/>
                <w:iCs/>
                <w:sz w:val="20"/>
                <w:szCs w:val="20"/>
              </w:rPr>
              <w:t>2.3.5</w:t>
            </w:r>
            <w:r w:rsidRPr="000D3B5C">
              <w:rPr>
                <w:sz w:val="20"/>
                <w:szCs w:val="20"/>
              </w:rPr>
              <w:t xml:space="preserve"> The management response, considering uncertainties in the assessment and precautionary management actions, has a high chance of achieving the objective.</w:t>
            </w:r>
          </w:p>
        </w:tc>
        <w:tc>
          <w:tcPr>
            <w:tcW w:w="3500" w:type="pct"/>
            <w:gridSpan w:val="4"/>
            <w:shd w:val="clear" w:color="auto" w:fill="auto"/>
          </w:tcPr>
          <w:p w14:paraId="182C1007" w14:textId="77777777" w:rsidR="00616375" w:rsidRPr="000D3B5C" w:rsidRDefault="00616375" w:rsidP="000D3B5C">
            <w:pPr>
              <w:rPr>
                <w:b/>
                <w:sz w:val="20"/>
                <w:szCs w:val="20"/>
              </w:rPr>
            </w:pPr>
            <w:r w:rsidRPr="000D3B5C">
              <w:rPr>
                <w:b/>
                <w:sz w:val="20"/>
                <w:szCs w:val="20"/>
              </w:rPr>
              <w:t>Not applicable.</w:t>
            </w:r>
          </w:p>
          <w:p w14:paraId="7EA10627" w14:textId="042F5AEE" w:rsidR="00785FFD" w:rsidRPr="000D3B5C" w:rsidRDefault="00616375" w:rsidP="000D3B5C">
            <w:pPr>
              <w:rPr>
                <w:sz w:val="20"/>
                <w:szCs w:val="20"/>
              </w:rPr>
            </w:pPr>
            <w:r w:rsidRPr="000D3B5C">
              <w:rPr>
                <w:sz w:val="20"/>
                <w:szCs w:val="20"/>
              </w:rPr>
              <w:t>No management response necessary due to no evidence of significant damage to ecosystems caused by this fishery.</w:t>
            </w:r>
          </w:p>
        </w:tc>
      </w:tr>
    </w:tbl>
    <w:p w14:paraId="05803505" w14:textId="77777777" w:rsidR="003A047E" w:rsidRPr="00E53632" w:rsidRDefault="003A047E" w:rsidP="00E53632">
      <w:pPr>
        <w:rPr>
          <w:sz w:val="22"/>
          <w:szCs w:val="22"/>
        </w:rPr>
      </w:pPr>
    </w:p>
    <w:p w14:paraId="227EBA37" w14:textId="77777777" w:rsidR="003A047E" w:rsidRPr="00E53632" w:rsidRDefault="003A047E" w:rsidP="00E53632">
      <w:pPr>
        <w:rPr>
          <w:rStyle w:val="Emphasis"/>
          <w:rFonts w:eastAsia="Times New Roman"/>
          <w:b/>
          <w:bCs/>
          <w:i w:val="0"/>
          <w:iCs w:val="0"/>
          <w:sz w:val="22"/>
          <w:szCs w:val="22"/>
          <w:lang w:eastAsia="en-AU"/>
        </w:rPr>
      </w:pPr>
      <w:r w:rsidRPr="00E53632">
        <w:rPr>
          <w:sz w:val="22"/>
          <w:szCs w:val="22"/>
        </w:rPr>
        <w:br w:type="page"/>
      </w:r>
    </w:p>
    <w:p w14:paraId="72BA9FB1" w14:textId="7ED2E7C6" w:rsidR="003A047E" w:rsidRPr="00D47B6E" w:rsidRDefault="003A047E" w:rsidP="003A047E">
      <w:pPr>
        <w:pStyle w:val="Heading1"/>
        <w:rPr>
          <w:i/>
          <w:iCs/>
        </w:rPr>
      </w:pPr>
      <w:bookmarkStart w:id="11" w:name="_Toc514849745"/>
      <w:bookmarkStart w:id="12" w:name="_Toc515454832"/>
      <w:bookmarkStart w:id="13" w:name="_Toc518883414"/>
      <w:bookmarkStart w:id="14" w:name="_Toc514849475"/>
      <w:r w:rsidRPr="00D47B6E">
        <w:lastRenderedPageBreak/>
        <w:t xml:space="preserve">Section 3: Assessment of the </w:t>
      </w:r>
      <w:r w:rsidR="00C5446D">
        <w:t xml:space="preserve">Take of Gould’s Squid in the </w:t>
      </w:r>
      <w:r>
        <w:t>Tasmanian</w:t>
      </w:r>
      <w:r w:rsidRPr="00D47B6E">
        <w:t xml:space="preserve"> </w:t>
      </w:r>
      <w:r w:rsidR="00C5446D">
        <w:t>Scalefish</w:t>
      </w:r>
      <w:r w:rsidR="00E23EFC" w:rsidRPr="00D47B6E">
        <w:t xml:space="preserve"> </w:t>
      </w:r>
      <w:r w:rsidRPr="00D47B6E">
        <w:t xml:space="preserve">Fishery </w:t>
      </w:r>
      <w:r>
        <w:t>A</w:t>
      </w:r>
      <w:r w:rsidRPr="00D47B6E">
        <w:t xml:space="preserve">gainst the </w:t>
      </w:r>
      <w:r>
        <w:t>R</w:t>
      </w:r>
      <w:r w:rsidRPr="00D47B6E">
        <w:t xml:space="preserve">equirements of the </w:t>
      </w:r>
      <w:r>
        <w:t>EPBC Act</w:t>
      </w:r>
      <w:bookmarkEnd w:id="11"/>
      <w:bookmarkEnd w:id="12"/>
      <w:bookmarkEnd w:id="13"/>
    </w:p>
    <w:bookmarkEnd w:id="14"/>
    <w:p w14:paraId="7C8D4471" w14:textId="77777777" w:rsidR="003A047E" w:rsidRPr="00E53632" w:rsidRDefault="003A047E" w:rsidP="003A047E">
      <w:pPr>
        <w:rPr>
          <w:sz w:val="22"/>
          <w:szCs w:val="22"/>
        </w:rPr>
      </w:pPr>
      <w:r w:rsidRPr="00E53632">
        <w:rPr>
          <w:b/>
          <w:sz w:val="22"/>
          <w:szCs w:val="22"/>
        </w:rPr>
        <w:t xml:space="preserve">Please Note </w:t>
      </w:r>
      <w:r w:rsidRPr="00E53632">
        <w:rPr>
          <w:sz w:val="22"/>
          <w:szCs w:val="22"/>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5287A44D" w14:textId="77777777" w:rsidR="003A047E" w:rsidRPr="00E53632" w:rsidRDefault="003A047E" w:rsidP="003A047E">
      <w:pPr>
        <w:rPr>
          <w:sz w:val="22"/>
          <w:szCs w:val="22"/>
        </w:rPr>
      </w:pPr>
    </w:p>
    <w:p w14:paraId="38B7048D" w14:textId="77777777" w:rsidR="003A047E" w:rsidRPr="00E53632" w:rsidRDefault="003A047E" w:rsidP="003A047E">
      <w:pPr>
        <w:rPr>
          <w:b/>
          <w:sz w:val="22"/>
          <w:szCs w:val="22"/>
        </w:rPr>
      </w:pPr>
      <w:r w:rsidRPr="00E53632">
        <w:rPr>
          <w:b/>
          <w:sz w:val="22"/>
          <w:szCs w:val="22"/>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3A047E" w:rsidRPr="00457927" w14:paraId="19E1D5D2" w14:textId="77777777" w:rsidTr="00860544">
        <w:trPr>
          <w:cnfStyle w:val="100000000000" w:firstRow="1" w:lastRow="0" w:firstColumn="0" w:lastColumn="0" w:oddVBand="0" w:evenVBand="0" w:oddHBand="0" w:evenHBand="0" w:firstRowFirstColumn="0" w:firstRowLastColumn="0" w:lastRowFirstColumn="0" w:lastRowLastColumn="0"/>
        </w:trPr>
        <w:tc>
          <w:tcPr>
            <w:tcW w:w="1500" w:type="pct"/>
          </w:tcPr>
          <w:p w14:paraId="6036623F" w14:textId="77777777" w:rsidR="003A047E" w:rsidRPr="00457927" w:rsidRDefault="003A047E" w:rsidP="00860544">
            <w:pPr>
              <w:ind w:left="426" w:hanging="426"/>
              <w:jc w:val="center"/>
              <w:rPr>
                <w:b/>
                <w:sz w:val="20"/>
                <w:szCs w:val="20"/>
              </w:rPr>
            </w:pPr>
          </w:p>
        </w:tc>
        <w:tc>
          <w:tcPr>
            <w:tcW w:w="500" w:type="pct"/>
            <w:shd w:val="clear" w:color="auto" w:fill="92D050"/>
          </w:tcPr>
          <w:p w14:paraId="2164009A" w14:textId="77777777" w:rsidR="003A047E" w:rsidRPr="00457927" w:rsidRDefault="003A047E" w:rsidP="00860544">
            <w:pPr>
              <w:jc w:val="center"/>
              <w:rPr>
                <w:b/>
                <w:sz w:val="20"/>
                <w:szCs w:val="20"/>
              </w:rPr>
            </w:pPr>
            <w:r w:rsidRPr="00457927">
              <w:rPr>
                <w:b/>
                <w:sz w:val="20"/>
                <w:szCs w:val="20"/>
              </w:rPr>
              <w:t>Meets</w:t>
            </w:r>
          </w:p>
        </w:tc>
        <w:tc>
          <w:tcPr>
            <w:tcW w:w="500" w:type="pct"/>
            <w:shd w:val="clear" w:color="auto" w:fill="FFC000"/>
          </w:tcPr>
          <w:p w14:paraId="1477D523" w14:textId="77777777" w:rsidR="003A047E" w:rsidRPr="00457927" w:rsidRDefault="003A047E" w:rsidP="00860544">
            <w:pPr>
              <w:jc w:val="center"/>
              <w:rPr>
                <w:b/>
                <w:sz w:val="20"/>
                <w:szCs w:val="20"/>
              </w:rPr>
            </w:pPr>
            <w:r w:rsidRPr="00457927">
              <w:rPr>
                <w:b/>
                <w:sz w:val="20"/>
                <w:szCs w:val="20"/>
              </w:rPr>
              <w:t>Partially meets</w:t>
            </w:r>
          </w:p>
        </w:tc>
        <w:tc>
          <w:tcPr>
            <w:tcW w:w="500" w:type="pct"/>
            <w:shd w:val="clear" w:color="auto" w:fill="FF0000"/>
          </w:tcPr>
          <w:p w14:paraId="5438543D" w14:textId="77777777" w:rsidR="003A047E" w:rsidRPr="00457927" w:rsidRDefault="003A047E" w:rsidP="00860544">
            <w:pPr>
              <w:jc w:val="center"/>
              <w:rPr>
                <w:b/>
                <w:sz w:val="20"/>
                <w:szCs w:val="20"/>
              </w:rPr>
            </w:pPr>
            <w:r w:rsidRPr="00457927">
              <w:rPr>
                <w:b/>
                <w:sz w:val="20"/>
                <w:szCs w:val="20"/>
              </w:rPr>
              <w:t>Does not meet</w:t>
            </w:r>
          </w:p>
        </w:tc>
        <w:tc>
          <w:tcPr>
            <w:tcW w:w="2000" w:type="pct"/>
          </w:tcPr>
          <w:p w14:paraId="10048EAA" w14:textId="77777777" w:rsidR="003A047E" w:rsidRPr="00457927" w:rsidRDefault="003A047E" w:rsidP="00860544">
            <w:pPr>
              <w:jc w:val="center"/>
              <w:rPr>
                <w:b/>
                <w:sz w:val="20"/>
                <w:szCs w:val="20"/>
              </w:rPr>
            </w:pPr>
            <w:r w:rsidRPr="00457927">
              <w:rPr>
                <w:b/>
                <w:sz w:val="20"/>
                <w:szCs w:val="20"/>
              </w:rPr>
              <w:t>Comment</w:t>
            </w:r>
          </w:p>
        </w:tc>
      </w:tr>
      <w:tr w:rsidR="003A047E" w:rsidRPr="00457927" w14:paraId="7F34B7DD"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07D48666" w14:textId="77777777" w:rsidR="003A047E" w:rsidRPr="00457927" w:rsidRDefault="003A047E" w:rsidP="00860544">
            <w:pPr>
              <w:rPr>
                <w:sz w:val="20"/>
                <w:szCs w:val="20"/>
              </w:rPr>
            </w:pPr>
            <w:r w:rsidRPr="00457927">
              <w:rPr>
                <w:b/>
                <w:sz w:val="20"/>
                <w:szCs w:val="20"/>
              </w:rPr>
              <w:t>Section 176 Bioregional Plans</w:t>
            </w:r>
          </w:p>
        </w:tc>
      </w:tr>
      <w:tr w:rsidR="003A047E" w:rsidRPr="00802133" w14:paraId="1BC5FF6A" w14:textId="77777777" w:rsidTr="00860544">
        <w:trPr>
          <w:cnfStyle w:val="000000010000" w:firstRow="0" w:lastRow="0" w:firstColumn="0" w:lastColumn="0" w:oddVBand="0" w:evenVBand="0" w:oddHBand="0" w:evenHBand="1" w:firstRowFirstColumn="0" w:firstRowLastColumn="0" w:lastRowFirstColumn="0" w:lastRowLastColumn="0"/>
        </w:trPr>
        <w:tc>
          <w:tcPr>
            <w:tcW w:w="1500" w:type="pct"/>
          </w:tcPr>
          <w:p w14:paraId="247E9E0F" w14:textId="77777777" w:rsidR="003A047E" w:rsidRPr="00C5446D" w:rsidRDefault="003A047E" w:rsidP="00860544">
            <w:pPr>
              <w:pStyle w:val="ListNumber"/>
            </w:pPr>
            <w:r w:rsidRPr="00C5446D">
              <w:t>(5)</w:t>
            </w:r>
            <w:r w:rsidRPr="00C5446D">
              <w:tab/>
              <w:t>Minister must have regard to relevant bioregional plans</w:t>
            </w:r>
          </w:p>
        </w:tc>
        <w:tc>
          <w:tcPr>
            <w:tcW w:w="3500" w:type="pct"/>
            <w:gridSpan w:val="4"/>
            <w:shd w:val="clear" w:color="auto" w:fill="auto"/>
          </w:tcPr>
          <w:p w14:paraId="28827A32" w14:textId="77777777" w:rsidR="003A047E" w:rsidRPr="00C5446D" w:rsidRDefault="003A047E" w:rsidP="00860544">
            <w:pPr>
              <w:rPr>
                <w:b/>
                <w:sz w:val="20"/>
                <w:szCs w:val="20"/>
              </w:rPr>
            </w:pPr>
            <w:r w:rsidRPr="00C5446D">
              <w:rPr>
                <w:b/>
                <w:sz w:val="20"/>
                <w:szCs w:val="20"/>
              </w:rPr>
              <w:t>Not applicable.</w:t>
            </w:r>
          </w:p>
          <w:p w14:paraId="3096945A" w14:textId="49355F90" w:rsidR="00C5446D" w:rsidRPr="00C5446D" w:rsidRDefault="00C5446D" w:rsidP="00C5446D">
            <w:pPr>
              <w:rPr>
                <w:sz w:val="20"/>
                <w:szCs w:val="20"/>
              </w:rPr>
            </w:pPr>
            <w:r w:rsidRPr="00C5446D">
              <w:rPr>
                <w:sz w:val="20"/>
                <w:szCs w:val="20"/>
              </w:rPr>
              <w:t>There is no fishing activity within areas covered by a bioregional plan.</w:t>
            </w:r>
          </w:p>
        </w:tc>
      </w:tr>
    </w:tbl>
    <w:p w14:paraId="30C61F29" w14:textId="77777777" w:rsidR="00820A44" w:rsidRPr="00E53632" w:rsidRDefault="00820A44" w:rsidP="003A047E">
      <w:pPr>
        <w:rPr>
          <w:sz w:val="22"/>
          <w:szCs w:val="22"/>
        </w:rPr>
      </w:pPr>
    </w:p>
    <w:p w14:paraId="6F9BCB05" w14:textId="77777777" w:rsidR="003A047E" w:rsidRPr="0034623B" w:rsidRDefault="003A047E" w:rsidP="0034623B">
      <w:pPr>
        <w:rPr>
          <w:b/>
          <w:sz w:val="22"/>
          <w:szCs w:val="22"/>
        </w:rPr>
      </w:pPr>
      <w:r w:rsidRPr="0034623B">
        <w:rPr>
          <w:b/>
          <w:sz w:val="22"/>
          <w:szCs w:val="22"/>
        </w:rPr>
        <w:t>Part 13</w:t>
      </w:r>
    </w:p>
    <w:p w14:paraId="46C85EE0" w14:textId="4E235E7C" w:rsidR="0034623B" w:rsidRPr="0034623B" w:rsidRDefault="0034623B" w:rsidP="0034623B">
      <w:pPr>
        <w:rPr>
          <w:sz w:val="22"/>
          <w:szCs w:val="22"/>
        </w:rPr>
      </w:pPr>
      <w:r w:rsidRPr="0034623B">
        <w:rPr>
          <w:sz w:val="22"/>
          <w:szCs w:val="22"/>
        </w:rPr>
        <w:t xml:space="preserve">No Part 13 assessment is required as no fishing activity occurs in the Commonwealth </w:t>
      </w:r>
      <w:r w:rsidR="00820A44">
        <w:rPr>
          <w:sz w:val="22"/>
          <w:szCs w:val="22"/>
        </w:rPr>
        <w:t>m</w:t>
      </w:r>
      <w:r w:rsidRPr="0034623B">
        <w:rPr>
          <w:sz w:val="22"/>
          <w:szCs w:val="22"/>
        </w:rPr>
        <w:t xml:space="preserve">arine </w:t>
      </w:r>
      <w:r w:rsidR="00820A44">
        <w:rPr>
          <w:sz w:val="22"/>
          <w:szCs w:val="22"/>
        </w:rPr>
        <w:t>a</w:t>
      </w:r>
      <w:r w:rsidRPr="0034623B">
        <w:rPr>
          <w:sz w:val="22"/>
          <w:szCs w:val="22"/>
        </w:rPr>
        <w:t>rea.</w:t>
      </w:r>
    </w:p>
    <w:p w14:paraId="09DD992F" w14:textId="77777777" w:rsidR="00820A44" w:rsidRPr="00E53632" w:rsidRDefault="00820A44" w:rsidP="003A047E">
      <w:pPr>
        <w:rPr>
          <w:sz w:val="22"/>
          <w:szCs w:val="22"/>
        </w:rPr>
      </w:pPr>
    </w:p>
    <w:p w14:paraId="00C84573" w14:textId="77777777" w:rsidR="003A047E" w:rsidRPr="00E53632" w:rsidRDefault="003A047E" w:rsidP="003A047E">
      <w:pPr>
        <w:rPr>
          <w:b/>
          <w:sz w:val="22"/>
          <w:szCs w:val="22"/>
        </w:rPr>
      </w:pPr>
      <w:r w:rsidRPr="00E53632">
        <w:rPr>
          <w:b/>
          <w:sz w:val="22"/>
          <w:szCs w:val="22"/>
        </w:rPr>
        <w:t>Part 13A</w:t>
      </w:r>
    </w:p>
    <w:tbl>
      <w:tblPr>
        <w:tblStyle w:val="TableGrid"/>
        <w:tblW w:w="5000" w:type="pct"/>
        <w:tblLook w:val="04A0" w:firstRow="1" w:lastRow="0" w:firstColumn="1" w:lastColumn="0" w:noHBand="0" w:noVBand="1"/>
      </w:tblPr>
      <w:tblGrid>
        <w:gridCol w:w="4178"/>
        <w:gridCol w:w="1391"/>
        <w:gridCol w:w="1453"/>
        <w:gridCol w:w="1526"/>
        <w:gridCol w:w="5558"/>
      </w:tblGrid>
      <w:tr w:rsidR="003A047E" w:rsidRPr="00737724" w14:paraId="5B4EBBE3" w14:textId="77777777" w:rsidTr="00860544">
        <w:trPr>
          <w:cnfStyle w:val="100000000000" w:firstRow="1" w:lastRow="0" w:firstColumn="0" w:lastColumn="0" w:oddVBand="0" w:evenVBand="0" w:oddHBand="0" w:evenHBand="0" w:firstRowFirstColumn="0" w:firstRowLastColumn="0" w:lastRowFirstColumn="0" w:lastRowLastColumn="0"/>
        </w:trPr>
        <w:tc>
          <w:tcPr>
            <w:tcW w:w="5000" w:type="pct"/>
            <w:gridSpan w:val="5"/>
          </w:tcPr>
          <w:p w14:paraId="1E1D0B7F" w14:textId="77777777" w:rsidR="003A047E" w:rsidRPr="00737724" w:rsidRDefault="003A047E" w:rsidP="00860544">
            <w:pPr>
              <w:rPr>
                <w:sz w:val="20"/>
                <w:szCs w:val="20"/>
              </w:rPr>
            </w:pPr>
            <w:r w:rsidRPr="00737724">
              <w:rPr>
                <w:b/>
                <w:bCs/>
                <w:noProof/>
                <w:sz w:val="20"/>
                <w:szCs w:val="20"/>
              </w:rPr>
              <w:t>Section 303BA Objects of Part 13A</w:t>
            </w:r>
          </w:p>
        </w:tc>
      </w:tr>
      <w:tr w:rsidR="003A047E" w:rsidRPr="00737724" w14:paraId="4AD96028"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768AD402" w14:textId="77777777" w:rsidR="003A047E" w:rsidRPr="00737724" w:rsidRDefault="003A047E" w:rsidP="00860544">
            <w:pPr>
              <w:pStyle w:val="ListNumber"/>
              <w:rPr>
                <w:noProof/>
              </w:rPr>
            </w:pPr>
            <w:r w:rsidRPr="00737724">
              <w:rPr>
                <w:noProof/>
              </w:rPr>
              <w:t>(1)</w:t>
            </w:r>
            <w:r w:rsidRPr="00737724">
              <w:tab/>
            </w:r>
            <w:r w:rsidRPr="00737724">
              <w:rPr>
                <w:noProof/>
              </w:rPr>
              <w:t>The objects of this Part are as follows:</w:t>
            </w:r>
          </w:p>
          <w:p w14:paraId="46F43F78" w14:textId="77777777" w:rsidR="003A047E" w:rsidRPr="00737724" w:rsidRDefault="003A047E" w:rsidP="00860544">
            <w:pPr>
              <w:pStyle w:val="ListNumber2"/>
            </w:pPr>
            <w:r w:rsidRPr="00737724">
              <w:t>(a)</w:t>
            </w:r>
            <w:r w:rsidRPr="00737724">
              <w:tab/>
              <w:t>to ensure that Australia complies with its obligations under CITES and the Biodiversity Convention;</w:t>
            </w:r>
          </w:p>
          <w:p w14:paraId="2333CA6B" w14:textId="77777777" w:rsidR="003A047E" w:rsidRPr="00737724" w:rsidRDefault="003A047E" w:rsidP="00860544">
            <w:pPr>
              <w:pStyle w:val="ListNumber2"/>
            </w:pPr>
            <w:r w:rsidRPr="00737724">
              <w:t>(b)</w:t>
            </w:r>
            <w:r w:rsidRPr="00737724">
              <w:tab/>
              <w:t>to protect wildlife that may be adversely affected by trade;</w:t>
            </w:r>
          </w:p>
          <w:p w14:paraId="14E92CF6" w14:textId="77777777" w:rsidR="003A047E" w:rsidRPr="00737724" w:rsidRDefault="003A047E" w:rsidP="00860544">
            <w:pPr>
              <w:pStyle w:val="ListNumber2"/>
            </w:pPr>
            <w:r w:rsidRPr="00737724">
              <w:t>(c)</w:t>
            </w:r>
            <w:r w:rsidRPr="00737724">
              <w:tab/>
              <w:t>to promote the conservation of biodiversity in Australia and other countries;</w:t>
            </w:r>
          </w:p>
          <w:p w14:paraId="506E94C9" w14:textId="77777777" w:rsidR="003A047E" w:rsidRPr="00737724" w:rsidRDefault="003A047E" w:rsidP="00860544">
            <w:pPr>
              <w:pStyle w:val="ListNumber2"/>
            </w:pPr>
            <w:r w:rsidRPr="00737724">
              <w:t>(d)</w:t>
            </w:r>
            <w:r w:rsidRPr="00737724">
              <w:tab/>
              <w:t>to ensure that any commercial utilisation of Australian native wildlife for the purposes of export is managed in an ecologically sustainable way;</w:t>
            </w:r>
          </w:p>
          <w:p w14:paraId="3D4EBE6F" w14:textId="77777777" w:rsidR="003A047E" w:rsidRPr="00737724" w:rsidRDefault="003A047E" w:rsidP="00860544">
            <w:pPr>
              <w:pStyle w:val="ListNumber2"/>
            </w:pPr>
            <w:r w:rsidRPr="00737724">
              <w:t>(e)</w:t>
            </w:r>
            <w:r w:rsidRPr="00737724">
              <w:tab/>
              <w:t>to promote the humane treatment of wildlife;</w:t>
            </w:r>
          </w:p>
          <w:p w14:paraId="10EC72E2" w14:textId="77777777" w:rsidR="003A047E" w:rsidRPr="00737724" w:rsidRDefault="003A047E" w:rsidP="00860544">
            <w:pPr>
              <w:pStyle w:val="ListNumber2"/>
            </w:pPr>
            <w:r w:rsidRPr="00737724">
              <w:t>(f)</w:t>
            </w:r>
            <w:r w:rsidRPr="00737724">
              <w:tab/>
              <w:t>to ensure ethical conduct during any research associated with the utilisation of wildlife; and</w:t>
            </w:r>
          </w:p>
          <w:p w14:paraId="59FFF150" w14:textId="77777777" w:rsidR="003A047E" w:rsidRPr="00737724" w:rsidRDefault="003A047E" w:rsidP="00860544">
            <w:pPr>
              <w:pStyle w:val="ListNumber2"/>
            </w:pPr>
            <w:r w:rsidRPr="00737724">
              <w:t>(h)</w:t>
            </w:r>
            <w:r w:rsidRPr="00737724">
              <w:tab/>
            </w:r>
            <w:proofErr w:type="gramStart"/>
            <w:r w:rsidRPr="00737724">
              <w:t>to</w:t>
            </w:r>
            <w:proofErr w:type="gramEnd"/>
            <w:r w:rsidRPr="00737724">
              <w:t xml:space="preserve"> ensure the precautionary principle is taken into account in making decisions relating to the utilisation of wildlife.</w:t>
            </w:r>
          </w:p>
        </w:tc>
      </w:tr>
      <w:tr w:rsidR="003A047E" w:rsidRPr="00C5446D" w14:paraId="0D2EF216"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vAlign w:val="center"/>
          </w:tcPr>
          <w:p w14:paraId="104AAD0F" w14:textId="77777777" w:rsidR="003A047E" w:rsidRPr="00C5446D" w:rsidRDefault="003A047E" w:rsidP="00860544">
            <w:pPr>
              <w:ind w:left="426" w:hanging="426"/>
              <w:rPr>
                <w:b/>
                <w:sz w:val="20"/>
                <w:szCs w:val="20"/>
              </w:rPr>
            </w:pPr>
          </w:p>
        </w:tc>
        <w:tc>
          <w:tcPr>
            <w:tcW w:w="493" w:type="pct"/>
            <w:shd w:val="clear" w:color="auto" w:fill="92D050"/>
            <w:vAlign w:val="center"/>
          </w:tcPr>
          <w:p w14:paraId="1BDDD9B7" w14:textId="77777777" w:rsidR="003A047E" w:rsidRPr="00C5446D" w:rsidRDefault="003A047E" w:rsidP="00860544">
            <w:pPr>
              <w:rPr>
                <w:b/>
                <w:sz w:val="20"/>
                <w:szCs w:val="20"/>
              </w:rPr>
            </w:pPr>
            <w:r w:rsidRPr="00C5446D">
              <w:rPr>
                <w:b/>
                <w:sz w:val="20"/>
                <w:szCs w:val="20"/>
              </w:rPr>
              <w:t>Meets</w:t>
            </w:r>
          </w:p>
        </w:tc>
        <w:tc>
          <w:tcPr>
            <w:tcW w:w="515" w:type="pct"/>
            <w:shd w:val="clear" w:color="auto" w:fill="FFC000"/>
            <w:vAlign w:val="center"/>
          </w:tcPr>
          <w:p w14:paraId="28F5FCFA" w14:textId="77777777" w:rsidR="003A047E" w:rsidRPr="00C5446D" w:rsidRDefault="003A047E" w:rsidP="00860544">
            <w:pPr>
              <w:rPr>
                <w:b/>
                <w:sz w:val="20"/>
                <w:szCs w:val="20"/>
              </w:rPr>
            </w:pPr>
            <w:r w:rsidRPr="00C5446D">
              <w:rPr>
                <w:b/>
                <w:sz w:val="20"/>
                <w:szCs w:val="20"/>
              </w:rPr>
              <w:t>Partially meets</w:t>
            </w:r>
          </w:p>
        </w:tc>
        <w:tc>
          <w:tcPr>
            <w:tcW w:w="541" w:type="pct"/>
            <w:shd w:val="clear" w:color="auto" w:fill="FF0000"/>
            <w:vAlign w:val="center"/>
          </w:tcPr>
          <w:p w14:paraId="7FF6BED6" w14:textId="77777777" w:rsidR="003A047E" w:rsidRPr="00C5446D" w:rsidRDefault="003A047E" w:rsidP="00860544">
            <w:pPr>
              <w:rPr>
                <w:b/>
                <w:sz w:val="20"/>
                <w:szCs w:val="20"/>
              </w:rPr>
            </w:pPr>
            <w:r w:rsidRPr="00C5446D">
              <w:rPr>
                <w:b/>
                <w:sz w:val="20"/>
                <w:szCs w:val="20"/>
              </w:rPr>
              <w:t>Does not meet</w:t>
            </w:r>
          </w:p>
        </w:tc>
        <w:tc>
          <w:tcPr>
            <w:tcW w:w="1970" w:type="pct"/>
            <w:vAlign w:val="center"/>
          </w:tcPr>
          <w:p w14:paraId="3804048A" w14:textId="77777777" w:rsidR="003A047E" w:rsidRPr="00C5446D" w:rsidRDefault="003A047E" w:rsidP="00860544">
            <w:pPr>
              <w:rPr>
                <w:b/>
                <w:sz w:val="20"/>
                <w:szCs w:val="20"/>
              </w:rPr>
            </w:pPr>
            <w:r w:rsidRPr="00C5446D">
              <w:rPr>
                <w:b/>
                <w:sz w:val="20"/>
                <w:szCs w:val="20"/>
              </w:rPr>
              <w:t>Comment</w:t>
            </w:r>
          </w:p>
        </w:tc>
      </w:tr>
      <w:tr w:rsidR="003A047E" w:rsidRPr="00C5446D" w14:paraId="5F379ECF" w14:textId="77777777" w:rsidTr="00860544">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D09E233" w14:textId="77777777" w:rsidR="003A047E" w:rsidRPr="00C5446D" w:rsidRDefault="003A047E" w:rsidP="00860544">
            <w:pPr>
              <w:rPr>
                <w:sz w:val="20"/>
                <w:szCs w:val="20"/>
              </w:rPr>
            </w:pPr>
            <w:r w:rsidRPr="00C5446D">
              <w:rPr>
                <w:b/>
                <w:sz w:val="20"/>
                <w:szCs w:val="20"/>
              </w:rPr>
              <w:t>Section 303DC Minister may amend list (non CITES species)</w:t>
            </w:r>
          </w:p>
        </w:tc>
      </w:tr>
      <w:tr w:rsidR="003A047E" w:rsidRPr="00C5446D" w14:paraId="61E0ACBE"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73D454B2" w14:textId="77777777" w:rsidR="003A047E" w:rsidRPr="00C5446D" w:rsidRDefault="003A047E" w:rsidP="00860544">
            <w:pPr>
              <w:pStyle w:val="ListNumber"/>
            </w:pPr>
            <w:r w:rsidRPr="00C5446D">
              <w:t>(1)</w:t>
            </w:r>
            <w:r w:rsidRPr="00C5446D">
              <w:tab/>
              <w:t>The Minister may amend the LENS by:</w:t>
            </w:r>
          </w:p>
          <w:p w14:paraId="33C22747" w14:textId="77777777" w:rsidR="003A047E" w:rsidRPr="00C5446D" w:rsidRDefault="003A047E" w:rsidP="00860544">
            <w:pPr>
              <w:pStyle w:val="ListNumber2"/>
            </w:pPr>
            <w:r w:rsidRPr="00C5446D">
              <w:t>(a)</w:t>
            </w:r>
            <w:r w:rsidRPr="00C5446D">
              <w:tab/>
              <w:t>doing any of the following:</w:t>
            </w:r>
          </w:p>
          <w:p w14:paraId="3A6996F3" w14:textId="77777777" w:rsidR="003A047E" w:rsidRPr="00C5446D" w:rsidRDefault="003A047E" w:rsidP="00860544">
            <w:pPr>
              <w:pStyle w:val="ListNumber3"/>
            </w:pPr>
            <w:r w:rsidRPr="00C5446D">
              <w:t>(</w:t>
            </w:r>
            <w:proofErr w:type="spellStart"/>
            <w:r w:rsidRPr="00C5446D">
              <w:t>i</w:t>
            </w:r>
            <w:proofErr w:type="spellEnd"/>
            <w:r w:rsidRPr="00C5446D">
              <w:t>)</w:t>
            </w:r>
            <w:r w:rsidRPr="00C5446D">
              <w:tab/>
              <w:t xml:space="preserve">including items in the list; </w:t>
            </w:r>
          </w:p>
          <w:p w14:paraId="7FD0BF0A" w14:textId="77777777" w:rsidR="003A047E" w:rsidRPr="00C5446D" w:rsidRDefault="003A047E" w:rsidP="00860544">
            <w:pPr>
              <w:pStyle w:val="ListNumber3"/>
            </w:pPr>
            <w:r w:rsidRPr="00C5446D">
              <w:lastRenderedPageBreak/>
              <w:t>(ii)</w:t>
            </w:r>
            <w:r w:rsidRPr="00C5446D">
              <w:tab/>
              <w:t>deleting items from</w:t>
            </w:r>
            <w:r w:rsidRPr="00C5446D">
              <w:rPr>
                <w:rStyle w:val="apple-converted-space"/>
                <w:i/>
                <w:iCs/>
              </w:rPr>
              <w:t> </w:t>
            </w:r>
            <w:r w:rsidRPr="00C5446D">
              <w:t>the</w:t>
            </w:r>
            <w:r w:rsidRPr="00C5446D">
              <w:rPr>
                <w:rStyle w:val="apple-converted-space"/>
                <w:i/>
                <w:iCs/>
              </w:rPr>
              <w:t> </w:t>
            </w:r>
            <w:r w:rsidRPr="00C5446D">
              <w:t>list;</w:t>
            </w:r>
          </w:p>
          <w:p w14:paraId="063DEFE0" w14:textId="77777777" w:rsidR="003A047E" w:rsidRPr="00C5446D" w:rsidRDefault="003A047E" w:rsidP="00860544">
            <w:pPr>
              <w:pStyle w:val="ListNumber3"/>
            </w:pPr>
            <w:r w:rsidRPr="00C5446D">
              <w:t>(iii)</w:t>
            </w:r>
            <w:r w:rsidRPr="00C5446D">
              <w:tab/>
              <w:t>imposing a condition or restriction to which the inclusion of a specimen in the list is subject;</w:t>
            </w:r>
          </w:p>
          <w:p w14:paraId="112826FD" w14:textId="77777777" w:rsidR="003A047E" w:rsidRPr="00C5446D" w:rsidRDefault="003A047E" w:rsidP="00860544">
            <w:pPr>
              <w:pStyle w:val="ListNumber3"/>
            </w:pPr>
            <w:r w:rsidRPr="00C5446D">
              <w:t>(iv)</w:t>
            </w:r>
            <w:r w:rsidRPr="00C5446D">
              <w:tab/>
              <w:t>varying or revoking a condition or restriction to which the inclusion of a specimen in the list is subject</w:t>
            </w:r>
          </w:p>
        </w:tc>
        <w:tc>
          <w:tcPr>
            <w:tcW w:w="3519" w:type="pct"/>
            <w:gridSpan w:val="4"/>
            <w:shd w:val="clear" w:color="auto" w:fill="auto"/>
          </w:tcPr>
          <w:p w14:paraId="4C6C7DBE" w14:textId="45325B3C" w:rsidR="003A047E" w:rsidRPr="00C5446D" w:rsidRDefault="003A047E" w:rsidP="00860544">
            <w:pPr>
              <w:rPr>
                <w:iCs/>
                <w:snapToGrid w:val="0"/>
                <w:sz w:val="20"/>
                <w:szCs w:val="20"/>
              </w:rPr>
            </w:pPr>
            <w:r w:rsidRPr="00C5446D">
              <w:rPr>
                <w:sz w:val="20"/>
                <w:szCs w:val="20"/>
              </w:rPr>
              <w:lastRenderedPageBreak/>
              <w:t xml:space="preserve">The Department </w:t>
            </w:r>
            <w:r w:rsidRPr="00C5446D">
              <w:rPr>
                <w:b/>
                <w:sz w:val="20"/>
                <w:szCs w:val="20"/>
              </w:rPr>
              <w:t>recommends</w:t>
            </w:r>
            <w:r w:rsidRPr="00C5446D">
              <w:rPr>
                <w:sz w:val="20"/>
                <w:szCs w:val="20"/>
              </w:rPr>
              <w:t xml:space="preserve"> that specimens </w:t>
            </w:r>
            <w:r w:rsidRPr="00C5446D">
              <w:rPr>
                <w:snapToGrid w:val="0"/>
                <w:sz w:val="20"/>
                <w:szCs w:val="20"/>
              </w:rPr>
              <w:t xml:space="preserve">that are or are derived from </w:t>
            </w:r>
            <w:r w:rsidR="00C5446D" w:rsidRPr="00C5446D">
              <w:rPr>
                <w:snapToGrid w:val="0"/>
                <w:sz w:val="20"/>
                <w:szCs w:val="20"/>
              </w:rPr>
              <w:t>Gould’s Squid</w:t>
            </w:r>
            <w:r w:rsidRPr="00C5446D">
              <w:rPr>
                <w:snapToGrid w:val="0"/>
                <w:sz w:val="20"/>
                <w:szCs w:val="20"/>
              </w:rPr>
              <w:t xml:space="preserve">, taken in the </w:t>
            </w:r>
            <w:r w:rsidRPr="00C5446D">
              <w:rPr>
                <w:sz w:val="20"/>
                <w:szCs w:val="20"/>
              </w:rPr>
              <w:t xml:space="preserve">Tasmanian </w:t>
            </w:r>
            <w:r w:rsidR="00C5446D" w:rsidRPr="00C5446D">
              <w:rPr>
                <w:sz w:val="20"/>
                <w:szCs w:val="20"/>
              </w:rPr>
              <w:t>Scalefish</w:t>
            </w:r>
            <w:r w:rsidR="0034623B" w:rsidRPr="00C5446D">
              <w:rPr>
                <w:sz w:val="20"/>
                <w:szCs w:val="20"/>
              </w:rPr>
              <w:t xml:space="preserve"> </w:t>
            </w:r>
            <w:r w:rsidRPr="00C5446D">
              <w:rPr>
                <w:sz w:val="20"/>
                <w:szCs w:val="20"/>
              </w:rPr>
              <w:t xml:space="preserve">Fishery </w:t>
            </w:r>
            <w:r w:rsidRPr="00C5446D">
              <w:rPr>
                <w:snapToGrid w:val="0"/>
                <w:sz w:val="20"/>
                <w:szCs w:val="20"/>
              </w:rPr>
              <w:t xml:space="preserve">as defined in the </w:t>
            </w:r>
            <w:r w:rsidRPr="00C5446D">
              <w:rPr>
                <w:sz w:val="20"/>
                <w:szCs w:val="20"/>
              </w:rPr>
              <w:t xml:space="preserve">management regime in force under the </w:t>
            </w:r>
            <w:r w:rsidRPr="00C5446D">
              <w:rPr>
                <w:bCs/>
                <w:iCs/>
                <w:sz w:val="20"/>
                <w:szCs w:val="20"/>
              </w:rPr>
              <w:t xml:space="preserve">Tasmanian </w:t>
            </w:r>
            <w:r w:rsidRPr="00C5446D">
              <w:rPr>
                <w:bCs/>
                <w:i/>
                <w:iCs/>
                <w:sz w:val="20"/>
                <w:szCs w:val="20"/>
              </w:rPr>
              <w:t>Living Marine Resources Management Act 1995</w:t>
            </w:r>
            <w:r w:rsidR="00C5446D" w:rsidRPr="00C5446D">
              <w:rPr>
                <w:sz w:val="20"/>
                <w:szCs w:val="20"/>
              </w:rPr>
              <w:t xml:space="preserve"> and Fisheries (Scalefish) Rules 2015,</w:t>
            </w:r>
            <w:r w:rsidRPr="00C5446D">
              <w:rPr>
                <w:sz w:val="20"/>
                <w:szCs w:val="20"/>
              </w:rPr>
              <w:t xml:space="preserve"> </w:t>
            </w:r>
            <w:r w:rsidRPr="00C5446D">
              <w:rPr>
                <w:snapToGrid w:val="0"/>
                <w:sz w:val="20"/>
                <w:szCs w:val="20"/>
              </w:rPr>
              <w:t>but not including</w:t>
            </w:r>
          </w:p>
          <w:p w14:paraId="7920C6F3" w14:textId="77777777" w:rsidR="003A047E" w:rsidRPr="00C5446D" w:rsidRDefault="003A047E" w:rsidP="00666592">
            <w:pPr>
              <w:pStyle w:val="ListBullet"/>
            </w:pPr>
            <w:r w:rsidRPr="00C5446D">
              <w:lastRenderedPageBreak/>
              <w:t xml:space="preserve">specimens that belong to eligible listed threatened species, as defined under section 303BC of the EPBC Act, or </w:t>
            </w:r>
          </w:p>
          <w:p w14:paraId="797D4BD0" w14:textId="77777777" w:rsidR="003A047E" w:rsidRPr="00C5446D" w:rsidRDefault="003A047E" w:rsidP="0064096B">
            <w:pPr>
              <w:pStyle w:val="ListBullet"/>
            </w:pPr>
            <w:r w:rsidRPr="00C5446D">
              <w:t xml:space="preserve">specimens that belong to taxa listed under section 303CA of the EPBC Act (Australia’s CITES list) </w:t>
            </w:r>
          </w:p>
          <w:p w14:paraId="56D26E5C" w14:textId="37E2E5D0" w:rsidR="003A047E" w:rsidRPr="00C5446D" w:rsidRDefault="003A047E" w:rsidP="00C5446D">
            <w:pPr>
              <w:rPr>
                <w:sz w:val="20"/>
                <w:szCs w:val="20"/>
              </w:rPr>
            </w:pPr>
            <w:proofErr w:type="gramStart"/>
            <w:r w:rsidRPr="00C5446D">
              <w:rPr>
                <w:sz w:val="20"/>
                <w:szCs w:val="20"/>
              </w:rPr>
              <w:t>be</w:t>
            </w:r>
            <w:proofErr w:type="gramEnd"/>
            <w:r w:rsidRPr="00C5446D">
              <w:rPr>
                <w:sz w:val="20"/>
                <w:szCs w:val="20"/>
              </w:rPr>
              <w:t xml:space="preserve"> included in the list of exempt native specimens until 25 July 202</w:t>
            </w:r>
            <w:r w:rsidR="00C5446D" w:rsidRPr="00C5446D">
              <w:rPr>
                <w:sz w:val="20"/>
                <w:szCs w:val="20"/>
              </w:rPr>
              <w:t>6</w:t>
            </w:r>
            <w:r w:rsidRPr="00C5446D">
              <w:rPr>
                <w:sz w:val="20"/>
                <w:szCs w:val="20"/>
              </w:rPr>
              <w:t>.</w:t>
            </w:r>
          </w:p>
        </w:tc>
      </w:tr>
      <w:tr w:rsidR="003A047E" w:rsidRPr="00C5446D" w14:paraId="33963657"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tcPr>
          <w:p w14:paraId="034FCF64" w14:textId="77777777" w:rsidR="003A047E" w:rsidRPr="00C5446D" w:rsidRDefault="003A047E" w:rsidP="00860544">
            <w:pPr>
              <w:pStyle w:val="ListNumber"/>
            </w:pPr>
            <w:r w:rsidRPr="00C5446D">
              <w:lastRenderedPageBreak/>
              <w:t>(1A)</w:t>
            </w:r>
            <w:r w:rsidRPr="00C5446D">
              <w:tab/>
              <w:t xml:space="preserve">In deciding to amend LENS, Minister must rely primarily on outcomes of Part 10, </w:t>
            </w:r>
            <w:proofErr w:type="spellStart"/>
            <w:r w:rsidRPr="00C5446D">
              <w:t>Div</w:t>
            </w:r>
            <w:proofErr w:type="spellEnd"/>
            <w:r w:rsidRPr="00C5446D">
              <w:t xml:space="preserve"> 1 0r 2 assessment</w:t>
            </w:r>
          </w:p>
        </w:tc>
        <w:tc>
          <w:tcPr>
            <w:tcW w:w="3519" w:type="pct"/>
            <w:gridSpan w:val="4"/>
            <w:shd w:val="clear" w:color="auto" w:fill="auto"/>
          </w:tcPr>
          <w:p w14:paraId="27D3E50E" w14:textId="77777777" w:rsidR="003A047E" w:rsidRPr="00C5446D" w:rsidRDefault="003A047E" w:rsidP="00860544">
            <w:pPr>
              <w:rPr>
                <w:b/>
                <w:sz w:val="20"/>
                <w:szCs w:val="20"/>
              </w:rPr>
            </w:pPr>
            <w:r w:rsidRPr="00C5446D">
              <w:rPr>
                <w:b/>
                <w:sz w:val="20"/>
                <w:szCs w:val="20"/>
              </w:rPr>
              <w:t>Not applicable.</w:t>
            </w:r>
          </w:p>
          <w:p w14:paraId="070706A2" w14:textId="5D9AB8DB" w:rsidR="00C5446D" w:rsidRPr="00C5446D" w:rsidRDefault="00C5446D" w:rsidP="00C5446D">
            <w:pPr>
              <w:rPr>
                <w:sz w:val="20"/>
                <w:szCs w:val="20"/>
              </w:rPr>
            </w:pPr>
            <w:r w:rsidRPr="00C5446D">
              <w:rPr>
                <w:sz w:val="20"/>
                <w:szCs w:val="20"/>
              </w:rPr>
              <w:t>No assessment under Part 10 of the EPBC Act has been completed as the Tasmanian Scalefish Fishery is not a Commonwealth fishery.</w:t>
            </w:r>
          </w:p>
        </w:tc>
      </w:tr>
      <w:tr w:rsidR="003A047E" w:rsidRPr="00C5446D" w14:paraId="6173091E" w14:textId="77777777" w:rsidTr="00860544">
        <w:trPr>
          <w:cnfStyle w:val="000000010000" w:firstRow="0" w:lastRow="0" w:firstColumn="0" w:lastColumn="0" w:oddVBand="0" w:evenVBand="0" w:oddHBand="0" w:evenHBand="1" w:firstRowFirstColumn="0" w:firstRowLastColumn="0" w:lastRowFirstColumn="0" w:lastRowLastColumn="0"/>
        </w:trPr>
        <w:tc>
          <w:tcPr>
            <w:tcW w:w="1481" w:type="pct"/>
          </w:tcPr>
          <w:p w14:paraId="24AF7801" w14:textId="77777777" w:rsidR="003A047E" w:rsidRPr="00C5446D" w:rsidRDefault="003A047E" w:rsidP="00860544">
            <w:pPr>
              <w:pStyle w:val="ListNumber"/>
            </w:pPr>
            <w:r w:rsidRPr="00C5446D">
              <w:t>(1C)</w:t>
            </w:r>
            <w:r w:rsidRPr="00C5446D">
              <w:tab/>
            </w:r>
            <w:proofErr w:type="gramStart"/>
            <w:r w:rsidRPr="00C5446D">
              <w:t>The</w:t>
            </w:r>
            <w:proofErr w:type="gramEnd"/>
            <w:r w:rsidRPr="00C5446D">
              <w:t xml:space="preserve"> above does not limit matters that may be considered when deciding to amend LENS.</w:t>
            </w:r>
          </w:p>
        </w:tc>
        <w:tc>
          <w:tcPr>
            <w:tcW w:w="3519" w:type="pct"/>
            <w:gridSpan w:val="4"/>
            <w:shd w:val="clear" w:color="auto" w:fill="92D050"/>
          </w:tcPr>
          <w:p w14:paraId="7A9B9461" w14:textId="77777777" w:rsidR="003A047E" w:rsidRPr="00C5446D" w:rsidRDefault="003A047E" w:rsidP="00860544">
            <w:pPr>
              <w:rPr>
                <w:b/>
                <w:sz w:val="20"/>
                <w:szCs w:val="20"/>
              </w:rPr>
            </w:pPr>
            <w:r w:rsidRPr="00C5446D">
              <w:rPr>
                <w:b/>
                <w:sz w:val="20"/>
                <w:szCs w:val="20"/>
              </w:rPr>
              <w:t>Meets.</w:t>
            </w:r>
          </w:p>
          <w:p w14:paraId="3D983B29" w14:textId="3F211535" w:rsidR="003A047E" w:rsidRPr="00C5446D" w:rsidRDefault="003A047E" w:rsidP="00860544">
            <w:pPr>
              <w:rPr>
                <w:iCs/>
                <w:sz w:val="20"/>
                <w:szCs w:val="20"/>
              </w:rPr>
            </w:pPr>
            <w:r w:rsidRPr="00C5446D">
              <w:rPr>
                <w:sz w:val="20"/>
                <w:szCs w:val="20"/>
              </w:rPr>
              <w:t>The Department considers that the amendment of the list of exempt native specimens to include product derived from the fishery would be consistent w</w:t>
            </w:r>
            <w:r w:rsidR="00820A44">
              <w:rPr>
                <w:sz w:val="20"/>
                <w:szCs w:val="20"/>
              </w:rPr>
              <w:t>ith the provisions of Part 13A</w:t>
            </w:r>
            <w:r w:rsidRPr="00C5446D">
              <w:rPr>
                <w:sz w:val="20"/>
                <w:szCs w:val="20"/>
              </w:rPr>
              <w:t xml:space="preserve"> as</w:t>
            </w:r>
            <w:r w:rsidRPr="00C5446D">
              <w:rPr>
                <w:iCs/>
                <w:sz w:val="20"/>
                <w:szCs w:val="20"/>
              </w:rPr>
              <w:t>:</w:t>
            </w:r>
          </w:p>
          <w:p w14:paraId="1422595B" w14:textId="77777777" w:rsidR="003A047E" w:rsidRPr="00C5446D" w:rsidRDefault="003A047E" w:rsidP="00C5446D">
            <w:pPr>
              <w:pStyle w:val="ListBullet"/>
            </w:pPr>
            <w:r w:rsidRPr="00C5446D">
              <w:t>the fishery will not harvest any Convention on International Trade in Endangered Species of Wild Fauna and Flora (CITES) listed species</w:t>
            </w:r>
          </w:p>
          <w:p w14:paraId="04CABA26" w14:textId="7C73C081" w:rsidR="003A047E" w:rsidRPr="00C5446D" w:rsidRDefault="003A047E" w:rsidP="00C5446D">
            <w:pPr>
              <w:pStyle w:val="ListBullet"/>
            </w:pPr>
            <w:r w:rsidRPr="00C5446D">
              <w:t>there are management arrangements in place to ensure that the resource is being managed in a</w:t>
            </w:r>
            <w:r w:rsidR="00820A44">
              <w:t>n ecologically sustainable way, and</w:t>
            </w:r>
          </w:p>
          <w:p w14:paraId="7053FF38" w14:textId="77777777" w:rsidR="003A047E" w:rsidRPr="00C5446D" w:rsidRDefault="003A047E" w:rsidP="00C5446D">
            <w:pPr>
              <w:pStyle w:val="ListBullet"/>
            </w:pPr>
            <w:proofErr w:type="gramStart"/>
            <w:r w:rsidRPr="00C5446D">
              <w:t>the</w:t>
            </w:r>
            <w:proofErr w:type="gramEnd"/>
            <w:r w:rsidRPr="00C5446D">
              <w:t xml:space="preserve"> operation of the fishery is unlikely to be unsustainable and threaten biodiversity within the next ten years.</w:t>
            </w:r>
          </w:p>
        </w:tc>
      </w:tr>
      <w:tr w:rsidR="003A047E" w:rsidRPr="00737724" w14:paraId="31FD2F47" w14:textId="77777777" w:rsidTr="00860544">
        <w:trPr>
          <w:cnfStyle w:val="000000100000" w:firstRow="0" w:lastRow="0" w:firstColumn="0" w:lastColumn="0" w:oddVBand="0" w:evenVBand="0" w:oddHBand="1" w:evenHBand="0" w:firstRowFirstColumn="0" w:firstRowLastColumn="0" w:lastRowFirstColumn="0" w:lastRowLastColumn="0"/>
        </w:trPr>
        <w:tc>
          <w:tcPr>
            <w:tcW w:w="1481" w:type="pct"/>
            <w:vAlign w:val="center"/>
          </w:tcPr>
          <w:p w14:paraId="1531B4D1" w14:textId="77777777" w:rsidR="003A047E" w:rsidRPr="00737724" w:rsidRDefault="003A047E" w:rsidP="00860544">
            <w:pPr>
              <w:pStyle w:val="ListNumber"/>
            </w:pPr>
            <w:r w:rsidRPr="00737724">
              <w:t>(3)</w:t>
            </w:r>
            <w:r w:rsidRPr="00737724">
              <w:tab/>
              <w:t>Before amending LENS, Minister must consult:</w:t>
            </w:r>
          </w:p>
          <w:p w14:paraId="2EF28580" w14:textId="77777777" w:rsidR="003A047E" w:rsidRPr="00737724" w:rsidRDefault="003A047E" w:rsidP="00860544">
            <w:pPr>
              <w:pStyle w:val="ListNumber2"/>
            </w:pPr>
            <w:r w:rsidRPr="00737724">
              <w:t>(a)</w:t>
            </w:r>
            <w:r w:rsidRPr="00737724">
              <w:tab/>
              <w:t>other Minister or Ministers as appropriate; and</w:t>
            </w:r>
          </w:p>
          <w:p w14:paraId="28F85598" w14:textId="77777777" w:rsidR="003A047E" w:rsidRPr="00737724" w:rsidRDefault="003A047E" w:rsidP="00860544">
            <w:pPr>
              <w:pStyle w:val="ListNumber2"/>
            </w:pPr>
            <w:r w:rsidRPr="00737724">
              <w:t>(b)</w:t>
            </w:r>
            <w:r w:rsidRPr="00737724">
              <w:tab/>
              <w:t>other Minister or Ministers of each State and self-governing Territory as appropriate; and</w:t>
            </w:r>
          </w:p>
          <w:p w14:paraId="59F876BE" w14:textId="77777777" w:rsidR="003A047E" w:rsidRPr="00737724" w:rsidRDefault="003A047E" w:rsidP="00860544">
            <w:pPr>
              <w:pStyle w:val="ListNumber2"/>
            </w:pPr>
            <w:r w:rsidRPr="00737724">
              <w:t>(c)</w:t>
            </w:r>
            <w:r w:rsidRPr="00737724">
              <w:tab/>
            </w:r>
            <w:proofErr w:type="gramStart"/>
            <w:r w:rsidRPr="00737724">
              <w:t>other</w:t>
            </w:r>
            <w:proofErr w:type="gramEnd"/>
            <w:r w:rsidRPr="00737724">
              <w:t xml:space="preserve"> persons and organisations as appropriate.</w:t>
            </w:r>
          </w:p>
        </w:tc>
        <w:tc>
          <w:tcPr>
            <w:tcW w:w="3519" w:type="pct"/>
            <w:gridSpan w:val="4"/>
            <w:shd w:val="clear" w:color="auto" w:fill="FFC000"/>
          </w:tcPr>
          <w:p w14:paraId="2BF03EA7" w14:textId="77777777" w:rsidR="003A047E" w:rsidRPr="00737724" w:rsidRDefault="003A047E" w:rsidP="00860544">
            <w:pPr>
              <w:rPr>
                <w:b/>
                <w:sz w:val="20"/>
                <w:szCs w:val="20"/>
              </w:rPr>
            </w:pPr>
            <w:r w:rsidRPr="00737724">
              <w:rPr>
                <w:b/>
                <w:sz w:val="20"/>
                <w:szCs w:val="20"/>
              </w:rPr>
              <w:t>Partially meets.</w:t>
            </w:r>
          </w:p>
          <w:p w14:paraId="3AA04829" w14:textId="77777777" w:rsidR="003A047E" w:rsidRPr="00737724" w:rsidRDefault="003A047E" w:rsidP="00860544">
            <w:pPr>
              <w:rPr>
                <w:sz w:val="20"/>
                <w:szCs w:val="20"/>
              </w:rPr>
            </w:pPr>
            <w:r w:rsidRPr="00737724">
              <w:rPr>
                <w:sz w:val="20"/>
                <w:szCs w:val="20"/>
              </w:rPr>
              <w:t>General consultation with the (TAS) Minister for Fisheries in October 2014 (MS14-002367).</w:t>
            </w:r>
          </w:p>
        </w:tc>
      </w:tr>
    </w:tbl>
    <w:p w14:paraId="2EB401BC" w14:textId="77777777" w:rsidR="00820A44" w:rsidRPr="00E53632" w:rsidRDefault="00820A44" w:rsidP="003A047E">
      <w:pPr>
        <w:rPr>
          <w:sz w:val="22"/>
          <w:szCs w:val="22"/>
        </w:rPr>
      </w:pPr>
    </w:p>
    <w:p w14:paraId="28CFEA05" w14:textId="77777777" w:rsidR="003A047E" w:rsidRPr="00E53632" w:rsidRDefault="003A047E" w:rsidP="003A047E">
      <w:pPr>
        <w:rPr>
          <w:b/>
          <w:sz w:val="22"/>
          <w:szCs w:val="22"/>
        </w:rPr>
      </w:pPr>
      <w:r w:rsidRPr="00E53632">
        <w:rPr>
          <w:b/>
          <w:sz w:val="22"/>
          <w:szCs w:val="22"/>
        </w:rPr>
        <w:t>Part 16</w:t>
      </w:r>
    </w:p>
    <w:tbl>
      <w:tblPr>
        <w:tblStyle w:val="TableGrid"/>
        <w:tblW w:w="0" w:type="auto"/>
        <w:tblLook w:val="04A0" w:firstRow="1" w:lastRow="0" w:firstColumn="1" w:lastColumn="0" w:noHBand="0" w:noVBand="1"/>
      </w:tblPr>
      <w:tblGrid>
        <w:gridCol w:w="4007"/>
        <w:gridCol w:w="1697"/>
        <w:gridCol w:w="1696"/>
        <w:gridCol w:w="1696"/>
        <w:gridCol w:w="4999"/>
        <w:gridCol w:w="11"/>
      </w:tblGrid>
      <w:tr w:rsidR="003A047E" w:rsidRPr="007550C3" w14:paraId="0BA915C4" w14:textId="77777777" w:rsidTr="00860544">
        <w:trPr>
          <w:gridAfter w:val="1"/>
          <w:cnfStyle w:val="100000000000" w:firstRow="1" w:lastRow="0" w:firstColumn="0" w:lastColumn="0" w:oddVBand="0" w:evenVBand="0" w:oddHBand="0" w:evenHBand="0" w:firstRowFirstColumn="0" w:firstRowLastColumn="0" w:lastRowFirstColumn="0" w:lastRowLastColumn="0"/>
          <w:wAfter w:w="11" w:type="dxa"/>
        </w:trPr>
        <w:tc>
          <w:tcPr>
            <w:tcW w:w="4007" w:type="dxa"/>
          </w:tcPr>
          <w:p w14:paraId="4B519463" w14:textId="77777777" w:rsidR="003A047E" w:rsidRPr="007550C3" w:rsidRDefault="003A047E" w:rsidP="00860544">
            <w:pPr>
              <w:ind w:left="426" w:hanging="426"/>
              <w:jc w:val="center"/>
              <w:rPr>
                <w:b/>
                <w:sz w:val="20"/>
                <w:szCs w:val="20"/>
              </w:rPr>
            </w:pPr>
          </w:p>
        </w:tc>
        <w:tc>
          <w:tcPr>
            <w:tcW w:w="1697" w:type="dxa"/>
            <w:shd w:val="clear" w:color="auto" w:fill="92D050"/>
          </w:tcPr>
          <w:p w14:paraId="13B67A40" w14:textId="77777777" w:rsidR="003A047E" w:rsidRPr="007550C3" w:rsidRDefault="003A047E" w:rsidP="00860544">
            <w:pPr>
              <w:jc w:val="center"/>
              <w:rPr>
                <w:b/>
                <w:sz w:val="20"/>
                <w:szCs w:val="20"/>
              </w:rPr>
            </w:pPr>
            <w:r w:rsidRPr="007550C3">
              <w:rPr>
                <w:b/>
                <w:sz w:val="20"/>
                <w:szCs w:val="20"/>
              </w:rPr>
              <w:t>Meets</w:t>
            </w:r>
          </w:p>
        </w:tc>
        <w:tc>
          <w:tcPr>
            <w:tcW w:w="1696" w:type="dxa"/>
            <w:shd w:val="clear" w:color="auto" w:fill="FFC000"/>
          </w:tcPr>
          <w:p w14:paraId="5A7CAC62" w14:textId="77777777" w:rsidR="003A047E" w:rsidRPr="007550C3" w:rsidRDefault="003A047E" w:rsidP="00860544">
            <w:pPr>
              <w:jc w:val="center"/>
              <w:rPr>
                <w:b/>
                <w:sz w:val="20"/>
                <w:szCs w:val="20"/>
              </w:rPr>
            </w:pPr>
            <w:r w:rsidRPr="007550C3">
              <w:rPr>
                <w:b/>
                <w:sz w:val="20"/>
                <w:szCs w:val="20"/>
              </w:rPr>
              <w:t>Partially meets</w:t>
            </w:r>
          </w:p>
        </w:tc>
        <w:tc>
          <w:tcPr>
            <w:tcW w:w="1696" w:type="dxa"/>
            <w:shd w:val="clear" w:color="auto" w:fill="FF0000"/>
          </w:tcPr>
          <w:p w14:paraId="7BEE2236" w14:textId="77777777" w:rsidR="003A047E" w:rsidRPr="007550C3" w:rsidRDefault="003A047E" w:rsidP="00860544">
            <w:pPr>
              <w:jc w:val="center"/>
              <w:rPr>
                <w:b/>
                <w:sz w:val="20"/>
                <w:szCs w:val="20"/>
              </w:rPr>
            </w:pPr>
            <w:r w:rsidRPr="007550C3">
              <w:rPr>
                <w:b/>
                <w:sz w:val="20"/>
                <w:szCs w:val="20"/>
              </w:rPr>
              <w:t>Does not meet</w:t>
            </w:r>
          </w:p>
        </w:tc>
        <w:tc>
          <w:tcPr>
            <w:tcW w:w="4999" w:type="dxa"/>
          </w:tcPr>
          <w:p w14:paraId="79A3600F" w14:textId="77777777" w:rsidR="003A047E" w:rsidRPr="007550C3" w:rsidRDefault="003A047E" w:rsidP="00860544">
            <w:pPr>
              <w:jc w:val="center"/>
              <w:rPr>
                <w:b/>
                <w:sz w:val="20"/>
                <w:szCs w:val="20"/>
              </w:rPr>
            </w:pPr>
            <w:r w:rsidRPr="007550C3">
              <w:rPr>
                <w:b/>
                <w:sz w:val="20"/>
                <w:szCs w:val="20"/>
              </w:rPr>
              <w:t>Comment</w:t>
            </w:r>
          </w:p>
        </w:tc>
      </w:tr>
      <w:tr w:rsidR="003A047E" w:rsidRPr="007550C3" w14:paraId="5E49F84C" w14:textId="77777777" w:rsidTr="00860544">
        <w:trPr>
          <w:cnfStyle w:val="000000100000" w:firstRow="0" w:lastRow="0" w:firstColumn="0" w:lastColumn="0" w:oddVBand="0" w:evenVBand="0" w:oddHBand="1" w:evenHBand="0" w:firstRowFirstColumn="0" w:firstRowLastColumn="0" w:lastRowFirstColumn="0" w:lastRowLastColumn="0"/>
        </w:trPr>
        <w:tc>
          <w:tcPr>
            <w:tcW w:w="14106" w:type="dxa"/>
            <w:gridSpan w:val="6"/>
          </w:tcPr>
          <w:p w14:paraId="70B4AC7C" w14:textId="77777777" w:rsidR="003A047E" w:rsidRPr="007550C3" w:rsidRDefault="003A047E" w:rsidP="00860544">
            <w:pPr>
              <w:rPr>
                <w:sz w:val="20"/>
                <w:szCs w:val="20"/>
              </w:rPr>
            </w:pPr>
            <w:r w:rsidRPr="007550C3">
              <w:rPr>
                <w:b/>
                <w:sz w:val="20"/>
                <w:szCs w:val="20"/>
              </w:rPr>
              <w:t>Section 391 Minister must consider precautionary principle in making decisions</w:t>
            </w:r>
          </w:p>
        </w:tc>
      </w:tr>
      <w:tr w:rsidR="003A047E" w:rsidRPr="007550C3" w14:paraId="66559425" w14:textId="77777777" w:rsidTr="00860544">
        <w:trPr>
          <w:gridAfter w:val="1"/>
          <w:cnfStyle w:val="000000010000" w:firstRow="0" w:lastRow="0" w:firstColumn="0" w:lastColumn="0" w:oddVBand="0" w:evenVBand="0" w:oddHBand="0" w:evenHBand="1" w:firstRowFirstColumn="0" w:firstRowLastColumn="0" w:lastRowFirstColumn="0" w:lastRowLastColumn="0"/>
          <w:wAfter w:w="11" w:type="dxa"/>
        </w:trPr>
        <w:tc>
          <w:tcPr>
            <w:tcW w:w="4007" w:type="dxa"/>
          </w:tcPr>
          <w:p w14:paraId="56C76123" w14:textId="77777777" w:rsidR="003A047E" w:rsidRPr="007550C3" w:rsidRDefault="003A047E" w:rsidP="00860544">
            <w:pPr>
              <w:ind w:left="426" w:hanging="426"/>
              <w:rPr>
                <w:sz w:val="20"/>
                <w:szCs w:val="20"/>
              </w:rPr>
            </w:pPr>
            <w:r>
              <w:rPr>
                <w:sz w:val="20"/>
                <w:szCs w:val="20"/>
              </w:rPr>
              <w:t>(1)</w:t>
            </w:r>
            <w:r w:rsidRPr="00457927">
              <w:rPr>
                <w:sz w:val="20"/>
                <w:szCs w:val="20"/>
              </w:rPr>
              <w:tab/>
            </w:r>
            <w:r w:rsidRPr="007550C3">
              <w:rPr>
                <w:sz w:val="20"/>
                <w:szCs w:val="20"/>
              </w:rPr>
              <w:t>Minister must take account of precautionary principle</w:t>
            </w:r>
          </w:p>
          <w:p w14:paraId="39E65A46" w14:textId="77777777" w:rsidR="003A047E" w:rsidRPr="007550C3" w:rsidRDefault="003A047E" w:rsidP="00860544">
            <w:pPr>
              <w:ind w:left="426" w:hanging="426"/>
              <w:rPr>
                <w:sz w:val="20"/>
                <w:szCs w:val="20"/>
              </w:rPr>
            </w:pPr>
            <w:r w:rsidRPr="007550C3">
              <w:rPr>
                <w:sz w:val="20"/>
                <w:szCs w:val="20"/>
              </w:rPr>
              <w:t>(2)</w:t>
            </w:r>
            <w:r w:rsidRPr="00457927">
              <w:rPr>
                <w:sz w:val="20"/>
                <w:szCs w:val="20"/>
              </w:rPr>
              <w:tab/>
            </w:r>
            <w:r w:rsidRPr="007550C3">
              <w:rPr>
                <w:sz w:val="20"/>
                <w:szCs w:val="20"/>
              </w:rPr>
              <w:t xml:space="preserve">The </w:t>
            </w:r>
            <w:r w:rsidRPr="007550C3">
              <w:rPr>
                <w:color w:val="000000"/>
                <w:sz w:val="20"/>
                <w:szCs w:val="20"/>
              </w:rPr>
              <w:t xml:space="preserve">precautionary principle is that lack of full scientific certainty should </w:t>
            </w:r>
            <w:r w:rsidRPr="007550C3">
              <w:rPr>
                <w:color w:val="000000"/>
                <w:sz w:val="20"/>
                <w:szCs w:val="20"/>
              </w:rPr>
              <w:lastRenderedPageBreak/>
              <w:t>not be used as a reason for postponing a measure to prevent degradation of the environment where there are threats of serious or irreversible environmental</w:t>
            </w:r>
            <w:r w:rsidRPr="007550C3">
              <w:rPr>
                <w:sz w:val="20"/>
                <w:szCs w:val="20"/>
              </w:rPr>
              <w:t xml:space="preserve"> damage.</w:t>
            </w:r>
          </w:p>
        </w:tc>
        <w:tc>
          <w:tcPr>
            <w:tcW w:w="10088" w:type="dxa"/>
            <w:gridSpan w:val="4"/>
            <w:shd w:val="clear" w:color="auto" w:fill="92D050"/>
          </w:tcPr>
          <w:p w14:paraId="5522121C" w14:textId="77777777" w:rsidR="003A047E" w:rsidRPr="00457927" w:rsidRDefault="003A047E" w:rsidP="00860544">
            <w:pPr>
              <w:rPr>
                <w:b/>
                <w:sz w:val="20"/>
                <w:szCs w:val="20"/>
              </w:rPr>
            </w:pPr>
            <w:r w:rsidRPr="00457927">
              <w:rPr>
                <w:b/>
                <w:sz w:val="20"/>
                <w:szCs w:val="20"/>
              </w:rPr>
              <w:lastRenderedPageBreak/>
              <w:t>Precautionary management measures in place</w:t>
            </w:r>
          </w:p>
          <w:p w14:paraId="171D9E7B" w14:textId="77777777" w:rsidR="003A047E" w:rsidRPr="007550C3" w:rsidRDefault="003A047E" w:rsidP="00860544">
            <w:pPr>
              <w:rPr>
                <w:sz w:val="20"/>
                <w:szCs w:val="20"/>
              </w:rPr>
            </w:pPr>
            <w:r w:rsidRPr="007550C3">
              <w:rPr>
                <w:sz w:val="20"/>
                <w:szCs w:val="20"/>
              </w:rPr>
              <w:t>The precautionary principle has been considered by the Department when making its recommendation to the delegate to include specimens in the list of exempt native specimens.</w:t>
            </w:r>
          </w:p>
        </w:tc>
      </w:tr>
    </w:tbl>
    <w:p w14:paraId="7C2149DF" w14:textId="77777777" w:rsidR="003A047E" w:rsidRPr="00E53632" w:rsidRDefault="003A047E" w:rsidP="00E53632">
      <w:pPr>
        <w:rPr>
          <w:sz w:val="22"/>
          <w:szCs w:val="22"/>
        </w:rPr>
      </w:pPr>
    </w:p>
    <w:p w14:paraId="241BE893" w14:textId="77777777" w:rsidR="00E22088" w:rsidRPr="00E53632" w:rsidRDefault="00E22088" w:rsidP="00E53632">
      <w:pPr>
        <w:pStyle w:val="Heading1"/>
        <w:spacing w:before="60" w:after="60" w:line="240" w:lineRule="auto"/>
        <w:rPr>
          <w:b w:val="0"/>
        </w:rPr>
      </w:pPr>
    </w:p>
    <w:sectPr w:rsidR="00E22088" w:rsidRPr="00E53632"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08F40" w14:textId="77777777" w:rsidR="00154A76" w:rsidRDefault="00154A76" w:rsidP="002F5AF7">
      <w:r>
        <w:separator/>
      </w:r>
    </w:p>
  </w:endnote>
  <w:endnote w:type="continuationSeparator" w:id="0">
    <w:p w14:paraId="08C86EA6" w14:textId="77777777" w:rsidR="00154A76" w:rsidRDefault="00154A76" w:rsidP="002F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09602" w14:textId="77777777" w:rsidR="00774AA6" w:rsidRDefault="00774A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485606"/>
      <w:docPartObj>
        <w:docPartGallery w:val="Page Numbers (Bottom of Page)"/>
        <w:docPartUnique/>
      </w:docPartObj>
    </w:sdtPr>
    <w:sdtEndPr>
      <w:rPr>
        <w:noProof/>
      </w:rPr>
    </w:sdtEndPr>
    <w:sdtContent>
      <w:p w14:paraId="6A13246E" w14:textId="77777777" w:rsidR="00154A76" w:rsidRPr="00E23EFC" w:rsidRDefault="00154A76">
        <w:pPr>
          <w:pStyle w:val="Footer"/>
          <w:jc w:val="center"/>
        </w:pPr>
        <w:r w:rsidRPr="00E23EFC">
          <w:fldChar w:fldCharType="begin"/>
        </w:r>
        <w:r w:rsidRPr="00E23EFC">
          <w:instrText xml:space="preserve"> PAGE   \* MERGEFORMAT </w:instrText>
        </w:r>
        <w:r w:rsidRPr="00E23EFC">
          <w:fldChar w:fldCharType="separate"/>
        </w:r>
        <w:r w:rsidR="00774AA6">
          <w:rPr>
            <w:noProof/>
          </w:rPr>
          <w:t>15</w:t>
        </w:r>
        <w:r w:rsidRPr="00E23EFC">
          <w:rPr>
            <w:noProof/>
          </w:rPr>
          <w:fldChar w:fldCharType="end"/>
        </w:r>
      </w:p>
    </w:sdtContent>
  </w:sdt>
  <w:p w14:paraId="7B698FC9" w14:textId="77777777" w:rsidR="00154A76" w:rsidRPr="00E23EFC" w:rsidRDefault="00154A76">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61C09" w14:textId="77777777" w:rsidR="00154A76" w:rsidRDefault="00154A76" w:rsidP="00144823">
    <w:pPr>
      <w:pStyle w:val="Footer"/>
      <w:jc w:val="right"/>
    </w:pPr>
  </w:p>
  <w:p w14:paraId="63CE45A2" w14:textId="77777777" w:rsidR="00154A76" w:rsidRDefault="00154A76" w:rsidP="00144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BBD93" w14:textId="77777777" w:rsidR="00154A76" w:rsidRDefault="00154A76" w:rsidP="002F5AF7">
      <w:r>
        <w:separator/>
      </w:r>
    </w:p>
  </w:footnote>
  <w:footnote w:type="continuationSeparator" w:id="0">
    <w:p w14:paraId="0BA519C3" w14:textId="77777777" w:rsidR="00154A76" w:rsidRDefault="00154A76" w:rsidP="002F5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7DC39" w14:textId="77777777" w:rsidR="00774AA6" w:rsidRDefault="00774A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E68EE" w14:textId="5B22ABBC" w:rsidR="00154A76" w:rsidRPr="00B40489" w:rsidRDefault="00154A76">
    <w:pPr>
      <w:pStyle w:val="Header"/>
      <w:rPr>
        <w:sz w:val="18"/>
      </w:rPr>
    </w:pPr>
    <w:r>
      <w:rPr>
        <w:sz w:val="18"/>
      </w:rPr>
      <w:t xml:space="preserve">Gould’s Squid Taken in the </w:t>
    </w:r>
    <w:r w:rsidRPr="00B40489">
      <w:rPr>
        <w:sz w:val="18"/>
      </w:rPr>
      <w:t xml:space="preserve">Tasmanian </w:t>
    </w:r>
    <w:r>
      <w:rPr>
        <w:sz w:val="18"/>
      </w:rPr>
      <w:t>Scalefish</w:t>
    </w:r>
    <w:r w:rsidRPr="00B40489">
      <w:rPr>
        <w:sz w:val="18"/>
      </w:rPr>
      <w:t xml:space="preserve"> Fishery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BAE78" w14:textId="22EF6264" w:rsidR="00154A76" w:rsidRDefault="00154A76" w:rsidP="00144823">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03C7D"/>
    <w:multiLevelType w:val="hybridMultilevel"/>
    <w:tmpl w:val="9DA2C828"/>
    <w:lvl w:ilvl="0" w:tplc="60A28B8E">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745BC2"/>
    <w:multiLevelType w:val="multilevel"/>
    <w:tmpl w:val="E5E89F92"/>
    <w:numStyleLink w:val="BulletList"/>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425740"/>
    <w:multiLevelType w:val="hybridMultilevel"/>
    <w:tmpl w:val="44861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8199F"/>
    <w:multiLevelType w:val="hybridMultilevel"/>
    <w:tmpl w:val="0316A272"/>
    <w:lvl w:ilvl="0" w:tplc="A0E2ACB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EEF1AB3"/>
    <w:multiLevelType w:val="hybridMultilevel"/>
    <w:tmpl w:val="7F6498EE"/>
    <w:lvl w:ilvl="0" w:tplc="E72C3442">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F9F568F"/>
    <w:multiLevelType w:val="hybridMultilevel"/>
    <w:tmpl w:val="D4488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76A4667"/>
    <w:multiLevelType w:val="hybridMultilevel"/>
    <w:tmpl w:val="D63E82DE"/>
    <w:lvl w:ilvl="0" w:tplc="E25EAAB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05D095F"/>
    <w:multiLevelType w:val="hybridMultilevel"/>
    <w:tmpl w:val="DD20B970"/>
    <w:lvl w:ilvl="0" w:tplc="6CFC6EF0">
      <w:start w:val="1"/>
      <w:numFmt w:val="bullet"/>
      <w:pStyle w:val="List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5456429"/>
    <w:multiLevelType w:val="multilevel"/>
    <w:tmpl w:val="E898CC72"/>
    <w:numStyleLink w:val="KeyPoints"/>
  </w:abstractNum>
  <w:abstractNum w:abstractNumId="36" w15:restartNumberingAfterBreak="0">
    <w:nsid w:val="677073E1"/>
    <w:multiLevelType w:val="multilevel"/>
    <w:tmpl w:val="BA70D8F2"/>
    <w:lvl w:ilvl="0">
      <w:start w:val="1"/>
      <w:numFmt w:val="lowerLetter"/>
      <w:lvlText w:val="%1."/>
      <w:lvlJc w:val="left"/>
      <w:pPr>
        <w:ind w:left="738" w:hanging="369"/>
      </w:pPr>
      <w:rPr>
        <w:rFonts w:hint="default"/>
      </w:rPr>
    </w:lvl>
    <w:lvl w:ilvl="1">
      <w:start w:val="1"/>
      <w:numFmt w:val="none"/>
      <w:lvlText w:val="-"/>
      <w:lvlJc w:val="left"/>
      <w:pPr>
        <w:ind w:left="1106" w:hanging="368"/>
      </w:pPr>
      <w:rPr>
        <w:rFonts w:hint="default"/>
      </w:rPr>
    </w:lvl>
    <w:lvl w:ilvl="2">
      <w:start w:val="1"/>
      <w:numFmt w:val="none"/>
      <w:lvlText w:val=":"/>
      <w:lvlJc w:val="left"/>
      <w:pPr>
        <w:ind w:left="1475" w:hanging="369"/>
      </w:pPr>
      <w:rPr>
        <w:rFonts w:hint="default"/>
      </w:rPr>
    </w:lvl>
    <w:lvl w:ilvl="3">
      <w:start w:val="1"/>
      <w:numFmt w:val="none"/>
      <w:lvlText w:val=""/>
      <w:lvlJc w:val="left"/>
      <w:pPr>
        <w:ind w:left="1843" w:hanging="368"/>
      </w:pPr>
      <w:rPr>
        <w:rFonts w:hint="default"/>
      </w:rPr>
    </w:lvl>
    <w:lvl w:ilvl="4">
      <w:start w:val="1"/>
      <w:numFmt w:val="lowerLetter"/>
      <w:lvlText w:val="(%5)"/>
      <w:lvlJc w:val="left"/>
      <w:pPr>
        <w:ind w:left="2169" w:hanging="360"/>
      </w:pPr>
      <w:rPr>
        <w:rFonts w:hint="default"/>
      </w:rPr>
    </w:lvl>
    <w:lvl w:ilvl="5">
      <w:start w:val="1"/>
      <w:numFmt w:val="lowerRoman"/>
      <w:lvlText w:val="(%6)"/>
      <w:lvlJc w:val="left"/>
      <w:pPr>
        <w:ind w:left="2529" w:hanging="360"/>
      </w:pPr>
      <w:rPr>
        <w:rFonts w:hint="default"/>
      </w:rPr>
    </w:lvl>
    <w:lvl w:ilvl="6">
      <w:start w:val="1"/>
      <w:numFmt w:val="decimal"/>
      <w:lvlText w:val="%7."/>
      <w:lvlJc w:val="left"/>
      <w:pPr>
        <w:ind w:left="2889" w:hanging="360"/>
      </w:pPr>
      <w:rPr>
        <w:rFonts w:hint="default"/>
      </w:rPr>
    </w:lvl>
    <w:lvl w:ilvl="7">
      <w:start w:val="1"/>
      <w:numFmt w:val="lowerLetter"/>
      <w:lvlText w:val="%8."/>
      <w:lvlJc w:val="left"/>
      <w:pPr>
        <w:ind w:left="3249" w:hanging="360"/>
      </w:pPr>
      <w:rPr>
        <w:rFonts w:hint="default"/>
      </w:rPr>
    </w:lvl>
    <w:lvl w:ilvl="8">
      <w:start w:val="1"/>
      <w:numFmt w:val="lowerRoman"/>
      <w:lvlText w:val="%9."/>
      <w:lvlJc w:val="left"/>
      <w:pPr>
        <w:ind w:left="3609" w:hanging="360"/>
      </w:pPr>
      <w:rPr>
        <w:rFonts w:hint="default"/>
      </w:rPr>
    </w:lvl>
  </w:abstractNum>
  <w:abstractNum w:abstractNumId="3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41"/>
  </w:num>
  <w:num w:numId="2">
    <w:abstractNumId w:val="1"/>
  </w:num>
  <w:num w:numId="3">
    <w:abstractNumId w:val="21"/>
  </w:num>
  <w:num w:numId="4">
    <w:abstractNumId w:val="0"/>
  </w:num>
  <w:num w:numId="5">
    <w:abstractNumId w:val="20"/>
  </w:num>
  <w:num w:numId="6">
    <w:abstractNumId w:val="35"/>
  </w:num>
  <w:num w:numId="7">
    <w:abstractNumId w:val="11"/>
  </w:num>
  <w:num w:numId="8">
    <w:abstractNumId w:val="4"/>
  </w:num>
  <w:num w:numId="9">
    <w:abstractNumId w:val="23"/>
  </w:num>
  <w:num w:numId="10">
    <w:abstractNumId w:val="38"/>
  </w:num>
  <w:num w:numId="11">
    <w:abstractNumId w:val="29"/>
  </w:num>
  <w:num w:numId="12">
    <w:abstractNumId w:val="5"/>
  </w:num>
  <w:num w:numId="13">
    <w:abstractNumId w:val="16"/>
  </w:num>
  <w:num w:numId="14">
    <w:abstractNumId w:val="39"/>
  </w:num>
  <w:num w:numId="15">
    <w:abstractNumId w:val="31"/>
  </w:num>
  <w:num w:numId="16">
    <w:abstractNumId w:val="2"/>
  </w:num>
  <w:num w:numId="17">
    <w:abstractNumId w:val="17"/>
  </w:num>
  <w:num w:numId="18">
    <w:abstractNumId w:val="12"/>
  </w:num>
  <w:num w:numId="19">
    <w:abstractNumId w:val="28"/>
  </w:num>
  <w:num w:numId="20">
    <w:abstractNumId w:val="15"/>
  </w:num>
  <w:num w:numId="21">
    <w:abstractNumId w:val="8"/>
  </w:num>
  <w:num w:numId="22">
    <w:abstractNumId w:val="13"/>
  </w:num>
  <w:num w:numId="23">
    <w:abstractNumId w:val="24"/>
  </w:num>
  <w:num w:numId="24">
    <w:abstractNumId w:val="34"/>
  </w:num>
  <w:num w:numId="25">
    <w:abstractNumId w:val="22"/>
  </w:num>
  <w:num w:numId="26">
    <w:abstractNumId w:val="6"/>
  </w:num>
  <w:num w:numId="27">
    <w:abstractNumId w:val="7"/>
  </w:num>
  <w:num w:numId="28">
    <w:abstractNumId w:val="32"/>
  </w:num>
  <w:num w:numId="29">
    <w:abstractNumId w:val="40"/>
  </w:num>
  <w:num w:numId="30">
    <w:abstractNumId w:val="43"/>
  </w:num>
  <w:num w:numId="31">
    <w:abstractNumId w:val="37"/>
  </w:num>
  <w:num w:numId="32">
    <w:abstractNumId w:val="0"/>
    <w:lvlOverride w:ilvl="0">
      <w:startOverride w:val="1"/>
    </w:lvlOverride>
  </w:num>
  <w:num w:numId="33">
    <w:abstractNumId w:val="3"/>
  </w:num>
  <w:num w:numId="34">
    <w:abstractNumId w:val="18"/>
  </w:num>
  <w:num w:numId="35">
    <w:abstractNumId w:val="33"/>
  </w:num>
  <w:num w:numId="36">
    <w:abstractNumId w:val="10"/>
  </w:num>
  <w:num w:numId="37">
    <w:abstractNumId w:val="25"/>
  </w:num>
  <w:num w:numId="38">
    <w:abstractNumId w:val="9"/>
  </w:num>
  <w:num w:numId="39">
    <w:abstractNumId w:val="42"/>
  </w:num>
  <w:num w:numId="40">
    <w:abstractNumId w:val="27"/>
  </w:num>
  <w:num w:numId="41">
    <w:abstractNumId w:val="30"/>
  </w:num>
  <w:num w:numId="42">
    <w:abstractNumId w:val="14"/>
  </w:num>
  <w:num w:numId="43">
    <w:abstractNumId w:val="19"/>
  </w:num>
  <w:num w:numId="44">
    <w:abstractNumId w:val="26"/>
  </w:num>
  <w:num w:numId="45">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65B"/>
    <w:rsid w:val="000010E3"/>
    <w:rsid w:val="000033E4"/>
    <w:rsid w:val="00004AEE"/>
    <w:rsid w:val="00005CAA"/>
    <w:rsid w:val="0000761A"/>
    <w:rsid w:val="00010210"/>
    <w:rsid w:val="00012D66"/>
    <w:rsid w:val="00013268"/>
    <w:rsid w:val="00015ADA"/>
    <w:rsid w:val="00020C99"/>
    <w:rsid w:val="000237B6"/>
    <w:rsid w:val="0002707B"/>
    <w:rsid w:val="000273BA"/>
    <w:rsid w:val="000305D2"/>
    <w:rsid w:val="00035FD4"/>
    <w:rsid w:val="00040FAB"/>
    <w:rsid w:val="00043C7E"/>
    <w:rsid w:val="0005148E"/>
    <w:rsid w:val="0005783A"/>
    <w:rsid w:val="00060173"/>
    <w:rsid w:val="0006066A"/>
    <w:rsid w:val="00072C5A"/>
    <w:rsid w:val="000759E5"/>
    <w:rsid w:val="00080CF6"/>
    <w:rsid w:val="00084AC6"/>
    <w:rsid w:val="00091608"/>
    <w:rsid w:val="0009333C"/>
    <w:rsid w:val="000953D2"/>
    <w:rsid w:val="000955F2"/>
    <w:rsid w:val="000968E2"/>
    <w:rsid w:val="0009704F"/>
    <w:rsid w:val="000A0F11"/>
    <w:rsid w:val="000A125A"/>
    <w:rsid w:val="000A2B9D"/>
    <w:rsid w:val="000A57CD"/>
    <w:rsid w:val="000A759D"/>
    <w:rsid w:val="000B2634"/>
    <w:rsid w:val="000B3758"/>
    <w:rsid w:val="000B3BD8"/>
    <w:rsid w:val="000B4F6F"/>
    <w:rsid w:val="000B60ED"/>
    <w:rsid w:val="000B7681"/>
    <w:rsid w:val="000B7B42"/>
    <w:rsid w:val="000C02B7"/>
    <w:rsid w:val="000C2077"/>
    <w:rsid w:val="000C5100"/>
    <w:rsid w:val="000C5342"/>
    <w:rsid w:val="000C6B55"/>
    <w:rsid w:val="000C6D16"/>
    <w:rsid w:val="000C706A"/>
    <w:rsid w:val="000D2887"/>
    <w:rsid w:val="000D3B5C"/>
    <w:rsid w:val="000D6D63"/>
    <w:rsid w:val="000E0081"/>
    <w:rsid w:val="000E07CF"/>
    <w:rsid w:val="000E1504"/>
    <w:rsid w:val="000E28AD"/>
    <w:rsid w:val="000E31C1"/>
    <w:rsid w:val="000E549D"/>
    <w:rsid w:val="000F2CF2"/>
    <w:rsid w:val="000F3114"/>
    <w:rsid w:val="000F36AA"/>
    <w:rsid w:val="000F782D"/>
    <w:rsid w:val="001006F5"/>
    <w:rsid w:val="00100BEF"/>
    <w:rsid w:val="00106AA0"/>
    <w:rsid w:val="00111326"/>
    <w:rsid w:val="00111BFD"/>
    <w:rsid w:val="001137AD"/>
    <w:rsid w:val="0011498E"/>
    <w:rsid w:val="001167CB"/>
    <w:rsid w:val="00117A45"/>
    <w:rsid w:val="00120665"/>
    <w:rsid w:val="001219D8"/>
    <w:rsid w:val="001224AE"/>
    <w:rsid w:val="0012603C"/>
    <w:rsid w:val="00126A16"/>
    <w:rsid w:val="00127C58"/>
    <w:rsid w:val="001326B6"/>
    <w:rsid w:val="001337D4"/>
    <w:rsid w:val="00134C7B"/>
    <w:rsid w:val="00144823"/>
    <w:rsid w:val="00147C12"/>
    <w:rsid w:val="00151762"/>
    <w:rsid w:val="001527A1"/>
    <w:rsid w:val="001530DC"/>
    <w:rsid w:val="00154989"/>
    <w:rsid w:val="00154A76"/>
    <w:rsid w:val="00154E10"/>
    <w:rsid w:val="00155A9F"/>
    <w:rsid w:val="00160262"/>
    <w:rsid w:val="00164155"/>
    <w:rsid w:val="00164E7C"/>
    <w:rsid w:val="0016780A"/>
    <w:rsid w:val="001713FA"/>
    <w:rsid w:val="00172484"/>
    <w:rsid w:val="00173EBF"/>
    <w:rsid w:val="00175ED3"/>
    <w:rsid w:val="00176246"/>
    <w:rsid w:val="00176CE1"/>
    <w:rsid w:val="00180D1E"/>
    <w:rsid w:val="001842A2"/>
    <w:rsid w:val="001843CC"/>
    <w:rsid w:val="00187BD6"/>
    <w:rsid w:val="00187FA8"/>
    <w:rsid w:val="00191671"/>
    <w:rsid w:val="00192F5E"/>
    <w:rsid w:val="001955CD"/>
    <w:rsid w:val="00197772"/>
    <w:rsid w:val="001A51C8"/>
    <w:rsid w:val="001A5A16"/>
    <w:rsid w:val="001B2F01"/>
    <w:rsid w:val="001B43DC"/>
    <w:rsid w:val="001B4CA8"/>
    <w:rsid w:val="001B5EA1"/>
    <w:rsid w:val="001B5EDC"/>
    <w:rsid w:val="001B7BFB"/>
    <w:rsid w:val="001C4F3D"/>
    <w:rsid w:val="001D0CDC"/>
    <w:rsid w:val="001D1D82"/>
    <w:rsid w:val="001D1EAF"/>
    <w:rsid w:val="001D31A2"/>
    <w:rsid w:val="001E1182"/>
    <w:rsid w:val="001E70D2"/>
    <w:rsid w:val="001F1137"/>
    <w:rsid w:val="00202C90"/>
    <w:rsid w:val="0020445D"/>
    <w:rsid w:val="00205373"/>
    <w:rsid w:val="00207379"/>
    <w:rsid w:val="00213DE8"/>
    <w:rsid w:val="00216118"/>
    <w:rsid w:val="002209AB"/>
    <w:rsid w:val="002237BE"/>
    <w:rsid w:val="002251E3"/>
    <w:rsid w:val="002256C3"/>
    <w:rsid w:val="00227A95"/>
    <w:rsid w:val="002316BD"/>
    <w:rsid w:val="00234DBD"/>
    <w:rsid w:val="002473FC"/>
    <w:rsid w:val="00247569"/>
    <w:rsid w:val="00251F2A"/>
    <w:rsid w:val="00252E3C"/>
    <w:rsid w:val="00260CDF"/>
    <w:rsid w:val="00262198"/>
    <w:rsid w:val="0026354F"/>
    <w:rsid w:val="00266AF3"/>
    <w:rsid w:val="0028144A"/>
    <w:rsid w:val="00285F1B"/>
    <w:rsid w:val="00292B81"/>
    <w:rsid w:val="0029710B"/>
    <w:rsid w:val="0029751A"/>
    <w:rsid w:val="002A0B73"/>
    <w:rsid w:val="002B18AE"/>
    <w:rsid w:val="002B3BBF"/>
    <w:rsid w:val="002C094F"/>
    <w:rsid w:val="002C0E14"/>
    <w:rsid w:val="002C1C93"/>
    <w:rsid w:val="002C5066"/>
    <w:rsid w:val="002C5813"/>
    <w:rsid w:val="002D2B06"/>
    <w:rsid w:val="002D4AAC"/>
    <w:rsid w:val="002D594F"/>
    <w:rsid w:val="002E537E"/>
    <w:rsid w:val="002E5F07"/>
    <w:rsid w:val="002F045A"/>
    <w:rsid w:val="002F09D4"/>
    <w:rsid w:val="002F0B87"/>
    <w:rsid w:val="002F1154"/>
    <w:rsid w:val="002F1D7B"/>
    <w:rsid w:val="002F5AF7"/>
    <w:rsid w:val="0030039D"/>
    <w:rsid w:val="0030326F"/>
    <w:rsid w:val="00310701"/>
    <w:rsid w:val="00312E69"/>
    <w:rsid w:val="0031596E"/>
    <w:rsid w:val="00315980"/>
    <w:rsid w:val="00316F7F"/>
    <w:rsid w:val="00320530"/>
    <w:rsid w:val="003218E8"/>
    <w:rsid w:val="00325E34"/>
    <w:rsid w:val="00330DCE"/>
    <w:rsid w:val="00331E11"/>
    <w:rsid w:val="00332D31"/>
    <w:rsid w:val="00333A6B"/>
    <w:rsid w:val="00334761"/>
    <w:rsid w:val="00337EBC"/>
    <w:rsid w:val="003407E0"/>
    <w:rsid w:val="003416B5"/>
    <w:rsid w:val="00341DCD"/>
    <w:rsid w:val="0034563E"/>
    <w:rsid w:val="0034623B"/>
    <w:rsid w:val="003518D6"/>
    <w:rsid w:val="0035460C"/>
    <w:rsid w:val="00354D33"/>
    <w:rsid w:val="00354DF4"/>
    <w:rsid w:val="003556BD"/>
    <w:rsid w:val="00363CF8"/>
    <w:rsid w:val="00365147"/>
    <w:rsid w:val="00365344"/>
    <w:rsid w:val="00365F93"/>
    <w:rsid w:val="0036622F"/>
    <w:rsid w:val="0037016E"/>
    <w:rsid w:val="00372214"/>
    <w:rsid w:val="00372908"/>
    <w:rsid w:val="0038004B"/>
    <w:rsid w:val="00383020"/>
    <w:rsid w:val="0039325D"/>
    <w:rsid w:val="00394D65"/>
    <w:rsid w:val="00394D7E"/>
    <w:rsid w:val="003975FD"/>
    <w:rsid w:val="003A047E"/>
    <w:rsid w:val="003A38A3"/>
    <w:rsid w:val="003B057D"/>
    <w:rsid w:val="003B60CC"/>
    <w:rsid w:val="003C16E9"/>
    <w:rsid w:val="003C1B25"/>
    <w:rsid w:val="003C2443"/>
    <w:rsid w:val="003C4929"/>
    <w:rsid w:val="003C5DA3"/>
    <w:rsid w:val="003D08A3"/>
    <w:rsid w:val="003D2DB1"/>
    <w:rsid w:val="003D4BCD"/>
    <w:rsid w:val="003D6C2B"/>
    <w:rsid w:val="003E01D8"/>
    <w:rsid w:val="003E2100"/>
    <w:rsid w:val="003E4571"/>
    <w:rsid w:val="003F5351"/>
    <w:rsid w:val="003F65EE"/>
    <w:rsid w:val="003F6F5B"/>
    <w:rsid w:val="00402928"/>
    <w:rsid w:val="0040342D"/>
    <w:rsid w:val="00405B05"/>
    <w:rsid w:val="004116FE"/>
    <w:rsid w:val="0041192D"/>
    <w:rsid w:val="00413EE1"/>
    <w:rsid w:val="0042128E"/>
    <w:rsid w:val="00426667"/>
    <w:rsid w:val="00430ED1"/>
    <w:rsid w:val="00432B60"/>
    <w:rsid w:val="00440698"/>
    <w:rsid w:val="00446EEE"/>
    <w:rsid w:val="004540E2"/>
    <w:rsid w:val="00454454"/>
    <w:rsid w:val="00455F4E"/>
    <w:rsid w:val="00462856"/>
    <w:rsid w:val="00467924"/>
    <w:rsid w:val="004710F4"/>
    <w:rsid w:val="004712A5"/>
    <w:rsid w:val="00472595"/>
    <w:rsid w:val="0047266F"/>
    <w:rsid w:val="00476D6B"/>
    <w:rsid w:val="004830EE"/>
    <w:rsid w:val="00491090"/>
    <w:rsid w:val="00492C16"/>
    <w:rsid w:val="004A0678"/>
    <w:rsid w:val="004A48A3"/>
    <w:rsid w:val="004B0D92"/>
    <w:rsid w:val="004B0EC0"/>
    <w:rsid w:val="004B66F1"/>
    <w:rsid w:val="004C39A8"/>
    <w:rsid w:val="004C3CAC"/>
    <w:rsid w:val="004C3EA0"/>
    <w:rsid w:val="004C40C4"/>
    <w:rsid w:val="004C42AF"/>
    <w:rsid w:val="004C4525"/>
    <w:rsid w:val="004D0F78"/>
    <w:rsid w:val="004D2EE3"/>
    <w:rsid w:val="004D7B56"/>
    <w:rsid w:val="004E3B3D"/>
    <w:rsid w:val="004E7333"/>
    <w:rsid w:val="004F0D66"/>
    <w:rsid w:val="004F7169"/>
    <w:rsid w:val="00500D66"/>
    <w:rsid w:val="00501C06"/>
    <w:rsid w:val="005022B0"/>
    <w:rsid w:val="005037E3"/>
    <w:rsid w:val="005074B6"/>
    <w:rsid w:val="005114B1"/>
    <w:rsid w:val="00514C8E"/>
    <w:rsid w:val="005315CF"/>
    <w:rsid w:val="00531DBF"/>
    <w:rsid w:val="0053640C"/>
    <w:rsid w:val="00541912"/>
    <w:rsid w:val="00545759"/>
    <w:rsid w:val="00545BE0"/>
    <w:rsid w:val="00545D2D"/>
    <w:rsid w:val="00546930"/>
    <w:rsid w:val="00554C6A"/>
    <w:rsid w:val="00562685"/>
    <w:rsid w:val="00562E85"/>
    <w:rsid w:val="0056332F"/>
    <w:rsid w:val="00565272"/>
    <w:rsid w:val="005719B3"/>
    <w:rsid w:val="0057295E"/>
    <w:rsid w:val="00580519"/>
    <w:rsid w:val="00581C39"/>
    <w:rsid w:val="005903B6"/>
    <w:rsid w:val="0059265C"/>
    <w:rsid w:val="005A0247"/>
    <w:rsid w:val="005A126E"/>
    <w:rsid w:val="005A452F"/>
    <w:rsid w:val="005A66B5"/>
    <w:rsid w:val="005A680D"/>
    <w:rsid w:val="005B140D"/>
    <w:rsid w:val="005C1FEA"/>
    <w:rsid w:val="005C3495"/>
    <w:rsid w:val="005E3DFC"/>
    <w:rsid w:val="005E5942"/>
    <w:rsid w:val="005E60AF"/>
    <w:rsid w:val="005E6C81"/>
    <w:rsid w:val="005F1818"/>
    <w:rsid w:val="005F1DEA"/>
    <w:rsid w:val="005F4D7A"/>
    <w:rsid w:val="005F6A46"/>
    <w:rsid w:val="00601447"/>
    <w:rsid w:val="00606972"/>
    <w:rsid w:val="00607FC9"/>
    <w:rsid w:val="006137B1"/>
    <w:rsid w:val="00615BAC"/>
    <w:rsid w:val="00616375"/>
    <w:rsid w:val="00616E05"/>
    <w:rsid w:val="00622FE1"/>
    <w:rsid w:val="0062521C"/>
    <w:rsid w:val="00625455"/>
    <w:rsid w:val="00630A2B"/>
    <w:rsid w:val="00632DC7"/>
    <w:rsid w:val="006340E3"/>
    <w:rsid w:val="00634D8B"/>
    <w:rsid w:val="006357FB"/>
    <w:rsid w:val="006406FC"/>
    <w:rsid w:val="0064096B"/>
    <w:rsid w:val="00640E57"/>
    <w:rsid w:val="00641C1F"/>
    <w:rsid w:val="00645C89"/>
    <w:rsid w:val="00646122"/>
    <w:rsid w:val="00653E16"/>
    <w:rsid w:val="00657220"/>
    <w:rsid w:val="00657362"/>
    <w:rsid w:val="0066104B"/>
    <w:rsid w:val="00662339"/>
    <w:rsid w:val="00662CA2"/>
    <w:rsid w:val="00664725"/>
    <w:rsid w:val="006655EE"/>
    <w:rsid w:val="00666592"/>
    <w:rsid w:val="00667C10"/>
    <w:rsid w:val="00667EF4"/>
    <w:rsid w:val="0067066D"/>
    <w:rsid w:val="00670D99"/>
    <w:rsid w:val="00676FCA"/>
    <w:rsid w:val="00677177"/>
    <w:rsid w:val="0068612E"/>
    <w:rsid w:val="00687C92"/>
    <w:rsid w:val="0069534E"/>
    <w:rsid w:val="0069669C"/>
    <w:rsid w:val="006A1200"/>
    <w:rsid w:val="006A32D6"/>
    <w:rsid w:val="006A4F4E"/>
    <w:rsid w:val="006A6C23"/>
    <w:rsid w:val="006A72FA"/>
    <w:rsid w:val="006B14DB"/>
    <w:rsid w:val="006B21C4"/>
    <w:rsid w:val="006B48C9"/>
    <w:rsid w:val="006C0AB7"/>
    <w:rsid w:val="006C4A1A"/>
    <w:rsid w:val="006C6D5B"/>
    <w:rsid w:val="006D0393"/>
    <w:rsid w:val="006D1A83"/>
    <w:rsid w:val="006E1CFE"/>
    <w:rsid w:val="006E3830"/>
    <w:rsid w:val="006E49CB"/>
    <w:rsid w:val="006F10C4"/>
    <w:rsid w:val="006F40E9"/>
    <w:rsid w:val="006F5603"/>
    <w:rsid w:val="006F7B87"/>
    <w:rsid w:val="00701400"/>
    <w:rsid w:val="007037CF"/>
    <w:rsid w:val="00710668"/>
    <w:rsid w:val="00712130"/>
    <w:rsid w:val="00714D9E"/>
    <w:rsid w:val="007161FD"/>
    <w:rsid w:val="007167C0"/>
    <w:rsid w:val="00720481"/>
    <w:rsid w:val="0072474B"/>
    <w:rsid w:val="00732F9E"/>
    <w:rsid w:val="00733193"/>
    <w:rsid w:val="007340D8"/>
    <w:rsid w:val="00735271"/>
    <w:rsid w:val="007430E0"/>
    <w:rsid w:val="00744DDA"/>
    <w:rsid w:val="00745E03"/>
    <w:rsid w:val="00746419"/>
    <w:rsid w:val="00747B21"/>
    <w:rsid w:val="007521CC"/>
    <w:rsid w:val="007561F5"/>
    <w:rsid w:val="0075732A"/>
    <w:rsid w:val="007600F8"/>
    <w:rsid w:val="00760262"/>
    <w:rsid w:val="0076310C"/>
    <w:rsid w:val="00765042"/>
    <w:rsid w:val="0076744F"/>
    <w:rsid w:val="00767BCE"/>
    <w:rsid w:val="00767EFC"/>
    <w:rsid w:val="007707DE"/>
    <w:rsid w:val="00770B5D"/>
    <w:rsid w:val="00771F03"/>
    <w:rsid w:val="00774AA6"/>
    <w:rsid w:val="007752F1"/>
    <w:rsid w:val="00776768"/>
    <w:rsid w:val="007777A6"/>
    <w:rsid w:val="0078187A"/>
    <w:rsid w:val="00781D29"/>
    <w:rsid w:val="00785FFD"/>
    <w:rsid w:val="00794ED8"/>
    <w:rsid w:val="007A2573"/>
    <w:rsid w:val="007A4476"/>
    <w:rsid w:val="007B106C"/>
    <w:rsid w:val="007B1A4E"/>
    <w:rsid w:val="007B3D05"/>
    <w:rsid w:val="007B5503"/>
    <w:rsid w:val="007B63C6"/>
    <w:rsid w:val="007C179C"/>
    <w:rsid w:val="007C21E3"/>
    <w:rsid w:val="007C3FD1"/>
    <w:rsid w:val="007C54F8"/>
    <w:rsid w:val="007C6BB3"/>
    <w:rsid w:val="007C6D7C"/>
    <w:rsid w:val="007D14B4"/>
    <w:rsid w:val="007D34DD"/>
    <w:rsid w:val="007D3AD7"/>
    <w:rsid w:val="007D5E48"/>
    <w:rsid w:val="007E24F6"/>
    <w:rsid w:val="007E6086"/>
    <w:rsid w:val="007F0605"/>
    <w:rsid w:val="007F728A"/>
    <w:rsid w:val="00800F64"/>
    <w:rsid w:val="00801050"/>
    <w:rsid w:val="00801EBD"/>
    <w:rsid w:val="00802133"/>
    <w:rsid w:val="00802F0B"/>
    <w:rsid w:val="00803690"/>
    <w:rsid w:val="00805BF6"/>
    <w:rsid w:val="00810A67"/>
    <w:rsid w:val="00810CFF"/>
    <w:rsid w:val="008202AA"/>
    <w:rsid w:val="00820A44"/>
    <w:rsid w:val="00821138"/>
    <w:rsid w:val="0082794B"/>
    <w:rsid w:val="00827F20"/>
    <w:rsid w:val="00833CF7"/>
    <w:rsid w:val="00834CDE"/>
    <w:rsid w:val="008403C4"/>
    <w:rsid w:val="00842464"/>
    <w:rsid w:val="0084431D"/>
    <w:rsid w:val="00844C31"/>
    <w:rsid w:val="00845601"/>
    <w:rsid w:val="008463AF"/>
    <w:rsid w:val="00855C5C"/>
    <w:rsid w:val="00860544"/>
    <w:rsid w:val="008606B4"/>
    <w:rsid w:val="00861B24"/>
    <w:rsid w:val="008679B5"/>
    <w:rsid w:val="00872577"/>
    <w:rsid w:val="0087297E"/>
    <w:rsid w:val="00873312"/>
    <w:rsid w:val="008929D4"/>
    <w:rsid w:val="00892D56"/>
    <w:rsid w:val="008A0759"/>
    <w:rsid w:val="008A3C96"/>
    <w:rsid w:val="008B2A7A"/>
    <w:rsid w:val="008B4019"/>
    <w:rsid w:val="008B65C9"/>
    <w:rsid w:val="008C232C"/>
    <w:rsid w:val="008C2D4A"/>
    <w:rsid w:val="008C758F"/>
    <w:rsid w:val="008D3900"/>
    <w:rsid w:val="008D3B45"/>
    <w:rsid w:val="008D6E1D"/>
    <w:rsid w:val="008E1084"/>
    <w:rsid w:val="008E3774"/>
    <w:rsid w:val="008E646F"/>
    <w:rsid w:val="008E680F"/>
    <w:rsid w:val="008E6A62"/>
    <w:rsid w:val="008F39B4"/>
    <w:rsid w:val="008F4162"/>
    <w:rsid w:val="008F6ABF"/>
    <w:rsid w:val="00903E02"/>
    <w:rsid w:val="00905260"/>
    <w:rsid w:val="009064D3"/>
    <w:rsid w:val="009066F6"/>
    <w:rsid w:val="00911087"/>
    <w:rsid w:val="00911A6D"/>
    <w:rsid w:val="00911E70"/>
    <w:rsid w:val="00912B5C"/>
    <w:rsid w:val="00913175"/>
    <w:rsid w:val="00916E4E"/>
    <w:rsid w:val="00916EDB"/>
    <w:rsid w:val="00920197"/>
    <w:rsid w:val="0092066F"/>
    <w:rsid w:val="00920861"/>
    <w:rsid w:val="00922B13"/>
    <w:rsid w:val="009242EF"/>
    <w:rsid w:val="00932291"/>
    <w:rsid w:val="00932861"/>
    <w:rsid w:val="00933353"/>
    <w:rsid w:val="0093408E"/>
    <w:rsid w:val="009449B4"/>
    <w:rsid w:val="00952DDF"/>
    <w:rsid w:val="0095505B"/>
    <w:rsid w:val="00955EA3"/>
    <w:rsid w:val="00956287"/>
    <w:rsid w:val="009610A3"/>
    <w:rsid w:val="00963B6A"/>
    <w:rsid w:val="009640AE"/>
    <w:rsid w:val="00965E81"/>
    <w:rsid w:val="00970950"/>
    <w:rsid w:val="00971D30"/>
    <w:rsid w:val="00977BF3"/>
    <w:rsid w:val="00981010"/>
    <w:rsid w:val="009812D4"/>
    <w:rsid w:val="0098723E"/>
    <w:rsid w:val="009920D8"/>
    <w:rsid w:val="009952F5"/>
    <w:rsid w:val="00997E90"/>
    <w:rsid w:val="009A036D"/>
    <w:rsid w:val="009A2060"/>
    <w:rsid w:val="009B38BE"/>
    <w:rsid w:val="009C1FC1"/>
    <w:rsid w:val="009C3D0F"/>
    <w:rsid w:val="009E1B19"/>
    <w:rsid w:val="009F0019"/>
    <w:rsid w:val="009F2A9B"/>
    <w:rsid w:val="009F35E2"/>
    <w:rsid w:val="009F5146"/>
    <w:rsid w:val="009F65F9"/>
    <w:rsid w:val="009F68BA"/>
    <w:rsid w:val="00A0416F"/>
    <w:rsid w:val="00A06277"/>
    <w:rsid w:val="00A079DC"/>
    <w:rsid w:val="00A111C2"/>
    <w:rsid w:val="00A2710C"/>
    <w:rsid w:val="00A338E7"/>
    <w:rsid w:val="00A35CAA"/>
    <w:rsid w:val="00A36E7F"/>
    <w:rsid w:val="00A4095D"/>
    <w:rsid w:val="00A41E65"/>
    <w:rsid w:val="00A43E0A"/>
    <w:rsid w:val="00A50A81"/>
    <w:rsid w:val="00A530C7"/>
    <w:rsid w:val="00A55F5B"/>
    <w:rsid w:val="00A578D9"/>
    <w:rsid w:val="00A60185"/>
    <w:rsid w:val="00A65966"/>
    <w:rsid w:val="00A661EA"/>
    <w:rsid w:val="00A74789"/>
    <w:rsid w:val="00A77983"/>
    <w:rsid w:val="00A830E5"/>
    <w:rsid w:val="00A87135"/>
    <w:rsid w:val="00A90B96"/>
    <w:rsid w:val="00A93280"/>
    <w:rsid w:val="00A951EA"/>
    <w:rsid w:val="00AA2548"/>
    <w:rsid w:val="00AA27F9"/>
    <w:rsid w:val="00AA311E"/>
    <w:rsid w:val="00AA58C4"/>
    <w:rsid w:val="00AA6BB6"/>
    <w:rsid w:val="00AA7003"/>
    <w:rsid w:val="00AB11C8"/>
    <w:rsid w:val="00AB4423"/>
    <w:rsid w:val="00AC0090"/>
    <w:rsid w:val="00AC08A8"/>
    <w:rsid w:val="00AC1614"/>
    <w:rsid w:val="00AC467B"/>
    <w:rsid w:val="00AD56C8"/>
    <w:rsid w:val="00AD58F2"/>
    <w:rsid w:val="00AE630F"/>
    <w:rsid w:val="00AF3141"/>
    <w:rsid w:val="00B033A8"/>
    <w:rsid w:val="00B0512A"/>
    <w:rsid w:val="00B0529F"/>
    <w:rsid w:val="00B1418B"/>
    <w:rsid w:val="00B16E10"/>
    <w:rsid w:val="00B21195"/>
    <w:rsid w:val="00B21A2F"/>
    <w:rsid w:val="00B21C46"/>
    <w:rsid w:val="00B24B22"/>
    <w:rsid w:val="00B25310"/>
    <w:rsid w:val="00B32F8F"/>
    <w:rsid w:val="00B3492A"/>
    <w:rsid w:val="00B37DB3"/>
    <w:rsid w:val="00B40489"/>
    <w:rsid w:val="00B4742E"/>
    <w:rsid w:val="00B54DE9"/>
    <w:rsid w:val="00B553EC"/>
    <w:rsid w:val="00B55E3F"/>
    <w:rsid w:val="00B6012C"/>
    <w:rsid w:val="00B63C1E"/>
    <w:rsid w:val="00B71F60"/>
    <w:rsid w:val="00B7680C"/>
    <w:rsid w:val="00B873D1"/>
    <w:rsid w:val="00B93DD0"/>
    <w:rsid w:val="00B97732"/>
    <w:rsid w:val="00BA1B16"/>
    <w:rsid w:val="00BA1D36"/>
    <w:rsid w:val="00BA57D9"/>
    <w:rsid w:val="00BA65A8"/>
    <w:rsid w:val="00BA6D19"/>
    <w:rsid w:val="00BA7461"/>
    <w:rsid w:val="00BA7A53"/>
    <w:rsid w:val="00BA7DA9"/>
    <w:rsid w:val="00BC4215"/>
    <w:rsid w:val="00BD1A6F"/>
    <w:rsid w:val="00BD5070"/>
    <w:rsid w:val="00BE051B"/>
    <w:rsid w:val="00BE0F48"/>
    <w:rsid w:val="00BE663D"/>
    <w:rsid w:val="00BE6D3C"/>
    <w:rsid w:val="00BE73B1"/>
    <w:rsid w:val="00BE7852"/>
    <w:rsid w:val="00BF15D4"/>
    <w:rsid w:val="00BF7CEE"/>
    <w:rsid w:val="00C03880"/>
    <w:rsid w:val="00C05173"/>
    <w:rsid w:val="00C0693F"/>
    <w:rsid w:val="00C135CF"/>
    <w:rsid w:val="00C20087"/>
    <w:rsid w:val="00C2374D"/>
    <w:rsid w:val="00C24979"/>
    <w:rsid w:val="00C2683F"/>
    <w:rsid w:val="00C27A47"/>
    <w:rsid w:val="00C3184D"/>
    <w:rsid w:val="00C31FA1"/>
    <w:rsid w:val="00C33408"/>
    <w:rsid w:val="00C36678"/>
    <w:rsid w:val="00C372B1"/>
    <w:rsid w:val="00C4714E"/>
    <w:rsid w:val="00C50AC2"/>
    <w:rsid w:val="00C51CCA"/>
    <w:rsid w:val="00C538E4"/>
    <w:rsid w:val="00C5446D"/>
    <w:rsid w:val="00C5504F"/>
    <w:rsid w:val="00C57B55"/>
    <w:rsid w:val="00C63376"/>
    <w:rsid w:val="00C67AFA"/>
    <w:rsid w:val="00C74F97"/>
    <w:rsid w:val="00C8276E"/>
    <w:rsid w:val="00C842AC"/>
    <w:rsid w:val="00C86CCB"/>
    <w:rsid w:val="00C91F9F"/>
    <w:rsid w:val="00C946CC"/>
    <w:rsid w:val="00C96688"/>
    <w:rsid w:val="00CA01BD"/>
    <w:rsid w:val="00CA0723"/>
    <w:rsid w:val="00CB1690"/>
    <w:rsid w:val="00CB2567"/>
    <w:rsid w:val="00CB2D7F"/>
    <w:rsid w:val="00CC0E44"/>
    <w:rsid w:val="00CC1B41"/>
    <w:rsid w:val="00CC4365"/>
    <w:rsid w:val="00CD11B0"/>
    <w:rsid w:val="00CD2D9F"/>
    <w:rsid w:val="00CE5C2A"/>
    <w:rsid w:val="00CE6B07"/>
    <w:rsid w:val="00CE71C2"/>
    <w:rsid w:val="00CF34E9"/>
    <w:rsid w:val="00CF42D5"/>
    <w:rsid w:val="00CF4EDA"/>
    <w:rsid w:val="00CF7B39"/>
    <w:rsid w:val="00D00C8A"/>
    <w:rsid w:val="00D021CB"/>
    <w:rsid w:val="00D10F1A"/>
    <w:rsid w:val="00D116F8"/>
    <w:rsid w:val="00D134FB"/>
    <w:rsid w:val="00D14D44"/>
    <w:rsid w:val="00D16C5F"/>
    <w:rsid w:val="00D17596"/>
    <w:rsid w:val="00D21D54"/>
    <w:rsid w:val="00D22640"/>
    <w:rsid w:val="00D2475A"/>
    <w:rsid w:val="00D26D3A"/>
    <w:rsid w:val="00D42EE3"/>
    <w:rsid w:val="00D45EE3"/>
    <w:rsid w:val="00D50618"/>
    <w:rsid w:val="00D509E9"/>
    <w:rsid w:val="00D52C7B"/>
    <w:rsid w:val="00D533A5"/>
    <w:rsid w:val="00D53B1C"/>
    <w:rsid w:val="00D570B0"/>
    <w:rsid w:val="00D62FF0"/>
    <w:rsid w:val="00D65C78"/>
    <w:rsid w:val="00D83BD1"/>
    <w:rsid w:val="00DA1B12"/>
    <w:rsid w:val="00DA54C9"/>
    <w:rsid w:val="00DA6739"/>
    <w:rsid w:val="00DA6B35"/>
    <w:rsid w:val="00DA6CAE"/>
    <w:rsid w:val="00DB1A9E"/>
    <w:rsid w:val="00DB31D6"/>
    <w:rsid w:val="00DB4005"/>
    <w:rsid w:val="00DB6145"/>
    <w:rsid w:val="00DC1229"/>
    <w:rsid w:val="00DC34EB"/>
    <w:rsid w:val="00DC6D74"/>
    <w:rsid w:val="00DD0FF3"/>
    <w:rsid w:val="00DD7A6B"/>
    <w:rsid w:val="00DF1E5B"/>
    <w:rsid w:val="00DF2275"/>
    <w:rsid w:val="00DF2B4E"/>
    <w:rsid w:val="00DF3F5E"/>
    <w:rsid w:val="00DF3F9E"/>
    <w:rsid w:val="00DF5653"/>
    <w:rsid w:val="00DF5905"/>
    <w:rsid w:val="00E0046F"/>
    <w:rsid w:val="00E01784"/>
    <w:rsid w:val="00E03D6A"/>
    <w:rsid w:val="00E0596E"/>
    <w:rsid w:val="00E064A5"/>
    <w:rsid w:val="00E06F66"/>
    <w:rsid w:val="00E07AB7"/>
    <w:rsid w:val="00E15570"/>
    <w:rsid w:val="00E20BEC"/>
    <w:rsid w:val="00E22088"/>
    <w:rsid w:val="00E23EFC"/>
    <w:rsid w:val="00E35502"/>
    <w:rsid w:val="00E356E5"/>
    <w:rsid w:val="00E36F81"/>
    <w:rsid w:val="00E45765"/>
    <w:rsid w:val="00E46ACE"/>
    <w:rsid w:val="00E5043D"/>
    <w:rsid w:val="00E5098C"/>
    <w:rsid w:val="00E53632"/>
    <w:rsid w:val="00E55267"/>
    <w:rsid w:val="00E55AB5"/>
    <w:rsid w:val="00E60213"/>
    <w:rsid w:val="00E63325"/>
    <w:rsid w:val="00E635FD"/>
    <w:rsid w:val="00E645EB"/>
    <w:rsid w:val="00E661B2"/>
    <w:rsid w:val="00E70606"/>
    <w:rsid w:val="00E74D29"/>
    <w:rsid w:val="00E83C74"/>
    <w:rsid w:val="00E83CEE"/>
    <w:rsid w:val="00E8763B"/>
    <w:rsid w:val="00E91F18"/>
    <w:rsid w:val="00E9226D"/>
    <w:rsid w:val="00E93893"/>
    <w:rsid w:val="00E963E6"/>
    <w:rsid w:val="00E97925"/>
    <w:rsid w:val="00EA15F5"/>
    <w:rsid w:val="00EA416C"/>
    <w:rsid w:val="00EA48C9"/>
    <w:rsid w:val="00EA5941"/>
    <w:rsid w:val="00EB320A"/>
    <w:rsid w:val="00EB389F"/>
    <w:rsid w:val="00EB457E"/>
    <w:rsid w:val="00EB60CE"/>
    <w:rsid w:val="00EB78F9"/>
    <w:rsid w:val="00EB7D53"/>
    <w:rsid w:val="00EC393E"/>
    <w:rsid w:val="00EE3146"/>
    <w:rsid w:val="00EE516F"/>
    <w:rsid w:val="00EF50BB"/>
    <w:rsid w:val="00EF53FF"/>
    <w:rsid w:val="00F00192"/>
    <w:rsid w:val="00F01DF6"/>
    <w:rsid w:val="00F0340D"/>
    <w:rsid w:val="00F059A6"/>
    <w:rsid w:val="00F05F3A"/>
    <w:rsid w:val="00F14829"/>
    <w:rsid w:val="00F163AD"/>
    <w:rsid w:val="00F16689"/>
    <w:rsid w:val="00F17EAC"/>
    <w:rsid w:val="00F23756"/>
    <w:rsid w:val="00F2523A"/>
    <w:rsid w:val="00F25FFA"/>
    <w:rsid w:val="00F310D2"/>
    <w:rsid w:val="00F3155A"/>
    <w:rsid w:val="00F34FAB"/>
    <w:rsid w:val="00F36840"/>
    <w:rsid w:val="00F36F3D"/>
    <w:rsid w:val="00F4533A"/>
    <w:rsid w:val="00F477BD"/>
    <w:rsid w:val="00F53491"/>
    <w:rsid w:val="00F54362"/>
    <w:rsid w:val="00F62968"/>
    <w:rsid w:val="00F64D6E"/>
    <w:rsid w:val="00F65A1C"/>
    <w:rsid w:val="00F66F50"/>
    <w:rsid w:val="00F74590"/>
    <w:rsid w:val="00F80F29"/>
    <w:rsid w:val="00F82FF8"/>
    <w:rsid w:val="00F8330D"/>
    <w:rsid w:val="00F84305"/>
    <w:rsid w:val="00F8485C"/>
    <w:rsid w:val="00F87149"/>
    <w:rsid w:val="00F87FFE"/>
    <w:rsid w:val="00F954C9"/>
    <w:rsid w:val="00F96FBA"/>
    <w:rsid w:val="00FA405F"/>
    <w:rsid w:val="00FA4CF0"/>
    <w:rsid w:val="00FA5E16"/>
    <w:rsid w:val="00FA5E45"/>
    <w:rsid w:val="00FA61AA"/>
    <w:rsid w:val="00FA69A4"/>
    <w:rsid w:val="00FB0BBB"/>
    <w:rsid w:val="00FB1279"/>
    <w:rsid w:val="00FB1495"/>
    <w:rsid w:val="00FB471D"/>
    <w:rsid w:val="00FC3451"/>
    <w:rsid w:val="00FD1694"/>
    <w:rsid w:val="00FD7636"/>
    <w:rsid w:val="00FD76A3"/>
    <w:rsid w:val="00FE121C"/>
    <w:rsid w:val="00FE2F77"/>
    <w:rsid w:val="00FE3229"/>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D8A2DAA"/>
  <w15:docId w15:val="{CEE02242-830E-49DB-836E-88AF35CE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AF7"/>
    <w:pPr>
      <w:spacing w:before="60" w:after="60"/>
    </w:pPr>
    <w:rPr>
      <w:rFonts w:cs="Arial"/>
      <w:sz w:val="18"/>
      <w:szCs w:val="18"/>
      <w:lang w:eastAsia="en-US"/>
    </w:rPr>
  </w:style>
  <w:style w:type="paragraph" w:styleId="Heading1">
    <w:name w:val="heading 1"/>
    <w:basedOn w:val="Normal"/>
    <w:next w:val="Normal"/>
    <w:link w:val="Heading1Char"/>
    <w:qFormat/>
    <w:rsid w:val="00144823"/>
    <w:pPr>
      <w:keepNext/>
      <w:spacing w:before="0" w:after="200" w:line="276" w:lineRule="auto"/>
      <w:outlineLvl w:val="0"/>
    </w:pPr>
    <w:rPr>
      <w:b/>
      <w:caps/>
      <w:sz w:val="22"/>
      <w:szCs w:val="22"/>
    </w:rPr>
  </w:style>
  <w:style w:type="paragraph" w:styleId="Heading2">
    <w:name w:val="heading 2"/>
    <w:basedOn w:val="Normal"/>
    <w:next w:val="Normal"/>
    <w:link w:val="Heading2Char"/>
    <w:uiPriority w:val="9"/>
    <w:qFormat/>
    <w:rsid w:val="00AE630F"/>
    <w:pPr>
      <w:outlineLvl w:val="1"/>
    </w:pPr>
    <w:rPr>
      <w:b/>
      <w:sz w:val="22"/>
      <w:szCs w:val="22"/>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5">
    <w:name w:val="heading 5"/>
    <w:basedOn w:val="Normal"/>
    <w:next w:val="Normal"/>
    <w:link w:val="Heading5Char"/>
    <w:uiPriority w:val="9"/>
    <w:unhideWhenUsed/>
    <w:rsid w:val="000E1504"/>
    <w:pPr>
      <w:keepNext/>
      <w:spacing w:after="0"/>
      <w:outlineLvl w:val="4"/>
    </w:pPr>
    <w:rPr>
      <w:u w:val="single"/>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F5AF7"/>
    <w:pPr>
      <w:pBdr>
        <w:bottom w:val="single" w:sz="4" w:space="1" w:color="auto"/>
      </w:pBdr>
      <w:tabs>
        <w:tab w:val="center" w:pos="4513"/>
        <w:tab w:val="right" w:pos="9026"/>
      </w:tabs>
      <w:spacing w:after="120"/>
      <w:jc w:val="right"/>
    </w:pPr>
    <w:rPr>
      <w:sz w:val="16"/>
    </w:rPr>
  </w:style>
  <w:style w:type="character" w:customStyle="1" w:styleId="HeaderChar">
    <w:name w:val="Header Char"/>
    <w:basedOn w:val="DefaultParagraphFont"/>
    <w:link w:val="Header"/>
    <w:rsid w:val="002F5AF7"/>
    <w:rPr>
      <w:rFonts w:cs="Arial"/>
      <w:sz w:val="16"/>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144823"/>
    <w:rPr>
      <w:rFonts w:cs="Arial"/>
      <w:b/>
      <w:caps/>
      <w:sz w:val="22"/>
      <w:szCs w:val="22"/>
      <w:lang w:eastAsia="en-US"/>
    </w:rPr>
  </w:style>
  <w:style w:type="character" w:customStyle="1" w:styleId="Heading2Char">
    <w:name w:val="Heading 2 Char"/>
    <w:basedOn w:val="DefaultParagraphFont"/>
    <w:link w:val="Heading2"/>
    <w:uiPriority w:val="9"/>
    <w:rsid w:val="00AE630F"/>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666592"/>
    <w:pPr>
      <w:numPr>
        <w:numId w:val="35"/>
      </w:numPr>
      <w:ind w:left="357" w:hanging="357"/>
    </w:pPr>
    <w:rPr>
      <w:sz w:val="20"/>
      <w:szCs w:val="20"/>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E53632"/>
    <w:pPr>
      <w:ind w:left="357" w:hanging="357"/>
    </w:pPr>
    <w:rPr>
      <w:sz w:val="20"/>
      <w:szCs w:val="20"/>
    </w:rPr>
  </w:style>
  <w:style w:type="paragraph" w:styleId="ListNumber2">
    <w:name w:val="List Number 2"/>
    <w:basedOn w:val="Normal"/>
    <w:uiPriority w:val="99"/>
    <w:rsid w:val="00E53632"/>
    <w:pPr>
      <w:ind w:left="555" w:hanging="357"/>
    </w:pPr>
    <w:rPr>
      <w:sz w:val="20"/>
      <w:szCs w:val="20"/>
    </w:rPr>
  </w:style>
  <w:style w:type="paragraph" w:styleId="ListNumber3">
    <w:name w:val="List Number 3"/>
    <w:basedOn w:val="Normal"/>
    <w:uiPriority w:val="99"/>
    <w:rsid w:val="00E53632"/>
    <w:pPr>
      <w:ind w:left="714" w:hanging="357"/>
    </w:pPr>
    <w:rPr>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szCs w:val="20"/>
    </w:rPr>
  </w:style>
  <w:style w:type="paragraph" w:styleId="BodyText2">
    <w:name w:val="Body Text 2"/>
    <w:basedOn w:val="Normal"/>
    <w:link w:val="BodyText2Char"/>
    <w:rsid w:val="00634D8B"/>
    <w:rPr>
      <w:b/>
      <w:sz w:val="20"/>
      <w:szCs w:val="20"/>
    </w:rPr>
  </w:style>
  <w:style w:type="character" w:customStyle="1" w:styleId="BodyText2Char">
    <w:name w:val="Body Text 2 Char"/>
    <w:basedOn w:val="DefaultParagraphFont"/>
    <w:link w:val="BodyText2"/>
    <w:rsid w:val="00634D8B"/>
    <w:rPr>
      <w:rFonts w:cs="Arial"/>
      <w:b/>
      <w:lang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customStyle="1" w:styleId="ListParagraphChar">
    <w:name w:val="List Paragraph Char"/>
    <w:link w:val="ListParagraph"/>
    <w:uiPriority w:val="34"/>
    <w:rsid w:val="009C1FC1"/>
    <w:rPr>
      <w:rFonts w:cs="Arial"/>
      <w:sz w:val="18"/>
      <w:szCs w:val="18"/>
      <w:lang w:eastAsia="en-U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176CE1"/>
    <w:rPr>
      <w:bC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rsid w:val="000E1504"/>
    <w:rPr>
      <w:rFonts w:cs="Arial"/>
      <w:sz w:val="18"/>
      <w:szCs w:val="18"/>
      <w:u w:val="single"/>
      <w:lang w:eastAsia="en-US"/>
    </w:rPr>
  </w:style>
  <w:style w:type="paragraph" w:styleId="Revision">
    <w:name w:val="Revision"/>
    <w:hidden/>
    <w:uiPriority w:val="99"/>
    <w:semiHidden/>
    <w:rsid w:val="00E645EB"/>
    <w:rPr>
      <w:sz w:val="22"/>
      <w:szCs w:val="22"/>
      <w:lang w:eastAsia="en-US"/>
    </w:rPr>
  </w:style>
  <w:style w:type="paragraph" w:styleId="Title">
    <w:name w:val="Title"/>
    <w:basedOn w:val="Normal"/>
    <w:next w:val="Normal"/>
    <w:link w:val="TitleChar"/>
    <w:uiPriority w:val="10"/>
    <w:qFormat/>
    <w:rsid w:val="00A74789"/>
    <w:pPr>
      <w:spacing w:after="0"/>
      <w:jc w:val="center"/>
    </w:pPr>
    <w:rPr>
      <w:b/>
      <w:sz w:val="24"/>
      <w:szCs w:val="24"/>
    </w:rPr>
  </w:style>
  <w:style w:type="character" w:customStyle="1" w:styleId="TitleChar">
    <w:name w:val="Title Char"/>
    <w:basedOn w:val="DefaultParagraphFont"/>
    <w:link w:val="Title"/>
    <w:uiPriority w:val="10"/>
    <w:rsid w:val="00A74789"/>
    <w:rPr>
      <w:rFonts w:cs="Arial"/>
      <w:b/>
      <w:sz w:val="24"/>
      <w:szCs w:val="24"/>
      <w:lang w:eastAsia="en-US"/>
    </w:rPr>
  </w:style>
  <w:style w:type="character" w:styleId="FollowedHyperlink">
    <w:name w:val="FollowedHyperlink"/>
    <w:basedOn w:val="DefaultParagraphFont"/>
    <w:uiPriority w:val="99"/>
    <w:semiHidden/>
    <w:unhideWhenUsed/>
    <w:rsid w:val="001D31A2"/>
    <w:rPr>
      <w:color w:val="800080" w:themeColor="followedHyperlink"/>
      <w:u w:val="single"/>
    </w:rPr>
  </w:style>
  <w:style w:type="paragraph" w:styleId="TOC2">
    <w:name w:val="toc 2"/>
    <w:basedOn w:val="Normal"/>
    <w:next w:val="Normal"/>
    <w:autoRedefine/>
    <w:uiPriority w:val="39"/>
    <w:unhideWhenUsed/>
    <w:rsid w:val="00E22088"/>
    <w:pPr>
      <w:spacing w:after="100"/>
      <w:ind w:left="180"/>
    </w:pPr>
  </w:style>
  <w:style w:type="paragraph" w:customStyle="1" w:styleId="Stylea">
    <w:name w:val="Style (a)"/>
    <w:basedOn w:val="Normal"/>
    <w:qFormat/>
    <w:rsid w:val="004D0F78"/>
    <w:pPr>
      <w:numPr>
        <w:numId w:val="39"/>
      </w:numPr>
      <w:spacing w:before="0" w:after="0"/>
      <w:ind w:left="714" w:hanging="357"/>
    </w:pPr>
    <w:rPr>
      <w:rFonts w:ascii="Times New Roman" w:eastAsia="Times New Roman" w:hAnsi="Times New Roman" w:cs="Times New Roman"/>
      <w:snapToGrid w:val="0"/>
      <w:color w:val="FF0000"/>
      <w:sz w:val="24"/>
      <w:szCs w:val="24"/>
    </w:rPr>
  </w:style>
  <w:style w:type="character" w:styleId="Emphasis">
    <w:name w:val="Emphasis"/>
    <w:basedOn w:val="DefaultParagraphFont"/>
    <w:qFormat/>
    <w:rsid w:val="003A04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D28D9894.dotm</Template>
  <TotalTime>0</TotalTime>
  <Pages>17</Pages>
  <Words>5480</Words>
  <Characters>31242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theTake of Gould’s Squid in the Tasmanian Scalefish Fishery</dc:title>
  <dc:creator>Department of the Environment and Energy</dc:creator>
  <cp:lastModifiedBy>Durack, Bec</cp:lastModifiedBy>
  <cp:revision>2</cp:revision>
  <dcterms:created xsi:type="dcterms:W3CDTF">2018-07-27T05:33:00Z</dcterms:created>
  <dcterms:modified xsi:type="dcterms:W3CDTF">2018-07-27T05:33:00Z</dcterms:modified>
</cp:coreProperties>
</file>