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3"/>
      <w:bookmarkStart w:id="1" w:name="OLE_LINK4"/>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F37689" w:rsidP="00860E65">
      <w:pPr>
        <w:pStyle w:val="Title"/>
        <w:rPr>
          <w:rFonts w:ascii="Arial" w:hAnsi="Arial" w:cs="Arial"/>
          <w:sz w:val="24"/>
          <w:szCs w:val="24"/>
          <w:lang w:val="en-US"/>
        </w:rPr>
      </w:pPr>
      <w:r>
        <w:rPr>
          <w:rFonts w:ascii="Arial" w:hAnsi="Arial" w:cs="Arial"/>
          <w:i/>
          <w:iCs/>
          <w:sz w:val="24"/>
          <w:szCs w:val="24"/>
        </w:rPr>
        <w:t>Oleari</w:t>
      </w:r>
      <w:r w:rsidR="00EE4E1F">
        <w:rPr>
          <w:rFonts w:ascii="Arial" w:hAnsi="Arial" w:cs="Arial"/>
          <w:i/>
          <w:iCs/>
          <w:sz w:val="24"/>
          <w:szCs w:val="24"/>
        </w:rPr>
        <w:t xml:space="preserve">a arckaringensis </w:t>
      </w:r>
      <w:r w:rsidR="00860E65" w:rsidRPr="003A6857">
        <w:rPr>
          <w:rFonts w:ascii="Arial" w:hAnsi="Arial" w:cs="Arial"/>
          <w:iCs/>
          <w:sz w:val="24"/>
          <w:szCs w:val="24"/>
        </w:rPr>
        <w:t>(</w:t>
      </w:r>
      <w:r w:rsidR="00EE4E1F">
        <w:rPr>
          <w:rFonts w:ascii="Arial" w:hAnsi="Arial" w:cs="Arial"/>
          <w:iCs/>
          <w:sz w:val="24"/>
          <w:szCs w:val="24"/>
        </w:rPr>
        <w:t>Arckaringa daisy</w:t>
      </w:r>
      <w:r w:rsidR="00860E65" w:rsidRPr="003A6857">
        <w:rPr>
          <w:rFonts w:ascii="Arial" w:hAnsi="Arial" w:cs="Arial"/>
          <w:iCs/>
          <w:sz w:val="24"/>
          <w:szCs w:val="24"/>
        </w:rPr>
        <w:t>)</w:t>
      </w:r>
      <w:r w:rsidR="00860E65" w:rsidRPr="003A6857">
        <w:rPr>
          <w:rFonts w:ascii="Arial" w:hAnsi="Arial" w:cs="Arial"/>
          <w:i/>
          <w:iCs/>
          <w:sz w:val="24"/>
          <w:szCs w:val="24"/>
        </w:rPr>
        <w:t xml:space="preserve"> </w:t>
      </w:r>
    </w:p>
    <w:bookmarkEnd w:id="0"/>
    <w:bookmarkEnd w:id="1"/>
    <w:p w:rsidR="00860E65" w:rsidRDefault="00860E65" w:rsidP="006D66FC">
      <w:pPr>
        <w:pStyle w:val="NormalWeb"/>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A101D">
      <w:pPr>
        <w:pStyle w:val="NormalWeb"/>
        <w:tabs>
          <w:tab w:val="left" w:pos="426"/>
        </w:tabs>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EE4E1F" w:rsidRPr="00EE4E1F">
        <w:rPr>
          <w:rFonts w:ascii="Arial" w:hAnsi="Arial" w:cs="Arial"/>
          <w:i/>
          <w:iCs/>
          <w:sz w:val="22"/>
          <w:szCs w:val="22"/>
        </w:rPr>
        <w:t xml:space="preserve">Olearea arckaringensis </w:t>
      </w:r>
      <w:r w:rsidR="00EE4E1F" w:rsidRPr="00EE4E1F">
        <w:rPr>
          <w:rFonts w:ascii="Arial" w:hAnsi="Arial" w:cs="Arial"/>
          <w:iCs/>
          <w:sz w:val="22"/>
          <w:szCs w:val="22"/>
        </w:rPr>
        <w:t>(Arckaringa daisy)</w:t>
      </w:r>
      <w:r w:rsidR="00EE4E1F">
        <w:rPr>
          <w:rFonts w:ascii="Arial" w:hAnsi="Arial" w:cs="Arial"/>
          <w:iCs/>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B61052">
        <w:rPr>
          <w:rFonts w:ascii="Arial" w:hAnsi="Arial" w:cs="Arial"/>
          <w:sz w:val="22"/>
          <w:szCs w:val="22"/>
        </w:rPr>
        <w:t xml:space="preserve">Critically </w:t>
      </w:r>
      <w:r w:rsidR="00EE4E1F">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sidRPr="00F51286">
        <w:rPr>
          <w:rFonts w:ascii="Arial" w:hAnsi="Arial" w:cs="Arial"/>
          <w:sz w:val="22"/>
          <w:szCs w:val="22"/>
        </w:rPr>
        <w:t xml:space="preserve">Draft information for your consideration of the eligibility of </w:t>
      </w:r>
      <w:r>
        <w:rPr>
          <w:rFonts w:ascii="Arial" w:hAnsi="Arial" w:cs="Arial"/>
          <w:sz w:val="22"/>
          <w:szCs w:val="22"/>
        </w:rPr>
        <w:t>this species</w:t>
      </w:r>
      <w:r w:rsidRPr="00F51286">
        <w:rPr>
          <w:rFonts w:ascii="Arial" w:hAnsi="Arial" w:cs="Arial"/>
          <w:sz w:val="22"/>
          <w:szCs w:val="22"/>
        </w:rPr>
        <w:t xml:space="preserve"> for listing </w:t>
      </w:r>
      <w:r w:rsidRPr="00EF6CD8">
        <w:rPr>
          <w:rFonts w:ascii="Arial" w:hAnsi="Arial" w:cs="Arial"/>
          <w:sz w:val="22"/>
          <w:szCs w:val="22"/>
        </w:rPr>
        <w:t>as critic</w:t>
      </w:r>
      <w:r w:rsidR="00EF6CD8">
        <w:rPr>
          <w:rFonts w:ascii="Arial" w:hAnsi="Arial" w:cs="Arial"/>
          <w:sz w:val="22"/>
          <w:szCs w:val="22"/>
        </w:rPr>
        <w:t>ally endangered starts at page 3</w:t>
      </w:r>
      <w:r>
        <w:rPr>
          <w:rFonts w:ascii="Arial" w:hAnsi="Arial" w:cs="Arial"/>
          <w:sz w:val="22"/>
          <w:szCs w:val="22"/>
        </w:rPr>
        <w:t xml:space="preserve"> </w:t>
      </w:r>
      <w:r w:rsidRPr="00F51286">
        <w:rPr>
          <w:rFonts w:ascii="Arial" w:hAnsi="Arial" w:cs="Arial"/>
          <w:sz w:val="22"/>
          <w:szCs w:val="22"/>
        </w:rPr>
        <w:t xml:space="preserve">and information associated with </w:t>
      </w:r>
      <w:r>
        <w:rPr>
          <w:rFonts w:ascii="Arial" w:hAnsi="Arial" w:cs="Arial"/>
          <w:sz w:val="22"/>
          <w:szCs w:val="22"/>
        </w:rPr>
        <w:t xml:space="preserve">potential conservation actions for this species </w:t>
      </w:r>
      <w:r w:rsidRPr="00AE557F">
        <w:rPr>
          <w:rFonts w:ascii="Arial" w:hAnsi="Arial" w:cs="Arial"/>
          <w:sz w:val="22"/>
          <w:szCs w:val="22"/>
        </w:rPr>
        <w:t xml:space="preserve">starts at </w:t>
      </w:r>
      <w:r w:rsidRPr="00EF6CD8">
        <w:rPr>
          <w:rFonts w:ascii="Arial" w:hAnsi="Arial" w:cs="Arial"/>
          <w:sz w:val="22"/>
          <w:szCs w:val="22"/>
        </w:rPr>
        <w:t>page</w:t>
      </w:r>
      <w:r w:rsidR="00EF6CD8" w:rsidRPr="00EF6CD8">
        <w:rPr>
          <w:rFonts w:ascii="Arial" w:hAnsi="Arial" w:cs="Arial"/>
          <w:sz w:val="22"/>
          <w:szCs w:val="22"/>
        </w:rPr>
        <w:t xml:space="preserve"> 6</w:t>
      </w:r>
      <w:r w:rsidRPr="00EF6CD8">
        <w:rPr>
          <w:rFonts w:ascii="Arial" w:hAnsi="Arial" w:cs="Arial"/>
          <w:sz w:val="22"/>
          <w:szCs w:val="22"/>
        </w:rPr>
        <w:t>.</w:t>
      </w:r>
      <w:r w:rsidRPr="00AE557F">
        <w:rPr>
          <w:rFonts w:ascii="Arial" w:hAnsi="Arial" w:cs="Arial"/>
          <w:sz w:val="22"/>
          <w:szCs w:val="22"/>
        </w:rPr>
        <w:t xml:space="preserve"> To assist with the Committee’s assessment, the Committee has identified a series of specific questions on which it seeks your guidance </w:t>
      </w:r>
      <w:r w:rsidR="00EF6CD8" w:rsidRPr="00EF6CD8">
        <w:rPr>
          <w:rFonts w:ascii="Arial" w:hAnsi="Arial" w:cs="Arial"/>
          <w:sz w:val="22"/>
          <w:szCs w:val="22"/>
        </w:rPr>
        <w:t xml:space="preserve">at page </w:t>
      </w:r>
      <w:r w:rsidR="00EC0D56">
        <w:rPr>
          <w:rFonts w:ascii="Arial" w:hAnsi="Arial" w:cs="Arial"/>
          <w:sz w:val="22"/>
          <w:szCs w:val="22"/>
        </w:rPr>
        <w:t>8</w:t>
      </w:r>
      <w:r w:rsidRPr="00AE557F">
        <w:rPr>
          <w:rFonts w:ascii="Arial" w:hAnsi="Arial" w:cs="Arial"/>
          <w:sz w:val="22"/>
          <w:szCs w:val="22"/>
        </w:rPr>
        <w:t>.</w:t>
      </w:r>
    </w:p>
    <w:p w:rsidR="00860E65" w:rsidRDefault="00860E65"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Terrestrial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Responses are required to be submitted by</w:t>
      </w:r>
      <w:r w:rsidR="006A5E5D">
        <w:rPr>
          <w:rFonts w:ascii="Arial" w:hAnsi="Arial" w:cs="Arial"/>
          <w:b/>
          <w:sz w:val="22"/>
          <w:szCs w:val="22"/>
        </w:rPr>
        <w:t xml:space="preserve"> 27</w:t>
      </w:r>
      <w:r w:rsidR="006A5E5D" w:rsidRPr="00624F94">
        <w:rPr>
          <w:rFonts w:ascii="Arial" w:hAnsi="Arial" w:cs="Arial"/>
          <w:b/>
          <w:sz w:val="22"/>
          <w:szCs w:val="22"/>
        </w:rPr>
        <w:t xml:space="preserve"> May 2016</w:t>
      </w:r>
      <w:r w:rsidRPr="006A5E5D">
        <w:rPr>
          <w:rFonts w:ascii="Arial" w:hAnsi="Arial" w:cs="Arial"/>
          <w:color w:val="000000"/>
          <w:sz w:val="22"/>
          <w:szCs w:val="22"/>
        </w:rPr>
        <w:t>.</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EF6CD8" w:rsidP="009D7B44">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EF6CD8" w:rsidP="009D7B44">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EF6CD8">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EF6CD8" w:rsidRPr="00EE4E1F">
              <w:rPr>
                <w:rFonts w:ascii="Arial" w:hAnsi="Arial" w:cs="Arial"/>
                <w:iCs/>
                <w:sz w:val="22"/>
                <w:szCs w:val="22"/>
              </w:rPr>
              <w:t>Arckaringa daisy</w:t>
            </w:r>
            <w:r w:rsidR="00EF6CD8" w:rsidRPr="00F929C0">
              <w:rPr>
                <w:rFonts w:ascii="Arial" w:hAnsi="Arial" w:cs="Arial"/>
                <w:sz w:val="22"/>
                <w:szCs w:val="22"/>
              </w:rPr>
              <w:t xml:space="preserve">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EF6CD8" w:rsidP="009D7B44">
            <w:pPr>
              <w:jc w:val="center"/>
              <w:rPr>
                <w:rFonts w:ascii="Arial" w:hAnsi="Arial" w:cs="Arial"/>
                <w:sz w:val="22"/>
                <w:szCs w:val="22"/>
              </w:rPr>
            </w:pPr>
            <w:r>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7906B1" w:rsidRDefault="009D7B44" w:rsidP="009D7B44">
            <w:pPr>
              <w:jc w:val="center"/>
              <w:rPr>
                <w:rFonts w:ascii="Arial" w:hAnsi="Arial" w:cs="Arial"/>
                <w:sz w:val="22"/>
                <w:szCs w:val="22"/>
                <w:highlight w:val="yellow"/>
              </w:rPr>
            </w:pPr>
            <w:r w:rsidRPr="009D7B44">
              <w:rPr>
                <w:rFonts w:ascii="Arial" w:hAnsi="Arial" w:cs="Arial"/>
                <w:sz w:val="22"/>
                <w:szCs w:val="22"/>
              </w:rPr>
              <w:t>6</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3045E3" w:rsidRDefault="00C31144" w:rsidP="009D7B44">
            <w:pPr>
              <w:jc w:val="center"/>
              <w:rPr>
                <w:rFonts w:ascii="Arial" w:hAnsi="Arial" w:cs="Arial"/>
                <w:sz w:val="22"/>
                <w:szCs w:val="22"/>
              </w:rPr>
            </w:pPr>
            <w:r>
              <w:rPr>
                <w:rFonts w:ascii="Arial" w:hAnsi="Arial" w:cs="Arial"/>
                <w:sz w:val="22"/>
                <w:szCs w:val="22"/>
              </w:rPr>
              <w:t>9</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3045E3" w:rsidRDefault="00EC0D56" w:rsidP="009D7B44">
            <w:pPr>
              <w:jc w:val="center"/>
              <w:rPr>
                <w:rFonts w:ascii="Arial" w:hAnsi="Arial" w:cs="Arial"/>
                <w:sz w:val="22"/>
                <w:szCs w:val="22"/>
              </w:rPr>
            </w:pPr>
            <w:r>
              <w:rPr>
                <w:rFonts w:ascii="Arial" w:hAnsi="Arial" w:cs="Arial"/>
                <w:sz w:val="22"/>
                <w:szCs w:val="22"/>
              </w:rPr>
              <w:t>8</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C965E5"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BC6BD6" w:rsidP="00860E65">
      <w:pPr>
        <w:jc w:val="center"/>
        <w:rPr>
          <w:rFonts w:ascii="Arial" w:hAnsi="Arial" w:cs="Arial"/>
          <w:i/>
          <w:sz w:val="32"/>
          <w:szCs w:val="32"/>
        </w:rPr>
      </w:pPr>
      <w:r>
        <w:rPr>
          <w:rFonts w:ascii="Arial" w:hAnsi="Arial" w:cs="Arial"/>
          <w:i/>
          <w:iCs/>
          <w:sz w:val="32"/>
          <w:szCs w:val="32"/>
        </w:rPr>
        <w:lastRenderedPageBreak/>
        <w:t>Oleari</w:t>
      </w:r>
      <w:r w:rsidR="003025E1" w:rsidRPr="003025E1">
        <w:rPr>
          <w:rFonts w:ascii="Arial" w:hAnsi="Arial" w:cs="Arial"/>
          <w:i/>
          <w:iCs/>
          <w:sz w:val="32"/>
          <w:szCs w:val="32"/>
        </w:rPr>
        <w:t xml:space="preserve">a arckaringensis </w:t>
      </w:r>
    </w:p>
    <w:p w:rsidR="00860E65" w:rsidRPr="00424584" w:rsidRDefault="00860E65" w:rsidP="00860E65">
      <w:pPr>
        <w:jc w:val="center"/>
        <w:rPr>
          <w:rFonts w:ascii="Arial" w:hAnsi="Arial" w:cs="Arial"/>
          <w:sz w:val="22"/>
          <w:szCs w:val="22"/>
        </w:rPr>
      </w:pPr>
    </w:p>
    <w:p w:rsidR="00860E65" w:rsidRPr="0075087D" w:rsidRDefault="003025E1" w:rsidP="00860E65">
      <w:pPr>
        <w:jc w:val="center"/>
        <w:rPr>
          <w:rFonts w:ascii="Arial" w:hAnsi="Arial" w:cs="Arial"/>
          <w:sz w:val="22"/>
          <w:szCs w:val="22"/>
        </w:rPr>
      </w:pPr>
      <w:r w:rsidRPr="0075087D">
        <w:rPr>
          <w:rFonts w:ascii="Arial" w:hAnsi="Arial" w:cs="Arial"/>
          <w:sz w:val="22"/>
          <w:szCs w:val="22"/>
        </w:rPr>
        <w:t>Arckaringa daisy</w:t>
      </w:r>
    </w:p>
    <w:p w:rsidR="00860E65" w:rsidRDefault="00860E65" w:rsidP="00860E65">
      <w:pPr>
        <w:rPr>
          <w:rFonts w:ascii="Arial" w:hAnsi="Arial" w:cs="Arial"/>
          <w:sz w:val="22"/>
          <w:szCs w:val="22"/>
        </w:rPr>
      </w:pPr>
    </w:p>
    <w:p w:rsidR="008040B8" w:rsidRPr="008040B8" w:rsidRDefault="008040B8" w:rsidP="002B2B88">
      <w:pPr>
        <w:pStyle w:val="CAminorheading"/>
      </w:pPr>
      <w:r w:rsidRPr="008040B8">
        <w:t>Taxonomy</w:t>
      </w:r>
    </w:p>
    <w:p w:rsidR="00FD2D19" w:rsidRPr="006115F8" w:rsidRDefault="008040B8" w:rsidP="00AB638E">
      <w:pPr>
        <w:spacing w:after="240"/>
        <w:rPr>
          <w:rFonts w:ascii="Arial" w:hAnsi="Arial" w:cs="Arial"/>
          <w:color w:val="FF0000"/>
          <w:sz w:val="22"/>
          <w:szCs w:val="22"/>
        </w:rPr>
      </w:pPr>
      <w:proofErr w:type="gramStart"/>
      <w:r w:rsidRPr="00C77AC3">
        <w:rPr>
          <w:rFonts w:ascii="Arial" w:hAnsi="Arial" w:cs="Arial"/>
          <w:iCs/>
          <w:sz w:val="22"/>
          <w:szCs w:val="22"/>
        </w:rPr>
        <w:t>Conventionally accepted as</w:t>
      </w:r>
      <w:r>
        <w:rPr>
          <w:rFonts w:ascii="Arial" w:hAnsi="Arial" w:cs="Arial"/>
          <w:iCs/>
          <w:sz w:val="22"/>
          <w:szCs w:val="22"/>
        </w:rPr>
        <w:t xml:space="preserve"> </w:t>
      </w:r>
      <w:r w:rsidR="00EF75F1">
        <w:rPr>
          <w:rFonts w:ascii="Arial" w:hAnsi="Arial" w:cs="Arial"/>
          <w:i/>
          <w:iCs/>
          <w:sz w:val="22"/>
          <w:szCs w:val="22"/>
        </w:rPr>
        <w:t>Oleari</w:t>
      </w:r>
      <w:r w:rsidR="003025E1" w:rsidRPr="003025E1">
        <w:rPr>
          <w:rFonts w:ascii="Arial" w:hAnsi="Arial" w:cs="Arial"/>
          <w:i/>
          <w:iCs/>
          <w:sz w:val="22"/>
          <w:szCs w:val="22"/>
        </w:rPr>
        <w:t xml:space="preserve">a </w:t>
      </w:r>
      <w:proofErr w:type="spellStart"/>
      <w:r w:rsidR="003025E1" w:rsidRPr="003025E1">
        <w:rPr>
          <w:rFonts w:ascii="Arial" w:hAnsi="Arial" w:cs="Arial"/>
          <w:i/>
          <w:iCs/>
          <w:sz w:val="22"/>
          <w:szCs w:val="22"/>
        </w:rPr>
        <w:t>arckaringensis</w:t>
      </w:r>
      <w:proofErr w:type="spellEnd"/>
      <w:r w:rsidR="007A3925">
        <w:rPr>
          <w:rFonts w:ascii="Arial" w:hAnsi="Arial" w:cs="Arial"/>
          <w:iCs/>
          <w:sz w:val="22"/>
          <w:szCs w:val="22"/>
        </w:rPr>
        <w:t xml:space="preserve"> </w:t>
      </w:r>
      <w:r w:rsidR="004709D8">
        <w:rPr>
          <w:rFonts w:ascii="Arial" w:hAnsi="Arial" w:cs="Arial"/>
          <w:sz w:val="22"/>
          <w:szCs w:val="22"/>
        </w:rPr>
        <w:t>P.J. Lang</w:t>
      </w:r>
      <w:r w:rsidR="004709D8">
        <w:rPr>
          <w:rFonts w:ascii="Arial" w:hAnsi="Arial" w:cs="Arial"/>
          <w:iCs/>
          <w:sz w:val="22"/>
          <w:szCs w:val="22"/>
        </w:rPr>
        <w:t xml:space="preserve"> </w:t>
      </w:r>
      <w:r w:rsidR="004A56EA">
        <w:rPr>
          <w:rFonts w:ascii="Arial" w:hAnsi="Arial" w:cs="Arial"/>
          <w:iCs/>
          <w:sz w:val="22"/>
          <w:szCs w:val="22"/>
        </w:rPr>
        <w:t>(</w:t>
      </w:r>
      <w:proofErr w:type="spellStart"/>
      <w:r w:rsidR="004A56EA" w:rsidRPr="00F245A3">
        <w:rPr>
          <w:rFonts w:ascii="Arial" w:hAnsi="Arial" w:cs="Arial"/>
          <w:sz w:val="22"/>
          <w:szCs w:val="22"/>
        </w:rPr>
        <w:t>Arckaringa</w:t>
      </w:r>
      <w:proofErr w:type="spellEnd"/>
      <w:r w:rsidR="004A56EA" w:rsidRPr="00F245A3">
        <w:rPr>
          <w:rFonts w:ascii="Arial" w:hAnsi="Arial" w:cs="Arial"/>
          <w:sz w:val="22"/>
          <w:szCs w:val="22"/>
        </w:rPr>
        <w:t xml:space="preserve"> dais</w:t>
      </w:r>
      <w:r w:rsidR="004A56EA">
        <w:rPr>
          <w:rFonts w:ascii="Arial" w:hAnsi="Arial" w:cs="Arial"/>
          <w:sz w:val="22"/>
          <w:szCs w:val="22"/>
        </w:rPr>
        <w:t>y)</w:t>
      </w:r>
      <w:r w:rsidR="007B4AA3">
        <w:rPr>
          <w:rFonts w:ascii="Arial" w:hAnsi="Arial" w:cs="Arial"/>
          <w:sz w:val="22"/>
          <w:szCs w:val="22"/>
        </w:rPr>
        <w:t>.</w:t>
      </w:r>
      <w:proofErr w:type="gramEnd"/>
      <w:r w:rsidR="00FD2D19" w:rsidRPr="00AB52FE">
        <w:rPr>
          <w:rFonts w:ascii="Arial" w:hAnsi="Arial" w:cs="Arial"/>
          <w:sz w:val="22"/>
          <w:szCs w:val="22"/>
        </w:rPr>
        <w:t xml:space="preserve"> </w:t>
      </w:r>
    </w:p>
    <w:p w:rsidR="00615CF6" w:rsidRPr="00615CF6" w:rsidRDefault="00615CF6" w:rsidP="002B2B88">
      <w:pPr>
        <w:pStyle w:val="CAmajorheading"/>
      </w:pPr>
      <w:r w:rsidRPr="00E95E0E">
        <w:t>Species Information</w:t>
      </w:r>
    </w:p>
    <w:p w:rsidR="00424584" w:rsidRPr="002B2B88" w:rsidRDefault="007D7E49" w:rsidP="002B2B88">
      <w:pPr>
        <w:pStyle w:val="CAminorheading"/>
      </w:pPr>
      <w:r w:rsidRPr="002B2B88">
        <w:t>Description</w:t>
      </w:r>
    </w:p>
    <w:p w:rsidR="00175496" w:rsidRDefault="00F245A3" w:rsidP="00AB638E">
      <w:pPr>
        <w:pStyle w:val="Normal12pt"/>
        <w:spacing w:after="240"/>
        <w:rPr>
          <w:rFonts w:ascii="Arial" w:hAnsi="Arial" w:cs="Arial"/>
          <w:sz w:val="22"/>
          <w:szCs w:val="22"/>
        </w:rPr>
      </w:pPr>
      <w:r>
        <w:rPr>
          <w:rFonts w:ascii="Arial" w:hAnsi="Arial" w:cs="Arial"/>
          <w:sz w:val="22"/>
          <w:szCs w:val="22"/>
        </w:rPr>
        <w:t xml:space="preserve">The </w:t>
      </w:r>
      <w:r w:rsidRPr="00F245A3">
        <w:rPr>
          <w:rFonts w:ascii="Arial" w:hAnsi="Arial" w:cs="Arial"/>
          <w:sz w:val="22"/>
          <w:szCs w:val="22"/>
        </w:rPr>
        <w:t>Arckaringa dais</w:t>
      </w:r>
      <w:r>
        <w:rPr>
          <w:rFonts w:ascii="Arial" w:hAnsi="Arial" w:cs="Arial"/>
          <w:sz w:val="22"/>
          <w:szCs w:val="22"/>
        </w:rPr>
        <w:t xml:space="preserve">y </w:t>
      </w:r>
      <w:r w:rsidR="007A3925">
        <w:rPr>
          <w:rFonts w:ascii="Arial" w:hAnsi="Arial" w:cs="Arial"/>
          <w:sz w:val="22"/>
          <w:szCs w:val="22"/>
        </w:rPr>
        <w:t xml:space="preserve">is from the </w:t>
      </w:r>
      <w:proofErr w:type="spellStart"/>
      <w:r w:rsidR="007A3925">
        <w:rPr>
          <w:rFonts w:ascii="Arial" w:hAnsi="Arial" w:cs="Arial"/>
          <w:sz w:val="22"/>
          <w:szCs w:val="22"/>
        </w:rPr>
        <w:t>A</w:t>
      </w:r>
      <w:r w:rsidR="00175496">
        <w:rPr>
          <w:rFonts w:ascii="Arial" w:hAnsi="Arial" w:cs="Arial"/>
          <w:sz w:val="22"/>
          <w:szCs w:val="22"/>
        </w:rPr>
        <w:t>steraceae</w:t>
      </w:r>
      <w:proofErr w:type="spellEnd"/>
      <w:r w:rsidR="00175496">
        <w:rPr>
          <w:rFonts w:ascii="Arial" w:hAnsi="Arial" w:cs="Arial"/>
          <w:sz w:val="22"/>
          <w:szCs w:val="22"/>
        </w:rPr>
        <w:t xml:space="preserve"> family and </w:t>
      </w:r>
      <w:r>
        <w:rPr>
          <w:rFonts w:ascii="Arial" w:hAnsi="Arial" w:cs="Arial"/>
          <w:sz w:val="22"/>
          <w:szCs w:val="22"/>
        </w:rPr>
        <w:t>is a small, compact</w:t>
      </w:r>
      <w:r w:rsidR="00CD2920">
        <w:rPr>
          <w:rFonts w:ascii="Arial" w:hAnsi="Arial" w:cs="Arial"/>
          <w:sz w:val="22"/>
          <w:szCs w:val="22"/>
        </w:rPr>
        <w:t>, rounded and</w:t>
      </w:r>
      <w:r>
        <w:rPr>
          <w:rFonts w:ascii="Arial" w:hAnsi="Arial" w:cs="Arial"/>
          <w:sz w:val="22"/>
          <w:szCs w:val="22"/>
        </w:rPr>
        <w:t xml:space="preserve"> long lived perennial shrub </w:t>
      </w:r>
      <w:r w:rsidR="007B4AA3">
        <w:rPr>
          <w:rFonts w:ascii="Arial" w:hAnsi="Arial" w:cs="Arial"/>
          <w:sz w:val="22"/>
          <w:szCs w:val="22"/>
        </w:rPr>
        <w:t xml:space="preserve">which grows </w:t>
      </w:r>
      <w:r>
        <w:rPr>
          <w:rFonts w:ascii="Arial" w:hAnsi="Arial" w:cs="Arial"/>
          <w:sz w:val="22"/>
          <w:szCs w:val="22"/>
        </w:rPr>
        <w:t>to 30 cm high</w:t>
      </w:r>
      <w:r w:rsidR="00CD2920">
        <w:rPr>
          <w:rFonts w:ascii="Arial" w:hAnsi="Arial" w:cs="Arial"/>
          <w:sz w:val="22"/>
          <w:szCs w:val="22"/>
        </w:rPr>
        <w:t xml:space="preserve"> from a woody base. </w:t>
      </w:r>
      <w:r w:rsidR="00CA1B12">
        <w:rPr>
          <w:rFonts w:ascii="Arial" w:hAnsi="Arial" w:cs="Arial"/>
          <w:sz w:val="22"/>
          <w:szCs w:val="22"/>
        </w:rPr>
        <w:t>Leaves are greyish-white to light greenish-grey with woolly hairs.</w:t>
      </w:r>
      <w:r>
        <w:rPr>
          <w:rFonts w:ascii="Arial" w:hAnsi="Arial" w:cs="Arial"/>
          <w:sz w:val="22"/>
          <w:szCs w:val="22"/>
        </w:rPr>
        <w:t xml:space="preserve"> </w:t>
      </w:r>
      <w:r w:rsidR="00CA1B12">
        <w:rPr>
          <w:rFonts w:ascii="Arial" w:hAnsi="Arial" w:cs="Arial"/>
          <w:sz w:val="22"/>
          <w:szCs w:val="22"/>
        </w:rPr>
        <w:t xml:space="preserve">Flowers </w:t>
      </w:r>
      <w:r w:rsidR="00175496">
        <w:rPr>
          <w:rFonts w:ascii="Arial" w:hAnsi="Arial" w:cs="Arial"/>
          <w:sz w:val="22"/>
          <w:szCs w:val="22"/>
        </w:rPr>
        <w:t xml:space="preserve">are bisexual and </w:t>
      </w:r>
      <w:r w:rsidR="00CA1B12">
        <w:rPr>
          <w:rFonts w:ascii="Arial" w:hAnsi="Arial" w:cs="Arial"/>
          <w:sz w:val="22"/>
          <w:szCs w:val="22"/>
        </w:rPr>
        <w:t xml:space="preserve">are </w:t>
      </w:r>
      <w:r w:rsidR="0099514D">
        <w:rPr>
          <w:rFonts w:ascii="Arial" w:hAnsi="Arial" w:cs="Arial"/>
          <w:sz w:val="22"/>
          <w:szCs w:val="22"/>
        </w:rPr>
        <w:t xml:space="preserve">usually </w:t>
      </w:r>
      <w:r w:rsidR="00CA1B12">
        <w:rPr>
          <w:rFonts w:ascii="Arial" w:hAnsi="Arial" w:cs="Arial"/>
          <w:sz w:val="22"/>
          <w:szCs w:val="22"/>
        </w:rPr>
        <w:t xml:space="preserve">lavender </w:t>
      </w:r>
      <w:r w:rsidR="003332CE">
        <w:rPr>
          <w:rFonts w:ascii="Arial" w:hAnsi="Arial" w:cs="Arial"/>
          <w:sz w:val="22"/>
          <w:szCs w:val="22"/>
        </w:rPr>
        <w:t xml:space="preserve">in colour </w:t>
      </w:r>
      <w:r w:rsidR="00CA1B12">
        <w:rPr>
          <w:rFonts w:ascii="Arial" w:hAnsi="Arial" w:cs="Arial"/>
          <w:sz w:val="22"/>
          <w:szCs w:val="22"/>
        </w:rPr>
        <w:t>or occasionally white</w:t>
      </w:r>
      <w:r w:rsidR="00175496">
        <w:rPr>
          <w:rFonts w:ascii="Arial" w:hAnsi="Arial" w:cs="Arial"/>
          <w:sz w:val="22"/>
          <w:szCs w:val="22"/>
        </w:rPr>
        <w:t xml:space="preserve"> (Lang, 2008)</w:t>
      </w:r>
      <w:r w:rsidR="00CA1B12">
        <w:rPr>
          <w:rFonts w:ascii="Arial" w:hAnsi="Arial" w:cs="Arial"/>
          <w:sz w:val="22"/>
          <w:szCs w:val="22"/>
        </w:rPr>
        <w:t>.</w:t>
      </w:r>
    </w:p>
    <w:p w:rsidR="007D7E49" w:rsidRPr="007D7E49" w:rsidRDefault="007D7E49" w:rsidP="002B2B88">
      <w:pPr>
        <w:pStyle w:val="CAminorheading"/>
      </w:pPr>
      <w:r w:rsidRPr="00C77AC3">
        <w:t>Distribution</w:t>
      </w:r>
      <w:r w:rsidRPr="006658AC">
        <w:rPr>
          <w:color w:val="0000FF"/>
        </w:rPr>
        <w:t xml:space="preserve"> </w:t>
      </w:r>
    </w:p>
    <w:p w:rsidR="00303ECD" w:rsidRPr="0068145D" w:rsidRDefault="00A66C44" w:rsidP="00AB638E">
      <w:pPr>
        <w:spacing w:after="240"/>
        <w:rPr>
          <w:rFonts w:ascii="Arial" w:hAnsi="Arial" w:cs="Arial"/>
          <w:color w:val="FF0000"/>
          <w:sz w:val="22"/>
          <w:szCs w:val="22"/>
        </w:rPr>
      </w:pPr>
      <w:r w:rsidRPr="00A66C44">
        <w:rPr>
          <w:rFonts w:ascii="Arial" w:hAnsi="Arial" w:cs="Arial"/>
          <w:sz w:val="22"/>
          <w:szCs w:val="22"/>
        </w:rPr>
        <w:t>The</w:t>
      </w:r>
      <w:r>
        <w:rPr>
          <w:rFonts w:ascii="Arial" w:hAnsi="Arial" w:cs="Arial"/>
          <w:sz w:val="22"/>
          <w:szCs w:val="22"/>
        </w:rPr>
        <w:t xml:space="preserve"> </w:t>
      </w:r>
      <w:r w:rsidRPr="00F245A3">
        <w:rPr>
          <w:rFonts w:ascii="Arial" w:hAnsi="Arial" w:cs="Arial"/>
          <w:sz w:val="22"/>
          <w:szCs w:val="22"/>
        </w:rPr>
        <w:t>Arckaringa dais</w:t>
      </w:r>
      <w:r>
        <w:rPr>
          <w:rFonts w:ascii="Arial" w:hAnsi="Arial" w:cs="Arial"/>
          <w:sz w:val="22"/>
          <w:szCs w:val="22"/>
        </w:rPr>
        <w:t>y is endemic to the Arckaringa Hills in northern South Australia</w:t>
      </w:r>
      <w:r w:rsidR="001166C9">
        <w:rPr>
          <w:rFonts w:ascii="Arial" w:hAnsi="Arial" w:cs="Arial"/>
          <w:sz w:val="22"/>
          <w:szCs w:val="22"/>
        </w:rPr>
        <w:t xml:space="preserve"> (Lang, 2008)</w:t>
      </w:r>
      <w:r>
        <w:rPr>
          <w:rFonts w:ascii="Arial" w:hAnsi="Arial" w:cs="Arial"/>
          <w:sz w:val="22"/>
          <w:szCs w:val="22"/>
        </w:rPr>
        <w:t>.</w:t>
      </w:r>
      <w:r w:rsidR="009212F4">
        <w:rPr>
          <w:rFonts w:ascii="Arial" w:hAnsi="Arial" w:cs="Arial"/>
          <w:sz w:val="22"/>
          <w:szCs w:val="22"/>
        </w:rPr>
        <w:t xml:space="preserve"> </w:t>
      </w:r>
      <w:r w:rsidR="005244FC">
        <w:rPr>
          <w:rFonts w:ascii="Arial" w:hAnsi="Arial" w:cs="Arial"/>
          <w:sz w:val="22"/>
          <w:szCs w:val="22"/>
        </w:rPr>
        <w:t xml:space="preserve">It occurs within the boundaries of the </w:t>
      </w:r>
      <w:proofErr w:type="spellStart"/>
      <w:proofErr w:type="gramStart"/>
      <w:r w:rsidR="005244FC">
        <w:rPr>
          <w:rFonts w:ascii="Arial" w:hAnsi="Arial" w:cs="Arial"/>
          <w:sz w:val="22"/>
          <w:szCs w:val="22"/>
        </w:rPr>
        <w:t>Arckaringa</w:t>
      </w:r>
      <w:proofErr w:type="spellEnd"/>
      <w:r w:rsidR="005244FC">
        <w:rPr>
          <w:rFonts w:ascii="Arial" w:hAnsi="Arial" w:cs="Arial"/>
          <w:sz w:val="22"/>
          <w:szCs w:val="22"/>
        </w:rPr>
        <w:t xml:space="preserve"> Hills</w:t>
      </w:r>
      <w:proofErr w:type="gramEnd"/>
      <w:r w:rsidR="005244FC">
        <w:rPr>
          <w:rFonts w:ascii="Arial" w:hAnsi="Arial" w:cs="Arial"/>
          <w:sz w:val="22"/>
          <w:szCs w:val="22"/>
        </w:rPr>
        <w:t xml:space="preserve"> state heritage area which is significant as an example of Badlands or Breakaway topography which has a number of rare plant species </w:t>
      </w:r>
      <w:r w:rsidR="00622BAA">
        <w:rPr>
          <w:rFonts w:ascii="Arial" w:hAnsi="Arial" w:cs="Arial"/>
          <w:sz w:val="22"/>
          <w:szCs w:val="22"/>
        </w:rPr>
        <w:t>(DENR, 2016)</w:t>
      </w:r>
      <w:r w:rsidR="002327F3">
        <w:rPr>
          <w:rFonts w:ascii="Arial" w:hAnsi="Arial" w:cs="Arial"/>
          <w:sz w:val="22"/>
          <w:szCs w:val="22"/>
        </w:rPr>
        <w:t>.</w:t>
      </w:r>
      <w:r w:rsidRPr="00A66C44">
        <w:rPr>
          <w:rFonts w:ascii="Arial" w:hAnsi="Arial" w:cs="Arial"/>
          <w:sz w:val="22"/>
          <w:szCs w:val="22"/>
        </w:rPr>
        <w:t xml:space="preserve"> </w:t>
      </w:r>
    </w:p>
    <w:p w:rsidR="00424584" w:rsidRPr="007D7E49" w:rsidRDefault="007D7E49" w:rsidP="002B2B88">
      <w:pPr>
        <w:pStyle w:val="CAminorheading"/>
      </w:pPr>
      <w:r w:rsidRPr="007D7E49">
        <w:t>Relevant Biology/Ecology</w:t>
      </w:r>
    </w:p>
    <w:p w:rsidR="00DA5667" w:rsidRPr="00651965" w:rsidRDefault="00DA26E2" w:rsidP="00651965">
      <w:pPr>
        <w:pStyle w:val="Normal12pt"/>
        <w:spacing w:after="240"/>
        <w:rPr>
          <w:rFonts w:ascii="Arial" w:hAnsi="Arial" w:cs="Arial"/>
          <w:iCs/>
          <w:sz w:val="22"/>
          <w:szCs w:val="22"/>
        </w:rPr>
      </w:pPr>
      <w:r w:rsidRPr="00A66C44">
        <w:rPr>
          <w:rFonts w:ascii="Arial" w:hAnsi="Arial" w:cs="Arial"/>
          <w:sz w:val="22"/>
          <w:szCs w:val="22"/>
        </w:rPr>
        <w:t>The</w:t>
      </w:r>
      <w:r>
        <w:rPr>
          <w:rFonts w:ascii="Arial" w:hAnsi="Arial" w:cs="Arial"/>
          <w:sz w:val="22"/>
          <w:szCs w:val="22"/>
        </w:rPr>
        <w:t xml:space="preserve"> </w:t>
      </w:r>
      <w:r w:rsidRPr="00F245A3">
        <w:rPr>
          <w:rFonts w:ascii="Arial" w:hAnsi="Arial" w:cs="Arial"/>
          <w:sz w:val="22"/>
          <w:szCs w:val="22"/>
        </w:rPr>
        <w:t>Arckaringa dais</w:t>
      </w:r>
      <w:r>
        <w:rPr>
          <w:rFonts w:ascii="Arial" w:hAnsi="Arial" w:cs="Arial"/>
          <w:sz w:val="22"/>
          <w:szCs w:val="22"/>
        </w:rPr>
        <w:t>y is an arid zone species</w:t>
      </w:r>
      <w:r w:rsidR="00651965">
        <w:rPr>
          <w:rFonts w:ascii="Arial" w:hAnsi="Arial" w:cs="Arial"/>
          <w:sz w:val="22"/>
          <w:szCs w:val="22"/>
        </w:rPr>
        <w:t xml:space="preserve"> that occurs in ‘low</w:t>
      </w:r>
      <w:r w:rsidR="00EC5E7C">
        <w:rPr>
          <w:rFonts w:ascii="Arial" w:hAnsi="Arial" w:cs="Arial"/>
          <w:sz w:val="22"/>
          <w:szCs w:val="22"/>
        </w:rPr>
        <w:t>,</w:t>
      </w:r>
      <w:r w:rsidR="003332CE">
        <w:rPr>
          <w:rFonts w:ascii="Arial" w:hAnsi="Arial" w:cs="Arial"/>
          <w:sz w:val="22"/>
          <w:szCs w:val="22"/>
        </w:rPr>
        <w:t xml:space="preserve"> </w:t>
      </w:r>
      <w:r w:rsidR="00EC5E7C">
        <w:rPr>
          <w:rFonts w:ascii="Arial" w:hAnsi="Arial" w:cs="Arial"/>
          <w:sz w:val="22"/>
          <w:szCs w:val="22"/>
        </w:rPr>
        <w:t>very open</w:t>
      </w:r>
      <w:r w:rsidR="00651965">
        <w:rPr>
          <w:rFonts w:ascii="Arial" w:hAnsi="Arial" w:cs="Arial"/>
          <w:sz w:val="22"/>
          <w:szCs w:val="22"/>
        </w:rPr>
        <w:t xml:space="preserve"> woodland’ of </w:t>
      </w:r>
      <w:r w:rsidR="00651965" w:rsidRPr="00651965">
        <w:rPr>
          <w:rFonts w:ascii="Arial" w:hAnsi="Arial" w:cs="Arial"/>
          <w:i/>
          <w:iCs/>
          <w:sz w:val="22"/>
          <w:szCs w:val="22"/>
        </w:rPr>
        <w:t xml:space="preserve">Acacia </w:t>
      </w:r>
      <w:proofErr w:type="spellStart"/>
      <w:r w:rsidR="00651965" w:rsidRPr="00651965">
        <w:rPr>
          <w:rFonts w:ascii="Arial" w:hAnsi="Arial" w:cs="Arial"/>
          <w:i/>
          <w:iCs/>
          <w:sz w:val="22"/>
          <w:szCs w:val="22"/>
        </w:rPr>
        <w:t>papyrocarpa</w:t>
      </w:r>
      <w:proofErr w:type="spellEnd"/>
      <w:r w:rsidR="00651965" w:rsidRPr="00651965">
        <w:rPr>
          <w:rFonts w:ascii="Arial" w:hAnsi="Arial" w:cs="Arial"/>
          <w:i/>
          <w:iCs/>
          <w:sz w:val="22"/>
          <w:szCs w:val="22"/>
        </w:rPr>
        <w:t xml:space="preserve"> </w:t>
      </w:r>
      <w:r w:rsidR="00F80830">
        <w:rPr>
          <w:rFonts w:ascii="Arial" w:hAnsi="Arial" w:cs="Arial"/>
          <w:sz w:val="22"/>
          <w:szCs w:val="22"/>
        </w:rPr>
        <w:t xml:space="preserve">(western </w:t>
      </w:r>
      <w:proofErr w:type="spellStart"/>
      <w:r w:rsidR="00F80830">
        <w:rPr>
          <w:rFonts w:ascii="Arial" w:hAnsi="Arial" w:cs="Arial"/>
          <w:sz w:val="22"/>
          <w:szCs w:val="22"/>
        </w:rPr>
        <w:t>m</w:t>
      </w:r>
      <w:r w:rsidR="00651965" w:rsidRPr="00651965">
        <w:rPr>
          <w:rFonts w:ascii="Arial" w:hAnsi="Arial" w:cs="Arial"/>
          <w:sz w:val="22"/>
          <w:szCs w:val="22"/>
        </w:rPr>
        <w:t>yall</w:t>
      </w:r>
      <w:proofErr w:type="spellEnd"/>
      <w:r w:rsidR="00651965" w:rsidRPr="00651965">
        <w:rPr>
          <w:rFonts w:ascii="Arial" w:hAnsi="Arial" w:cs="Arial"/>
          <w:sz w:val="22"/>
          <w:szCs w:val="22"/>
        </w:rPr>
        <w:t xml:space="preserve">) and/or </w:t>
      </w:r>
      <w:r w:rsidR="00651965" w:rsidRPr="00651965">
        <w:rPr>
          <w:rFonts w:ascii="Arial" w:hAnsi="Arial" w:cs="Arial"/>
          <w:i/>
          <w:iCs/>
          <w:sz w:val="22"/>
          <w:szCs w:val="22"/>
        </w:rPr>
        <w:t xml:space="preserve">Eucalyptus </w:t>
      </w:r>
      <w:proofErr w:type="spellStart"/>
      <w:r w:rsidR="00651965" w:rsidRPr="00651965">
        <w:rPr>
          <w:rFonts w:ascii="Arial" w:hAnsi="Arial" w:cs="Arial"/>
          <w:i/>
          <w:iCs/>
          <w:sz w:val="22"/>
          <w:szCs w:val="22"/>
        </w:rPr>
        <w:t>socialis</w:t>
      </w:r>
      <w:proofErr w:type="spellEnd"/>
      <w:r w:rsidR="00651965">
        <w:rPr>
          <w:rFonts w:ascii="Arial" w:hAnsi="Arial" w:cs="Arial"/>
          <w:iCs/>
          <w:sz w:val="22"/>
          <w:szCs w:val="22"/>
        </w:rPr>
        <w:t xml:space="preserve"> </w:t>
      </w:r>
      <w:r w:rsidR="00F80830">
        <w:rPr>
          <w:rFonts w:ascii="Arial" w:hAnsi="Arial" w:cs="Arial"/>
          <w:iCs/>
          <w:sz w:val="22"/>
          <w:szCs w:val="22"/>
        </w:rPr>
        <w:t xml:space="preserve">(red </w:t>
      </w:r>
      <w:proofErr w:type="spellStart"/>
      <w:r w:rsidR="00F80830">
        <w:rPr>
          <w:rFonts w:ascii="Arial" w:hAnsi="Arial" w:cs="Arial"/>
          <w:iCs/>
          <w:sz w:val="22"/>
          <w:szCs w:val="22"/>
        </w:rPr>
        <w:t>m</w:t>
      </w:r>
      <w:r w:rsidR="00651965" w:rsidRPr="00651965">
        <w:rPr>
          <w:rFonts w:ascii="Arial" w:hAnsi="Arial" w:cs="Arial"/>
          <w:iCs/>
          <w:sz w:val="22"/>
          <w:szCs w:val="22"/>
        </w:rPr>
        <w:t>allee</w:t>
      </w:r>
      <w:proofErr w:type="spellEnd"/>
      <w:r w:rsidR="00651965" w:rsidRPr="00651965">
        <w:rPr>
          <w:rFonts w:ascii="Arial" w:hAnsi="Arial" w:cs="Arial"/>
          <w:iCs/>
          <w:sz w:val="22"/>
          <w:szCs w:val="22"/>
        </w:rPr>
        <w:t xml:space="preserve">) with sparse </w:t>
      </w:r>
      <w:r w:rsidR="00651965" w:rsidRPr="00651965">
        <w:rPr>
          <w:rFonts w:ascii="Arial" w:hAnsi="Arial" w:cs="Arial"/>
          <w:i/>
          <w:iCs/>
          <w:sz w:val="22"/>
          <w:szCs w:val="22"/>
        </w:rPr>
        <w:t>Acacia tetragonophylla</w:t>
      </w:r>
      <w:r w:rsidR="00651965">
        <w:rPr>
          <w:rFonts w:ascii="Arial" w:hAnsi="Arial" w:cs="Arial"/>
          <w:i/>
          <w:iCs/>
          <w:sz w:val="22"/>
          <w:szCs w:val="22"/>
        </w:rPr>
        <w:t xml:space="preserve"> </w:t>
      </w:r>
      <w:r w:rsidR="00F80830">
        <w:rPr>
          <w:rFonts w:ascii="Arial" w:hAnsi="Arial" w:cs="Arial"/>
          <w:iCs/>
          <w:sz w:val="22"/>
          <w:szCs w:val="22"/>
        </w:rPr>
        <w:t>(dead f</w:t>
      </w:r>
      <w:r w:rsidR="00651965">
        <w:rPr>
          <w:rFonts w:ascii="Arial" w:hAnsi="Arial" w:cs="Arial"/>
          <w:iCs/>
          <w:sz w:val="22"/>
          <w:szCs w:val="22"/>
        </w:rPr>
        <w:t>inish) shrubs.</w:t>
      </w:r>
      <w:r w:rsidR="00712721">
        <w:rPr>
          <w:rFonts w:ascii="Arial" w:hAnsi="Arial" w:cs="Arial"/>
          <w:iCs/>
          <w:sz w:val="22"/>
          <w:szCs w:val="22"/>
        </w:rPr>
        <w:t xml:space="preserve"> </w:t>
      </w:r>
      <w:r w:rsidR="00746CBE">
        <w:rPr>
          <w:rFonts w:ascii="Arial" w:hAnsi="Arial" w:cs="Arial"/>
          <w:iCs/>
          <w:sz w:val="22"/>
          <w:szCs w:val="22"/>
        </w:rPr>
        <w:t xml:space="preserve">It </w:t>
      </w:r>
      <w:r w:rsidR="00712721">
        <w:rPr>
          <w:rFonts w:ascii="Arial" w:hAnsi="Arial" w:cs="Arial"/>
          <w:iCs/>
          <w:sz w:val="22"/>
          <w:szCs w:val="22"/>
        </w:rPr>
        <w:t>is typicall</w:t>
      </w:r>
      <w:r w:rsidR="00746CBE">
        <w:rPr>
          <w:rFonts w:ascii="Arial" w:hAnsi="Arial" w:cs="Arial"/>
          <w:iCs/>
          <w:sz w:val="22"/>
          <w:szCs w:val="22"/>
        </w:rPr>
        <w:t xml:space="preserve">y found on gypseous substrates and </w:t>
      </w:r>
      <w:r w:rsidR="00712721">
        <w:rPr>
          <w:rFonts w:ascii="Arial" w:hAnsi="Arial" w:cs="Arial"/>
          <w:iCs/>
          <w:sz w:val="22"/>
          <w:szCs w:val="22"/>
        </w:rPr>
        <w:t>has the ability to regrow from its woody basal parts</w:t>
      </w:r>
      <w:r w:rsidR="00E45057">
        <w:rPr>
          <w:rFonts w:ascii="Arial" w:hAnsi="Arial" w:cs="Arial"/>
          <w:iCs/>
          <w:sz w:val="22"/>
          <w:szCs w:val="22"/>
        </w:rPr>
        <w:t>,</w:t>
      </w:r>
      <w:r w:rsidR="00712721">
        <w:rPr>
          <w:rFonts w:ascii="Arial" w:hAnsi="Arial" w:cs="Arial"/>
          <w:iCs/>
          <w:sz w:val="22"/>
          <w:szCs w:val="22"/>
        </w:rPr>
        <w:t xml:space="preserve"> which is useful in the arid zone</w:t>
      </w:r>
      <w:r w:rsidR="00456669">
        <w:rPr>
          <w:rFonts w:ascii="Arial" w:hAnsi="Arial" w:cs="Arial"/>
          <w:iCs/>
          <w:sz w:val="22"/>
          <w:szCs w:val="22"/>
        </w:rPr>
        <w:t xml:space="preserve"> </w:t>
      </w:r>
      <w:r w:rsidR="00456669">
        <w:rPr>
          <w:rFonts w:ascii="Arial" w:hAnsi="Arial" w:cs="Arial"/>
          <w:sz w:val="22"/>
          <w:szCs w:val="22"/>
        </w:rPr>
        <w:t>(Lang, 2008)</w:t>
      </w:r>
      <w:r w:rsidR="00712721">
        <w:rPr>
          <w:rFonts w:ascii="Arial" w:hAnsi="Arial" w:cs="Arial"/>
          <w:iCs/>
          <w:sz w:val="22"/>
          <w:szCs w:val="22"/>
        </w:rPr>
        <w:t>.</w:t>
      </w:r>
      <w:r w:rsidRPr="00AB52FE">
        <w:rPr>
          <w:rFonts w:ascii="Arial" w:hAnsi="Arial" w:cs="Arial"/>
          <w:color w:val="0000FF"/>
          <w:sz w:val="22"/>
          <w:szCs w:val="22"/>
        </w:rPr>
        <w:t xml:space="preserve"> </w:t>
      </w:r>
    </w:p>
    <w:p w:rsidR="00C90335" w:rsidRPr="007D7E49" w:rsidRDefault="00C90335" w:rsidP="00C90335">
      <w:pPr>
        <w:pStyle w:val="CAIntextheading1"/>
      </w:pPr>
      <w:r w:rsidRPr="007D7E49">
        <w:t>Threats</w:t>
      </w:r>
    </w:p>
    <w:p w:rsidR="00C90335" w:rsidRDefault="00C90335" w:rsidP="00C90335">
      <w:pPr>
        <w:keepNext/>
        <w:spacing w:after="240"/>
        <w:rPr>
          <w:rFonts w:ascii="Arial" w:hAnsi="Arial" w:cs="Arial"/>
          <w:sz w:val="22"/>
          <w:szCs w:val="22"/>
        </w:rPr>
      </w:pPr>
      <w:r w:rsidRPr="004023AD">
        <w:rPr>
          <w:rFonts w:ascii="Arial" w:hAnsi="Arial" w:cs="Arial"/>
          <w:sz w:val="22"/>
          <w:szCs w:val="22"/>
        </w:rPr>
        <w:t xml:space="preserve">Table 1 </w:t>
      </w:r>
      <w:r>
        <w:rPr>
          <w:rFonts w:ascii="Arial" w:hAnsi="Arial" w:cs="Arial"/>
          <w:sz w:val="22"/>
          <w:szCs w:val="22"/>
        </w:rPr>
        <w:t>–</w:t>
      </w:r>
      <w:r w:rsidRPr="004023AD">
        <w:rPr>
          <w:rFonts w:ascii="Arial" w:hAnsi="Arial" w:cs="Arial"/>
          <w:sz w:val="22"/>
          <w:szCs w:val="22"/>
        </w:rPr>
        <w:t xml:space="preserve"> Threats</w:t>
      </w:r>
    </w:p>
    <w:tbl>
      <w:tblPr>
        <w:tblStyle w:val="TableGrid"/>
        <w:tblW w:w="0" w:type="auto"/>
        <w:tblCellMar>
          <w:top w:w="57" w:type="dxa"/>
          <w:bottom w:w="57" w:type="dxa"/>
        </w:tblCellMar>
        <w:tblLook w:val="04A0"/>
      </w:tblPr>
      <w:tblGrid>
        <w:gridCol w:w="1684"/>
        <w:gridCol w:w="1276"/>
        <w:gridCol w:w="1381"/>
        <w:gridCol w:w="4961"/>
      </w:tblGrid>
      <w:tr w:rsidR="001803F5" w:rsidRPr="000C0480" w:rsidTr="001803F5">
        <w:trPr>
          <w:trHeight w:val="524"/>
        </w:trPr>
        <w:tc>
          <w:tcPr>
            <w:tcW w:w="1562"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Threat factor</w:t>
            </w:r>
          </w:p>
        </w:tc>
        <w:tc>
          <w:tcPr>
            <w:tcW w:w="1276"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Threat type</w:t>
            </w:r>
          </w:p>
        </w:tc>
        <w:tc>
          <w:tcPr>
            <w:tcW w:w="1381"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Threat status</w:t>
            </w:r>
          </w:p>
        </w:tc>
        <w:tc>
          <w:tcPr>
            <w:tcW w:w="4961"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Evidence base</w:t>
            </w:r>
          </w:p>
        </w:tc>
      </w:tr>
      <w:tr w:rsidR="005C77DB" w:rsidRPr="004438D2" w:rsidTr="001803F5">
        <w:tc>
          <w:tcPr>
            <w:tcW w:w="1562" w:type="dxa"/>
          </w:tcPr>
          <w:p w:rsidR="005C77DB" w:rsidRPr="004438D2" w:rsidRDefault="00054EB7" w:rsidP="001803F5">
            <w:pPr>
              <w:rPr>
                <w:rFonts w:ascii="Arial" w:hAnsi="Arial" w:cs="Arial"/>
                <w:sz w:val="22"/>
                <w:szCs w:val="22"/>
              </w:rPr>
            </w:pPr>
            <w:r w:rsidRPr="004438D2">
              <w:rPr>
                <w:rFonts w:ascii="Arial" w:hAnsi="Arial" w:cs="Arial"/>
                <w:sz w:val="22"/>
                <w:szCs w:val="22"/>
              </w:rPr>
              <w:t>Cattle grazing and trampling</w:t>
            </w:r>
          </w:p>
        </w:tc>
        <w:tc>
          <w:tcPr>
            <w:tcW w:w="1276" w:type="dxa"/>
          </w:tcPr>
          <w:p w:rsidR="005C77DB" w:rsidRPr="004438D2" w:rsidRDefault="00054EB7" w:rsidP="001803F5">
            <w:pPr>
              <w:rPr>
                <w:rFonts w:ascii="Arial" w:hAnsi="Arial" w:cs="Arial"/>
                <w:sz w:val="22"/>
                <w:szCs w:val="22"/>
              </w:rPr>
            </w:pPr>
            <w:r w:rsidRPr="004438D2">
              <w:rPr>
                <w:rFonts w:ascii="Arial" w:hAnsi="Arial" w:cs="Arial"/>
                <w:sz w:val="22"/>
                <w:szCs w:val="22"/>
              </w:rPr>
              <w:t>known</w:t>
            </w:r>
          </w:p>
        </w:tc>
        <w:tc>
          <w:tcPr>
            <w:tcW w:w="1381" w:type="dxa"/>
          </w:tcPr>
          <w:p w:rsidR="005C77DB" w:rsidRPr="004438D2" w:rsidRDefault="00595283" w:rsidP="001803F5">
            <w:pPr>
              <w:rPr>
                <w:rFonts w:ascii="Arial" w:hAnsi="Arial" w:cs="Arial"/>
                <w:sz w:val="22"/>
                <w:szCs w:val="22"/>
              </w:rPr>
            </w:pPr>
            <w:r w:rsidRPr="004438D2">
              <w:rPr>
                <w:rFonts w:ascii="Arial" w:hAnsi="Arial" w:cs="Arial"/>
                <w:sz w:val="22"/>
                <w:szCs w:val="22"/>
              </w:rPr>
              <w:t>current</w:t>
            </w:r>
          </w:p>
        </w:tc>
        <w:tc>
          <w:tcPr>
            <w:tcW w:w="4961" w:type="dxa"/>
          </w:tcPr>
          <w:p w:rsidR="005C77DB" w:rsidRPr="004438D2" w:rsidRDefault="00F71995" w:rsidP="00D072EE">
            <w:pPr>
              <w:rPr>
                <w:rFonts w:ascii="Arial" w:hAnsi="Arial" w:cs="Arial"/>
                <w:sz w:val="22"/>
                <w:szCs w:val="22"/>
              </w:rPr>
            </w:pPr>
            <w:r w:rsidRPr="004438D2">
              <w:rPr>
                <w:rFonts w:ascii="Arial" w:hAnsi="Arial" w:cs="Arial"/>
                <w:sz w:val="22"/>
                <w:szCs w:val="22"/>
              </w:rPr>
              <w:t>The species occurs on a pastoral lease which operates as a cattle station.</w:t>
            </w:r>
            <w:r w:rsidR="00D072EE" w:rsidRPr="004438D2">
              <w:rPr>
                <w:rFonts w:ascii="Arial" w:hAnsi="Arial" w:cs="Arial"/>
                <w:sz w:val="22"/>
                <w:szCs w:val="22"/>
              </w:rPr>
              <w:t xml:space="preserve"> This species occurs on gypseous soils, which are very fragile and prone to erosion following disturbance (DEH, 2009).</w:t>
            </w:r>
          </w:p>
        </w:tc>
      </w:tr>
      <w:tr w:rsidR="005C77DB" w:rsidTr="001803F5">
        <w:tc>
          <w:tcPr>
            <w:tcW w:w="1562" w:type="dxa"/>
          </w:tcPr>
          <w:p w:rsidR="005C77DB" w:rsidRPr="00595283" w:rsidRDefault="00595283" w:rsidP="001803F5">
            <w:pPr>
              <w:rPr>
                <w:rFonts w:ascii="Arial" w:hAnsi="Arial" w:cs="Arial"/>
                <w:sz w:val="22"/>
                <w:szCs w:val="22"/>
              </w:rPr>
            </w:pPr>
            <w:r w:rsidRPr="00595283">
              <w:rPr>
                <w:rFonts w:ascii="Arial" w:hAnsi="Arial" w:cs="Arial"/>
                <w:sz w:val="22"/>
                <w:szCs w:val="22"/>
              </w:rPr>
              <w:t>Sheep grazing</w:t>
            </w:r>
            <w:r w:rsidR="00F71995">
              <w:rPr>
                <w:rFonts w:ascii="Arial" w:hAnsi="Arial" w:cs="Arial"/>
                <w:sz w:val="22"/>
                <w:szCs w:val="22"/>
              </w:rPr>
              <w:t xml:space="preserve"> and trampling</w:t>
            </w:r>
          </w:p>
        </w:tc>
        <w:tc>
          <w:tcPr>
            <w:tcW w:w="1276" w:type="dxa"/>
          </w:tcPr>
          <w:p w:rsidR="005C77DB" w:rsidRPr="00595283" w:rsidRDefault="005C77DB" w:rsidP="001803F5">
            <w:pPr>
              <w:rPr>
                <w:rFonts w:ascii="Arial" w:hAnsi="Arial" w:cs="Arial"/>
                <w:sz w:val="22"/>
                <w:szCs w:val="22"/>
              </w:rPr>
            </w:pPr>
            <w:r w:rsidRPr="00595283">
              <w:rPr>
                <w:rFonts w:ascii="Arial" w:hAnsi="Arial" w:cs="Arial"/>
                <w:sz w:val="22"/>
                <w:szCs w:val="22"/>
              </w:rPr>
              <w:t>known</w:t>
            </w:r>
          </w:p>
        </w:tc>
        <w:tc>
          <w:tcPr>
            <w:tcW w:w="1381" w:type="dxa"/>
          </w:tcPr>
          <w:p w:rsidR="005C77DB" w:rsidRPr="00595283" w:rsidRDefault="00595283" w:rsidP="00595283">
            <w:pPr>
              <w:rPr>
                <w:rFonts w:ascii="Arial" w:hAnsi="Arial" w:cs="Arial"/>
                <w:sz w:val="22"/>
                <w:szCs w:val="22"/>
              </w:rPr>
            </w:pPr>
            <w:r w:rsidRPr="00595283">
              <w:rPr>
                <w:rFonts w:ascii="Arial" w:hAnsi="Arial" w:cs="Arial"/>
                <w:sz w:val="22"/>
                <w:szCs w:val="22"/>
              </w:rPr>
              <w:t xml:space="preserve">past </w:t>
            </w:r>
          </w:p>
        </w:tc>
        <w:tc>
          <w:tcPr>
            <w:tcW w:w="4961" w:type="dxa"/>
          </w:tcPr>
          <w:p w:rsidR="005C77DB" w:rsidRDefault="00F71995" w:rsidP="00AF0F57">
            <w:pPr>
              <w:rPr>
                <w:rFonts w:ascii="Arial" w:hAnsi="Arial" w:cs="Arial"/>
                <w:color w:val="0000FF"/>
                <w:sz w:val="22"/>
                <w:szCs w:val="22"/>
              </w:rPr>
            </w:pPr>
            <w:r w:rsidRPr="00F71995">
              <w:rPr>
                <w:rFonts w:ascii="Arial" w:hAnsi="Arial" w:cs="Arial"/>
                <w:sz w:val="22"/>
                <w:szCs w:val="22"/>
              </w:rPr>
              <w:t>The species occurs on a pastoral lease which</w:t>
            </w:r>
            <w:r>
              <w:rPr>
                <w:rFonts w:ascii="Arial" w:hAnsi="Arial" w:cs="Arial"/>
                <w:sz w:val="22"/>
                <w:szCs w:val="22"/>
              </w:rPr>
              <w:t xml:space="preserve"> </w:t>
            </w:r>
            <w:r w:rsidR="00AF0F57">
              <w:rPr>
                <w:rFonts w:ascii="Arial" w:hAnsi="Arial" w:cs="Arial"/>
                <w:sz w:val="22"/>
                <w:szCs w:val="22"/>
              </w:rPr>
              <w:t>operated as a sheep station in the early 20</w:t>
            </w:r>
            <w:r w:rsidR="00AF0F57" w:rsidRPr="00AF0F57">
              <w:rPr>
                <w:rFonts w:ascii="Arial" w:hAnsi="Arial" w:cs="Arial"/>
                <w:sz w:val="22"/>
                <w:szCs w:val="22"/>
                <w:vertAlign w:val="superscript"/>
              </w:rPr>
              <w:t>th</w:t>
            </w:r>
            <w:r w:rsidR="00AF0F57">
              <w:rPr>
                <w:rFonts w:ascii="Arial" w:hAnsi="Arial" w:cs="Arial"/>
                <w:sz w:val="22"/>
                <w:szCs w:val="22"/>
              </w:rPr>
              <w:t xml:space="preserve"> century</w:t>
            </w:r>
            <w:r w:rsidR="00A25984">
              <w:rPr>
                <w:rFonts w:ascii="Arial" w:hAnsi="Arial" w:cs="Arial"/>
                <w:sz w:val="22"/>
                <w:szCs w:val="22"/>
              </w:rPr>
              <w:t xml:space="preserve">. </w:t>
            </w:r>
            <w:r w:rsidR="00A25984" w:rsidRPr="004438D2">
              <w:rPr>
                <w:rFonts w:ascii="Arial" w:hAnsi="Arial" w:cs="Arial"/>
                <w:sz w:val="22"/>
                <w:szCs w:val="22"/>
              </w:rPr>
              <w:t>This species occurs on gypseous soils, which are very fragile and prone to erosion following disturbance</w:t>
            </w:r>
            <w:r w:rsidR="00BB5CDB">
              <w:rPr>
                <w:rFonts w:ascii="Arial" w:hAnsi="Arial" w:cs="Arial"/>
                <w:sz w:val="22"/>
                <w:szCs w:val="22"/>
              </w:rPr>
              <w:t xml:space="preserve"> </w:t>
            </w:r>
            <w:r w:rsidR="00BB5CDB" w:rsidRPr="004438D2">
              <w:rPr>
                <w:rFonts w:ascii="Arial" w:hAnsi="Arial" w:cs="Arial"/>
                <w:sz w:val="22"/>
                <w:szCs w:val="22"/>
              </w:rPr>
              <w:t>(DEH, 2009)</w:t>
            </w:r>
            <w:r w:rsidR="00AF0F57">
              <w:rPr>
                <w:rFonts w:ascii="Arial" w:hAnsi="Arial" w:cs="Arial"/>
                <w:sz w:val="22"/>
                <w:szCs w:val="22"/>
              </w:rPr>
              <w:t>.</w:t>
            </w:r>
          </w:p>
        </w:tc>
      </w:tr>
      <w:tr w:rsidR="00ED087E" w:rsidTr="00BB5CDB">
        <w:tc>
          <w:tcPr>
            <w:tcW w:w="1562" w:type="dxa"/>
          </w:tcPr>
          <w:p w:rsidR="00ED087E" w:rsidRPr="005C77DB" w:rsidRDefault="006C7240" w:rsidP="00ED087E">
            <w:pPr>
              <w:rPr>
                <w:rFonts w:ascii="Arial" w:hAnsi="Arial" w:cs="Arial"/>
                <w:sz w:val="22"/>
                <w:szCs w:val="22"/>
              </w:rPr>
            </w:pPr>
            <w:r>
              <w:rPr>
                <w:rFonts w:ascii="Arial" w:hAnsi="Arial" w:cs="Arial"/>
                <w:sz w:val="22"/>
                <w:szCs w:val="22"/>
              </w:rPr>
              <w:t>I</w:t>
            </w:r>
            <w:r w:rsidRPr="006C7240">
              <w:rPr>
                <w:rFonts w:ascii="Arial" w:hAnsi="Arial" w:cs="Arial"/>
                <w:sz w:val="22"/>
                <w:szCs w:val="22"/>
              </w:rPr>
              <w:t xml:space="preserve">llegal </w:t>
            </w:r>
            <w:r>
              <w:rPr>
                <w:rFonts w:ascii="Arial" w:hAnsi="Arial" w:cs="Arial"/>
                <w:sz w:val="22"/>
                <w:szCs w:val="22"/>
              </w:rPr>
              <w:t>c</w:t>
            </w:r>
            <w:r w:rsidR="00ED087E">
              <w:rPr>
                <w:rFonts w:ascii="Arial" w:hAnsi="Arial" w:cs="Arial"/>
                <w:sz w:val="22"/>
                <w:szCs w:val="22"/>
              </w:rPr>
              <w:t xml:space="preserve">ollection by </w:t>
            </w:r>
            <w:r w:rsidR="00ED087E" w:rsidRPr="00ED087E">
              <w:rPr>
                <w:rFonts w:ascii="Arial" w:hAnsi="Arial" w:cs="Arial"/>
                <w:sz w:val="22"/>
                <w:szCs w:val="22"/>
              </w:rPr>
              <w:t>wildflower enthusiasts and horticulturalists</w:t>
            </w:r>
          </w:p>
        </w:tc>
        <w:tc>
          <w:tcPr>
            <w:tcW w:w="1276" w:type="dxa"/>
          </w:tcPr>
          <w:p w:rsidR="00ED087E" w:rsidRDefault="00ED087E" w:rsidP="00BB5CDB">
            <w:pPr>
              <w:rPr>
                <w:rFonts w:ascii="Arial" w:hAnsi="Arial" w:cs="Arial"/>
                <w:sz w:val="22"/>
                <w:szCs w:val="22"/>
              </w:rPr>
            </w:pPr>
            <w:r>
              <w:rPr>
                <w:rFonts w:ascii="Arial" w:hAnsi="Arial" w:cs="Arial"/>
                <w:sz w:val="22"/>
                <w:szCs w:val="22"/>
              </w:rPr>
              <w:t>potential</w:t>
            </w:r>
          </w:p>
        </w:tc>
        <w:tc>
          <w:tcPr>
            <w:tcW w:w="1381" w:type="dxa"/>
          </w:tcPr>
          <w:p w:rsidR="00ED087E" w:rsidRPr="001A2E1E" w:rsidRDefault="00ED087E" w:rsidP="00BB5CDB">
            <w:pPr>
              <w:rPr>
                <w:rFonts w:ascii="Arial" w:hAnsi="Arial" w:cs="Arial"/>
                <w:sz w:val="22"/>
                <w:szCs w:val="22"/>
              </w:rPr>
            </w:pPr>
            <w:r>
              <w:rPr>
                <w:rFonts w:ascii="Arial" w:hAnsi="Arial" w:cs="Arial"/>
                <w:sz w:val="22"/>
                <w:szCs w:val="22"/>
              </w:rPr>
              <w:t>current</w:t>
            </w:r>
          </w:p>
        </w:tc>
        <w:tc>
          <w:tcPr>
            <w:tcW w:w="4961" w:type="dxa"/>
          </w:tcPr>
          <w:p w:rsidR="00ED087E" w:rsidRDefault="000D00FE" w:rsidP="00DA6201">
            <w:pPr>
              <w:rPr>
                <w:rFonts w:ascii="Arial" w:hAnsi="Arial" w:cs="Arial"/>
                <w:sz w:val="22"/>
                <w:szCs w:val="22"/>
              </w:rPr>
            </w:pPr>
            <w:r>
              <w:rPr>
                <w:rFonts w:ascii="Arial" w:hAnsi="Arial" w:cs="Arial"/>
                <w:sz w:val="22"/>
                <w:szCs w:val="22"/>
              </w:rPr>
              <w:t>No evidence of this currently occurring but considered a potential threat to this species given the species occurs in public areas.</w:t>
            </w:r>
          </w:p>
        </w:tc>
      </w:tr>
      <w:tr w:rsidR="00BB5CDB" w:rsidTr="00BB5CDB">
        <w:tc>
          <w:tcPr>
            <w:tcW w:w="1562" w:type="dxa"/>
          </w:tcPr>
          <w:p w:rsidR="00BB5CDB" w:rsidRPr="005C77DB" w:rsidRDefault="00BB5CDB" w:rsidP="00BB5CDB">
            <w:pPr>
              <w:rPr>
                <w:rFonts w:ascii="Arial" w:hAnsi="Arial" w:cs="Arial"/>
                <w:sz w:val="22"/>
                <w:szCs w:val="22"/>
              </w:rPr>
            </w:pPr>
            <w:r w:rsidRPr="005C77DB">
              <w:rPr>
                <w:rFonts w:ascii="Arial" w:hAnsi="Arial" w:cs="Arial"/>
                <w:sz w:val="22"/>
                <w:szCs w:val="22"/>
              </w:rPr>
              <w:t>Mining</w:t>
            </w:r>
          </w:p>
        </w:tc>
        <w:tc>
          <w:tcPr>
            <w:tcW w:w="1276" w:type="dxa"/>
          </w:tcPr>
          <w:p w:rsidR="00BB5CDB" w:rsidRPr="001A2E1E" w:rsidRDefault="00C86A14" w:rsidP="00BB5CDB">
            <w:pPr>
              <w:rPr>
                <w:rFonts w:ascii="Arial" w:hAnsi="Arial" w:cs="Arial"/>
                <w:sz w:val="22"/>
                <w:szCs w:val="22"/>
              </w:rPr>
            </w:pPr>
            <w:r>
              <w:rPr>
                <w:rFonts w:ascii="Arial" w:hAnsi="Arial" w:cs="Arial"/>
                <w:sz w:val="22"/>
                <w:szCs w:val="22"/>
              </w:rPr>
              <w:t>potential</w:t>
            </w:r>
          </w:p>
        </w:tc>
        <w:tc>
          <w:tcPr>
            <w:tcW w:w="1381" w:type="dxa"/>
          </w:tcPr>
          <w:p w:rsidR="00BB5CDB" w:rsidRPr="001A2E1E" w:rsidRDefault="00BB5CDB" w:rsidP="00BB5CDB">
            <w:pPr>
              <w:rPr>
                <w:rFonts w:ascii="Arial" w:hAnsi="Arial" w:cs="Arial"/>
                <w:sz w:val="22"/>
                <w:szCs w:val="22"/>
              </w:rPr>
            </w:pPr>
            <w:r w:rsidRPr="001A2E1E">
              <w:rPr>
                <w:rFonts w:ascii="Arial" w:hAnsi="Arial" w:cs="Arial"/>
                <w:sz w:val="22"/>
                <w:szCs w:val="22"/>
              </w:rPr>
              <w:t>current</w:t>
            </w:r>
          </w:p>
        </w:tc>
        <w:tc>
          <w:tcPr>
            <w:tcW w:w="4961" w:type="dxa"/>
          </w:tcPr>
          <w:p w:rsidR="00BB5CDB" w:rsidRPr="00C503C4" w:rsidRDefault="00C86A14" w:rsidP="00DA6201">
            <w:pPr>
              <w:rPr>
                <w:rFonts w:ascii="Arial" w:hAnsi="Arial" w:cs="Arial"/>
                <w:sz w:val="22"/>
                <w:szCs w:val="22"/>
              </w:rPr>
            </w:pPr>
            <w:r>
              <w:rPr>
                <w:rFonts w:ascii="Arial" w:hAnsi="Arial" w:cs="Arial"/>
                <w:sz w:val="22"/>
                <w:szCs w:val="22"/>
              </w:rPr>
              <w:t>There is currently no evidence of the species being directly affected by mining or exploration activities. However, t</w:t>
            </w:r>
            <w:r w:rsidR="00DA6201">
              <w:rPr>
                <w:rFonts w:ascii="Arial" w:hAnsi="Arial" w:cs="Arial"/>
                <w:sz w:val="22"/>
                <w:szCs w:val="22"/>
              </w:rPr>
              <w:t xml:space="preserve">here are both coal and shale oil licences that occur across the whole of the </w:t>
            </w:r>
            <w:proofErr w:type="spellStart"/>
            <w:r w:rsidR="00DA6201" w:rsidRPr="00DA6201">
              <w:rPr>
                <w:rFonts w:ascii="Arial" w:hAnsi="Arial" w:cs="Arial"/>
                <w:sz w:val="22"/>
                <w:szCs w:val="22"/>
              </w:rPr>
              <w:t>Arckaringa</w:t>
            </w:r>
            <w:proofErr w:type="spellEnd"/>
            <w:r w:rsidR="00DA6201" w:rsidRPr="00DA6201">
              <w:rPr>
                <w:rFonts w:ascii="Arial" w:hAnsi="Arial" w:cs="Arial"/>
                <w:sz w:val="22"/>
                <w:szCs w:val="22"/>
              </w:rPr>
              <w:t xml:space="preserve"> </w:t>
            </w:r>
            <w:r w:rsidR="00DA6201">
              <w:rPr>
                <w:rFonts w:ascii="Arial" w:hAnsi="Arial" w:cs="Arial"/>
                <w:sz w:val="22"/>
                <w:szCs w:val="22"/>
              </w:rPr>
              <w:t xml:space="preserve">Basin which includes the </w:t>
            </w:r>
            <w:proofErr w:type="spellStart"/>
            <w:r w:rsidR="00DA6201" w:rsidRPr="00DA6201">
              <w:rPr>
                <w:rFonts w:ascii="Arial" w:hAnsi="Arial" w:cs="Arial"/>
                <w:sz w:val="22"/>
                <w:szCs w:val="22"/>
              </w:rPr>
              <w:t>Arckaringa</w:t>
            </w:r>
            <w:proofErr w:type="spellEnd"/>
            <w:r w:rsidR="00DA6201" w:rsidRPr="00DA6201">
              <w:rPr>
                <w:rFonts w:ascii="Arial" w:hAnsi="Arial" w:cs="Arial"/>
                <w:sz w:val="22"/>
                <w:szCs w:val="22"/>
              </w:rPr>
              <w:t xml:space="preserve"> </w:t>
            </w:r>
            <w:r w:rsidR="00DA6201">
              <w:rPr>
                <w:rFonts w:ascii="Arial" w:hAnsi="Arial" w:cs="Arial"/>
                <w:sz w:val="22"/>
                <w:szCs w:val="22"/>
              </w:rPr>
              <w:t xml:space="preserve">Hills where this species is found. </w:t>
            </w:r>
          </w:p>
        </w:tc>
      </w:tr>
    </w:tbl>
    <w:p w:rsidR="00C90335" w:rsidRPr="004438D2" w:rsidRDefault="00C90335" w:rsidP="00C90335">
      <w:pPr>
        <w:spacing w:after="240"/>
        <w:rPr>
          <w:rFonts w:ascii="Arial" w:hAnsi="Arial" w:cs="Arial"/>
          <w:sz w:val="22"/>
          <w:szCs w:val="22"/>
        </w:rPr>
      </w:pPr>
    </w:p>
    <w:p w:rsidR="00F328C0" w:rsidRDefault="002939A8" w:rsidP="002B2B88">
      <w:pPr>
        <w:pStyle w:val="CAmajorheading"/>
      </w:pPr>
      <w:r w:rsidRPr="003F4D21">
        <w:t>Assessment of available information</w:t>
      </w:r>
      <w:r w:rsidR="0009403D" w:rsidRPr="003F4D21">
        <w:t xml:space="preserve"> in relation to the EPBC Act C</w:t>
      </w:r>
      <w:r w:rsidR="003445DF" w:rsidRPr="003F4D21">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C965E5"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C965E5" w:rsidP="003F4D21">
            <w:pPr>
              <w:tabs>
                <w:tab w:val="left" w:pos="459"/>
              </w:tabs>
              <w:spacing w:after="240"/>
              <w:ind w:left="1927" w:hanging="425"/>
              <w:rPr>
                <w:rFonts w:ascii="Arial" w:hAnsi="Arial" w:cs="Arial"/>
                <w:sz w:val="18"/>
                <w:szCs w:val="18"/>
              </w:rPr>
            </w:pPr>
            <w:r w:rsidRPr="00C965E5">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6A5E5D" w:rsidRPr="00CE7C59" w:rsidRDefault="006A5E5D"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rsidR="003F4D21" w:rsidRDefault="003F4D21" w:rsidP="001803F5">
      <w:pPr>
        <w:pStyle w:val="CAIntextheading1"/>
      </w:pPr>
      <w:r w:rsidRPr="001973B5">
        <w:t>Evidence</w:t>
      </w:r>
      <w:r>
        <w:t>:</w:t>
      </w:r>
    </w:p>
    <w:p w:rsidR="0076289F" w:rsidRDefault="0076289F" w:rsidP="002B2B88">
      <w:pPr>
        <w:pStyle w:val="CAText"/>
      </w:pPr>
      <w:r>
        <w:t>The total population size for this species is estimated to be less than 200 plants</w:t>
      </w:r>
      <w:r w:rsidR="00D72AC1">
        <w:t xml:space="preserve"> (Lang, 2008)</w:t>
      </w:r>
      <w:r w:rsidR="00FF2B3A">
        <w:t>. There are</w:t>
      </w:r>
      <w:r>
        <w:t xml:space="preserve"> currently no data available to indicate if there has been an increase in population size or a very severe, severe or substantial reduction in the population size of the species over any relevant time frame.</w:t>
      </w:r>
    </w:p>
    <w:p w:rsidR="005501BC" w:rsidRPr="00F14B25" w:rsidRDefault="0076289F" w:rsidP="0076289F">
      <w:pPr>
        <w:pStyle w:val="CAText"/>
      </w:pPr>
      <w:r>
        <w:t xml:space="preserve">The data presented above </w:t>
      </w:r>
      <w:r w:rsidRPr="003659B1">
        <w:t>appear</w:t>
      </w:r>
      <w:r w:rsidR="00E5556B">
        <w:t>s</w:t>
      </w:r>
      <w:r w:rsidRPr="003659B1">
        <w:t xml:space="preserve"> to </w:t>
      </w:r>
      <w:r>
        <w:t xml:space="preserve">be insufficient to </w:t>
      </w:r>
      <w:r w:rsidRPr="003659B1">
        <w:t xml:space="preserve">demonstrate </w:t>
      </w:r>
      <w:r>
        <w:t xml:space="preserve">if </w:t>
      </w:r>
      <w:r w:rsidRPr="003659B1">
        <w:t xml:space="preserve">the species is </w:t>
      </w:r>
      <w:r w:rsidRPr="00064A65">
        <w:rPr>
          <w:bCs/>
        </w:rPr>
        <w:t xml:space="preserve">eligible for listing </w:t>
      </w:r>
      <w:r w:rsidRPr="003659B1">
        <w:t xml:space="preserve">under this criterion. However, the purpose of this consultation </w:t>
      </w:r>
      <w:r>
        <w:t>document</w:t>
      </w:r>
      <w:r w:rsidRPr="003659B1">
        <w:t xml:space="preserve"> is to elicit additional information to better understand the species</w:t>
      </w:r>
      <w:r>
        <w:t>’</w:t>
      </w:r>
      <w:r w:rsidRPr="003659B1">
        <w:t xml:space="preserve"> status. This conclusion should therefore be considered to be tentative at this stage, as it may be changed as a result of responses to this consultation process</w:t>
      </w:r>
      <w:r>
        <w:t>.</w:t>
      </w: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1803F5">
      <w:pPr>
        <w:pStyle w:val="CAIntextheading1"/>
      </w:pPr>
      <w:r w:rsidRPr="009975EA">
        <w:t>Evidence</w:t>
      </w:r>
      <w:r>
        <w:t>:</w:t>
      </w:r>
    </w:p>
    <w:p w:rsidR="00302CF3" w:rsidRDefault="008D4D5E" w:rsidP="004A56EA">
      <w:pPr>
        <w:rPr>
          <w:rFonts w:ascii="Arial" w:hAnsi="Arial"/>
          <w:sz w:val="22"/>
        </w:rPr>
      </w:pPr>
      <w:r w:rsidRPr="003B33DF">
        <w:rPr>
          <w:rFonts w:ascii="Arial" w:hAnsi="Arial" w:cs="Arial"/>
          <w:iCs/>
          <w:sz w:val="22"/>
          <w:szCs w:val="22"/>
        </w:rPr>
        <w:t xml:space="preserve">Based on 2 x 2 km grid cells, the scale recommended for assessing </w:t>
      </w:r>
      <w:r>
        <w:rPr>
          <w:rFonts w:ascii="Arial" w:hAnsi="Arial" w:cs="Arial"/>
          <w:iCs/>
          <w:sz w:val="22"/>
          <w:szCs w:val="22"/>
        </w:rPr>
        <w:t xml:space="preserve">geographic distribution </w:t>
      </w:r>
      <w:r w:rsidRPr="003B33DF">
        <w:rPr>
          <w:rFonts w:ascii="Arial" w:hAnsi="Arial" w:cs="Arial"/>
          <w:iCs/>
          <w:sz w:val="22"/>
          <w:szCs w:val="22"/>
        </w:rPr>
        <w:t xml:space="preserve">by </w:t>
      </w:r>
      <w:r>
        <w:rPr>
          <w:rFonts w:ascii="Arial" w:hAnsi="Arial" w:cs="Arial"/>
          <w:iCs/>
          <w:sz w:val="22"/>
          <w:szCs w:val="22"/>
        </w:rPr>
        <w:t xml:space="preserve">the </w:t>
      </w:r>
      <w:r w:rsidRPr="003B33DF">
        <w:rPr>
          <w:rFonts w:ascii="Arial" w:hAnsi="Arial" w:cs="Arial"/>
          <w:iCs/>
          <w:sz w:val="22"/>
          <w:szCs w:val="22"/>
        </w:rPr>
        <w:t>IUCN</w:t>
      </w:r>
      <w:r>
        <w:rPr>
          <w:rFonts w:ascii="Arial" w:hAnsi="Arial" w:cs="Arial"/>
          <w:iCs/>
          <w:sz w:val="22"/>
          <w:szCs w:val="22"/>
        </w:rPr>
        <w:t xml:space="preserve"> (</w:t>
      </w:r>
      <w:r>
        <w:rPr>
          <w:rFonts w:ascii="Arial" w:hAnsi="Arial" w:cs="Arial"/>
          <w:sz w:val="22"/>
          <w:szCs w:val="22"/>
        </w:rPr>
        <w:t>IUCN, 2014)</w:t>
      </w:r>
      <w:r w:rsidRPr="003B33DF">
        <w:rPr>
          <w:rFonts w:ascii="Arial" w:hAnsi="Arial" w:cs="Arial"/>
          <w:iCs/>
          <w:sz w:val="22"/>
          <w:szCs w:val="22"/>
        </w:rPr>
        <w:t>,</w:t>
      </w:r>
      <w:r>
        <w:rPr>
          <w:rFonts w:ascii="Arial" w:hAnsi="Arial" w:cs="Arial"/>
          <w:iCs/>
          <w:sz w:val="22"/>
          <w:szCs w:val="22"/>
        </w:rPr>
        <w:t xml:space="preserve"> </w:t>
      </w:r>
      <w:r w:rsidRPr="003B33DF">
        <w:rPr>
          <w:rFonts w:ascii="Arial" w:hAnsi="Arial" w:cs="Arial"/>
          <w:iCs/>
          <w:sz w:val="22"/>
          <w:szCs w:val="22"/>
        </w:rPr>
        <w:t>the species’ area of occupancy ha</w:t>
      </w:r>
      <w:r>
        <w:rPr>
          <w:rFonts w:ascii="Arial" w:hAnsi="Arial" w:cs="Arial"/>
          <w:iCs/>
          <w:sz w:val="22"/>
          <w:szCs w:val="22"/>
        </w:rPr>
        <w:t>s</w:t>
      </w:r>
      <w:r w:rsidRPr="003B33DF">
        <w:rPr>
          <w:rFonts w:ascii="Arial" w:hAnsi="Arial" w:cs="Arial"/>
          <w:iCs/>
          <w:sz w:val="22"/>
          <w:szCs w:val="22"/>
        </w:rPr>
        <w:t xml:space="preserve"> been estimated to be</w:t>
      </w:r>
      <w:r w:rsidRPr="009B782D">
        <w:rPr>
          <w:rFonts w:ascii="Arial" w:hAnsi="Arial" w:cs="Arial"/>
          <w:iCs/>
          <w:color w:val="000000"/>
          <w:sz w:val="22"/>
          <w:szCs w:val="22"/>
          <w:lang w:eastAsia="en-AU"/>
        </w:rPr>
        <w:t xml:space="preserve"> </w:t>
      </w:r>
      <w:r>
        <w:rPr>
          <w:rFonts w:ascii="Arial" w:hAnsi="Arial" w:cs="Arial"/>
          <w:iCs/>
          <w:color w:val="000000"/>
          <w:sz w:val="22"/>
          <w:szCs w:val="22"/>
          <w:lang w:eastAsia="en-AU"/>
        </w:rPr>
        <w:t>4</w:t>
      </w:r>
      <w:r w:rsidRPr="004C443E">
        <w:rPr>
          <w:rFonts w:ascii="Arial" w:hAnsi="Arial" w:cs="Arial"/>
          <w:color w:val="000000"/>
          <w:sz w:val="22"/>
          <w:szCs w:val="22"/>
          <w:lang w:eastAsia="en-AU"/>
        </w:rPr>
        <w:t xml:space="preserve"> km</w:t>
      </w:r>
      <w:r w:rsidRPr="004C443E">
        <w:rPr>
          <w:rFonts w:ascii="Arial" w:hAnsi="Arial" w:cs="Arial"/>
          <w:color w:val="000000"/>
          <w:sz w:val="22"/>
          <w:szCs w:val="22"/>
          <w:vertAlign w:val="superscript"/>
          <w:lang w:eastAsia="en-AU"/>
        </w:rPr>
        <w:t>2</w:t>
      </w:r>
      <w:r>
        <w:rPr>
          <w:rFonts w:ascii="Arial" w:hAnsi="Arial" w:cs="Arial"/>
          <w:color w:val="000000"/>
          <w:sz w:val="22"/>
          <w:szCs w:val="22"/>
          <w:lang w:eastAsia="en-AU"/>
        </w:rPr>
        <w:t xml:space="preserve">, </w:t>
      </w:r>
      <w:r>
        <w:rPr>
          <w:rFonts w:ascii="Arial" w:hAnsi="Arial" w:cs="Arial"/>
          <w:sz w:val="22"/>
          <w:szCs w:val="22"/>
        </w:rPr>
        <w:t>and the extent of occurrence is estimated to be 4 km</w:t>
      </w:r>
      <w:r w:rsidRPr="00985C77">
        <w:rPr>
          <w:rFonts w:ascii="Arial" w:hAnsi="Arial" w:cs="Arial"/>
          <w:sz w:val="22"/>
          <w:szCs w:val="22"/>
          <w:vertAlign w:val="superscript"/>
        </w:rPr>
        <w:t>2</w:t>
      </w:r>
      <w:r>
        <w:rPr>
          <w:rFonts w:ascii="Arial" w:hAnsi="Arial" w:cs="Arial"/>
          <w:sz w:val="22"/>
          <w:szCs w:val="22"/>
        </w:rPr>
        <w:t xml:space="preserve">, </w:t>
      </w:r>
      <w:r>
        <w:rPr>
          <w:rFonts w:ascii="Arial" w:hAnsi="Arial" w:cs="Arial"/>
          <w:color w:val="000000"/>
          <w:sz w:val="22"/>
          <w:szCs w:val="22"/>
          <w:lang w:eastAsia="en-AU"/>
        </w:rPr>
        <w:t xml:space="preserve">which is very restricted </w:t>
      </w:r>
      <w:r>
        <w:rPr>
          <w:rFonts w:ascii="Arial" w:hAnsi="Arial" w:cs="Arial"/>
          <w:sz w:val="22"/>
          <w:szCs w:val="22"/>
        </w:rPr>
        <w:t>(Department of the Environment, 2015)</w:t>
      </w:r>
      <w:r w:rsidRPr="004C443E">
        <w:rPr>
          <w:rFonts w:ascii="Arial" w:hAnsi="Arial" w:cs="Arial"/>
          <w:color w:val="000000"/>
          <w:sz w:val="22"/>
          <w:szCs w:val="22"/>
          <w:lang w:eastAsia="en-AU"/>
        </w:rPr>
        <w:t>.</w:t>
      </w:r>
      <w:r w:rsidR="004A56EA">
        <w:rPr>
          <w:rFonts w:ascii="Arial" w:hAnsi="Arial" w:cs="Arial"/>
          <w:color w:val="000000"/>
          <w:sz w:val="22"/>
          <w:szCs w:val="22"/>
          <w:lang w:eastAsia="en-AU"/>
        </w:rPr>
        <w:t xml:space="preserve"> </w:t>
      </w:r>
      <w:r w:rsidR="00294A58">
        <w:rPr>
          <w:rFonts w:ascii="Arial" w:hAnsi="Arial"/>
          <w:sz w:val="22"/>
        </w:rPr>
        <w:t>T</w:t>
      </w:r>
      <w:r w:rsidR="00302CF3">
        <w:rPr>
          <w:rFonts w:ascii="Arial" w:hAnsi="Arial"/>
          <w:sz w:val="22"/>
        </w:rPr>
        <w:t xml:space="preserve">he species is only known from one location. </w:t>
      </w:r>
      <w:r w:rsidR="00A2463F">
        <w:rPr>
          <w:rFonts w:ascii="Arial" w:hAnsi="Arial"/>
          <w:sz w:val="22"/>
        </w:rPr>
        <w:t>Given this species occurs on private land</w:t>
      </w:r>
      <w:r w:rsidR="00A303FB">
        <w:rPr>
          <w:rFonts w:ascii="Arial" w:hAnsi="Arial"/>
          <w:sz w:val="22"/>
        </w:rPr>
        <w:t>,</w:t>
      </w:r>
      <w:r w:rsidR="00F22301">
        <w:rPr>
          <w:rFonts w:ascii="Arial" w:hAnsi="Arial"/>
          <w:sz w:val="22"/>
        </w:rPr>
        <w:t xml:space="preserve"> at a single location and that </w:t>
      </w:r>
      <w:r w:rsidR="00F03A37">
        <w:rPr>
          <w:rFonts w:ascii="Arial" w:hAnsi="Arial"/>
          <w:sz w:val="22"/>
        </w:rPr>
        <w:t xml:space="preserve">it </w:t>
      </w:r>
      <w:r w:rsidR="00A2463F">
        <w:rPr>
          <w:rFonts w:ascii="Arial" w:hAnsi="Arial"/>
          <w:sz w:val="22"/>
        </w:rPr>
        <w:t>is subject to a variety of threats as described in Table 1 above</w:t>
      </w:r>
      <w:r w:rsidR="000311E4">
        <w:rPr>
          <w:rFonts w:ascii="Arial" w:hAnsi="Arial"/>
          <w:sz w:val="22"/>
        </w:rPr>
        <w:t>,</w:t>
      </w:r>
      <w:r w:rsidR="00A2463F">
        <w:rPr>
          <w:rFonts w:ascii="Arial" w:hAnsi="Arial"/>
          <w:sz w:val="22"/>
        </w:rPr>
        <w:t xml:space="preserve"> it can be inferred</w:t>
      </w:r>
      <w:r w:rsidR="000311E4">
        <w:rPr>
          <w:rFonts w:ascii="Arial" w:hAnsi="Arial"/>
          <w:sz w:val="22"/>
        </w:rPr>
        <w:t xml:space="preserve"> that there will be a further decline in the extent of occurrence</w:t>
      </w:r>
      <w:r w:rsidR="00D14FB1">
        <w:rPr>
          <w:rFonts w:ascii="Arial" w:hAnsi="Arial"/>
          <w:sz w:val="22"/>
        </w:rPr>
        <w:t>,</w:t>
      </w:r>
      <w:r w:rsidR="000311E4" w:rsidRPr="00302CF3">
        <w:rPr>
          <w:rFonts w:ascii="Arial" w:hAnsi="Arial"/>
          <w:sz w:val="22"/>
        </w:rPr>
        <w:t xml:space="preserve"> area of occupancy</w:t>
      </w:r>
      <w:r w:rsidR="00D14FB1">
        <w:rPr>
          <w:rFonts w:ascii="Arial" w:hAnsi="Arial"/>
          <w:sz w:val="22"/>
        </w:rPr>
        <w:t xml:space="preserve"> and number of mature individuals. </w:t>
      </w:r>
    </w:p>
    <w:p w:rsidR="00973361" w:rsidRPr="004A56EA" w:rsidRDefault="00973361" w:rsidP="004A56EA">
      <w:pPr>
        <w:rPr>
          <w:rFonts w:ascii="Arial" w:hAnsi="Arial" w:cs="Arial"/>
          <w:color w:val="000000"/>
          <w:sz w:val="22"/>
          <w:szCs w:val="22"/>
          <w:lang w:eastAsia="en-AU"/>
        </w:rPr>
      </w:pPr>
    </w:p>
    <w:p w:rsidR="004F6E9D" w:rsidRDefault="004F6E9D" w:rsidP="004F6E9D">
      <w:pPr>
        <w:spacing w:after="240"/>
        <w:rPr>
          <w:rFonts w:ascii="Arial" w:hAnsi="Arial" w:cs="Arial"/>
          <w:sz w:val="22"/>
          <w:szCs w:val="22"/>
        </w:rPr>
      </w:pPr>
      <w:r w:rsidRPr="003659B1">
        <w:rPr>
          <w:rFonts w:ascii="Arial" w:hAnsi="Arial" w:cs="Arial"/>
          <w:sz w:val="22"/>
          <w:szCs w:val="22"/>
        </w:rPr>
        <w:t>The data presented above appear</w:t>
      </w:r>
      <w:r w:rsidR="00E5556B">
        <w:rPr>
          <w:rFonts w:ascii="Arial" w:hAnsi="Arial" w:cs="Arial"/>
          <w:sz w:val="22"/>
          <w:szCs w:val="22"/>
        </w:rPr>
        <w:t>s</w:t>
      </w:r>
      <w:r w:rsidRPr="003659B1">
        <w:rPr>
          <w:rFonts w:ascii="Arial" w:hAnsi="Arial" w:cs="Arial"/>
          <w:sz w:val="22"/>
          <w:szCs w:val="22"/>
        </w:rPr>
        <w:t xml:space="preserve"> to demonstrate that the species is </w:t>
      </w:r>
      <w:r w:rsidRPr="003659B1">
        <w:rPr>
          <w:rFonts w:ascii="Arial" w:hAnsi="Arial" w:cs="Arial"/>
          <w:b/>
          <w:bCs/>
          <w:sz w:val="22"/>
          <w:szCs w:val="22"/>
        </w:rPr>
        <w:t xml:space="preserve">eligible for listing as </w:t>
      </w:r>
      <w:r w:rsidR="00CB1E47">
        <w:rPr>
          <w:rFonts w:ascii="Arial" w:hAnsi="Arial" w:cs="Arial"/>
          <w:b/>
          <w:bCs/>
          <w:sz w:val="22"/>
          <w:szCs w:val="22"/>
        </w:rPr>
        <w:t>Critically 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C55755">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C55755" w:rsidRDefault="00C55755" w:rsidP="001803F5">
      <w:pPr>
        <w:pStyle w:val="CAIntextheading1"/>
      </w:pPr>
      <w:r w:rsidRPr="001973B5">
        <w:t>Evidence</w:t>
      </w:r>
      <w:r>
        <w:t>:</w:t>
      </w:r>
    </w:p>
    <w:p w:rsidR="00D72AC1" w:rsidRPr="00A36072" w:rsidRDefault="00D72AC1" w:rsidP="003F4D21">
      <w:pPr>
        <w:spacing w:after="240"/>
        <w:rPr>
          <w:rFonts w:ascii="Arial" w:hAnsi="Arial" w:cs="Arial"/>
          <w:sz w:val="22"/>
          <w:szCs w:val="22"/>
        </w:rPr>
      </w:pPr>
      <w:r w:rsidRPr="00A36072">
        <w:rPr>
          <w:rFonts w:ascii="Arial" w:hAnsi="Arial" w:cs="Arial"/>
          <w:sz w:val="22"/>
          <w:szCs w:val="22"/>
        </w:rPr>
        <w:t>The total population size for this species is estimated to be less than 200 plants</w:t>
      </w:r>
      <w:r w:rsidR="003332CE">
        <w:rPr>
          <w:rFonts w:ascii="Arial" w:hAnsi="Arial" w:cs="Arial"/>
          <w:sz w:val="22"/>
          <w:szCs w:val="22"/>
        </w:rPr>
        <w:t>,</w:t>
      </w:r>
      <w:r w:rsidR="00A36072">
        <w:rPr>
          <w:rFonts w:ascii="Arial" w:hAnsi="Arial" w:cs="Arial"/>
          <w:sz w:val="22"/>
          <w:szCs w:val="22"/>
        </w:rPr>
        <w:t xml:space="preserve"> which is very low</w:t>
      </w:r>
      <w:r w:rsidRPr="00A36072">
        <w:rPr>
          <w:rFonts w:ascii="Arial" w:hAnsi="Arial" w:cs="Arial"/>
          <w:sz w:val="22"/>
          <w:szCs w:val="22"/>
        </w:rPr>
        <w:t xml:space="preserve"> (Lang, 2008). Given this species occurs on private land and is subject to a variety of threats as described in Table 1 above, it can be inferred that there will be a further decline in the</w:t>
      </w:r>
      <w:r w:rsidR="007C6744" w:rsidRPr="00A36072">
        <w:rPr>
          <w:rFonts w:ascii="Arial" w:hAnsi="Arial" w:cs="Arial"/>
          <w:sz w:val="22"/>
          <w:szCs w:val="22"/>
        </w:rPr>
        <w:t xml:space="preserve"> population size and the number of mature individuals in the only k</w:t>
      </w:r>
      <w:r w:rsidR="00C44B4B">
        <w:rPr>
          <w:rFonts w:ascii="Arial" w:hAnsi="Arial" w:cs="Arial"/>
          <w:sz w:val="22"/>
          <w:szCs w:val="22"/>
        </w:rPr>
        <w:t>nown population of</w:t>
      </w:r>
      <w:r w:rsidR="007C6744" w:rsidRPr="00A36072">
        <w:rPr>
          <w:rFonts w:ascii="Arial" w:hAnsi="Arial" w:cs="Arial"/>
          <w:sz w:val="22"/>
          <w:szCs w:val="22"/>
        </w:rPr>
        <w:t xml:space="preserve"> less than 250 plants.</w:t>
      </w:r>
    </w:p>
    <w:p w:rsidR="004F6E9D" w:rsidRPr="00A36072" w:rsidRDefault="004F6E9D" w:rsidP="004F6E9D">
      <w:pPr>
        <w:spacing w:after="240"/>
        <w:rPr>
          <w:rFonts w:ascii="Arial" w:hAnsi="Arial" w:cs="Arial"/>
          <w:sz w:val="22"/>
          <w:szCs w:val="22"/>
        </w:rPr>
      </w:pPr>
      <w:r w:rsidRPr="00A36072">
        <w:rPr>
          <w:rFonts w:ascii="Arial" w:hAnsi="Arial" w:cs="Arial"/>
          <w:sz w:val="22"/>
          <w:szCs w:val="22"/>
        </w:rPr>
        <w:t>The data presented above appear</w:t>
      </w:r>
      <w:r w:rsidR="00137E55">
        <w:rPr>
          <w:rFonts w:ascii="Arial" w:hAnsi="Arial" w:cs="Arial"/>
          <w:sz w:val="22"/>
          <w:szCs w:val="22"/>
        </w:rPr>
        <w:t>s</w:t>
      </w:r>
      <w:r w:rsidRPr="00A36072">
        <w:rPr>
          <w:rFonts w:ascii="Arial" w:hAnsi="Arial" w:cs="Arial"/>
          <w:sz w:val="22"/>
          <w:szCs w:val="22"/>
        </w:rPr>
        <w:t xml:space="preserve"> to demonstrate that the species is </w:t>
      </w:r>
      <w:r w:rsidRPr="00A36072">
        <w:rPr>
          <w:rFonts w:ascii="Arial" w:hAnsi="Arial" w:cs="Arial"/>
          <w:b/>
          <w:bCs/>
          <w:sz w:val="22"/>
          <w:szCs w:val="22"/>
        </w:rPr>
        <w:t xml:space="preserve">eligible for listing as </w:t>
      </w:r>
      <w:r w:rsidR="007C6744" w:rsidRPr="00A36072">
        <w:rPr>
          <w:rFonts w:ascii="Arial" w:hAnsi="Arial" w:cs="Arial"/>
          <w:b/>
          <w:bCs/>
          <w:sz w:val="22"/>
          <w:szCs w:val="22"/>
        </w:rPr>
        <w:t>Endangered</w:t>
      </w:r>
      <w:r w:rsidRPr="00A36072">
        <w:rPr>
          <w:rFonts w:ascii="Arial" w:hAnsi="Arial" w:cs="Arial"/>
          <w:sz w:val="22"/>
          <w:szCs w:val="22"/>
        </w:rPr>
        <w:t xml:space="preserve"> under this criterion. However, the purpose of this consultation document is to elicit additional information to better understand the species</w:t>
      </w:r>
      <w:r w:rsidR="00C64884" w:rsidRPr="00A36072">
        <w:rPr>
          <w:rFonts w:ascii="Arial" w:hAnsi="Arial" w:cs="Arial"/>
          <w:sz w:val="22"/>
          <w:szCs w:val="22"/>
        </w:rPr>
        <w:t>’</w:t>
      </w:r>
      <w:r w:rsidRPr="00A36072">
        <w:rPr>
          <w:rFonts w:ascii="Arial" w:hAnsi="Arial" w:cs="Arial"/>
          <w:sz w:val="22"/>
          <w:szCs w:val="22"/>
        </w:rPr>
        <w:t xml:space="preserve"> status. This conclusion should therefore be considered to be tentative at this stage, as it may be changed as a result of responses to this consultation process.</w:t>
      </w:r>
    </w:p>
    <w:p w:rsidR="00137E55" w:rsidRDefault="00137E55">
      <w:pPr>
        <w:rPr>
          <w:rFonts w:ascii="Arial" w:hAnsi="Arial"/>
          <w:sz w:val="22"/>
        </w:rPr>
      </w:pPr>
      <w:r>
        <w:rPr>
          <w:rFonts w:ascii="Arial" w:hAnsi="Arial"/>
          <w:sz w:val="22"/>
        </w:rPr>
        <w:br w:type="page"/>
      </w:r>
    </w:p>
    <w:p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Pr="001803F5" w:rsidRDefault="003F4D21" w:rsidP="001803F5">
      <w:pPr>
        <w:pStyle w:val="CAIntextheading1"/>
      </w:pPr>
      <w:r w:rsidRPr="009975EA">
        <w:t>Evidence</w:t>
      </w:r>
      <w:r>
        <w:t>:</w:t>
      </w:r>
    </w:p>
    <w:p w:rsidR="00A36072" w:rsidRDefault="00A36072" w:rsidP="003F4D21">
      <w:pPr>
        <w:spacing w:after="240"/>
        <w:rPr>
          <w:rFonts w:ascii="Arial" w:hAnsi="Arial" w:cs="Arial"/>
          <w:sz w:val="22"/>
          <w:szCs w:val="22"/>
        </w:rPr>
      </w:pPr>
      <w:r w:rsidRPr="00A36072">
        <w:rPr>
          <w:rFonts w:ascii="Arial" w:hAnsi="Arial" w:cs="Arial"/>
          <w:sz w:val="22"/>
          <w:szCs w:val="22"/>
        </w:rPr>
        <w:t>The total population size for this species is estimated to be less than 200 plants</w:t>
      </w:r>
      <w:r w:rsidR="003332CE">
        <w:rPr>
          <w:rFonts w:ascii="Arial" w:hAnsi="Arial" w:cs="Arial"/>
          <w:sz w:val="22"/>
          <w:szCs w:val="22"/>
        </w:rPr>
        <w:t>,</w:t>
      </w:r>
      <w:r w:rsidRPr="00A36072">
        <w:rPr>
          <w:rFonts w:ascii="Arial" w:hAnsi="Arial" w:cs="Arial"/>
          <w:sz w:val="22"/>
          <w:szCs w:val="22"/>
        </w:rPr>
        <w:t xml:space="preserve"> </w:t>
      </w:r>
      <w:r>
        <w:rPr>
          <w:rFonts w:ascii="Arial" w:hAnsi="Arial" w:cs="Arial"/>
          <w:sz w:val="22"/>
          <w:szCs w:val="22"/>
        </w:rPr>
        <w:t xml:space="preserve">which is very low </w:t>
      </w:r>
      <w:r w:rsidRPr="00A36072">
        <w:rPr>
          <w:rFonts w:ascii="Arial" w:hAnsi="Arial" w:cs="Arial"/>
          <w:sz w:val="22"/>
          <w:szCs w:val="22"/>
        </w:rPr>
        <w:t>(Lang, 2008).</w:t>
      </w:r>
    </w:p>
    <w:p w:rsidR="004F6E9D" w:rsidRDefault="004F6E9D" w:rsidP="004F6E9D">
      <w:pPr>
        <w:spacing w:after="240"/>
        <w:rPr>
          <w:rFonts w:ascii="Arial" w:hAnsi="Arial" w:cs="Arial"/>
          <w:sz w:val="22"/>
          <w:szCs w:val="22"/>
        </w:rPr>
      </w:pPr>
      <w:r w:rsidRPr="003659B1">
        <w:rPr>
          <w:rFonts w:ascii="Arial" w:hAnsi="Arial" w:cs="Arial"/>
          <w:sz w:val="22"/>
          <w:szCs w:val="22"/>
        </w:rPr>
        <w:t>The data presented above appear</w:t>
      </w:r>
      <w:r w:rsidR="00137E55">
        <w:rPr>
          <w:rFonts w:ascii="Arial" w:hAnsi="Arial" w:cs="Arial"/>
          <w:sz w:val="22"/>
          <w:szCs w:val="22"/>
        </w:rPr>
        <w:t>s</w:t>
      </w:r>
      <w:r w:rsidRPr="003659B1">
        <w:rPr>
          <w:rFonts w:ascii="Arial" w:hAnsi="Arial" w:cs="Arial"/>
          <w:sz w:val="22"/>
          <w:szCs w:val="22"/>
        </w:rPr>
        <w:t xml:space="preserve"> to demonstrate that the species is </w:t>
      </w:r>
      <w:r w:rsidRPr="003659B1">
        <w:rPr>
          <w:rFonts w:ascii="Arial" w:hAnsi="Arial" w:cs="Arial"/>
          <w:b/>
          <w:bCs/>
          <w:sz w:val="22"/>
          <w:szCs w:val="22"/>
        </w:rPr>
        <w:t xml:space="preserve">eligible for listing as </w:t>
      </w:r>
      <w:r w:rsidR="00A36072">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1803F5">
      <w:pPr>
        <w:pStyle w:val="CAIntextheading1"/>
      </w:pPr>
      <w:r w:rsidRPr="009975EA">
        <w:t>Evidence</w:t>
      </w:r>
      <w:r>
        <w:t>:</w:t>
      </w:r>
    </w:p>
    <w:p w:rsidR="00C45E75" w:rsidRPr="00BE1083" w:rsidRDefault="005416F2" w:rsidP="00063273">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sidR="00137E55">
        <w:rPr>
          <w:rFonts w:ascii="Arial" w:hAnsi="Arial"/>
          <w:sz w:val="22"/>
        </w:rPr>
        <w:t xml:space="preserve"> for this species</w:t>
      </w:r>
      <w:r>
        <w:rPr>
          <w:rFonts w:ascii="Arial" w:hAnsi="Arial"/>
          <w:sz w:val="22"/>
        </w:rPr>
        <w:t>,</w:t>
      </w:r>
      <w:r>
        <w:rPr>
          <w:rFonts w:ascii="Arial" w:hAnsi="Arial" w:cs="Arial"/>
          <w:sz w:val="22"/>
          <w:szCs w:val="22"/>
        </w:rPr>
        <w:t xml:space="preserve"> </w:t>
      </w:r>
      <w:r w:rsidR="00137E55">
        <w:rPr>
          <w:rFonts w:ascii="Arial" w:hAnsi="Arial" w:cs="Arial"/>
          <w:sz w:val="22"/>
          <w:szCs w:val="22"/>
        </w:rPr>
        <w:t xml:space="preserve">therefore </w:t>
      </w:r>
      <w:r>
        <w:rPr>
          <w:rFonts w:ascii="Arial" w:hAnsi="Arial" w:cs="Arial"/>
          <w:sz w:val="22"/>
          <w:szCs w:val="22"/>
        </w:rPr>
        <w:t>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4109D9" w:rsidRPr="00615CF6" w:rsidRDefault="00615CF6" w:rsidP="001803F5">
      <w:pPr>
        <w:pStyle w:val="CAmajorheading"/>
        <w:rPr>
          <w:lang w:eastAsia="en-AU"/>
        </w:rPr>
      </w:pPr>
      <w:r w:rsidRPr="00615CF6">
        <w:rPr>
          <w:lang w:eastAsia="en-AU"/>
        </w:rPr>
        <w:t>Conservation Actions</w:t>
      </w:r>
    </w:p>
    <w:p w:rsidR="00615CF6" w:rsidRPr="00F328C0" w:rsidRDefault="00615CF6" w:rsidP="00FD1B36">
      <w:pPr>
        <w:pStyle w:val="CAIntextheading1"/>
      </w:pPr>
      <w:r w:rsidRPr="00F328C0">
        <w:t>Recovery Plan</w:t>
      </w:r>
    </w:p>
    <w:p w:rsidR="00615CF6" w:rsidRPr="00B030DB" w:rsidRDefault="00615CF6" w:rsidP="00775F96">
      <w:pPr>
        <w:keepNext/>
        <w:keepLines/>
        <w:rPr>
          <w:rFonts w:ascii="Arial" w:hAnsi="Arial" w:cs="Arial"/>
          <w:sz w:val="22"/>
          <w:szCs w:val="22"/>
        </w:rPr>
      </w:pPr>
      <w:r w:rsidRPr="00B030DB">
        <w:rPr>
          <w:rFonts w:ascii="Arial" w:hAnsi="Arial" w:cs="Arial"/>
          <w:sz w:val="22"/>
          <w:szCs w:val="22"/>
        </w:rPr>
        <w:t xml:space="preserve">A decision about whether there should be a recovery plan for this species has not yet been determined. The purpose of this consultation </w:t>
      </w:r>
      <w:r w:rsidR="005416F2" w:rsidRPr="00B030DB">
        <w:rPr>
          <w:rFonts w:ascii="Arial" w:hAnsi="Arial" w:cs="Arial"/>
          <w:sz w:val="22"/>
          <w:szCs w:val="22"/>
        </w:rPr>
        <w:t>document</w:t>
      </w:r>
      <w:r w:rsidRPr="00B030DB">
        <w:rPr>
          <w:rFonts w:ascii="Arial" w:hAnsi="Arial" w:cs="Arial"/>
          <w:sz w:val="22"/>
          <w:szCs w:val="22"/>
        </w:rPr>
        <w:t xml:space="preserve"> is to elicit additional information to help inform this decision. </w:t>
      </w:r>
    </w:p>
    <w:p w:rsidR="00FD1B36" w:rsidRDefault="00FD1B36" w:rsidP="00FD1B36">
      <w:pPr>
        <w:pStyle w:val="CAIntextheading1"/>
      </w:pPr>
      <w:r>
        <w:t>Primary Conservation Actions</w:t>
      </w:r>
    </w:p>
    <w:p w:rsidR="00EC0D56" w:rsidRPr="001924B5" w:rsidRDefault="00EC0D56" w:rsidP="00EC0D56">
      <w:pPr>
        <w:tabs>
          <w:tab w:val="left" w:pos="426"/>
        </w:tabs>
        <w:ind w:left="420" w:hanging="420"/>
        <w:rPr>
          <w:rFonts w:ascii="Arial" w:hAnsi="Arial" w:cs="Arial"/>
          <w:sz w:val="22"/>
          <w:szCs w:val="22"/>
        </w:rPr>
      </w:pPr>
      <w:r w:rsidRPr="001924B5">
        <w:rPr>
          <w:rFonts w:ascii="Arial" w:hAnsi="Arial" w:cs="Arial"/>
          <w:sz w:val="22"/>
          <w:szCs w:val="22"/>
        </w:rPr>
        <w:t>1.</w:t>
      </w:r>
      <w:r w:rsidRPr="001924B5">
        <w:rPr>
          <w:rFonts w:ascii="Arial" w:hAnsi="Arial" w:cs="Arial"/>
          <w:sz w:val="22"/>
          <w:szCs w:val="22"/>
        </w:rPr>
        <w:tab/>
      </w:r>
      <w:r>
        <w:rPr>
          <w:rFonts w:ascii="Arial" w:hAnsi="Arial" w:cs="Arial"/>
          <w:sz w:val="22"/>
          <w:szCs w:val="22"/>
        </w:rPr>
        <w:t xml:space="preserve">Prevent habitat clearing and disturbance. </w:t>
      </w:r>
    </w:p>
    <w:p w:rsidR="00EC0D56" w:rsidRPr="001924B5" w:rsidRDefault="00EC0D56" w:rsidP="00EC0D56">
      <w:pPr>
        <w:tabs>
          <w:tab w:val="left" w:pos="426"/>
        </w:tabs>
        <w:rPr>
          <w:rFonts w:ascii="Arial" w:hAnsi="Arial" w:cs="Arial"/>
          <w:sz w:val="22"/>
          <w:szCs w:val="22"/>
        </w:rPr>
      </w:pPr>
      <w:r w:rsidRPr="001924B5">
        <w:rPr>
          <w:rFonts w:ascii="Arial" w:hAnsi="Arial" w:cs="Arial"/>
          <w:sz w:val="22"/>
          <w:szCs w:val="22"/>
        </w:rPr>
        <w:t>2.</w:t>
      </w:r>
      <w:r w:rsidRPr="001924B5">
        <w:rPr>
          <w:rFonts w:ascii="Arial" w:hAnsi="Arial" w:cs="Arial"/>
          <w:sz w:val="22"/>
          <w:szCs w:val="22"/>
        </w:rPr>
        <w:tab/>
        <w:t xml:space="preserve">Maintain and enhance </w:t>
      </w:r>
      <w:r>
        <w:rPr>
          <w:rFonts w:ascii="Arial" w:hAnsi="Arial" w:cs="Arial"/>
          <w:sz w:val="22"/>
          <w:szCs w:val="22"/>
        </w:rPr>
        <w:t>existing and potential habitat</w:t>
      </w:r>
      <w:r w:rsidRPr="001924B5">
        <w:rPr>
          <w:rFonts w:ascii="Arial" w:hAnsi="Arial" w:cs="Arial"/>
          <w:sz w:val="22"/>
          <w:szCs w:val="22"/>
        </w:rPr>
        <w:t>.</w:t>
      </w:r>
    </w:p>
    <w:p w:rsidR="00EC0D56" w:rsidRDefault="00EC0D56" w:rsidP="00EC0D56">
      <w:pPr>
        <w:pStyle w:val="Normal12pt"/>
        <w:tabs>
          <w:tab w:val="left" w:pos="426"/>
          <w:tab w:val="left" w:pos="1440"/>
          <w:tab w:val="left" w:pos="2160"/>
          <w:tab w:val="left" w:pos="2880"/>
          <w:tab w:val="left" w:pos="3600"/>
          <w:tab w:val="left" w:pos="4320"/>
          <w:tab w:val="left" w:pos="5040"/>
          <w:tab w:val="left" w:pos="5850"/>
        </w:tabs>
        <w:spacing w:after="0"/>
        <w:rPr>
          <w:rFonts w:ascii="Arial" w:hAnsi="Arial" w:cs="Arial"/>
          <w:bCs/>
          <w:sz w:val="22"/>
          <w:szCs w:val="22"/>
          <w:lang w:eastAsia="en-AU"/>
        </w:rPr>
      </w:pPr>
      <w:r>
        <w:rPr>
          <w:rFonts w:ascii="Arial" w:hAnsi="Arial" w:cs="Arial"/>
          <w:bCs/>
          <w:sz w:val="22"/>
          <w:szCs w:val="22"/>
          <w:lang w:eastAsia="en-AU"/>
        </w:rPr>
        <w:t>3</w:t>
      </w:r>
      <w:r w:rsidRPr="001924B5">
        <w:rPr>
          <w:rFonts w:ascii="Arial" w:hAnsi="Arial" w:cs="Arial"/>
          <w:bCs/>
          <w:sz w:val="22"/>
          <w:szCs w:val="22"/>
          <w:lang w:eastAsia="en-AU"/>
        </w:rPr>
        <w:t>.</w:t>
      </w:r>
      <w:r w:rsidRPr="001924B5">
        <w:rPr>
          <w:rFonts w:ascii="Arial" w:hAnsi="Arial" w:cs="Arial"/>
          <w:bCs/>
          <w:sz w:val="22"/>
          <w:szCs w:val="22"/>
          <w:lang w:eastAsia="en-AU"/>
        </w:rPr>
        <w:tab/>
      </w:r>
      <w:r w:rsidRPr="001924B5">
        <w:rPr>
          <w:rFonts w:ascii="Arial" w:hAnsi="Arial" w:cs="Arial"/>
          <w:sz w:val="22"/>
          <w:szCs w:val="22"/>
        </w:rPr>
        <w:t>Enable recovery of addi</w:t>
      </w:r>
      <w:r>
        <w:rPr>
          <w:rFonts w:ascii="Arial" w:hAnsi="Arial" w:cs="Arial"/>
          <w:sz w:val="22"/>
          <w:szCs w:val="22"/>
        </w:rPr>
        <w:t>tional sites and/or populations</w:t>
      </w:r>
      <w:r w:rsidRPr="001924B5">
        <w:rPr>
          <w:rFonts w:ascii="Arial" w:hAnsi="Arial" w:cs="Arial"/>
          <w:bCs/>
          <w:sz w:val="22"/>
          <w:szCs w:val="22"/>
          <w:lang w:eastAsia="en-AU"/>
        </w:rPr>
        <w:t>.</w:t>
      </w:r>
    </w:p>
    <w:p w:rsidR="00EC0D56" w:rsidRPr="001924B5" w:rsidRDefault="00EC0D56" w:rsidP="00EC0D56">
      <w:pPr>
        <w:pStyle w:val="Normal12pt"/>
        <w:tabs>
          <w:tab w:val="left" w:pos="426"/>
          <w:tab w:val="left" w:pos="1440"/>
          <w:tab w:val="left" w:pos="2160"/>
          <w:tab w:val="left" w:pos="2880"/>
          <w:tab w:val="left" w:pos="3600"/>
          <w:tab w:val="left" w:pos="4320"/>
          <w:tab w:val="left" w:pos="5040"/>
          <w:tab w:val="left" w:pos="5850"/>
        </w:tabs>
        <w:spacing w:after="0"/>
        <w:rPr>
          <w:rFonts w:ascii="Arial" w:hAnsi="Arial" w:cs="Arial"/>
          <w:bCs/>
          <w:sz w:val="22"/>
          <w:szCs w:val="22"/>
          <w:lang w:eastAsia="en-AU"/>
        </w:rPr>
      </w:pPr>
      <w:r>
        <w:rPr>
          <w:rFonts w:ascii="Arial" w:hAnsi="Arial" w:cs="Arial"/>
          <w:bCs/>
          <w:sz w:val="22"/>
          <w:szCs w:val="22"/>
          <w:lang w:eastAsia="en-AU"/>
        </w:rPr>
        <w:t>4.</w:t>
      </w:r>
      <w:r>
        <w:rPr>
          <w:rFonts w:ascii="Arial" w:hAnsi="Arial" w:cs="Arial"/>
          <w:bCs/>
          <w:sz w:val="22"/>
          <w:szCs w:val="22"/>
          <w:lang w:eastAsia="en-AU"/>
        </w:rPr>
        <w:tab/>
        <w:t xml:space="preserve">Effectively </w:t>
      </w:r>
      <w:r w:rsidRPr="001924B5">
        <w:rPr>
          <w:rFonts w:ascii="Arial" w:hAnsi="Arial" w:cs="Arial"/>
          <w:bCs/>
          <w:sz w:val="22"/>
          <w:szCs w:val="22"/>
          <w:lang w:eastAsia="en-AU"/>
        </w:rPr>
        <w:t>administer the recovery effort.</w:t>
      </w:r>
    </w:p>
    <w:p w:rsidR="00825EDD" w:rsidRDefault="00825EDD" w:rsidP="00FD1B36">
      <w:pPr>
        <w:pStyle w:val="CAIntextheading1"/>
      </w:pPr>
      <w:r>
        <w:t xml:space="preserve">Conservation and Management </w:t>
      </w:r>
      <w:r w:rsidR="00DA5667">
        <w:t>Priorities</w:t>
      </w:r>
    </w:p>
    <w:p w:rsidR="00825EDD" w:rsidRPr="00AC57A7" w:rsidRDefault="00825EDD" w:rsidP="00DA5667">
      <w:pPr>
        <w:pStyle w:val="ListBullet"/>
        <w:numPr>
          <w:ilvl w:val="0"/>
          <w:numId w:val="0"/>
        </w:numPr>
        <w:spacing w:after="120"/>
        <w:ind w:left="357" w:hanging="357"/>
        <w:contextualSpacing w:val="0"/>
        <w:rPr>
          <w:rFonts w:ascii="Arial" w:hAnsi="Arial" w:cs="Arial"/>
          <w:bCs/>
          <w:sz w:val="22"/>
          <w:szCs w:val="22"/>
          <w:u w:val="single"/>
          <w:lang w:eastAsia="en-AU"/>
        </w:rPr>
      </w:pPr>
      <w:r w:rsidRPr="00AC57A7">
        <w:rPr>
          <w:rFonts w:ascii="Arial" w:hAnsi="Arial" w:cs="Arial"/>
          <w:sz w:val="22"/>
          <w:szCs w:val="22"/>
          <w:u w:val="single"/>
        </w:rPr>
        <w:t>Habitat loss disturbance and modifications</w:t>
      </w:r>
    </w:p>
    <w:p w:rsidR="00AC57A7" w:rsidRPr="00AC57A7" w:rsidRDefault="00B51177" w:rsidP="00770655">
      <w:pPr>
        <w:pStyle w:val="CAdotminor"/>
        <w:rPr>
          <w:bCs/>
          <w:color w:val="auto"/>
          <w:lang w:eastAsia="en-AU"/>
        </w:rPr>
      </w:pPr>
      <w:r w:rsidRPr="00AC57A7">
        <w:rPr>
          <w:color w:val="auto"/>
        </w:rPr>
        <w:t xml:space="preserve">Prevent habitat disturbance. </w:t>
      </w:r>
      <w:r w:rsidR="00E45057">
        <w:rPr>
          <w:color w:val="auto"/>
        </w:rPr>
        <w:t>M</w:t>
      </w:r>
      <w:r w:rsidR="00E45057" w:rsidRPr="00D13FCC">
        <w:rPr>
          <w:color w:val="auto"/>
        </w:rPr>
        <w:t>anage total grazing pressure</w:t>
      </w:r>
      <w:r w:rsidR="00E45057" w:rsidRPr="00AC57A7">
        <w:rPr>
          <w:color w:val="auto"/>
        </w:rPr>
        <w:t xml:space="preserve"> </w:t>
      </w:r>
      <w:r w:rsidR="00E45057">
        <w:rPr>
          <w:color w:val="auto"/>
        </w:rPr>
        <w:t>and c</w:t>
      </w:r>
      <w:r w:rsidRPr="00AC57A7">
        <w:rPr>
          <w:color w:val="auto"/>
        </w:rPr>
        <w:t>ontrol access routes by installing and locking gates</w:t>
      </w:r>
      <w:r w:rsidR="00491A9B" w:rsidRPr="00AC57A7">
        <w:rPr>
          <w:color w:val="auto"/>
        </w:rPr>
        <w:t xml:space="preserve"> to suitably constrain cattle from </w:t>
      </w:r>
      <w:r w:rsidRPr="00AC57A7">
        <w:rPr>
          <w:color w:val="auto"/>
        </w:rPr>
        <w:t>access to known sites on priva</w:t>
      </w:r>
      <w:r w:rsidR="00AC57A7" w:rsidRPr="00AC57A7">
        <w:rPr>
          <w:color w:val="auto"/>
        </w:rPr>
        <w:t xml:space="preserve">te land and other land tenure. </w:t>
      </w:r>
    </w:p>
    <w:p w:rsidR="00B179BC" w:rsidRPr="00AC57A7" w:rsidRDefault="00B179BC" w:rsidP="00770655">
      <w:pPr>
        <w:pStyle w:val="CAdotminor"/>
        <w:rPr>
          <w:bCs/>
          <w:color w:val="auto"/>
          <w:lang w:eastAsia="en-AU"/>
        </w:rPr>
      </w:pPr>
      <w:r w:rsidRPr="00AC57A7">
        <w:rPr>
          <w:color w:val="auto"/>
        </w:rPr>
        <w:t>Ensure land managers are aware of the species’ occurrence and provide protection measures against key and potential threats.</w:t>
      </w:r>
    </w:p>
    <w:p w:rsidR="00517C96" w:rsidRPr="00374851" w:rsidRDefault="00517C96" w:rsidP="00D16063">
      <w:pPr>
        <w:pStyle w:val="ListBullet"/>
        <w:numPr>
          <w:ilvl w:val="0"/>
          <w:numId w:val="0"/>
        </w:numPr>
        <w:spacing w:line="276" w:lineRule="auto"/>
        <w:rPr>
          <w:rFonts w:ascii="Arial" w:hAnsi="Arial" w:cs="Arial"/>
          <w:sz w:val="22"/>
          <w:szCs w:val="22"/>
        </w:rPr>
      </w:pPr>
    </w:p>
    <w:p w:rsidR="00825EDD" w:rsidRPr="00D13FCC" w:rsidRDefault="00825EDD" w:rsidP="00DA5667">
      <w:pPr>
        <w:pStyle w:val="ListBullet"/>
        <w:numPr>
          <w:ilvl w:val="0"/>
          <w:numId w:val="0"/>
        </w:numPr>
        <w:spacing w:after="120" w:line="276" w:lineRule="auto"/>
        <w:ind w:left="357" w:hanging="357"/>
        <w:contextualSpacing w:val="0"/>
        <w:rPr>
          <w:rFonts w:ascii="Arial" w:hAnsi="Arial" w:cs="Arial"/>
          <w:sz w:val="22"/>
          <w:szCs w:val="22"/>
          <w:u w:val="single"/>
        </w:rPr>
      </w:pPr>
      <w:r w:rsidRPr="00D13FCC">
        <w:rPr>
          <w:rFonts w:ascii="Arial" w:hAnsi="Arial" w:cs="Arial"/>
          <w:sz w:val="22"/>
          <w:szCs w:val="22"/>
          <w:u w:val="single"/>
        </w:rPr>
        <w:t>Impacts of domestic species</w:t>
      </w:r>
    </w:p>
    <w:p w:rsidR="002E7DDE" w:rsidRDefault="003371BD" w:rsidP="00770655">
      <w:pPr>
        <w:pStyle w:val="CAdotminor"/>
        <w:rPr>
          <w:color w:val="auto"/>
        </w:rPr>
      </w:pPr>
      <w:r>
        <w:rPr>
          <w:color w:val="auto"/>
        </w:rPr>
        <w:t>Where</w:t>
      </w:r>
      <w:r w:rsidR="002E7DDE" w:rsidRPr="00D13FCC">
        <w:rPr>
          <w:color w:val="auto"/>
        </w:rPr>
        <w:t xml:space="preserve"> livestock grazing occurs in the area, ensure land owners/managers use an appropriate management regime and </w:t>
      </w:r>
      <w:r w:rsidR="00A1290F">
        <w:rPr>
          <w:color w:val="auto"/>
        </w:rPr>
        <w:t xml:space="preserve">stocking </w:t>
      </w:r>
      <w:r w:rsidR="002E7DDE" w:rsidRPr="00D13FCC">
        <w:rPr>
          <w:color w:val="auto"/>
        </w:rPr>
        <w:t>density that does not det</w:t>
      </w:r>
      <w:r w:rsidR="00D16063" w:rsidRPr="00D13FCC">
        <w:rPr>
          <w:color w:val="auto"/>
        </w:rPr>
        <w:t xml:space="preserve">rimentally affect this species </w:t>
      </w:r>
      <w:r w:rsidR="002E7DDE" w:rsidRPr="00D13FCC">
        <w:rPr>
          <w:color w:val="auto"/>
        </w:rPr>
        <w:t>to allow regeneration from seedl</w:t>
      </w:r>
      <w:r w:rsidR="00D16063" w:rsidRPr="00D13FCC">
        <w:rPr>
          <w:color w:val="auto"/>
        </w:rPr>
        <w:t>ings/outside the growing season</w:t>
      </w:r>
      <w:r w:rsidR="00E45057">
        <w:rPr>
          <w:color w:val="auto"/>
        </w:rPr>
        <w:t>.</w:t>
      </w:r>
      <w:r w:rsidR="002E7DDE" w:rsidRPr="00D13FCC">
        <w:rPr>
          <w:color w:val="auto"/>
        </w:rPr>
        <w:t xml:space="preserve"> </w:t>
      </w:r>
      <w:r w:rsidR="00965ACD">
        <w:rPr>
          <w:color w:val="auto"/>
        </w:rPr>
        <w:t xml:space="preserve">This species is thought to be unpalatable to livestock but trampling </w:t>
      </w:r>
      <w:r w:rsidR="00732BE9">
        <w:rPr>
          <w:color w:val="auto"/>
        </w:rPr>
        <w:t>is still considered</w:t>
      </w:r>
      <w:r w:rsidR="00965ACD">
        <w:rPr>
          <w:color w:val="auto"/>
        </w:rPr>
        <w:t xml:space="preserve"> an issue. </w:t>
      </w:r>
    </w:p>
    <w:p w:rsidR="003371BD" w:rsidRPr="00D13FCC" w:rsidRDefault="003371BD" w:rsidP="003371BD">
      <w:pPr>
        <w:pStyle w:val="CAdotminor"/>
        <w:numPr>
          <w:ilvl w:val="0"/>
          <w:numId w:val="0"/>
        </w:numPr>
        <w:spacing w:after="0"/>
        <w:ind w:left="850" w:hanging="425"/>
        <w:rPr>
          <w:color w:val="auto"/>
        </w:rPr>
      </w:pPr>
    </w:p>
    <w:p w:rsidR="003371BD" w:rsidRPr="006461C2" w:rsidRDefault="003371BD" w:rsidP="003371BD">
      <w:pPr>
        <w:pStyle w:val="text"/>
        <w:rPr>
          <w:u w:val="single"/>
        </w:rPr>
      </w:pPr>
      <w:r w:rsidRPr="006461C2">
        <w:rPr>
          <w:u w:val="single"/>
        </w:rPr>
        <w:t xml:space="preserve">Propagation and other ex-situ recovery action </w:t>
      </w:r>
    </w:p>
    <w:p w:rsidR="003371BD" w:rsidRPr="00F0334B" w:rsidRDefault="003371BD" w:rsidP="003371BD">
      <w:pPr>
        <w:pStyle w:val="CAbullet"/>
      </w:pPr>
      <w:r w:rsidRPr="00F0334B">
        <w:t xml:space="preserve">Ensure a suitable seed collection is maintained - Continue to collect seed </w:t>
      </w:r>
      <w:r>
        <w:t>to store at the SA Seed Conservation Centre</w:t>
      </w:r>
      <w:r w:rsidRPr="00F0334B">
        <w:t xml:space="preserve"> as a reliable form of insurance against the loss of genetic diversity should </w:t>
      </w:r>
      <w:r>
        <w:t xml:space="preserve">the </w:t>
      </w:r>
      <w:r w:rsidR="00137E55">
        <w:t>species</w:t>
      </w:r>
      <w:r w:rsidR="004268DC">
        <w:t>’</w:t>
      </w:r>
      <w:r w:rsidR="00137E55">
        <w:t xml:space="preserve"> habitat </w:t>
      </w:r>
      <w:r w:rsidRPr="00F0334B">
        <w:t xml:space="preserve">be destroyed.  </w:t>
      </w:r>
    </w:p>
    <w:p w:rsidR="003371BD" w:rsidRPr="006461C2" w:rsidRDefault="003371BD" w:rsidP="003371BD">
      <w:pPr>
        <w:pStyle w:val="CAbullet"/>
      </w:pPr>
      <w:r w:rsidRPr="006461C2">
        <w:t xml:space="preserve">Propagate the species at the Botanic Gardens of South Australia for release into the wild </w:t>
      </w:r>
      <w:r>
        <w:t xml:space="preserve">at new introduction sites in suitable habitat. </w:t>
      </w:r>
    </w:p>
    <w:p w:rsidR="00CE6B12" w:rsidRPr="00374851" w:rsidRDefault="00CE6B12" w:rsidP="00F35F2A">
      <w:pPr>
        <w:pStyle w:val="ListBullet"/>
        <w:numPr>
          <w:ilvl w:val="0"/>
          <w:numId w:val="0"/>
        </w:numPr>
        <w:spacing w:line="276" w:lineRule="auto"/>
        <w:rPr>
          <w:rFonts w:ascii="Arial" w:hAnsi="Arial" w:cs="Arial"/>
          <w:sz w:val="22"/>
          <w:szCs w:val="22"/>
        </w:rPr>
      </w:pPr>
    </w:p>
    <w:p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rsidR="00EE4C43" w:rsidRPr="00770655" w:rsidRDefault="00EE4C43" w:rsidP="00770655">
      <w:pPr>
        <w:pStyle w:val="CAdotmajor"/>
      </w:pPr>
      <w:r w:rsidRPr="00770655">
        <w:t>More precisely assess population size, distribution, ecological requirements and the relative impacts of threatening processes.</w:t>
      </w:r>
    </w:p>
    <w:p w:rsidR="002B457A" w:rsidRPr="00770655" w:rsidRDefault="002B457A" w:rsidP="002B457A">
      <w:pPr>
        <w:pStyle w:val="CAdotmajor"/>
      </w:pPr>
      <w:r>
        <w:t>Undertake survey work where the species is</w:t>
      </w:r>
      <w:r w:rsidRPr="00770655">
        <w:t xml:space="preserve"> </w:t>
      </w:r>
      <w:r>
        <w:t xml:space="preserve">known to occur as well as </w:t>
      </w:r>
      <w:r w:rsidRPr="00770655">
        <w:t>suitable habitat and potential habitat to locate any additional occurrences to more precisely assess population size and distribution.</w:t>
      </w:r>
    </w:p>
    <w:p w:rsidR="00450121" w:rsidRPr="00770655" w:rsidRDefault="00450121" w:rsidP="00770655">
      <w:pPr>
        <w:pStyle w:val="CAdotmajor"/>
      </w:pPr>
      <w:r w:rsidRPr="00770655">
        <w:t>Design and implement a monitoring program or, if appropriate, support and en</w:t>
      </w:r>
      <w:r w:rsidR="00707C41">
        <w:t>hance existing programs.</w:t>
      </w:r>
    </w:p>
    <w:p w:rsidR="00B51177" w:rsidRPr="00770655" w:rsidRDefault="00B51177" w:rsidP="00770655">
      <w:pPr>
        <w:pStyle w:val="CAdotmajor"/>
      </w:pPr>
      <w:r w:rsidRPr="00770655">
        <w:t>Monitor the progress of recovery, including the effectiveness of management actions and the need to adapt them if necessary</w:t>
      </w:r>
      <w:r w:rsidR="00172B58">
        <w:t>.</w:t>
      </w:r>
    </w:p>
    <w:p w:rsidR="00825EDD" w:rsidRPr="00374851" w:rsidRDefault="00825EDD" w:rsidP="00B51177">
      <w:pPr>
        <w:pStyle w:val="ListBullet"/>
        <w:numPr>
          <w:ilvl w:val="0"/>
          <w:numId w:val="0"/>
        </w:numPr>
        <w:tabs>
          <w:tab w:val="num" w:pos="851"/>
        </w:tabs>
        <w:ind w:left="709" w:hanging="283"/>
        <w:rPr>
          <w:rFonts w:ascii="Arial" w:hAnsi="Arial" w:cs="Arial"/>
          <w:sz w:val="22"/>
          <w:szCs w:val="22"/>
        </w:rPr>
      </w:pPr>
    </w:p>
    <w:p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450121" w:rsidRPr="00770655" w:rsidRDefault="00450121" w:rsidP="00770655">
      <w:pPr>
        <w:pStyle w:val="CAdotmajor"/>
      </w:pPr>
      <w:r w:rsidRPr="00770655">
        <w:t>Investigate options for establishing additional populations</w:t>
      </w:r>
      <w:r w:rsidR="002C2FE4">
        <w:t>, particularly in conservation reserves</w:t>
      </w:r>
      <w:r w:rsidR="004268DC">
        <w:t>.</w:t>
      </w:r>
    </w:p>
    <w:p w:rsidR="00450121" w:rsidRPr="002B457A" w:rsidRDefault="00450121" w:rsidP="00770655">
      <w:pPr>
        <w:pStyle w:val="CAdotmajor"/>
      </w:pPr>
      <w:r w:rsidRPr="002B457A">
        <w:t>Identify optimal fire regimes for regeneration (vegetative regrowth and/or seed germination), and response to other prevailing fire regimes.</w:t>
      </w:r>
    </w:p>
    <w:p w:rsidR="00450121" w:rsidRPr="00770655" w:rsidRDefault="00450121" w:rsidP="00770655">
      <w:pPr>
        <w:pStyle w:val="CAdotmajor"/>
      </w:pPr>
      <w:r w:rsidRPr="00770655">
        <w:t>Assess the species’ ecological requirements</w:t>
      </w:r>
      <w:r w:rsidR="00EE4C43" w:rsidRPr="00770655">
        <w:t xml:space="preserve"> relevant to</w:t>
      </w:r>
      <w:r w:rsidR="00BA7667">
        <w:t xml:space="preserve"> the persistence of the species.</w:t>
      </w:r>
    </w:p>
    <w:p w:rsidR="00450121" w:rsidRDefault="00450121" w:rsidP="00770655">
      <w:pPr>
        <w:pStyle w:val="CAdotmajor"/>
      </w:pPr>
      <w:r w:rsidRPr="00770655">
        <w:t>Undertake seed germination and/or vegetative propagation trials to determine the requirements for successful establishment.</w:t>
      </w:r>
    </w:p>
    <w:p w:rsidR="00172B58" w:rsidRPr="00770655" w:rsidRDefault="002B6137" w:rsidP="00770655">
      <w:pPr>
        <w:pStyle w:val="CAdotmajor"/>
      </w:pPr>
      <w:r>
        <w:t>Fully e</w:t>
      </w:r>
      <w:r w:rsidR="00172B58">
        <w:t>stablish which threats are affecting this species and prioritise these threats as appropriate.</w:t>
      </w:r>
    </w:p>
    <w:p w:rsidR="00EC0D56" w:rsidRDefault="00EC0D56">
      <w:pPr>
        <w:rPr>
          <w:rFonts w:ascii="Arial" w:hAnsi="Arial" w:cs="Arial"/>
          <w:b/>
          <w:sz w:val="22"/>
          <w:szCs w:val="22"/>
          <w:u w:val="single"/>
        </w:rPr>
      </w:pPr>
      <w:r>
        <w:rPr>
          <w:rFonts w:ascii="Arial" w:hAnsi="Arial" w:cs="Arial"/>
          <w:b/>
          <w:sz w:val="22"/>
          <w:szCs w:val="22"/>
          <w:u w:val="single"/>
        </w:rPr>
        <w:br w:type="page"/>
      </w:r>
    </w:p>
    <w:p w:rsidR="00121E1E" w:rsidRPr="00121E1E" w:rsidRDefault="005830B7" w:rsidP="00F65892">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rsidR="00F261B6" w:rsidRPr="00F261B6" w:rsidRDefault="00F261B6" w:rsidP="00F261B6">
      <w:pPr>
        <w:rPr>
          <w:rFonts w:ascii="Arial" w:hAnsi="Arial" w:cs="Arial"/>
          <w:b/>
          <w:sz w:val="22"/>
          <w:szCs w:val="22"/>
        </w:rPr>
      </w:pPr>
      <w:r w:rsidRPr="00F261B6">
        <w:rPr>
          <w:rFonts w:ascii="Arial" w:hAnsi="Arial" w:cs="Arial"/>
          <w:b/>
          <w:sz w:val="22"/>
          <w:szCs w:val="22"/>
        </w:rPr>
        <w:t>Biological information</w:t>
      </w:r>
    </w:p>
    <w:p w:rsidR="00F261B6" w:rsidRPr="00F261B6" w:rsidRDefault="00F261B6" w:rsidP="00F261B6">
      <w:pPr>
        <w:numPr>
          <w:ilvl w:val="0"/>
          <w:numId w:val="28"/>
        </w:numPr>
        <w:ind w:left="426" w:hanging="426"/>
        <w:rPr>
          <w:rFonts w:ascii="Arial" w:hAnsi="Arial" w:cs="Arial"/>
          <w:sz w:val="22"/>
          <w:szCs w:val="22"/>
        </w:rPr>
      </w:pPr>
      <w:r w:rsidRPr="00F261B6">
        <w:rPr>
          <w:rFonts w:ascii="Arial" w:hAnsi="Arial" w:cs="Arial"/>
          <w:sz w:val="22"/>
          <w:szCs w:val="22"/>
        </w:rPr>
        <w:t xml:space="preserve">Can you provide any information or estimates </w:t>
      </w:r>
      <w:r w:rsidR="004268DC">
        <w:rPr>
          <w:rFonts w:ascii="Arial" w:hAnsi="Arial" w:cs="Arial"/>
          <w:sz w:val="22"/>
          <w:szCs w:val="22"/>
        </w:rPr>
        <w:t xml:space="preserve">for this species on its </w:t>
      </w:r>
      <w:r w:rsidRPr="00F261B6">
        <w:rPr>
          <w:rFonts w:ascii="Arial" w:hAnsi="Arial" w:cs="Arial"/>
          <w:sz w:val="22"/>
          <w:szCs w:val="22"/>
        </w:rPr>
        <w:t>longevity, average life span and generation length?</w:t>
      </w:r>
    </w:p>
    <w:p w:rsidR="00F261B6" w:rsidRPr="00F261B6" w:rsidRDefault="00F261B6" w:rsidP="00F261B6">
      <w:pPr>
        <w:ind w:left="607"/>
        <w:rPr>
          <w:rFonts w:ascii="Arial" w:hAnsi="Arial" w:cs="Arial"/>
          <w:sz w:val="22"/>
          <w:szCs w:val="22"/>
        </w:rPr>
      </w:pPr>
    </w:p>
    <w:p w:rsidR="00F261B6" w:rsidRPr="00F261B6" w:rsidRDefault="00F261B6" w:rsidP="00F261B6">
      <w:pPr>
        <w:rPr>
          <w:rFonts w:ascii="Arial" w:hAnsi="Arial" w:cs="Arial"/>
          <w:b/>
          <w:sz w:val="22"/>
          <w:szCs w:val="22"/>
        </w:rPr>
      </w:pPr>
      <w:r w:rsidRPr="00F261B6">
        <w:rPr>
          <w:rFonts w:ascii="Arial" w:hAnsi="Arial" w:cs="Arial"/>
          <w:b/>
          <w:sz w:val="22"/>
          <w:szCs w:val="22"/>
        </w:rPr>
        <w:t>Population size</w:t>
      </w:r>
    </w:p>
    <w:p w:rsidR="00F261B6" w:rsidRPr="00F261B6" w:rsidRDefault="00F261B6" w:rsidP="00F261B6">
      <w:pPr>
        <w:numPr>
          <w:ilvl w:val="0"/>
          <w:numId w:val="28"/>
        </w:numPr>
        <w:tabs>
          <w:tab w:val="num" w:pos="142"/>
        </w:tabs>
        <w:ind w:left="426" w:hanging="426"/>
        <w:rPr>
          <w:rFonts w:ascii="Arial" w:hAnsi="Arial" w:cs="Arial"/>
          <w:sz w:val="22"/>
          <w:szCs w:val="22"/>
        </w:rPr>
      </w:pPr>
      <w:r w:rsidRPr="00F261B6">
        <w:rPr>
          <w:rFonts w:ascii="Arial" w:hAnsi="Arial" w:cs="Arial"/>
          <w:sz w:val="22"/>
          <w:szCs w:val="22"/>
        </w:rPr>
        <w:t>Has the survey effort for this species been adequate to determine its national adult population size? If not, please provide justification for your response. Do you accept the estimate of the total population size for the species? If not, please provide justification for your response.</w:t>
      </w:r>
    </w:p>
    <w:p w:rsidR="00F261B6" w:rsidRPr="00F261B6" w:rsidRDefault="00F261B6" w:rsidP="00F261B6">
      <w:pPr>
        <w:ind w:left="426"/>
        <w:rPr>
          <w:rFonts w:ascii="Arial" w:hAnsi="Arial" w:cs="Arial"/>
          <w:sz w:val="22"/>
          <w:szCs w:val="22"/>
        </w:rPr>
      </w:pPr>
    </w:p>
    <w:p w:rsidR="00F261B6" w:rsidRPr="00F261B6" w:rsidRDefault="00F261B6" w:rsidP="00F261B6">
      <w:pPr>
        <w:keepNext/>
        <w:keepLines/>
        <w:rPr>
          <w:rFonts w:ascii="Arial" w:hAnsi="Arial" w:cs="Arial"/>
          <w:b/>
          <w:sz w:val="22"/>
          <w:szCs w:val="22"/>
        </w:rPr>
      </w:pPr>
      <w:r w:rsidRPr="00F261B6">
        <w:rPr>
          <w:rFonts w:ascii="Arial" w:hAnsi="Arial" w:cs="Arial"/>
          <w:b/>
          <w:sz w:val="22"/>
          <w:szCs w:val="22"/>
        </w:rPr>
        <w:t xml:space="preserve">Evidence of total population size change </w:t>
      </w:r>
    </w:p>
    <w:p w:rsidR="00F261B6" w:rsidRPr="00F261B6" w:rsidRDefault="00F261B6" w:rsidP="00F261B6">
      <w:pPr>
        <w:numPr>
          <w:ilvl w:val="0"/>
          <w:numId w:val="28"/>
        </w:numPr>
        <w:tabs>
          <w:tab w:val="num" w:pos="993"/>
        </w:tabs>
        <w:ind w:left="426" w:hanging="426"/>
        <w:rPr>
          <w:rFonts w:ascii="Arial" w:hAnsi="Arial" w:cs="Arial"/>
          <w:sz w:val="22"/>
          <w:szCs w:val="22"/>
        </w:rPr>
      </w:pPr>
      <w:r w:rsidRPr="00F261B6">
        <w:rPr>
          <w:rFonts w:ascii="Arial" w:hAnsi="Arial" w:cs="Arial"/>
          <w:sz w:val="22"/>
          <w:szCs w:val="22"/>
        </w:rPr>
        <w:t>Are you able to comment on the extent of decline in the species’ total population size over the last approximately three generations? Please provide justification for your response.</w:t>
      </w:r>
    </w:p>
    <w:p w:rsidR="00F261B6" w:rsidRPr="00F261B6" w:rsidRDefault="00F261B6" w:rsidP="00F261B6">
      <w:pPr>
        <w:tabs>
          <w:tab w:val="num" w:pos="426"/>
        </w:tabs>
        <w:spacing w:line="360" w:lineRule="auto"/>
        <w:rPr>
          <w:rFonts w:ascii="Arial" w:hAnsi="Arial" w:cs="Arial"/>
          <w:sz w:val="22"/>
          <w:szCs w:val="22"/>
        </w:rPr>
      </w:pPr>
    </w:p>
    <w:p w:rsidR="00F261B6" w:rsidRPr="00F261B6" w:rsidRDefault="00F261B6" w:rsidP="00F261B6">
      <w:pPr>
        <w:ind w:left="426"/>
        <w:rPr>
          <w:rFonts w:ascii="Arial" w:hAnsi="Arial" w:cs="Arial"/>
          <w:sz w:val="22"/>
          <w:szCs w:val="22"/>
        </w:rPr>
      </w:pPr>
      <w:r w:rsidRPr="00F261B6">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rsidR="00F261B6" w:rsidRPr="00F261B6" w:rsidRDefault="00F261B6" w:rsidP="00F261B6">
      <w:pPr>
        <w:ind w:left="426"/>
        <w:rPr>
          <w:rFonts w:ascii="Arial" w:hAnsi="Arial" w:cs="Arial"/>
          <w:sz w:val="22"/>
          <w:szCs w:val="22"/>
        </w:rPr>
      </w:pPr>
    </w:p>
    <w:tbl>
      <w:tblPr>
        <w:tblStyle w:val="TableGrid1"/>
        <w:tblW w:w="0" w:type="auto"/>
        <w:tblInd w:w="607" w:type="dxa"/>
        <w:tblLook w:val="04A0"/>
      </w:tblPr>
      <w:tblGrid>
        <w:gridCol w:w="8992"/>
      </w:tblGrid>
      <w:tr w:rsidR="00F261B6" w:rsidRPr="00F261B6" w:rsidTr="00FF754F">
        <w:trPr>
          <w:cnfStyle w:val="100000000000"/>
        </w:trPr>
        <w:tc>
          <w:tcPr>
            <w:tcW w:w="9428" w:type="dxa"/>
          </w:tcPr>
          <w:p w:rsidR="00F261B6" w:rsidRPr="00F261B6" w:rsidRDefault="00F261B6" w:rsidP="00F261B6">
            <w:pPr>
              <w:ind w:left="102"/>
              <w:rPr>
                <w:rFonts w:cs="Arial"/>
                <w:sz w:val="22"/>
                <w:szCs w:val="22"/>
              </w:rPr>
            </w:pPr>
          </w:p>
          <w:p w:rsidR="00F261B6" w:rsidRPr="00F261B6" w:rsidRDefault="00F261B6" w:rsidP="00F261B6">
            <w:pPr>
              <w:ind w:left="102"/>
              <w:rPr>
                <w:rFonts w:cs="Arial"/>
                <w:sz w:val="22"/>
                <w:szCs w:val="22"/>
              </w:rPr>
            </w:pPr>
            <w:r w:rsidRPr="00F261B6">
              <w:rPr>
                <w:rFonts w:cs="Arial"/>
                <w:sz w:val="22"/>
                <w:szCs w:val="22"/>
              </w:rPr>
              <w:t>Decline estimated to be in the range of:</w:t>
            </w:r>
          </w:p>
          <w:p w:rsidR="00F261B6" w:rsidRPr="00F261B6" w:rsidRDefault="00F261B6" w:rsidP="00F261B6">
            <w:pPr>
              <w:tabs>
                <w:tab w:val="num" w:pos="426"/>
                <w:tab w:val="left" w:pos="1843"/>
                <w:tab w:val="left" w:pos="3544"/>
                <w:tab w:val="left" w:pos="5245"/>
                <w:tab w:val="left" w:pos="7088"/>
              </w:tabs>
              <w:spacing w:line="360" w:lineRule="auto"/>
              <w:ind w:left="102" w:right="-427"/>
              <w:rPr>
                <w:rFonts w:cs="Arial"/>
                <w:sz w:val="22"/>
                <w:szCs w:val="22"/>
              </w:rPr>
            </w:pPr>
            <w:r w:rsidRPr="00F261B6">
              <w:rPr>
                <w:rFonts w:cs="Arial"/>
                <w:sz w:val="44"/>
                <w:szCs w:val="44"/>
              </w:rPr>
              <w:t xml:space="preserve">□ </w:t>
            </w:r>
            <w:r w:rsidRPr="00F261B6">
              <w:rPr>
                <w:rFonts w:cs="Arial"/>
                <w:sz w:val="22"/>
                <w:szCs w:val="22"/>
              </w:rPr>
              <w:t>1–30%</w:t>
            </w:r>
            <w:r w:rsidRPr="00F261B6">
              <w:rPr>
                <w:rFonts w:cs="Arial"/>
                <w:sz w:val="22"/>
                <w:szCs w:val="22"/>
              </w:rPr>
              <w:tab/>
            </w:r>
            <w:r w:rsidRPr="00F261B6">
              <w:rPr>
                <w:rFonts w:cs="Arial"/>
                <w:sz w:val="44"/>
                <w:szCs w:val="44"/>
              </w:rPr>
              <w:t>□</w:t>
            </w:r>
            <w:r w:rsidRPr="00F261B6">
              <w:rPr>
                <w:rFonts w:cs="Arial"/>
                <w:sz w:val="22"/>
                <w:szCs w:val="22"/>
              </w:rPr>
              <w:t>31–50%</w:t>
            </w:r>
            <w:r w:rsidRPr="00F261B6">
              <w:rPr>
                <w:rFonts w:cs="Arial"/>
                <w:sz w:val="22"/>
                <w:szCs w:val="22"/>
              </w:rPr>
              <w:tab/>
            </w:r>
            <w:r w:rsidRPr="00F261B6">
              <w:rPr>
                <w:rFonts w:cs="Arial"/>
                <w:sz w:val="44"/>
                <w:szCs w:val="44"/>
              </w:rPr>
              <w:t>□</w:t>
            </w:r>
            <w:r w:rsidRPr="00F261B6">
              <w:rPr>
                <w:rFonts w:cs="Arial"/>
                <w:sz w:val="22"/>
                <w:szCs w:val="22"/>
              </w:rPr>
              <w:t>51–80%</w:t>
            </w:r>
            <w:r w:rsidRPr="00F261B6">
              <w:rPr>
                <w:rFonts w:cs="Arial"/>
                <w:sz w:val="22"/>
                <w:szCs w:val="22"/>
              </w:rPr>
              <w:tab/>
            </w:r>
            <w:r w:rsidRPr="00F261B6">
              <w:rPr>
                <w:rFonts w:cs="Arial"/>
                <w:sz w:val="44"/>
                <w:szCs w:val="44"/>
              </w:rPr>
              <w:t>□</w:t>
            </w:r>
            <w:r w:rsidRPr="00F261B6">
              <w:rPr>
                <w:rFonts w:cs="Arial"/>
                <w:sz w:val="22"/>
                <w:szCs w:val="22"/>
              </w:rPr>
              <w:t xml:space="preserve">81–100% </w:t>
            </w:r>
            <w:r w:rsidRPr="00F261B6">
              <w:rPr>
                <w:rFonts w:cs="Arial"/>
                <w:sz w:val="22"/>
                <w:szCs w:val="22"/>
              </w:rPr>
              <w:tab/>
            </w:r>
            <w:r w:rsidRPr="00F261B6">
              <w:rPr>
                <w:rFonts w:cs="Arial"/>
                <w:sz w:val="44"/>
                <w:szCs w:val="44"/>
              </w:rPr>
              <w:t>□</w:t>
            </w:r>
            <w:r w:rsidRPr="00F261B6">
              <w:rPr>
                <w:rFonts w:cs="Arial"/>
                <w:sz w:val="22"/>
                <w:szCs w:val="22"/>
              </w:rPr>
              <w:t xml:space="preserve">90–100% </w:t>
            </w:r>
          </w:p>
        </w:tc>
      </w:tr>
      <w:tr w:rsidR="00F261B6" w:rsidRPr="00F261B6" w:rsidTr="00FF754F">
        <w:trPr>
          <w:cnfStyle w:val="000000100000"/>
        </w:trPr>
        <w:tc>
          <w:tcPr>
            <w:tcW w:w="9428" w:type="dxa"/>
          </w:tcPr>
          <w:p w:rsidR="00F261B6" w:rsidRPr="00F261B6" w:rsidRDefault="00F261B6" w:rsidP="00F261B6">
            <w:pPr>
              <w:ind w:left="102"/>
              <w:rPr>
                <w:rFonts w:cs="Arial"/>
                <w:sz w:val="22"/>
                <w:szCs w:val="22"/>
              </w:rPr>
            </w:pPr>
          </w:p>
          <w:p w:rsidR="00F261B6" w:rsidRPr="00F261B6" w:rsidRDefault="00F261B6" w:rsidP="00F261B6">
            <w:pPr>
              <w:ind w:left="102"/>
              <w:rPr>
                <w:rFonts w:cs="Arial"/>
                <w:sz w:val="22"/>
                <w:szCs w:val="22"/>
              </w:rPr>
            </w:pPr>
            <w:r w:rsidRPr="00F261B6">
              <w:rPr>
                <w:rFonts w:cs="Arial"/>
                <w:sz w:val="22"/>
                <w:szCs w:val="22"/>
              </w:rPr>
              <w:t>Level of your confidence in this estimated decline:</w:t>
            </w:r>
          </w:p>
          <w:p w:rsidR="00F261B6" w:rsidRPr="00F261B6" w:rsidRDefault="00F261B6" w:rsidP="00F261B6">
            <w:pPr>
              <w:ind w:left="102"/>
              <w:rPr>
                <w:rFonts w:cs="Arial"/>
                <w:sz w:val="22"/>
                <w:szCs w:val="22"/>
              </w:rPr>
            </w:pPr>
            <w:r w:rsidRPr="00F261B6">
              <w:rPr>
                <w:rFonts w:cs="Arial"/>
                <w:sz w:val="44"/>
                <w:szCs w:val="44"/>
              </w:rPr>
              <w:t xml:space="preserve">□ </w:t>
            </w:r>
            <w:r w:rsidRPr="00F261B6">
              <w:rPr>
                <w:rFonts w:cs="Arial"/>
                <w:sz w:val="22"/>
                <w:szCs w:val="22"/>
              </w:rPr>
              <w:t>0–30% - low level of certainty/ a bit of a guess/ not much information to go on</w:t>
            </w:r>
          </w:p>
          <w:p w:rsidR="00F261B6" w:rsidRPr="00F261B6" w:rsidRDefault="00F261B6" w:rsidP="00F261B6">
            <w:pPr>
              <w:ind w:left="102"/>
              <w:rPr>
                <w:rFonts w:cs="Arial"/>
                <w:sz w:val="22"/>
                <w:szCs w:val="22"/>
              </w:rPr>
            </w:pPr>
            <w:r w:rsidRPr="00F261B6">
              <w:rPr>
                <w:rFonts w:cs="Arial"/>
                <w:sz w:val="44"/>
                <w:szCs w:val="44"/>
              </w:rPr>
              <w:t xml:space="preserve">□ </w:t>
            </w:r>
            <w:r w:rsidRPr="00F261B6">
              <w:rPr>
                <w:rFonts w:cs="Arial"/>
                <w:sz w:val="22"/>
                <w:szCs w:val="22"/>
              </w:rPr>
              <w:t>31–50% - more than a guess, some level of supporting evidence</w:t>
            </w:r>
          </w:p>
          <w:p w:rsidR="00F261B6" w:rsidRPr="00F261B6" w:rsidRDefault="00F261B6" w:rsidP="00F261B6">
            <w:pPr>
              <w:ind w:left="102"/>
              <w:rPr>
                <w:rFonts w:cs="Arial"/>
                <w:sz w:val="22"/>
                <w:szCs w:val="22"/>
              </w:rPr>
            </w:pPr>
            <w:r w:rsidRPr="00F261B6">
              <w:rPr>
                <w:rFonts w:cs="Arial"/>
                <w:sz w:val="44"/>
                <w:szCs w:val="44"/>
              </w:rPr>
              <w:t xml:space="preserve">□ </w:t>
            </w:r>
            <w:r w:rsidRPr="00F261B6">
              <w:rPr>
                <w:rFonts w:cs="Arial"/>
                <w:sz w:val="22"/>
                <w:szCs w:val="22"/>
              </w:rPr>
              <w:t>51–95% - reasonably certain, suggests this range of decline</w:t>
            </w:r>
          </w:p>
          <w:p w:rsidR="00F261B6" w:rsidRPr="00F261B6" w:rsidRDefault="00F261B6" w:rsidP="00F261B6">
            <w:pPr>
              <w:ind w:left="102"/>
              <w:rPr>
                <w:rFonts w:cs="Arial"/>
                <w:sz w:val="22"/>
                <w:szCs w:val="22"/>
              </w:rPr>
            </w:pPr>
            <w:r w:rsidRPr="00F261B6">
              <w:rPr>
                <w:rFonts w:cs="Arial"/>
                <w:sz w:val="44"/>
                <w:szCs w:val="44"/>
              </w:rPr>
              <w:t xml:space="preserve">□ </w:t>
            </w:r>
            <w:r w:rsidRPr="00F261B6">
              <w:rPr>
                <w:rFonts w:cs="Arial"/>
                <w:sz w:val="22"/>
                <w:szCs w:val="22"/>
              </w:rPr>
              <w:t>95–100% -high level of certainty, information indicates a decline within this range</w:t>
            </w:r>
          </w:p>
          <w:p w:rsidR="00F261B6" w:rsidRPr="00F261B6" w:rsidRDefault="00F261B6" w:rsidP="00F261B6">
            <w:pPr>
              <w:ind w:left="102"/>
              <w:rPr>
                <w:rFonts w:cs="Arial"/>
                <w:sz w:val="22"/>
                <w:szCs w:val="22"/>
              </w:rPr>
            </w:pPr>
            <w:r w:rsidRPr="00F261B6">
              <w:rPr>
                <w:rFonts w:cs="Arial"/>
                <w:sz w:val="44"/>
                <w:szCs w:val="44"/>
              </w:rPr>
              <w:t xml:space="preserve">□ </w:t>
            </w:r>
            <w:r w:rsidRPr="00F261B6">
              <w:rPr>
                <w:rFonts w:cs="Arial"/>
                <w:sz w:val="22"/>
                <w:szCs w:val="22"/>
              </w:rPr>
              <w:t>99–100% - very high level of certainty, data are accurate within this range</w:t>
            </w:r>
          </w:p>
          <w:p w:rsidR="00F261B6" w:rsidRPr="00F261B6" w:rsidRDefault="00F261B6" w:rsidP="00F261B6">
            <w:pPr>
              <w:tabs>
                <w:tab w:val="num" w:pos="426"/>
              </w:tabs>
              <w:ind w:left="102"/>
              <w:rPr>
                <w:rFonts w:cs="Arial"/>
                <w:sz w:val="22"/>
                <w:szCs w:val="22"/>
              </w:rPr>
            </w:pPr>
          </w:p>
        </w:tc>
      </w:tr>
    </w:tbl>
    <w:p w:rsidR="00F261B6" w:rsidRPr="00F261B6" w:rsidRDefault="00F261B6" w:rsidP="00F261B6">
      <w:pPr>
        <w:ind w:left="426"/>
        <w:rPr>
          <w:rFonts w:ascii="Arial" w:hAnsi="Arial" w:cs="Arial"/>
          <w:sz w:val="22"/>
          <w:szCs w:val="22"/>
        </w:rPr>
      </w:pPr>
    </w:p>
    <w:p w:rsidR="00F261B6" w:rsidRPr="00F261B6" w:rsidRDefault="00F261B6" w:rsidP="00F261B6">
      <w:pPr>
        <w:numPr>
          <w:ilvl w:val="0"/>
          <w:numId w:val="28"/>
        </w:numPr>
        <w:tabs>
          <w:tab w:val="num" w:pos="851"/>
        </w:tabs>
        <w:ind w:left="426" w:hanging="426"/>
        <w:rPr>
          <w:rFonts w:ascii="Arial" w:hAnsi="Arial" w:cs="Arial"/>
          <w:sz w:val="22"/>
          <w:szCs w:val="22"/>
        </w:rPr>
      </w:pPr>
      <w:r w:rsidRPr="00F261B6">
        <w:rPr>
          <w:rFonts w:ascii="Arial" w:hAnsi="Arial" w:cs="Arial"/>
          <w:sz w:val="22"/>
          <w:szCs w:val="22"/>
        </w:rPr>
        <w:t>Please provide (if known) any additional evidence which shows the population is stable, increasing or declining.</w:t>
      </w:r>
    </w:p>
    <w:p w:rsidR="00F261B6" w:rsidRPr="00F261B6" w:rsidRDefault="00F261B6" w:rsidP="00F261B6">
      <w:pPr>
        <w:rPr>
          <w:rFonts w:ascii="Arial" w:hAnsi="Arial" w:cs="Arial"/>
          <w:sz w:val="22"/>
          <w:szCs w:val="22"/>
        </w:rPr>
      </w:pPr>
    </w:p>
    <w:p w:rsidR="00F261B6" w:rsidRPr="00F261B6" w:rsidRDefault="00F261B6" w:rsidP="00F261B6">
      <w:pPr>
        <w:keepNext/>
        <w:keepLines/>
        <w:rPr>
          <w:rFonts w:ascii="Arial" w:hAnsi="Arial" w:cs="Arial"/>
          <w:b/>
          <w:sz w:val="22"/>
          <w:szCs w:val="22"/>
        </w:rPr>
      </w:pPr>
      <w:r w:rsidRPr="00F261B6">
        <w:rPr>
          <w:rFonts w:ascii="Arial" w:hAnsi="Arial" w:cs="Arial"/>
          <w:b/>
          <w:sz w:val="22"/>
          <w:szCs w:val="22"/>
        </w:rPr>
        <w:t>Current Distribution/range/extent of occurrence, area of occupancy</w:t>
      </w:r>
    </w:p>
    <w:p w:rsidR="00F261B6" w:rsidRPr="00F261B6" w:rsidRDefault="00F261B6" w:rsidP="00F261B6">
      <w:pPr>
        <w:numPr>
          <w:ilvl w:val="0"/>
          <w:numId w:val="28"/>
        </w:numPr>
        <w:tabs>
          <w:tab w:val="num" w:pos="604"/>
        </w:tabs>
        <w:ind w:left="426" w:hanging="426"/>
        <w:rPr>
          <w:rFonts w:ascii="Arial" w:hAnsi="Arial" w:cs="Arial"/>
          <w:sz w:val="22"/>
          <w:szCs w:val="22"/>
        </w:rPr>
      </w:pPr>
      <w:r w:rsidRPr="00F261B6">
        <w:rPr>
          <w:rFonts w:ascii="Arial" w:hAnsi="Arial" w:cs="Arial"/>
          <w:sz w:val="22"/>
          <w:szCs w:val="22"/>
        </w:rPr>
        <w:t>Has the survey effort for this species been adequate to determine its national distribution? If not, please provide justification for your response.</w:t>
      </w:r>
    </w:p>
    <w:p w:rsidR="00F261B6" w:rsidRPr="00F261B6" w:rsidRDefault="00F261B6" w:rsidP="00F261B6">
      <w:pPr>
        <w:ind w:left="426" w:hanging="426"/>
        <w:rPr>
          <w:rFonts w:ascii="Arial" w:hAnsi="Arial" w:cs="Arial"/>
          <w:sz w:val="22"/>
          <w:szCs w:val="22"/>
        </w:rPr>
      </w:pPr>
    </w:p>
    <w:p w:rsidR="00F261B6" w:rsidRPr="00F261B6" w:rsidRDefault="00F261B6" w:rsidP="00F261B6">
      <w:pPr>
        <w:numPr>
          <w:ilvl w:val="0"/>
          <w:numId w:val="28"/>
        </w:numPr>
        <w:tabs>
          <w:tab w:val="num" w:pos="604"/>
        </w:tabs>
        <w:ind w:left="426" w:hanging="426"/>
        <w:rPr>
          <w:rFonts w:ascii="Arial" w:hAnsi="Arial" w:cs="Arial"/>
          <w:sz w:val="22"/>
          <w:szCs w:val="22"/>
        </w:rPr>
      </w:pPr>
      <w:r w:rsidRPr="00F261B6">
        <w:rPr>
          <w:rFonts w:ascii="Arial" w:hAnsi="Arial" w:cs="Arial"/>
          <w:sz w:val="22"/>
          <w:szCs w:val="22"/>
        </w:rPr>
        <w:t>Is the distribution as described valid? If not, please provide justification for your response and provide alternate information.</w:t>
      </w:r>
    </w:p>
    <w:p w:rsidR="00F261B6" w:rsidRPr="00F261B6" w:rsidRDefault="00F261B6" w:rsidP="00F261B6">
      <w:pPr>
        <w:rPr>
          <w:rFonts w:ascii="Arial" w:hAnsi="Arial" w:cs="Arial"/>
          <w:sz w:val="22"/>
          <w:szCs w:val="22"/>
        </w:rPr>
      </w:pPr>
    </w:p>
    <w:p w:rsidR="00F261B6" w:rsidRPr="00F261B6" w:rsidRDefault="00F261B6" w:rsidP="00F261B6">
      <w:pPr>
        <w:rPr>
          <w:rFonts w:ascii="Arial" w:hAnsi="Arial" w:cs="Arial"/>
          <w:b/>
          <w:sz w:val="22"/>
          <w:szCs w:val="22"/>
        </w:rPr>
      </w:pPr>
      <w:r w:rsidRPr="00F261B6">
        <w:rPr>
          <w:rFonts w:ascii="Arial" w:hAnsi="Arial" w:cs="Arial"/>
          <w:b/>
          <w:sz w:val="22"/>
          <w:szCs w:val="22"/>
        </w:rPr>
        <w:t xml:space="preserve">General </w:t>
      </w:r>
    </w:p>
    <w:p w:rsidR="00F261B6" w:rsidRPr="00F261B6" w:rsidRDefault="00F261B6" w:rsidP="00E45057">
      <w:pPr>
        <w:numPr>
          <w:ilvl w:val="0"/>
          <w:numId w:val="28"/>
        </w:numPr>
        <w:tabs>
          <w:tab w:val="num" w:pos="604"/>
        </w:tabs>
        <w:ind w:left="426" w:hanging="426"/>
        <w:rPr>
          <w:rFonts w:ascii="Arial" w:hAnsi="Arial" w:cs="Arial"/>
          <w:sz w:val="22"/>
          <w:szCs w:val="22"/>
        </w:rPr>
      </w:pPr>
      <w:r w:rsidRPr="00F261B6">
        <w:rPr>
          <w:rFonts w:ascii="Arial" w:hAnsi="Arial" w:cs="Arial"/>
          <w:sz w:val="22"/>
          <w:szCs w:val="22"/>
        </w:rPr>
        <w:t>Can you provide additional data or information relevant to this assessment?</w:t>
      </w:r>
    </w:p>
    <w:p w:rsidR="00F261B6" w:rsidRPr="00F261B6" w:rsidRDefault="00F261B6" w:rsidP="00F261B6">
      <w:pPr>
        <w:ind w:left="607"/>
        <w:rPr>
          <w:rFonts w:ascii="Arial" w:hAnsi="Arial" w:cs="Arial"/>
          <w:sz w:val="22"/>
          <w:szCs w:val="22"/>
        </w:rPr>
      </w:pPr>
    </w:p>
    <w:p w:rsidR="00F261B6" w:rsidRPr="00F261B6" w:rsidRDefault="00F261B6" w:rsidP="00F261B6">
      <w:pPr>
        <w:keepNext/>
        <w:keepLines/>
        <w:rPr>
          <w:rFonts w:ascii="Arial" w:hAnsi="Arial" w:cs="Arial"/>
          <w:b/>
          <w:sz w:val="22"/>
          <w:szCs w:val="22"/>
        </w:rPr>
      </w:pPr>
      <w:r w:rsidRPr="00F261B6">
        <w:rPr>
          <w:rFonts w:ascii="Arial" w:hAnsi="Arial" w:cs="Arial"/>
          <w:b/>
          <w:sz w:val="22"/>
          <w:szCs w:val="22"/>
        </w:rPr>
        <w:t>Threats</w:t>
      </w:r>
    </w:p>
    <w:p w:rsidR="00F261B6" w:rsidRPr="00F261B6" w:rsidRDefault="00F261B6" w:rsidP="00F261B6">
      <w:pPr>
        <w:keepNext/>
        <w:keepLines/>
        <w:numPr>
          <w:ilvl w:val="0"/>
          <w:numId w:val="28"/>
        </w:numPr>
        <w:tabs>
          <w:tab w:val="num" w:pos="604"/>
        </w:tabs>
        <w:ind w:left="607" w:hanging="607"/>
        <w:rPr>
          <w:rFonts w:ascii="Arial" w:hAnsi="Arial" w:cs="Arial"/>
          <w:sz w:val="22"/>
          <w:szCs w:val="22"/>
        </w:rPr>
      </w:pPr>
      <w:r w:rsidRPr="00F261B6">
        <w:rPr>
          <w:rFonts w:ascii="Arial" w:hAnsi="Arial" w:cs="Arial"/>
          <w:sz w:val="22"/>
          <w:szCs w:val="22"/>
        </w:rPr>
        <w:t xml:space="preserve">Do you agree that the threats listed are correct and that their effect on the species is significant? </w:t>
      </w:r>
    </w:p>
    <w:p w:rsidR="00F261B6" w:rsidRPr="00F261B6" w:rsidRDefault="00F261B6" w:rsidP="00F261B6">
      <w:pPr>
        <w:keepNext/>
        <w:keepLines/>
        <w:ind w:left="607"/>
        <w:rPr>
          <w:rFonts w:ascii="Arial" w:hAnsi="Arial" w:cs="Arial"/>
          <w:sz w:val="22"/>
          <w:szCs w:val="22"/>
        </w:rPr>
      </w:pPr>
    </w:p>
    <w:p w:rsidR="00F261B6" w:rsidRPr="00F261B6" w:rsidRDefault="00F261B6" w:rsidP="00F261B6">
      <w:pPr>
        <w:numPr>
          <w:ilvl w:val="0"/>
          <w:numId w:val="28"/>
        </w:numPr>
        <w:tabs>
          <w:tab w:val="num" w:pos="604"/>
        </w:tabs>
        <w:ind w:left="607" w:hanging="607"/>
        <w:rPr>
          <w:rFonts w:ascii="Arial" w:hAnsi="Arial" w:cs="Arial"/>
          <w:sz w:val="22"/>
          <w:szCs w:val="22"/>
        </w:rPr>
      </w:pPr>
      <w:r w:rsidRPr="00F261B6">
        <w:rPr>
          <w:rFonts w:ascii="Arial" w:hAnsi="Arial" w:cs="Arial"/>
          <w:sz w:val="22"/>
          <w:szCs w:val="22"/>
        </w:rPr>
        <w:t xml:space="preserve">Can you provide additional or alternative information on threats, past, current or potential that may adversely affect this species at any stage of its life cycle? </w:t>
      </w:r>
    </w:p>
    <w:p w:rsidR="00F261B6" w:rsidRPr="00F261B6" w:rsidRDefault="00F261B6" w:rsidP="00F261B6">
      <w:pPr>
        <w:rPr>
          <w:rFonts w:ascii="Arial" w:hAnsi="Arial" w:cs="Arial"/>
          <w:sz w:val="22"/>
          <w:szCs w:val="22"/>
          <w:u w:val="single"/>
        </w:rPr>
      </w:pPr>
    </w:p>
    <w:p w:rsidR="00F261B6" w:rsidRPr="00F261B6" w:rsidRDefault="00F261B6" w:rsidP="00F261B6">
      <w:pPr>
        <w:rPr>
          <w:rFonts w:ascii="Arial" w:hAnsi="Arial" w:cs="Arial"/>
          <w:b/>
          <w:sz w:val="22"/>
          <w:szCs w:val="22"/>
        </w:rPr>
      </w:pPr>
      <w:r w:rsidRPr="00F261B6">
        <w:rPr>
          <w:rFonts w:ascii="Arial" w:hAnsi="Arial" w:cs="Arial"/>
          <w:b/>
          <w:sz w:val="22"/>
          <w:szCs w:val="22"/>
        </w:rPr>
        <w:t>Management</w:t>
      </w:r>
    </w:p>
    <w:p w:rsidR="00F261B6" w:rsidRPr="00F261B6" w:rsidRDefault="00F261B6" w:rsidP="00F261B6">
      <w:pPr>
        <w:numPr>
          <w:ilvl w:val="0"/>
          <w:numId w:val="28"/>
        </w:numPr>
        <w:tabs>
          <w:tab w:val="num" w:pos="604"/>
        </w:tabs>
        <w:ind w:left="607" w:hanging="607"/>
        <w:rPr>
          <w:rFonts w:ascii="Arial" w:hAnsi="Arial" w:cs="Arial"/>
          <w:sz w:val="22"/>
          <w:szCs w:val="22"/>
        </w:rPr>
      </w:pPr>
      <w:r w:rsidRPr="00F261B6">
        <w:rPr>
          <w:rFonts w:ascii="Arial" w:hAnsi="Arial" w:cs="Arial"/>
          <w:sz w:val="22"/>
          <w:szCs w:val="22"/>
        </w:rPr>
        <w:t xml:space="preserve">What planning, management and recovery actions are currently in place </w:t>
      </w:r>
      <w:r w:rsidR="008F76A3">
        <w:rPr>
          <w:rFonts w:ascii="Arial" w:hAnsi="Arial" w:cs="Arial"/>
          <w:sz w:val="22"/>
          <w:szCs w:val="22"/>
        </w:rPr>
        <w:t>to support the protection and recovery of this</w:t>
      </w:r>
      <w:r w:rsidRPr="00F261B6">
        <w:rPr>
          <w:rFonts w:ascii="Arial" w:hAnsi="Arial" w:cs="Arial"/>
          <w:sz w:val="22"/>
          <w:szCs w:val="22"/>
        </w:rPr>
        <w:t xml:space="preserve"> species? To what extent have they been effective?</w:t>
      </w:r>
    </w:p>
    <w:p w:rsidR="00F261B6" w:rsidRPr="00F261B6" w:rsidRDefault="00F261B6" w:rsidP="00F261B6">
      <w:pPr>
        <w:ind w:left="607"/>
        <w:rPr>
          <w:rFonts w:ascii="Arial" w:hAnsi="Arial" w:cs="Arial"/>
          <w:sz w:val="22"/>
          <w:szCs w:val="22"/>
        </w:rPr>
      </w:pPr>
    </w:p>
    <w:p w:rsidR="00F261B6" w:rsidRPr="00F261B6" w:rsidRDefault="00F261B6" w:rsidP="00F261B6">
      <w:pPr>
        <w:numPr>
          <w:ilvl w:val="0"/>
          <w:numId w:val="28"/>
        </w:numPr>
        <w:tabs>
          <w:tab w:val="num" w:pos="604"/>
        </w:tabs>
        <w:ind w:left="607" w:hanging="607"/>
        <w:rPr>
          <w:rFonts w:ascii="Arial" w:hAnsi="Arial" w:cs="Arial"/>
          <w:sz w:val="22"/>
          <w:szCs w:val="22"/>
        </w:rPr>
      </w:pPr>
      <w:r w:rsidRPr="00F261B6">
        <w:rPr>
          <w:rFonts w:ascii="Arial" w:hAnsi="Arial" w:cs="Arial"/>
          <w:sz w:val="22"/>
          <w:szCs w:val="22"/>
        </w:rPr>
        <w:t>Can you recommend any additional or alternative specific threat abatement or conservation actions that would aid th</w:t>
      </w:r>
      <w:r w:rsidR="008F76A3">
        <w:rPr>
          <w:rFonts w:ascii="Arial" w:hAnsi="Arial" w:cs="Arial"/>
          <w:sz w:val="22"/>
          <w:szCs w:val="22"/>
        </w:rPr>
        <w:t>e protection and recovery of this</w:t>
      </w:r>
      <w:r w:rsidRPr="00F261B6">
        <w:rPr>
          <w:rFonts w:ascii="Arial" w:hAnsi="Arial" w:cs="Arial"/>
          <w:sz w:val="22"/>
          <w:szCs w:val="22"/>
        </w:rPr>
        <w:t xml:space="preserve"> species?</w:t>
      </w:r>
    </w:p>
    <w:p w:rsidR="00F261B6" w:rsidRPr="00F261B6" w:rsidRDefault="00F261B6" w:rsidP="00F261B6">
      <w:pPr>
        <w:ind w:left="607"/>
        <w:rPr>
          <w:rFonts w:ascii="Arial" w:hAnsi="Arial" w:cs="Arial"/>
          <w:sz w:val="22"/>
          <w:szCs w:val="22"/>
        </w:rPr>
      </w:pPr>
    </w:p>
    <w:p w:rsidR="00121E1E" w:rsidRPr="00775F96" w:rsidRDefault="00F261B6" w:rsidP="00775F96">
      <w:pPr>
        <w:numPr>
          <w:ilvl w:val="0"/>
          <w:numId w:val="28"/>
        </w:numPr>
        <w:tabs>
          <w:tab w:val="num" w:pos="604"/>
        </w:tabs>
        <w:ind w:hanging="720"/>
        <w:rPr>
          <w:rFonts w:ascii="Arial" w:hAnsi="Arial" w:cs="Arial"/>
          <w:sz w:val="22"/>
          <w:szCs w:val="22"/>
        </w:rPr>
      </w:pPr>
      <w:r w:rsidRPr="00F261B6">
        <w:rPr>
          <w:rFonts w:ascii="Arial" w:hAnsi="Arial" w:cs="Arial"/>
          <w:sz w:val="22"/>
          <w:szCs w:val="22"/>
        </w:rPr>
        <w:t xml:space="preserve">What individuals or organisations are currently, or potentially could be, involved in </w:t>
      </w:r>
      <w:r w:rsidR="008F76A3">
        <w:rPr>
          <w:rFonts w:ascii="Arial" w:hAnsi="Arial" w:cs="Arial"/>
          <w:sz w:val="22"/>
          <w:szCs w:val="22"/>
        </w:rPr>
        <w:t xml:space="preserve">the </w:t>
      </w:r>
      <w:r w:rsidRPr="00F261B6">
        <w:rPr>
          <w:rFonts w:ascii="Arial" w:hAnsi="Arial" w:cs="Arial"/>
          <w:sz w:val="22"/>
          <w:szCs w:val="22"/>
        </w:rPr>
        <w:t>m</w:t>
      </w:r>
      <w:r w:rsidR="008F76A3">
        <w:rPr>
          <w:rFonts w:ascii="Arial" w:hAnsi="Arial" w:cs="Arial"/>
          <w:sz w:val="22"/>
          <w:szCs w:val="22"/>
        </w:rPr>
        <w:t>anagement and recovery of this</w:t>
      </w:r>
      <w:r w:rsidRPr="00F261B6">
        <w:rPr>
          <w:rFonts w:ascii="Arial" w:hAnsi="Arial" w:cs="Arial"/>
          <w:sz w:val="22"/>
          <w:szCs w:val="22"/>
        </w:rPr>
        <w:t xml:space="preserve"> species? </w:t>
      </w:r>
    </w:p>
    <w:p w:rsidR="003B2720" w:rsidRPr="00450121" w:rsidRDefault="003B2720" w:rsidP="00F65892">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536430" w:rsidRDefault="00536430" w:rsidP="00BD042D">
      <w:pPr>
        <w:pStyle w:val="Bibliography"/>
        <w:ind w:left="993" w:hanging="993"/>
        <w:rPr>
          <w:rFonts w:ascii="Arial" w:hAnsi="Arial" w:cs="Arial"/>
          <w:b w:val="0"/>
          <w:noProof/>
          <w:sz w:val="22"/>
          <w:szCs w:val="22"/>
        </w:rPr>
      </w:pPr>
      <w:r w:rsidRPr="00BD042D">
        <w:rPr>
          <w:rFonts w:ascii="Arial" w:hAnsi="Arial" w:cs="Arial"/>
          <w:b w:val="0"/>
          <w:noProof/>
          <w:sz w:val="22"/>
          <w:szCs w:val="22"/>
        </w:rPr>
        <w:t>DEH (Department of Environment and Heritage) (2009)</w:t>
      </w:r>
      <w:r w:rsidR="003D01EE" w:rsidRPr="00BD042D">
        <w:rPr>
          <w:rFonts w:ascii="Arial" w:hAnsi="Arial" w:cs="Arial"/>
          <w:b w:val="0"/>
          <w:noProof/>
          <w:sz w:val="22"/>
          <w:szCs w:val="22"/>
        </w:rPr>
        <w:t>.</w:t>
      </w:r>
      <w:r w:rsidRPr="00BD042D">
        <w:rPr>
          <w:rFonts w:ascii="Arial" w:hAnsi="Arial" w:cs="Arial"/>
          <w:b w:val="0"/>
          <w:noProof/>
          <w:sz w:val="22"/>
          <w:szCs w:val="22"/>
        </w:rPr>
        <w:t xml:space="preserve"> South Australian Arid Lands Biodiversity Strategy - Stony Plains Conservation Priorities. South Australian Arid Lands NRM Board. Department for Environment and Heritage.</w:t>
      </w:r>
    </w:p>
    <w:p w:rsidR="00285FE9" w:rsidRDefault="00285FE9" w:rsidP="00855525">
      <w:pPr>
        <w:rPr>
          <w:rFonts w:ascii="Arial" w:hAnsi="Arial" w:cs="Arial"/>
          <w:sz w:val="22"/>
          <w:szCs w:val="22"/>
        </w:rPr>
      </w:pPr>
    </w:p>
    <w:p w:rsidR="004A56EA" w:rsidRDefault="004A56EA" w:rsidP="00E45057">
      <w:pPr>
        <w:pStyle w:val="Bibliography"/>
        <w:ind w:left="993" w:hanging="993"/>
        <w:rPr>
          <w:rFonts w:ascii="Arial" w:hAnsi="Arial" w:cs="Arial"/>
          <w:b w:val="0"/>
          <w:noProof/>
          <w:sz w:val="22"/>
          <w:szCs w:val="22"/>
        </w:rPr>
      </w:pPr>
      <w:r w:rsidRPr="00E45057">
        <w:rPr>
          <w:rFonts w:ascii="Arial" w:hAnsi="Arial" w:cs="Arial"/>
          <w:b w:val="0"/>
          <w:noProof/>
          <w:sz w:val="22"/>
          <w:szCs w:val="22"/>
        </w:rPr>
        <w:t>Department of the Environment (2015). AOO and EOO of</w:t>
      </w:r>
      <w:r w:rsidR="00973361" w:rsidRPr="00E45057">
        <w:rPr>
          <w:rFonts w:ascii="Arial" w:hAnsi="Arial" w:cs="Arial"/>
          <w:b w:val="0"/>
          <w:noProof/>
          <w:sz w:val="22"/>
          <w:szCs w:val="22"/>
        </w:rPr>
        <w:t xml:space="preserve"> Arckaringa daisy (Olearia arckaringensis)</w:t>
      </w:r>
      <w:r w:rsidRPr="00E45057">
        <w:rPr>
          <w:rFonts w:ascii="Arial" w:hAnsi="Arial" w:cs="Arial"/>
          <w:b w:val="0"/>
          <w:noProof/>
          <w:sz w:val="22"/>
          <w:szCs w:val="22"/>
        </w:rPr>
        <w:t>. Department of the Environment. Canberra.</w:t>
      </w:r>
    </w:p>
    <w:p w:rsidR="008B7927" w:rsidRPr="008B7927" w:rsidRDefault="008B7927" w:rsidP="008B7927">
      <w:pPr>
        <w:rPr>
          <w:lang w:val="en-GB"/>
        </w:rPr>
      </w:pPr>
    </w:p>
    <w:p w:rsidR="00973361" w:rsidRDefault="00973361" w:rsidP="00E45057">
      <w:pPr>
        <w:pStyle w:val="Bibliography"/>
        <w:ind w:left="993" w:hanging="993"/>
        <w:rPr>
          <w:rFonts w:ascii="Arial" w:hAnsi="Arial" w:cs="Arial"/>
          <w:b w:val="0"/>
          <w:noProof/>
          <w:sz w:val="22"/>
          <w:szCs w:val="22"/>
        </w:rPr>
      </w:pPr>
      <w:r w:rsidRPr="00E45057">
        <w:rPr>
          <w:rFonts w:ascii="Arial" w:hAnsi="Arial" w:cs="Arial"/>
          <w:b w:val="0"/>
          <w:noProof/>
          <w:sz w:val="22"/>
          <w:szCs w:val="22"/>
        </w:rPr>
        <w:t>IUCN (2014). Guidelines for using the IUCN Red List Categories and Criteria. Version 11. Prepared by the Standards and Petitions Subcommittee. IUCN. Gland.</w:t>
      </w:r>
    </w:p>
    <w:p w:rsidR="008B7927" w:rsidRPr="008B7927" w:rsidRDefault="008B7927" w:rsidP="008B7927">
      <w:pPr>
        <w:rPr>
          <w:lang w:val="en-GB"/>
        </w:rPr>
      </w:pPr>
    </w:p>
    <w:p w:rsidR="005A7196" w:rsidRPr="00973361" w:rsidRDefault="00285FE9" w:rsidP="00973361">
      <w:pPr>
        <w:pStyle w:val="Bibliography"/>
        <w:ind w:left="993" w:hanging="993"/>
        <w:rPr>
          <w:rFonts w:ascii="Arial" w:hAnsi="Arial" w:cs="Arial"/>
          <w:b w:val="0"/>
          <w:noProof/>
          <w:sz w:val="22"/>
          <w:szCs w:val="22"/>
        </w:rPr>
      </w:pPr>
      <w:r w:rsidRPr="007048EB">
        <w:rPr>
          <w:rFonts w:ascii="Arial" w:hAnsi="Arial" w:cs="Arial"/>
          <w:b w:val="0"/>
          <w:noProof/>
          <w:sz w:val="22"/>
          <w:szCs w:val="22"/>
        </w:rPr>
        <w:t xml:space="preserve">Lang PJ (2008). </w:t>
      </w:r>
      <w:r w:rsidRPr="007048EB">
        <w:rPr>
          <w:rFonts w:ascii="Arial" w:hAnsi="Arial" w:cs="Arial"/>
          <w:b w:val="0"/>
          <w:i/>
          <w:noProof/>
          <w:sz w:val="22"/>
          <w:szCs w:val="22"/>
        </w:rPr>
        <w:t xml:space="preserve">Olearea arckaringensis </w:t>
      </w:r>
      <w:r w:rsidRPr="007048EB">
        <w:rPr>
          <w:rFonts w:ascii="Arial" w:hAnsi="Arial" w:cs="Arial"/>
          <w:b w:val="0"/>
          <w:noProof/>
          <w:sz w:val="22"/>
          <w:szCs w:val="22"/>
        </w:rPr>
        <w:t xml:space="preserve">(Asteraceae: Astereae), a new endangered daisy-bush from northern South Australia. Journal </w:t>
      </w:r>
      <w:r w:rsidR="00BF2CE8">
        <w:rPr>
          <w:rFonts w:ascii="Arial" w:hAnsi="Arial" w:cs="Arial"/>
          <w:b w:val="0"/>
          <w:noProof/>
          <w:sz w:val="22"/>
          <w:szCs w:val="22"/>
        </w:rPr>
        <w:t>of the Adelaide Botanic</w:t>
      </w:r>
      <w:r w:rsidRPr="007048EB">
        <w:rPr>
          <w:rFonts w:ascii="Arial" w:hAnsi="Arial" w:cs="Arial"/>
          <w:b w:val="0"/>
          <w:noProof/>
          <w:sz w:val="22"/>
          <w:szCs w:val="22"/>
        </w:rPr>
        <w:t xml:space="preserve"> Gardens 22</w:t>
      </w:r>
      <w:r w:rsidR="001166C9" w:rsidRPr="007048EB">
        <w:rPr>
          <w:rFonts w:ascii="Arial" w:hAnsi="Arial" w:cs="Arial"/>
          <w:b w:val="0"/>
          <w:noProof/>
          <w:sz w:val="22"/>
          <w:szCs w:val="22"/>
        </w:rPr>
        <w:t>:</w:t>
      </w:r>
      <w:r w:rsidRPr="007048EB">
        <w:rPr>
          <w:rFonts w:ascii="Arial" w:hAnsi="Arial" w:cs="Arial"/>
          <w:b w:val="0"/>
          <w:noProof/>
          <w:sz w:val="22"/>
          <w:szCs w:val="22"/>
        </w:rPr>
        <w:t xml:space="preserve"> 57–61.</w:t>
      </w:r>
    </w:p>
    <w:p w:rsidR="009108DE" w:rsidRPr="00182E7D" w:rsidRDefault="009108DE" w:rsidP="009108DE">
      <w:pPr>
        <w:pStyle w:val="Normal12ptCharCharCharCharCharChar"/>
        <w:spacing w:before="240"/>
        <w:rPr>
          <w:rFonts w:ascii="Arial" w:hAnsi="Arial" w:cs="Arial"/>
          <w:b/>
          <w:bCs/>
          <w:sz w:val="22"/>
          <w:szCs w:val="22"/>
          <w:u w:val="single"/>
        </w:rPr>
      </w:pPr>
      <w:r>
        <w:rPr>
          <w:rFonts w:ascii="Arial" w:hAnsi="Arial" w:cs="Arial"/>
          <w:b/>
          <w:bCs/>
          <w:sz w:val="22"/>
          <w:szCs w:val="22"/>
          <w:u w:val="single"/>
        </w:rPr>
        <w:t>Other sources cited in the advice</w:t>
      </w:r>
    </w:p>
    <w:p w:rsidR="009108DE" w:rsidRPr="009108DE" w:rsidRDefault="009108DE" w:rsidP="009108DE">
      <w:pPr>
        <w:pStyle w:val="Bibliography"/>
        <w:ind w:left="993" w:hanging="993"/>
        <w:rPr>
          <w:rFonts w:ascii="Arial" w:hAnsi="Arial" w:cs="Arial"/>
          <w:b w:val="0"/>
          <w:noProof/>
          <w:sz w:val="22"/>
          <w:szCs w:val="22"/>
        </w:rPr>
      </w:pPr>
      <w:r w:rsidRPr="009108DE">
        <w:rPr>
          <w:rFonts w:ascii="Arial" w:hAnsi="Arial" w:cs="Arial"/>
          <w:b w:val="0"/>
          <w:noProof/>
          <w:sz w:val="22"/>
          <w:szCs w:val="22"/>
        </w:rPr>
        <w:t>DEWNR (Department of Environment, Water and Natural Resources) (2016). Arckaringa Hills state heritage area fact sheet. Available on the Internet at:</w:t>
      </w:r>
    </w:p>
    <w:p w:rsidR="009108DE" w:rsidRDefault="00C965E5" w:rsidP="008B7927">
      <w:pPr>
        <w:spacing w:after="240"/>
        <w:ind w:left="964"/>
        <w:rPr>
          <w:rFonts w:ascii="Arial" w:hAnsi="Arial" w:cs="Arial"/>
          <w:sz w:val="22"/>
          <w:szCs w:val="22"/>
        </w:rPr>
      </w:pPr>
      <w:hyperlink r:id="rId12" w:history="1">
        <w:r w:rsidR="009108DE" w:rsidRPr="0076340E">
          <w:rPr>
            <w:rStyle w:val="Hyperlink"/>
            <w:rFonts w:ascii="Arial" w:hAnsi="Arial" w:cs="Arial"/>
            <w:sz w:val="22"/>
            <w:szCs w:val="22"/>
          </w:rPr>
          <w:t>http://www.environment.sa.gov.au/our-places/Heritage/Visiting_heritage_places/State_heritage_areas/Arckaringa_Hills</w:t>
        </w:r>
      </w:hyperlink>
    </w:p>
    <w:p w:rsidR="009108DE" w:rsidRPr="008C1409" w:rsidRDefault="009108DE" w:rsidP="00855525">
      <w:pPr>
        <w:spacing w:after="240"/>
        <w:rPr>
          <w:rFonts w:ascii="Arial" w:hAnsi="Arial" w:cs="Arial"/>
          <w:sz w:val="22"/>
          <w:szCs w:val="22"/>
        </w:rPr>
      </w:pPr>
    </w:p>
    <w:sectPr w:rsidR="009108DE" w:rsidRPr="008C1409" w:rsidSect="00732BE9">
      <w:headerReference w:type="even" r:id="rId13"/>
      <w:headerReference w:type="default" r:id="rId14"/>
      <w:footerReference w:type="even" r:id="rId15"/>
      <w:footerReference w:type="default" r:id="rId16"/>
      <w:headerReference w:type="first" r:id="rId17"/>
      <w:footerReference w:type="first" r:id="rId18"/>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E5D" w:rsidRDefault="006A5E5D">
      <w:r>
        <w:separator/>
      </w:r>
    </w:p>
  </w:endnote>
  <w:endnote w:type="continuationSeparator" w:id="0">
    <w:p w:rsidR="006A5E5D" w:rsidRDefault="006A5E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Segoe UI Symbol">
    <w:panose1 w:val="020B0502040204020203"/>
    <w:charset w:val="00"/>
    <w:family w:val="swiss"/>
    <w:pitch w:val="variable"/>
    <w:sig w:usb0="8000006F" w:usb1="1200FBEF" w:usb2="0064C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E5D" w:rsidRDefault="00C965E5">
    <w:pPr>
      <w:pStyle w:val="Footer"/>
      <w:framePr w:wrap="around" w:vAnchor="text" w:hAnchor="margin" w:xAlign="right" w:y="1"/>
      <w:rPr>
        <w:rStyle w:val="PageNumber"/>
      </w:rPr>
    </w:pPr>
    <w:r>
      <w:rPr>
        <w:rStyle w:val="PageNumber"/>
      </w:rPr>
      <w:fldChar w:fldCharType="begin"/>
    </w:r>
    <w:r w:rsidR="006A5E5D">
      <w:rPr>
        <w:rStyle w:val="PageNumber"/>
      </w:rPr>
      <w:instrText xml:space="preserve">PAGE  </w:instrText>
    </w:r>
    <w:r>
      <w:rPr>
        <w:rStyle w:val="PageNumber"/>
      </w:rPr>
      <w:fldChar w:fldCharType="end"/>
    </w:r>
  </w:p>
  <w:p w:rsidR="006A5E5D" w:rsidRDefault="006A5E5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E5D" w:rsidRDefault="006A5E5D" w:rsidP="00F33606">
    <w:pPr>
      <w:jc w:val="center"/>
      <w:rPr>
        <w:rStyle w:val="Heading1Char"/>
        <w:rFonts w:ascii="Arial" w:hAnsi="Arial" w:cs="Arial"/>
        <w:sz w:val="18"/>
        <w:szCs w:val="18"/>
        <w:u w:val="none"/>
      </w:rPr>
    </w:pPr>
    <w:r>
      <w:rPr>
        <w:rFonts w:ascii="Arial" w:hAnsi="Arial" w:cs="Arial"/>
        <w:i/>
        <w:iCs/>
        <w:sz w:val="18"/>
        <w:szCs w:val="18"/>
      </w:rPr>
      <w:t>Oleari</w:t>
    </w:r>
    <w:r w:rsidRPr="003025E1">
      <w:rPr>
        <w:rFonts w:ascii="Arial" w:hAnsi="Arial" w:cs="Arial"/>
        <w:i/>
        <w:iCs/>
        <w:sz w:val="18"/>
        <w:szCs w:val="18"/>
      </w:rPr>
      <w:t xml:space="preserve">a arckaringensis </w:t>
    </w:r>
    <w:r w:rsidRPr="003025E1">
      <w:rPr>
        <w:rFonts w:ascii="Arial" w:hAnsi="Arial" w:cs="Arial"/>
        <w:iCs/>
        <w:sz w:val="18"/>
        <w:szCs w:val="18"/>
      </w:rPr>
      <w:t>(Arckaringa daisy)</w:t>
    </w:r>
    <w:r>
      <w:rPr>
        <w:rFonts w:ascii="Arial" w:hAnsi="Arial" w:cs="Arial"/>
        <w:iCs/>
        <w:sz w:val="18"/>
        <w:szCs w:val="18"/>
      </w:rPr>
      <w:t xml:space="preserve"> </w:t>
    </w:r>
    <w:r>
      <w:rPr>
        <w:rStyle w:val="Heading1Char"/>
        <w:rFonts w:ascii="Arial" w:hAnsi="Arial" w:cs="Arial"/>
        <w:sz w:val="18"/>
        <w:szCs w:val="18"/>
        <w:u w:val="none"/>
      </w:rPr>
      <w:t>consultation</w:t>
    </w:r>
  </w:p>
  <w:p w:rsidR="006A5E5D" w:rsidRPr="00F33606" w:rsidRDefault="006A5E5D" w:rsidP="00F33606">
    <w:pPr>
      <w:jc w:val="center"/>
      <w:rPr>
        <w:rFonts w:ascii="Arial" w:hAnsi="Arial" w:cs="Arial"/>
        <w:sz w:val="18"/>
        <w:szCs w:val="18"/>
      </w:rPr>
    </w:pPr>
    <w:r w:rsidRPr="00F33606">
      <w:rPr>
        <w:rFonts w:ascii="Arial" w:hAnsi="Arial" w:cs="Arial"/>
        <w:snapToGrid w:val="0"/>
        <w:sz w:val="18"/>
        <w:szCs w:val="18"/>
      </w:rPr>
      <w:t xml:space="preserve">Page </w:t>
    </w:r>
    <w:r w:rsidR="00C965E5"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C965E5" w:rsidRPr="00F33606">
      <w:rPr>
        <w:rStyle w:val="PageNumber"/>
        <w:rFonts w:ascii="Arial" w:hAnsi="Arial" w:cs="Arial"/>
        <w:sz w:val="18"/>
        <w:szCs w:val="18"/>
      </w:rPr>
      <w:fldChar w:fldCharType="separate"/>
    </w:r>
    <w:r w:rsidR="00987154">
      <w:rPr>
        <w:rStyle w:val="PageNumber"/>
        <w:rFonts w:ascii="Arial" w:hAnsi="Arial" w:cs="Arial"/>
        <w:noProof/>
        <w:sz w:val="18"/>
        <w:szCs w:val="18"/>
      </w:rPr>
      <w:t>2</w:t>
    </w:r>
    <w:r w:rsidR="00C965E5"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C965E5"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C965E5" w:rsidRPr="00F33606">
      <w:rPr>
        <w:rStyle w:val="PageNumber"/>
        <w:rFonts w:ascii="Arial" w:hAnsi="Arial" w:cs="Arial"/>
        <w:sz w:val="18"/>
        <w:szCs w:val="18"/>
      </w:rPr>
      <w:fldChar w:fldCharType="separate"/>
    </w:r>
    <w:r w:rsidR="00987154">
      <w:rPr>
        <w:rStyle w:val="PageNumber"/>
        <w:rFonts w:ascii="Arial" w:hAnsi="Arial" w:cs="Arial"/>
        <w:noProof/>
        <w:sz w:val="18"/>
        <w:szCs w:val="18"/>
      </w:rPr>
      <w:t>3</w:t>
    </w:r>
    <w:r w:rsidR="00C965E5"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E5D" w:rsidRPr="00D034DA" w:rsidRDefault="006A5E5D">
    <w:pPr>
      <w:pStyle w:val="Footer"/>
      <w:jc w:val="right"/>
      <w:rPr>
        <w:rFonts w:ascii="Arial" w:hAnsi="Arial" w:cs="Arial"/>
        <w:sz w:val="18"/>
        <w:szCs w:val="18"/>
      </w:rPr>
    </w:pPr>
    <w:r w:rsidRPr="007048EB">
      <w:rPr>
        <w:rFonts w:ascii="Arial" w:hAnsi="Arial" w:cs="Arial"/>
        <w:i/>
        <w:iCs/>
        <w:snapToGrid w:val="0"/>
        <w:sz w:val="18"/>
        <w:szCs w:val="18"/>
      </w:rPr>
      <w:t xml:space="preserve">Olearea arckaringensis </w:t>
    </w:r>
    <w:r w:rsidRPr="007048EB">
      <w:rPr>
        <w:rFonts w:ascii="Arial" w:hAnsi="Arial" w:cs="Arial"/>
        <w:iCs/>
        <w:snapToGrid w:val="0"/>
        <w:sz w:val="18"/>
        <w:szCs w:val="18"/>
      </w:rPr>
      <w:t>(Arckaringa daisy)</w:t>
    </w:r>
    <w:r w:rsidRPr="00D034DA">
      <w:rPr>
        <w:rFonts w:ascii="Arial" w:hAnsi="Arial" w:cs="Arial"/>
        <w:snapToGrid w:val="0"/>
        <w:sz w:val="18"/>
        <w:szCs w:val="18"/>
      </w:rPr>
      <w:t xml:space="preserve"> Consultation document - Page </w:t>
    </w:r>
    <w:r w:rsidR="00C965E5"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C965E5" w:rsidRPr="00D034DA">
      <w:rPr>
        <w:rStyle w:val="PageNumber"/>
        <w:rFonts w:ascii="Arial" w:hAnsi="Arial" w:cs="Arial"/>
        <w:sz w:val="18"/>
        <w:szCs w:val="18"/>
      </w:rPr>
      <w:fldChar w:fldCharType="separate"/>
    </w:r>
    <w:r w:rsidR="00987154">
      <w:rPr>
        <w:rStyle w:val="PageNumber"/>
        <w:rFonts w:ascii="Arial" w:hAnsi="Arial" w:cs="Arial"/>
        <w:noProof/>
        <w:sz w:val="18"/>
        <w:szCs w:val="18"/>
      </w:rPr>
      <w:t>1</w:t>
    </w:r>
    <w:r w:rsidR="00C965E5"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C965E5"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C965E5" w:rsidRPr="00D034DA">
      <w:rPr>
        <w:rStyle w:val="PageNumber"/>
        <w:rFonts w:ascii="Arial" w:hAnsi="Arial" w:cs="Arial"/>
        <w:sz w:val="18"/>
        <w:szCs w:val="18"/>
      </w:rPr>
      <w:fldChar w:fldCharType="separate"/>
    </w:r>
    <w:r w:rsidR="00987154">
      <w:rPr>
        <w:rStyle w:val="PageNumber"/>
        <w:rFonts w:ascii="Arial" w:hAnsi="Arial" w:cs="Arial"/>
        <w:noProof/>
        <w:sz w:val="18"/>
        <w:szCs w:val="18"/>
      </w:rPr>
      <w:t>9</w:t>
    </w:r>
    <w:r w:rsidR="00C965E5"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E5D" w:rsidRDefault="006A5E5D">
      <w:r>
        <w:separator/>
      </w:r>
    </w:p>
  </w:footnote>
  <w:footnote w:type="continuationSeparator" w:id="0">
    <w:p w:rsidR="006A5E5D" w:rsidRDefault="006A5E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154" w:rsidRDefault="009871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E5D" w:rsidRPr="006115F8" w:rsidRDefault="006A5E5D"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E5D" w:rsidRDefault="006A5E5D">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5714B87"/>
    <w:multiLevelType w:val="hybridMultilevel"/>
    <w:tmpl w:val="881AB47E"/>
    <w:lvl w:ilvl="0" w:tplc="CE1CC69C">
      <w:start w:val="1"/>
      <w:numFmt w:val="bullet"/>
      <w:lvlText w:val="•"/>
      <w:lvlJc w:val="left"/>
      <w:pPr>
        <w:ind w:left="7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24C16A6">
      <w:start w:val="1"/>
      <w:numFmt w:val="bullet"/>
      <w:lvlText w:val="o"/>
      <w:lvlJc w:val="left"/>
      <w:pPr>
        <w:ind w:left="14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DBA6A3E">
      <w:start w:val="1"/>
      <w:numFmt w:val="bullet"/>
      <w:lvlText w:val="▪"/>
      <w:lvlJc w:val="left"/>
      <w:pPr>
        <w:ind w:left="21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99A2EF2">
      <w:start w:val="1"/>
      <w:numFmt w:val="bullet"/>
      <w:lvlText w:val="•"/>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94C1284">
      <w:start w:val="1"/>
      <w:numFmt w:val="bullet"/>
      <w:lvlText w:val="o"/>
      <w:lvlJc w:val="left"/>
      <w:pPr>
        <w:ind w:left="35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36ADF2C">
      <w:start w:val="1"/>
      <w:numFmt w:val="bullet"/>
      <w:lvlText w:val="▪"/>
      <w:lvlJc w:val="left"/>
      <w:pPr>
        <w:ind w:left="43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6B2BF22">
      <w:start w:val="1"/>
      <w:numFmt w:val="bullet"/>
      <w:lvlText w:val="•"/>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15E51AA">
      <w:start w:val="1"/>
      <w:numFmt w:val="bullet"/>
      <w:lvlText w:val="o"/>
      <w:lvlJc w:val="left"/>
      <w:pPr>
        <w:ind w:left="57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F98F9A8">
      <w:start w:val="1"/>
      <w:numFmt w:val="bullet"/>
      <w:lvlText w:val="▪"/>
      <w:lvlJc w:val="left"/>
      <w:pPr>
        <w:ind w:left="647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6">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2">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4">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5">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25"/>
  </w:num>
  <w:num w:numId="4">
    <w:abstractNumId w:val="10"/>
  </w:num>
  <w:num w:numId="5">
    <w:abstractNumId w:val="19"/>
  </w:num>
  <w:num w:numId="6">
    <w:abstractNumId w:val="7"/>
  </w:num>
  <w:num w:numId="7">
    <w:abstractNumId w:val="22"/>
  </w:num>
  <w:num w:numId="8">
    <w:abstractNumId w:val="9"/>
  </w:num>
  <w:num w:numId="9">
    <w:abstractNumId w:val="14"/>
  </w:num>
  <w:num w:numId="10">
    <w:abstractNumId w:val="11"/>
  </w:num>
  <w:num w:numId="11">
    <w:abstractNumId w:val="12"/>
  </w:num>
  <w:num w:numId="12">
    <w:abstractNumId w:val="20"/>
  </w:num>
  <w:num w:numId="13">
    <w:abstractNumId w:val="24"/>
  </w:num>
  <w:num w:numId="14">
    <w:abstractNumId w:val="0"/>
  </w:num>
  <w:num w:numId="15">
    <w:abstractNumId w:val="0"/>
  </w:num>
  <w:num w:numId="16">
    <w:abstractNumId w:val="5"/>
  </w:num>
  <w:num w:numId="17">
    <w:abstractNumId w:val="23"/>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1"/>
  </w:num>
  <w:num w:numId="26">
    <w:abstractNumId w:val="6"/>
  </w:num>
  <w:num w:numId="27">
    <w:abstractNumId w:val="8"/>
  </w:num>
  <w:num w:numId="28">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07EEE"/>
    <w:rsid w:val="00016191"/>
    <w:rsid w:val="000279C3"/>
    <w:rsid w:val="000311E4"/>
    <w:rsid w:val="00036E06"/>
    <w:rsid w:val="00041235"/>
    <w:rsid w:val="0005187C"/>
    <w:rsid w:val="00054EB7"/>
    <w:rsid w:val="00055CB2"/>
    <w:rsid w:val="00056EBF"/>
    <w:rsid w:val="00057925"/>
    <w:rsid w:val="00062E62"/>
    <w:rsid w:val="00063273"/>
    <w:rsid w:val="000637EF"/>
    <w:rsid w:val="00063D8D"/>
    <w:rsid w:val="00064A65"/>
    <w:rsid w:val="00066389"/>
    <w:rsid w:val="00076AE8"/>
    <w:rsid w:val="000771E1"/>
    <w:rsid w:val="00087FD1"/>
    <w:rsid w:val="0009171C"/>
    <w:rsid w:val="000920F6"/>
    <w:rsid w:val="0009403D"/>
    <w:rsid w:val="000954EC"/>
    <w:rsid w:val="000A277F"/>
    <w:rsid w:val="000D00FE"/>
    <w:rsid w:val="000D14F8"/>
    <w:rsid w:val="000E59E6"/>
    <w:rsid w:val="000E7DD5"/>
    <w:rsid w:val="000F0708"/>
    <w:rsid w:val="000F710E"/>
    <w:rsid w:val="001024DD"/>
    <w:rsid w:val="001035E7"/>
    <w:rsid w:val="00107756"/>
    <w:rsid w:val="00115212"/>
    <w:rsid w:val="001166C9"/>
    <w:rsid w:val="00116F45"/>
    <w:rsid w:val="00121E1E"/>
    <w:rsid w:val="00137631"/>
    <w:rsid w:val="00137655"/>
    <w:rsid w:val="00137E55"/>
    <w:rsid w:val="001404C2"/>
    <w:rsid w:val="0014165F"/>
    <w:rsid w:val="00147598"/>
    <w:rsid w:val="00156DBE"/>
    <w:rsid w:val="00171A75"/>
    <w:rsid w:val="00172B58"/>
    <w:rsid w:val="00172BD0"/>
    <w:rsid w:val="00175138"/>
    <w:rsid w:val="00175496"/>
    <w:rsid w:val="001803F5"/>
    <w:rsid w:val="001914D9"/>
    <w:rsid w:val="00194847"/>
    <w:rsid w:val="001973B5"/>
    <w:rsid w:val="001A2E1E"/>
    <w:rsid w:val="001A33BE"/>
    <w:rsid w:val="001A3431"/>
    <w:rsid w:val="001A67B4"/>
    <w:rsid w:val="001B235C"/>
    <w:rsid w:val="001B2487"/>
    <w:rsid w:val="001C78A0"/>
    <w:rsid w:val="001D05BF"/>
    <w:rsid w:val="001D133C"/>
    <w:rsid w:val="001D2385"/>
    <w:rsid w:val="001D3D6A"/>
    <w:rsid w:val="001D450C"/>
    <w:rsid w:val="001D49A1"/>
    <w:rsid w:val="001F68F9"/>
    <w:rsid w:val="00204BFF"/>
    <w:rsid w:val="00205C7F"/>
    <w:rsid w:val="002067F2"/>
    <w:rsid w:val="00213CC4"/>
    <w:rsid w:val="00216073"/>
    <w:rsid w:val="002327F3"/>
    <w:rsid w:val="00236E04"/>
    <w:rsid w:val="00237629"/>
    <w:rsid w:val="00240F7D"/>
    <w:rsid w:val="00241FA1"/>
    <w:rsid w:val="002454A8"/>
    <w:rsid w:val="00252CFE"/>
    <w:rsid w:val="00254CE0"/>
    <w:rsid w:val="00254E78"/>
    <w:rsid w:val="00260405"/>
    <w:rsid w:val="0026047A"/>
    <w:rsid w:val="00267C6A"/>
    <w:rsid w:val="002718E8"/>
    <w:rsid w:val="00271D64"/>
    <w:rsid w:val="00276E44"/>
    <w:rsid w:val="0028003E"/>
    <w:rsid w:val="0028018D"/>
    <w:rsid w:val="00280BDC"/>
    <w:rsid w:val="00285FE9"/>
    <w:rsid w:val="002939A8"/>
    <w:rsid w:val="00294A58"/>
    <w:rsid w:val="00297E02"/>
    <w:rsid w:val="002A2B15"/>
    <w:rsid w:val="002A385F"/>
    <w:rsid w:val="002A46D5"/>
    <w:rsid w:val="002A5804"/>
    <w:rsid w:val="002B1013"/>
    <w:rsid w:val="002B2B88"/>
    <w:rsid w:val="002B457A"/>
    <w:rsid w:val="002B6137"/>
    <w:rsid w:val="002B7EA2"/>
    <w:rsid w:val="002C0879"/>
    <w:rsid w:val="002C2FE4"/>
    <w:rsid w:val="002C62D9"/>
    <w:rsid w:val="002D5313"/>
    <w:rsid w:val="002D6BA1"/>
    <w:rsid w:val="002D6F98"/>
    <w:rsid w:val="002E214D"/>
    <w:rsid w:val="002E7DDE"/>
    <w:rsid w:val="002E7F8F"/>
    <w:rsid w:val="002F0A52"/>
    <w:rsid w:val="003025E1"/>
    <w:rsid w:val="00302BDB"/>
    <w:rsid w:val="00302CF3"/>
    <w:rsid w:val="00303ECD"/>
    <w:rsid w:val="003045E3"/>
    <w:rsid w:val="00307DBE"/>
    <w:rsid w:val="00311224"/>
    <w:rsid w:val="00315516"/>
    <w:rsid w:val="00316460"/>
    <w:rsid w:val="00323730"/>
    <w:rsid w:val="00324E9B"/>
    <w:rsid w:val="00327BA3"/>
    <w:rsid w:val="003332CE"/>
    <w:rsid w:val="00333C82"/>
    <w:rsid w:val="003351E0"/>
    <w:rsid w:val="003371BD"/>
    <w:rsid w:val="0034317E"/>
    <w:rsid w:val="00343936"/>
    <w:rsid w:val="003445DF"/>
    <w:rsid w:val="0034720F"/>
    <w:rsid w:val="00347982"/>
    <w:rsid w:val="003517C6"/>
    <w:rsid w:val="0035614B"/>
    <w:rsid w:val="003609F1"/>
    <w:rsid w:val="00360B63"/>
    <w:rsid w:val="003659B1"/>
    <w:rsid w:val="00373110"/>
    <w:rsid w:val="003737AB"/>
    <w:rsid w:val="00374851"/>
    <w:rsid w:val="003757C3"/>
    <w:rsid w:val="003828CB"/>
    <w:rsid w:val="00390ABC"/>
    <w:rsid w:val="00395ED9"/>
    <w:rsid w:val="00396855"/>
    <w:rsid w:val="0039708C"/>
    <w:rsid w:val="003A021F"/>
    <w:rsid w:val="003A28F6"/>
    <w:rsid w:val="003B2720"/>
    <w:rsid w:val="003B480B"/>
    <w:rsid w:val="003B5A9E"/>
    <w:rsid w:val="003C2E69"/>
    <w:rsid w:val="003C6972"/>
    <w:rsid w:val="003D01EE"/>
    <w:rsid w:val="003D27B8"/>
    <w:rsid w:val="003F4463"/>
    <w:rsid w:val="003F4D21"/>
    <w:rsid w:val="003F5EA3"/>
    <w:rsid w:val="003F72E3"/>
    <w:rsid w:val="003F7EA5"/>
    <w:rsid w:val="004039E4"/>
    <w:rsid w:val="00405C09"/>
    <w:rsid w:val="004109D9"/>
    <w:rsid w:val="004121E7"/>
    <w:rsid w:val="00412D6C"/>
    <w:rsid w:val="00420228"/>
    <w:rsid w:val="00420CB1"/>
    <w:rsid w:val="00424584"/>
    <w:rsid w:val="004251C0"/>
    <w:rsid w:val="0042648F"/>
    <w:rsid w:val="004268DC"/>
    <w:rsid w:val="00443543"/>
    <w:rsid w:val="004438D2"/>
    <w:rsid w:val="00444FDB"/>
    <w:rsid w:val="0044620A"/>
    <w:rsid w:val="00450121"/>
    <w:rsid w:val="00456669"/>
    <w:rsid w:val="00465C67"/>
    <w:rsid w:val="004665F8"/>
    <w:rsid w:val="004709D8"/>
    <w:rsid w:val="00471798"/>
    <w:rsid w:val="00474C15"/>
    <w:rsid w:val="00490C47"/>
    <w:rsid w:val="00491A9B"/>
    <w:rsid w:val="004928B1"/>
    <w:rsid w:val="00493997"/>
    <w:rsid w:val="004A56EA"/>
    <w:rsid w:val="004B1D49"/>
    <w:rsid w:val="004B1F15"/>
    <w:rsid w:val="004C1A90"/>
    <w:rsid w:val="004C3504"/>
    <w:rsid w:val="004C3C82"/>
    <w:rsid w:val="004C5904"/>
    <w:rsid w:val="004D3ABC"/>
    <w:rsid w:val="004E1118"/>
    <w:rsid w:val="004E19C3"/>
    <w:rsid w:val="004F64E7"/>
    <w:rsid w:val="004F6E9D"/>
    <w:rsid w:val="005013BD"/>
    <w:rsid w:val="005058B0"/>
    <w:rsid w:val="00512A6F"/>
    <w:rsid w:val="005138E9"/>
    <w:rsid w:val="005146E6"/>
    <w:rsid w:val="00517C96"/>
    <w:rsid w:val="00520072"/>
    <w:rsid w:val="0052340E"/>
    <w:rsid w:val="005244FC"/>
    <w:rsid w:val="0052457B"/>
    <w:rsid w:val="005255E2"/>
    <w:rsid w:val="00530252"/>
    <w:rsid w:val="00536214"/>
    <w:rsid w:val="00536430"/>
    <w:rsid w:val="005416F2"/>
    <w:rsid w:val="00544478"/>
    <w:rsid w:val="005501BC"/>
    <w:rsid w:val="00557732"/>
    <w:rsid w:val="00570F9A"/>
    <w:rsid w:val="005718D1"/>
    <w:rsid w:val="005736C1"/>
    <w:rsid w:val="005800EF"/>
    <w:rsid w:val="005830B7"/>
    <w:rsid w:val="00583F10"/>
    <w:rsid w:val="00591525"/>
    <w:rsid w:val="0059233B"/>
    <w:rsid w:val="00594DA5"/>
    <w:rsid w:val="00595283"/>
    <w:rsid w:val="005969C3"/>
    <w:rsid w:val="005A07EF"/>
    <w:rsid w:val="005A1AF0"/>
    <w:rsid w:val="005A7196"/>
    <w:rsid w:val="005B4224"/>
    <w:rsid w:val="005C5BD6"/>
    <w:rsid w:val="005C77DB"/>
    <w:rsid w:val="005C7D6D"/>
    <w:rsid w:val="005D0D86"/>
    <w:rsid w:val="005D3FD8"/>
    <w:rsid w:val="005D4B90"/>
    <w:rsid w:val="005E71F9"/>
    <w:rsid w:val="005E7430"/>
    <w:rsid w:val="005F37B3"/>
    <w:rsid w:val="005F39A8"/>
    <w:rsid w:val="005F5B02"/>
    <w:rsid w:val="0060264C"/>
    <w:rsid w:val="00604386"/>
    <w:rsid w:val="00606AD1"/>
    <w:rsid w:val="0060766E"/>
    <w:rsid w:val="006115F8"/>
    <w:rsid w:val="00613B55"/>
    <w:rsid w:val="00615CF6"/>
    <w:rsid w:val="00622BAA"/>
    <w:rsid w:val="006308F6"/>
    <w:rsid w:val="006324C4"/>
    <w:rsid w:val="0064067C"/>
    <w:rsid w:val="006411D2"/>
    <w:rsid w:val="00642FC6"/>
    <w:rsid w:val="0064488C"/>
    <w:rsid w:val="006461C2"/>
    <w:rsid w:val="00651965"/>
    <w:rsid w:val="00655782"/>
    <w:rsid w:val="00657470"/>
    <w:rsid w:val="00661FF3"/>
    <w:rsid w:val="006658AC"/>
    <w:rsid w:val="00667DEE"/>
    <w:rsid w:val="00667EAB"/>
    <w:rsid w:val="0068145D"/>
    <w:rsid w:val="006826F6"/>
    <w:rsid w:val="006929FE"/>
    <w:rsid w:val="0069720B"/>
    <w:rsid w:val="006A554C"/>
    <w:rsid w:val="006A5E5D"/>
    <w:rsid w:val="006B0939"/>
    <w:rsid w:val="006B6CF2"/>
    <w:rsid w:val="006C2087"/>
    <w:rsid w:val="006C6378"/>
    <w:rsid w:val="006C7240"/>
    <w:rsid w:val="006D0C00"/>
    <w:rsid w:val="006D66FC"/>
    <w:rsid w:val="006E156B"/>
    <w:rsid w:val="006E26BA"/>
    <w:rsid w:val="006E7387"/>
    <w:rsid w:val="006F00A2"/>
    <w:rsid w:val="006F3E4B"/>
    <w:rsid w:val="006F41E9"/>
    <w:rsid w:val="006F543E"/>
    <w:rsid w:val="00703CF9"/>
    <w:rsid w:val="007048EB"/>
    <w:rsid w:val="00705F8A"/>
    <w:rsid w:val="00707C41"/>
    <w:rsid w:val="00712721"/>
    <w:rsid w:val="00723D08"/>
    <w:rsid w:val="00731AC2"/>
    <w:rsid w:val="00732BE9"/>
    <w:rsid w:val="007330DE"/>
    <w:rsid w:val="007355C9"/>
    <w:rsid w:val="007365DE"/>
    <w:rsid w:val="00744443"/>
    <w:rsid w:val="00746CBE"/>
    <w:rsid w:val="007473BC"/>
    <w:rsid w:val="0075087D"/>
    <w:rsid w:val="00755BC6"/>
    <w:rsid w:val="007570DC"/>
    <w:rsid w:val="0076289F"/>
    <w:rsid w:val="00764CC3"/>
    <w:rsid w:val="00767523"/>
    <w:rsid w:val="00767CCC"/>
    <w:rsid w:val="007703B4"/>
    <w:rsid w:val="00770655"/>
    <w:rsid w:val="00771C0A"/>
    <w:rsid w:val="00775F96"/>
    <w:rsid w:val="007761D8"/>
    <w:rsid w:val="00792C8C"/>
    <w:rsid w:val="00796134"/>
    <w:rsid w:val="007A079B"/>
    <w:rsid w:val="007A3925"/>
    <w:rsid w:val="007A502A"/>
    <w:rsid w:val="007B2118"/>
    <w:rsid w:val="007B4AA3"/>
    <w:rsid w:val="007B65AE"/>
    <w:rsid w:val="007C6744"/>
    <w:rsid w:val="007D6F60"/>
    <w:rsid w:val="007D7E49"/>
    <w:rsid w:val="007E146B"/>
    <w:rsid w:val="007E3761"/>
    <w:rsid w:val="007F5DDA"/>
    <w:rsid w:val="008040B8"/>
    <w:rsid w:val="008052A5"/>
    <w:rsid w:val="008060EB"/>
    <w:rsid w:val="0080639E"/>
    <w:rsid w:val="00807949"/>
    <w:rsid w:val="00807A0A"/>
    <w:rsid w:val="00810AA1"/>
    <w:rsid w:val="00810C63"/>
    <w:rsid w:val="00810FAC"/>
    <w:rsid w:val="00822D2B"/>
    <w:rsid w:val="00823789"/>
    <w:rsid w:val="00824BEE"/>
    <w:rsid w:val="00825EDD"/>
    <w:rsid w:val="00835348"/>
    <w:rsid w:val="00840EDC"/>
    <w:rsid w:val="0084491E"/>
    <w:rsid w:val="0085016E"/>
    <w:rsid w:val="00855525"/>
    <w:rsid w:val="00857D0E"/>
    <w:rsid w:val="00860E65"/>
    <w:rsid w:val="00861BA4"/>
    <w:rsid w:val="008647CD"/>
    <w:rsid w:val="00864961"/>
    <w:rsid w:val="00870AA8"/>
    <w:rsid w:val="00871AD6"/>
    <w:rsid w:val="008905EA"/>
    <w:rsid w:val="008A0076"/>
    <w:rsid w:val="008A0878"/>
    <w:rsid w:val="008A101D"/>
    <w:rsid w:val="008A1B85"/>
    <w:rsid w:val="008A2676"/>
    <w:rsid w:val="008A333A"/>
    <w:rsid w:val="008A3E6D"/>
    <w:rsid w:val="008B1251"/>
    <w:rsid w:val="008B130F"/>
    <w:rsid w:val="008B41C8"/>
    <w:rsid w:val="008B5D5A"/>
    <w:rsid w:val="008B615F"/>
    <w:rsid w:val="008B7927"/>
    <w:rsid w:val="008C0E53"/>
    <w:rsid w:val="008C1409"/>
    <w:rsid w:val="008C70B3"/>
    <w:rsid w:val="008D087C"/>
    <w:rsid w:val="008D4B23"/>
    <w:rsid w:val="008D4D5E"/>
    <w:rsid w:val="008E05C5"/>
    <w:rsid w:val="008F30A3"/>
    <w:rsid w:val="008F7178"/>
    <w:rsid w:val="008F76A3"/>
    <w:rsid w:val="00902C26"/>
    <w:rsid w:val="0091021B"/>
    <w:rsid w:val="009108DE"/>
    <w:rsid w:val="00911116"/>
    <w:rsid w:val="009212F4"/>
    <w:rsid w:val="009233C5"/>
    <w:rsid w:val="00925427"/>
    <w:rsid w:val="009304AA"/>
    <w:rsid w:val="009343EB"/>
    <w:rsid w:val="00937754"/>
    <w:rsid w:val="0094073E"/>
    <w:rsid w:val="00943417"/>
    <w:rsid w:val="00946719"/>
    <w:rsid w:val="0094696A"/>
    <w:rsid w:val="009530D5"/>
    <w:rsid w:val="00953407"/>
    <w:rsid w:val="009545DC"/>
    <w:rsid w:val="00965ACD"/>
    <w:rsid w:val="0096796F"/>
    <w:rsid w:val="00967F5B"/>
    <w:rsid w:val="00970680"/>
    <w:rsid w:val="00971020"/>
    <w:rsid w:val="0097142C"/>
    <w:rsid w:val="00973361"/>
    <w:rsid w:val="009772B5"/>
    <w:rsid w:val="00987154"/>
    <w:rsid w:val="0099504B"/>
    <w:rsid w:val="0099514D"/>
    <w:rsid w:val="009975EA"/>
    <w:rsid w:val="009A47CD"/>
    <w:rsid w:val="009C701A"/>
    <w:rsid w:val="009D051F"/>
    <w:rsid w:val="009D39D5"/>
    <w:rsid w:val="009D423E"/>
    <w:rsid w:val="009D45F6"/>
    <w:rsid w:val="009D4715"/>
    <w:rsid w:val="009D7B44"/>
    <w:rsid w:val="009E4CE1"/>
    <w:rsid w:val="009E5E7D"/>
    <w:rsid w:val="009E7EF6"/>
    <w:rsid w:val="009F5928"/>
    <w:rsid w:val="00A0347D"/>
    <w:rsid w:val="00A11BCA"/>
    <w:rsid w:val="00A1290F"/>
    <w:rsid w:val="00A13924"/>
    <w:rsid w:val="00A16869"/>
    <w:rsid w:val="00A21664"/>
    <w:rsid w:val="00A230F3"/>
    <w:rsid w:val="00A2313B"/>
    <w:rsid w:val="00A2463F"/>
    <w:rsid w:val="00A256C7"/>
    <w:rsid w:val="00A25984"/>
    <w:rsid w:val="00A303FB"/>
    <w:rsid w:val="00A30B0A"/>
    <w:rsid w:val="00A30F0D"/>
    <w:rsid w:val="00A36072"/>
    <w:rsid w:val="00A44897"/>
    <w:rsid w:val="00A471FC"/>
    <w:rsid w:val="00A5591C"/>
    <w:rsid w:val="00A57783"/>
    <w:rsid w:val="00A66C44"/>
    <w:rsid w:val="00A6774C"/>
    <w:rsid w:val="00A72AFE"/>
    <w:rsid w:val="00A7780A"/>
    <w:rsid w:val="00A81861"/>
    <w:rsid w:val="00A961CB"/>
    <w:rsid w:val="00AA04B9"/>
    <w:rsid w:val="00AA13F0"/>
    <w:rsid w:val="00AA1AFA"/>
    <w:rsid w:val="00AA204A"/>
    <w:rsid w:val="00AA5591"/>
    <w:rsid w:val="00AB638E"/>
    <w:rsid w:val="00AC1790"/>
    <w:rsid w:val="00AC57A7"/>
    <w:rsid w:val="00AD0AF7"/>
    <w:rsid w:val="00AD4B47"/>
    <w:rsid w:val="00AD7D68"/>
    <w:rsid w:val="00AE707E"/>
    <w:rsid w:val="00AF0F57"/>
    <w:rsid w:val="00B01B1D"/>
    <w:rsid w:val="00B030DB"/>
    <w:rsid w:val="00B0391E"/>
    <w:rsid w:val="00B04BE4"/>
    <w:rsid w:val="00B06352"/>
    <w:rsid w:val="00B11181"/>
    <w:rsid w:val="00B158D5"/>
    <w:rsid w:val="00B179BC"/>
    <w:rsid w:val="00B2521F"/>
    <w:rsid w:val="00B26262"/>
    <w:rsid w:val="00B32539"/>
    <w:rsid w:val="00B37C37"/>
    <w:rsid w:val="00B51177"/>
    <w:rsid w:val="00B61052"/>
    <w:rsid w:val="00B65C1C"/>
    <w:rsid w:val="00B67828"/>
    <w:rsid w:val="00B67EF6"/>
    <w:rsid w:val="00B70207"/>
    <w:rsid w:val="00B744F8"/>
    <w:rsid w:val="00B75278"/>
    <w:rsid w:val="00B81848"/>
    <w:rsid w:val="00B81EB8"/>
    <w:rsid w:val="00BA18A6"/>
    <w:rsid w:val="00BA64C8"/>
    <w:rsid w:val="00BA7667"/>
    <w:rsid w:val="00BB5CDB"/>
    <w:rsid w:val="00BC3D04"/>
    <w:rsid w:val="00BC6BD6"/>
    <w:rsid w:val="00BC7183"/>
    <w:rsid w:val="00BD042D"/>
    <w:rsid w:val="00BE1083"/>
    <w:rsid w:val="00BF07E7"/>
    <w:rsid w:val="00BF0865"/>
    <w:rsid w:val="00BF2CE8"/>
    <w:rsid w:val="00C04D0C"/>
    <w:rsid w:val="00C06205"/>
    <w:rsid w:val="00C06231"/>
    <w:rsid w:val="00C117A7"/>
    <w:rsid w:val="00C14C53"/>
    <w:rsid w:val="00C218EF"/>
    <w:rsid w:val="00C21DDC"/>
    <w:rsid w:val="00C22F7A"/>
    <w:rsid w:val="00C31144"/>
    <w:rsid w:val="00C35D98"/>
    <w:rsid w:val="00C44B4B"/>
    <w:rsid w:val="00C45E75"/>
    <w:rsid w:val="00C503A8"/>
    <w:rsid w:val="00C503C4"/>
    <w:rsid w:val="00C51161"/>
    <w:rsid w:val="00C522F0"/>
    <w:rsid w:val="00C5333A"/>
    <w:rsid w:val="00C5412E"/>
    <w:rsid w:val="00C55755"/>
    <w:rsid w:val="00C55DF1"/>
    <w:rsid w:val="00C64075"/>
    <w:rsid w:val="00C64884"/>
    <w:rsid w:val="00C64E58"/>
    <w:rsid w:val="00C77AC3"/>
    <w:rsid w:val="00C82BE5"/>
    <w:rsid w:val="00C83B6B"/>
    <w:rsid w:val="00C86A14"/>
    <w:rsid w:val="00C870C5"/>
    <w:rsid w:val="00C90335"/>
    <w:rsid w:val="00C9053F"/>
    <w:rsid w:val="00C965E5"/>
    <w:rsid w:val="00CA1B12"/>
    <w:rsid w:val="00CA6C8A"/>
    <w:rsid w:val="00CB1E47"/>
    <w:rsid w:val="00CB4A31"/>
    <w:rsid w:val="00CB7F26"/>
    <w:rsid w:val="00CC4497"/>
    <w:rsid w:val="00CC466C"/>
    <w:rsid w:val="00CD2920"/>
    <w:rsid w:val="00CE6B12"/>
    <w:rsid w:val="00CF31F4"/>
    <w:rsid w:val="00CF5E39"/>
    <w:rsid w:val="00D034DA"/>
    <w:rsid w:val="00D04A4C"/>
    <w:rsid w:val="00D072EE"/>
    <w:rsid w:val="00D07416"/>
    <w:rsid w:val="00D13FCC"/>
    <w:rsid w:val="00D1400D"/>
    <w:rsid w:val="00D145BE"/>
    <w:rsid w:val="00D14FB1"/>
    <w:rsid w:val="00D16063"/>
    <w:rsid w:val="00D24361"/>
    <w:rsid w:val="00D34FAF"/>
    <w:rsid w:val="00D41164"/>
    <w:rsid w:val="00D45A2A"/>
    <w:rsid w:val="00D47341"/>
    <w:rsid w:val="00D4742A"/>
    <w:rsid w:val="00D52BA2"/>
    <w:rsid w:val="00D55479"/>
    <w:rsid w:val="00D56794"/>
    <w:rsid w:val="00D57182"/>
    <w:rsid w:val="00D636FC"/>
    <w:rsid w:val="00D72AC1"/>
    <w:rsid w:val="00D81C4C"/>
    <w:rsid w:val="00D83382"/>
    <w:rsid w:val="00D8524B"/>
    <w:rsid w:val="00D914F3"/>
    <w:rsid w:val="00DA1554"/>
    <w:rsid w:val="00DA26E2"/>
    <w:rsid w:val="00DA5667"/>
    <w:rsid w:val="00DA6201"/>
    <w:rsid w:val="00DB3547"/>
    <w:rsid w:val="00DC1482"/>
    <w:rsid w:val="00DD2A02"/>
    <w:rsid w:val="00DE29A0"/>
    <w:rsid w:val="00DE6D5C"/>
    <w:rsid w:val="00DE7A3B"/>
    <w:rsid w:val="00DF2307"/>
    <w:rsid w:val="00E010EB"/>
    <w:rsid w:val="00E0799C"/>
    <w:rsid w:val="00E13B62"/>
    <w:rsid w:val="00E15DE0"/>
    <w:rsid w:val="00E30A51"/>
    <w:rsid w:val="00E44FB4"/>
    <w:rsid w:val="00E45057"/>
    <w:rsid w:val="00E5556B"/>
    <w:rsid w:val="00E57688"/>
    <w:rsid w:val="00E6083B"/>
    <w:rsid w:val="00E65DDF"/>
    <w:rsid w:val="00E73840"/>
    <w:rsid w:val="00E80F89"/>
    <w:rsid w:val="00E847FF"/>
    <w:rsid w:val="00E84DBF"/>
    <w:rsid w:val="00E97DE0"/>
    <w:rsid w:val="00E97F39"/>
    <w:rsid w:val="00EA524F"/>
    <w:rsid w:val="00EC0D56"/>
    <w:rsid w:val="00EC1305"/>
    <w:rsid w:val="00EC17D4"/>
    <w:rsid w:val="00EC5E7C"/>
    <w:rsid w:val="00EC68C9"/>
    <w:rsid w:val="00ED087E"/>
    <w:rsid w:val="00ED1205"/>
    <w:rsid w:val="00ED2396"/>
    <w:rsid w:val="00ED31A7"/>
    <w:rsid w:val="00ED3C6F"/>
    <w:rsid w:val="00ED528F"/>
    <w:rsid w:val="00EE4C43"/>
    <w:rsid w:val="00EE4E1F"/>
    <w:rsid w:val="00EE7DE2"/>
    <w:rsid w:val="00EF024E"/>
    <w:rsid w:val="00EF074B"/>
    <w:rsid w:val="00EF0FA7"/>
    <w:rsid w:val="00EF6CD8"/>
    <w:rsid w:val="00EF75F1"/>
    <w:rsid w:val="00F01B6F"/>
    <w:rsid w:val="00F0334B"/>
    <w:rsid w:val="00F03A37"/>
    <w:rsid w:val="00F113FA"/>
    <w:rsid w:val="00F2211F"/>
    <w:rsid w:val="00F22301"/>
    <w:rsid w:val="00F2253B"/>
    <w:rsid w:val="00F245A3"/>
    <w:rsid w:val="00F261B6"/>
    <w:rsid w:val="00F262EE"/>
    <w:rsid w:val="00F328C0"/>
    <w:rsid w:val="00F33606"/>
    <w:rsid w:val="00F33C34"/>
    <w:rsid w:val="00F35F2A"/>
    <w:rsid w:val="00F37689"/>
    <w:rsid w:val="00F451F4"/>
    <w:rsid w:val="00F502CC"/>
    <w:rsid w:val="00F65892"/>
    <w:rsid w:val="00F65A8C"/>
    <w:rsid w:val="00F71995"/>
    <w:rsid w:val="00F76D14"/>
    <w:rsid w:val="00F80830"/>
    <w:rsid w:val="00F81EA0"/>
    <w:rsid w:val="00F82D76"/>
    <w:rsid w:val="00F97CEC"/>
    <w:rsid w:val="00FB0094"/>
    <w:rsid w:val="00FB3A60"/>
    <w:rsid w:val="00FD0916"/>
    <w:rsid w:val="00FD1B36"/>
    <w:rsid w:val="00FD2D19"/>
    <w:rsid w:val="00FD4DF7"/>
    <w:rsid w:val="00FE2630"/>
    <w:rsid w:val="00FE2A76"/>
    <w:rsid w:val="00FE7478"/>
    <w:rsid w:val="00FF0370"/>
    <w:rsid w:val="00FF2B3A"/>
    <w:rsid w:val="00FF39B6"/>
    <w:rsid w:val="00FF6201"/>
    <w:rsid w:val="00FF754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rPr>
  </w:style>
  <w:style w:type="paragraph" w:customStyle="1" w:styleId="CAdotminor">
    <w:name w:val="CA dot minor"/>
    <w:basedOn w:val="CAminordotpoint"/>
    <w:link w:val="CAdotminorChar"/>
    <w:qFormat/>
    <w:rsid w:val="00770655"/>
    <w:pPr>
      <w:ind w:left="851" w:hanging="425"/>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rPr>
  </w:style>
  <w:style w:type="character" w:customStyle="1" w:styleId="CAReferenceChar0">
    <w:name w:val="CA Reference Char"/>
    <w:basedOn w:val="CAreferenceChar"/>
    <w:link w:val="CAReference0"/>
    <w:rsid w:val="00C90335"/>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rPr>
  </w:style>
  <w:style w:type="table" w:customStyle="1" w:styleId="TableGrid1">
    <w:name w:val="Table Grid1"/>
    <w:basedOn w:val="TableNormal"/>
    <w:next w:val="TableGrid"/>
    <w:rsid w:val="00F261B6"/>
    <w:rPr>
      <w:rFonts w:ascii="Arial" w:eastAsia="Calibri" w:hAnsi="Arial"/>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styleId="Bibliography">
    <w:name w:val="Bibliography"/>
    <w:basedOn w:val="Normal"/>
    <w:next w:val="Normal"/>
    <w:uiPriority w:val="37"/>
    <w:unhideWhenUsed/>
    <w:rsid w:val="00BD042D"/>
    <w:pPr>
      <w:widowControl w:val="0"/>
    </w:pPr>
    <w:rPr>
      <w:b/>
      <w:snapToGrid w:val="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sa.gov.au/our-places/Heritage/Visiting_heritage_places/State_heritage_areas/Arckaringa_Hills"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environment.gov.au/biodiversity/threatened/nominations.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eader" Target="header2.xml"/><Relationship Id="rId30" Type="http://schemas.microsoft.com/office/2007/relationships/stylesWithEffects" Target="stylesWithEffect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3404</Words>
  <Characters>19550</Characters>
  <Application>Microsoft Office Word</Application>
  <DocSecurity>4</DocSecurity>
  <Lines>162</Lines>
  <Paragraphs>45</Paragraphs>
  <ScaleCrop>false</ScaleCrop>
  <LinksUpToDate>false</LinksUpToDate>
  <CharactersWithSpaces>22909</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Olearia arckaringensis (Arckaringa daisy)</dc:title>
  <dc:creator/>
  <cp:lastModifiedBy/>
  <cp:revision>1</cp:revision>
  <dcterms:created xsi:type="dcterms:W3CDTF">2016-04-12T01:09:00Z</dcterms:created>
  <dcterms:modified xsi:type="dcterms:W3CDTF">2016-04-12T01:09:00Z</dcterms:modified>
</cp:coreProperties>
</file>