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D5EDA" w14:textId="3CBC5FE7" w:rsidR="00640137" w:rsidRPr="00B07A05" w:rsidRDefault="00640137" w:rsidP="00B07A05">
      <w:pPr>
        <w:spacing w:after="120"/>
        <w:jc w:val="right"/>
        <w:rPr>
          <w:rFonts w:cs="Arial"/>
        </w:rPr>
      </w:pPr>
      <w:r w:rsidRPr="00076D3E">
        <w:rPr>
          <w:rFonts w:cs="Arial"/>
        </w:rPr>
        <w:t xml:space="preserve">Ref: </w:t>
      </w:r>
      <w:r w:rsidR="00076D3E" w:rsidRPr="00076D3E">
        <w:rPr>
          <w:rFonts w:cs="Arial"/>
        </w:rPr>
        <w:t>002068366</w:t>
      </w:r>
    </w:p>
    <w:p w14:paraId="771CB84B" w14:textId="287536E7" w:rsidR="00640137" w:rsidRDefault="00640137" w:rsidP="00B07A05">
      <w:pPr>
        <w:spacing w:after="120"/>
        <w:rPr>
          <w:rFonts w:cs="Arial"/>
        </w:rPr>
      </w:pPr>
    </w:p>
    <w:p w14:paraId="33C7F64A" w14:textId="77777777" w:rsidR="00B7603E" w:rsidRPr="00B07A05" w:rsidRDefault="00B7603E" w:rsidP="00B07A05">
      <w:pPr>
        <w:spacing w:after="120"/>
        <w:rPr>
          <w:rFonts w:cs="Arial"/>
        </w:rPr>
      </w:pPr>
    </w:p>
    <w:p w14:paraId="35B53339" w14:textId="77777777" w:rsidR="008952C4" w:rsidRPr="001844DE" w:rsidRDefault="008952C4" w:rsidP="008952C4">
      <w:pPr>
        <w:spacing w:after="0" w:line="240" w:lineRule="auto"/>
      </w:pPr>
      <w:r w:rsidRPr="001844DE">
        <w:t xml:space="preserve">Mr </w:t>
      </w:r>
      <w:proofErr w:type="spellStart"/>
      <w:r w:rsidRPr="001844DE">
        <w:t>Wez</w:t>
      </w:r>
      <w:proofErr w:type="spellEnd"/>
      <w:r w:rsidRPr="001844DE">
        <w:t xml:space="preserve"> Norris</w:t>
      </w:r>
      <w:r w:rsidRPr="001844DE">
        <w:br/>
        <w:t xml:space="preserve">Chief Executive Officer </w:t>
      </w:r>
      <w:r w:rsidRPr="001844DE">
        <w:br/>
        <w:t>Australian Fisheries Management Authority</w:t>
      </w:r>
      <w:r w:rsidRPr="001844DE">
        <w:br/>
        <w:t>GPO Box 7051</w:t>
      </w:r>
      <w:r w:rsidRPr="001844DE">
        <w:br/>
      </w:r>
      <w:proofErr w:type="gramStart"/>
      <w:r w:rsidRPr="001844DE">
        <w:t>CANBERRA  ACT</w:t>
      </w:r>
      <w:proofErr w:type="gramEnd"/>
      <w:r w:rsidRPr="001844DE">
        <w:t xml:space="preserve">  2610</w:t>
      </w:r>
    </w:p>
    <w:p w14:paraId="3B8CEE89" w14:textId="6028E305" w:rsidR="00640137" w:rsidRDefault="00640137" w:rsidP="00B07A05">
      <w:pPr>
        <w:spacing w:after="120"/>
        <w:rPr>
          <w:rFonts w:cs="Arial"/>
        </w:rPr>
      </w:pPr>
    </w:p>
    <w:p w14:paraId="1B9A2676" w14:textId="77777777" w:rsidR="00C317BD" w:rsidRPr="00B07A05" w:rsidRDefault="00C317BD" w:rsidP="00B07A05">
      <w:pPr>
        <w:spacing w:after="120"/>
        <w:rPr>
          <w:rFonts w:cs="Arial"/>
        </w:rPr>
      </w:pPr>
    </w:p>
    <w:p w14:paraId="4B9F7AFB" w14:textId="6B096EA5" w:rsidR="00640137" w:rsidRPr="00B07A05" w:rsidRDefault="00640137" w:rsidP="00B07A05">
      <w:pPr>
        <w:spacing w:after="120"/>
        <w:rPr>
          <w:rFonts w:cs="Arial"/>
        </w:rPr>
      </w:pPr>
      <w:r w:rsidRPr="00B07A05">
        <w:rPr>
          <w:rFonts w:cs="Arial"/>
        </w:rPr>
        <w:t xml:space="preserve">Dear </w:t>
      </w:r>
      <w:r w:rsidR="008952C4">
        <w:rPr>
          <w:rFonts w:cs="Arial"/>
        </w:rPr>
        <w:t>Mr Norris</w:t>
      </w:r>
    </w:p>
    <w:p w14:paraId="67D28F74" w14:textId="10BD1195" w:rsidR="00640137" w:rsidRPr="00B07A05" w:rsidRDefault="00640137" w:rsidP="00B07A05">
      <w:pPr>
        <w:widowControl w:val="0"/>
        <w:spacing w:after="120"/>
        <w:rPr>
          <w:rFonts w:cs="Arial"/>
        </w:rPr>
      </w:pPr>
      <w:r w:rsidRPr="00B07A05">
        <w:rPr>
          <w:rFonts w:cs="Arial"/>
        </w:rPr>
        <w:t xml:space="preserve">I am writing to you as Delegate of the Minister for the Environment in relation to the reassessment of the </w:t>
      </w:r>
      <w:r w:rsidR="00B011AB">
        <w:rPr>
          <w:rFonts w:cs="Arial"/>
          <w:lang w:val="en-US"/>
        </w:rPr>
        <w:t>Coral Sea</w:t>
      </w:r>
      <w:r w:rsidR="005E3514" w:rsidRPr="005E3514">
        <w:rPr>
          <w:rFonts w:cs="Arial"/>
          <w:lang w:val="en-US"/>
        </w:rPr>
        <w:t xml:space="preserve"> Fishery </w:t>
      </w:r>
      <w:r w:rsidRPr="00B07A05">
        <w:rPr>
          <w:rFonts w:cs="Arial"/>
        </w:rPr>
        <w:t xml:space="preserve">(the </w:t>
      </w:r>
      <w:r w:rsidR="00257DCA">
        <w:rPr>
          <w:rFonts w:cs="Arial"/>
        </w:rPr>
        <w:t>f</w:t>
      </w:r>
      <w:r w:rsidRPr="00B07A05">
        <w:rPr>
          <w:rFonts w:cs="Arial"/>
        </w:rPr>
        <w:t>isher</w:t>
      </w:r>
      <w:r w:rsidR="00B011AB">
        <w:rPr>
          <w:rFonts w:cs="Arial"/>
        </w:rPr>
        <w:t>y</w:t>
      </w:r>
      <w:r w:rsidRPr="00B07A05">
        <w:rPr>
          <w:rFonts w:cs="Arial"/>
        </w:rPr>
        <w:t xml:space="preserve">) under the </w:t>
      </w:r>
      <w:r w:rsidRPr="00B07A05">
        <w:rPr>
          <w:rFonts w:cs="Arial"/>
          <w:i/>
        </w:rPr>
        <w:t xml:space="preserve">Environment Protection and Biodiversity Conservation Act 1999 </w:t>
      </w:r>
      <w:r w:rsidRPr="00B07A05">
        <w:rPr>
          <w:rFonts w:cs="Arial"/>
        </w:rPr>
        <w:t>(EPBC Act).</w:t>
      </w:r>
    </w:p>
    <w:p w14:paraId="7A4874D2" w14:textId="4A476705" w:rsidR="00640137" w:rsidRDefault="00236865" w:rsidP="00B07A05">
      <w:pPr>
        <w:spacing w:after="120"/>
        <w:rPr>
          <w:rFonts w:cs="Arial"/>
        </w:rPr>
      </w:pPr>
      <w:r>
        <w:rPr>
          <w:rFonts w:cs="Arial"/>
        </w:rPr>
        <w:t>On 4</w:t>
      </w:r>
      <w:r w:rsidR="00640137" w:rsidRPr="00B07A05">
        <w:rPr>
          <w:rFonts w:cs="Arial"/>
        </w:rPr>
        <w:t xml:space="preserve"> </w:t>
      </w:r>
      <w:r w:rsidR="005E3514">
        <w:rPr>
          <w:rFonts w:cs="Arial"/>
        </w:rPr>
        <w:t xml:space="preserve">November </w:t>
      </w:r>
      <w:r w:rsidR="00640137" w:rsidRPr="00B07A05">
        <w:rPr>
          <w:rFonts w:cs="Arial"/>
        </w:rPr>
        <w:t>the</w:t>
      </w:r>
      <w:r w:rsidR="00D126E3" w:rsidRPr="00B07A05">
        <w:rPr>
          <w:rFonts w:cs="Arial"/>
          <w:bCs/>
        </w:rPr>
        <w:t xml:space="preserve"> Australian Fisheries Management Authority </w:t>
      </w:r>
      <w:r w:rsidR="00640137" w:rsidRPr="00B07A05">
        <w:rPr>
          <w:rFonts w:cs="Arial"/>
        </w:rPr>
        <w:t>applied for export approval for the fisher</w:t>
      </w:r>
      <w:r w:rsidR="00B65D8C">
        <w:rPr>
          <w:rFonts w:cs="Arial"/>
        </w:rPr>
        <w:t>y</w:t>
      </w:r>
      <w:r w:rsidR="00640137" w:rsidRPr="00B07A05">
        <w:rPr>
          <w:rFonts w:cs="Arial"/>
        </w:rPr>
        <w:t xml:space="preserve"> under the EPBC Act.</w:t>
      </w:r>
      <w:r w:rsidR="005E3514">
        <w:rPr>
          <w:rFonts w:cs="Arial"/>
        </w:rPr>
        <w:t xml:space="preserve"> </w:t>
      </w:r>
      <w:r w:rsidR="00640137" w:rsidRPr="00B07A05">
        <w:rPr>
          <w:rFonts w:cs="Arial"/>
        </w:rPr>
        <w:t>The application has been assessed and I have declared the fisher</w:t>
      </w:r>
      <w:r w:rsidR="00B65D8C">
        <w:rPr>
          <w:rFonts w:cs="Arial"/>
        </w:rPr>
        <w:t>y</w:t>
      </w:r>
      <w:r w:rsidR="00640137" w:rsidRPr="00B07A05">
        <w:rPr>
          <w:rFonts w:cs="Arial"/>
        </w:rPr>
        <w:t xml:space="preserve"> an approved wildlife trade operation</w:t>
      </w:r>
      <w:r w:rsidR="00131918">
        <w:rPr>
          <w:rFonts w:cs="Arial"/>
        </w:rPr>
        <w:t xml:space="preserve"> (WTO)</w:t>
      </w:r>
      <w:r w:rsidR="00640137" w:rsidRPr="00B07A05">
        <w:rPr>
          <w:rFonts w:cs="Arial"/>
        </w:rPr>
        <w:t xml:space="preserve"> under Part 13A of the EPBC Act until </w:t>
      </w:r>
      <w:r>
        <w:rPr>
          <w:rFonts w:cs="Arial"/>
        </w:rPr>
        <w:t>6</w:t>
      </w:r>
      <w:r w:rsidR="00020B05">
        <w:rPr>
          <w:rFonts w:cs="Arial"/>
        </w:rPr>
        <w:t xml:space="preserve"> January 2024</w:t>
      </w:r>
      <w:r w:rsidR="00640137" w:rsidRPr="0021677E">
        <w:rPr>
          <w:rFonts w:cs="Arial"/>
        </w:rPr>
        <w:t>.</w:t>
      </w:r>
      <w:r w:rsidR="00640137" w:rsidRPr="00B07A05">
        <w:rPr>
          <w:rFonts w:cs="Arial"/>
        </w:rPr>
        <w:t xml:space="preserve"> </w:t>
      </w:r>
      <w:r w:rsidR="00131918">
        <w:rPr>
          <w:rFonts w:cs="Arial"/>
        </w:rPr>
        <w:t>I have also included the fisher</w:t>
      </w:r>
      <w:r w:rsidR="00A67B44">
        <w:rPr>
          <w:rFonts w:cs="Arial"/>
        </w:rPr>
        <w:t>y</w:t>
      </w:r>
      <w:r w:rsidR="00131918">
        <w:rPr>
          <w:rFonts w:cs="Arial"/>
        </w:rPr>
        <w:t xml:space="preserve"> on the List of Exempt Native Specimens (LENS) which allows product</w:t>
      </w:r>
      <w:r w:rsidR="00A67B44">
        <w:rPr>
          <w:rFonts w:cs="Arial"/>
        </w:rPr>
        <w:t xml:space="preserve">, </w:t>
      </w:r>
      <w:r w:rsidR="00B011AB">
        <w:rPr>
          <w:rFonts w:cs="Arial"/>
        </w:rPr>
        <w:t>excluding CITES II listed species</w:t>
      </w:r>
      <w:r w:rsidR="00A67B44" w:rsidRPr="00A67B44">
        <w:t xml:space="preserve"> </w:t>
      </w:r>
      <w:r w:rsidR="00131918">
        <w:rPr>
          <w:rFonts w:cs="Arial"/>
        </w:rPr>
        <w:t>to be exported from the fisher</w:t>
      </w:r>
      <w:r w:rsidR="00B65D8C">
        <w:rPr>
          <w:rFonts w:cs="Arial"/>
        </w:rPr>
        <w:t>y</w:t>
      </w:r>
      <w:r w:rsidR="00131918">
        <w:rPr>
          <w:rFonts w:cs="Arial"/>
        </w:rPr>
        <w:t xml:space="preserve"> without a permit while a WTO is in place.</w:t>
      </w:r>
    </w:p>
    <w:p w14:paraId="059B5074" w14:textId="042E5D05" w:rsidR="00B7603E" w:rsidRPr="00B07A05" w:rsidRDefault="00B7603E" w:rsidP="00B07A05">
      <w:pPr>
        <w:spacing w:after="120"/>
        <w:rPr>
          <w:rFonts w:cs="Arial"/>
        </w:rPr>
      </w:pPr>
      <w:r>
        <w:rPr>
          <w:rFonts w:cs="Arial"/>
        </w:rPr>
        <w:t xml:space="preserve">The WTO conditions allows for the export of CITES listed species, including, </w:t>
      </w:r>
      <w:r w:rsidRPr="00A67B44">
        <w:rPr>
          <w:rFonts w:cs="Arial"/>
        </w:rPr>
        <w:t>Humphead Maori Wrasse (</w:t>
      </w:r>
      <w:r w:rsidRPr="00A67B44">
        <w:rPr>
          <w:rFonts w:cs="Arial"/>
          <w:i/>
          <w:iCs/>
        </w:rPr>
        <w:t>Cheilinus undulatus</w:t>
      </w:r>
      <w:r w:rsidRPr="00A67B44">
        <w:rPr>
          <w:rFonts w:cs="Arial"/>
        </w:rPr>
        <w:t>), corals in the Family Acroporidae</w:t>
      </w:r>
      <w:r>
        <w:rPr>
          <w:rFonts w:cs="Arial"/>
        </w:rPr>
        <w:t xml:space="preserve"> and Black Teatfish </w:t>
      </w:r>
      <w:r w:rsidR="000B5CDE">
        <w:rPr>
          <w:rFonts w:cs="Arial"/>
        </w:rPr>
        <w:br/>
      </w:r>
      <w:r>
        <w:rPr>
          <w:rFonts w:cs="Arial"/>
        </w:rPr>
        <w:t>(</w:t>
      </w:r>
      <w:r w:rsidRPr="000B5CDE">
        <w:rPr>
          <w:rFonts w:cs="Arial"/>
          <w:i/>
          <w:iCs/>
        </w:rPr>
        <w:t>H. whitmaei</w:t>
      </w:r>
      <w:r w:rsidRPr="00B7603E">
        <w:rPr>
          <w:rFonts w:cs="Arial"/>
        </w:rPr>
        <w:t>)</w:t>
      </w:r>
      <w:r>
        <w:rPr>
          <w:rFonts w:cs="Arial"/>
        </w:rPr>
        <w:t xml:space="preserve"> and the requirements relating to these exports. </w:t>
      </w:r>
    </w:p>
    <w:p w14:paraId="223F2CB2" w14:textId="52BAA171" w:rsidR="00640137" w:rsidRPr="00B07A05" w:rsidRDefault="00640137" w:rsidP="00B07A05">
      <w:pPr>
        <w:spacing w:after="120"/>
        <w:rPr>
          <w:rFonts w:cs="Arial"/>
          <w:color w:val="1F497D"/>
        </w:rPr>
      </w:pPr>
      <w:r w:rsidRPr="00B07A05">
        <w:rPr>
          <w:rFonts w:cs="Arial"/>
        </w:rPr>
        <w:t xml:space="preserve">The Part 13A declaration includes conditions that were agreed by officials from both </w:t>
      </w:r>
      <w:r w:rsidR="00236865">
        <w:rPr>
          <w:rFonts w:cs="Arial"/>
        </w:rPr>
        <w:t>agencies</w:t>
      </w:r>
      <w:r w:rsidRPr="00B07A05">
        <w:rPr>
          <w:rFonts w:cs="Arial"/>
        </w:rPr>
        <w:t xml:space="preserve"> as areas requiring ongoing attention. These are set out at </w:t>
      </w:r>
      <w:r w:rsidRPr="00B07A05">
        <w:rPr>
          <w:rFonts w:cs="Arial"/>
          <w:u w:val="single"/>
        </w:rPr>
        <w:t>Attachment 1</w:t>
      </w:r>
      <w:r w:rsidRPr="00B07A05">
        <w:rPr>
          <w:rFonts w:cs="Arial"/>
        </w:rPr>
        <w:t>.</w:t>
      </w:r>
      <w:r w:rsidRPr="00B07A05">
        <w:rPr>
          <w:rFonts w:cs="Arial"/>
          <w:lang w:eastAsia="zh-CN" w:bidi="th-TH"/>
        </w:rPr>
        <w:t xml:space="preserve"> </w:t>
      </w:r>
    </w:p>
    <w:p w14:paraId="400D731F" w14:textId="01FA130B" w:rsidR="00640137" w:rsidRDefault="005E3514" w:rsidP="00B07A05">
      <w:pPr>
        <w:spacing w:after="120"/>
        <w:rPr>
          <w:rFonts w:cs="Arial"/>
        </w:rPr>
      </w:pPr>
      <w:r w:rsidRPr="005E3514">
        <w:rPr>
          <w:rFonts w:cs="Arial"/>
        </w:rPr>
        <w:t xml:space="preserve">I have </w:t>
      </w:r>
      <w:r w:rsidR="0086546D">
        <w:rPr>
          <w:rFonts w:cs="Arial"/>
        </w:rPr>
        <w:t xml:space="preserve">also </w:t>
      </w:r>
      <w:r w:rsidRPr="005E3514">
        <w:rPr>
          <w:rFonts w:cs="Arial"/>
        </w:rPr>
        <w:t>accredited the management arrangements for the fisher</w:t>
      </w:r>
      <w:r w:rsidR="00B65D8C">
        <w:rPr>
          <w:rFonts w:cs="Arial"/>
        </w:rPr>
        <w:t>y</w:t>
      </w:r>
      <w:r w:rsidRPr="005E3514">
        <w:rPr>
          <w:rFonts w:cs="Arial"/>
        </w:rPr>
        <w:t xml:space="preserve"> </w:t>
      </w:r>
      <w:r w:rsidR="0086546D">
        <w:rPr>
          <w:rFonts w:cs="Arial"/>
        </w:rPr>
        <w:t xml:space="preserve">as </w:t>
      </w:r>
      <w:r w:rsidRPr="005E3514">
        <w:rPr>
          <w:rFonts w:cs="Arial"/>
        </w:rPr>
        <w:t>designed to minimise interactions with species listed under Part 13 of the EPBC Act.</w:t>
      </w:r>
    </w:p>
    <w:p w14:paraId="104E6283" w14:textId="03DDFA2C" w:rsidR="00C317BD" w:rsidRDefault="00B7603E" w:rsidP="00B07A05">
      <w:pPr>
        <w:spacing w:after="120"/>
        <w:rPr>
          <w:rFonts w:cs="Arial"/>
        </w:rPr>
      </w:pPr>
      <w:r>
        <w:rPr>
          <w:rFonts w:cs="Arial"/>
        </w:rPr>
        <w:t xml:space="preserve">As you are aware, the </w:t>
      </w:r>
      <w:r w:rsidR="00C317BD" w:rsidRPr="00C317BD">
        <w:rPr>
          <w:rFonts w:cs="Arial"/>
        </w:rPr>
        <w:t xml:space="preserve">department has not had </w:t>
      </w:r>
      <w:r w:rsidR="0086546D">
        <w:rPr>
          <w:rFonts w:cs="Arial"/>
        </w:rPr>
        <w:t>sufficient</w:t>
      </w:r>
      <w:r w:rsidR="00C317BD" w:rsidRPr="00C317BD">
        <w:rPr>
          <w:rFonts w:cs="Arial"/>
        </w:rPr>
        <w:t xml:space="preserve"> time </w:t>
      </w:r>
      <w:r w:rsidR="00C317BD">
        <w:rPr>
          <w:rFonts w:cs="Arial"/>
        </w:rPr>
        <w:t xml:space="preserve">and information </w:t>
      </w:r>
      <w:r w:rsidR="00C317BD" w:rsidRPr="00C317BD">
        <w:rPr>
          <w:rFonts w:cs="Arial"/>
        </w:rPr>
        <w:t>to fully consider the export of CITES</w:t>
      </w:r>
      <w:r w:rsidR="00C317BD">
        <w:rPr>
          <w:rFonts w:cs="Arial"/>
        </w:rPr>
        <w:t xml:space="preserve"> II </w:t>
      </w:r>
      <w:r w:rsidR="00C317BD" w:rsidRPr="00C317BD">
        <w:rPr>
          <w:rFonts w:cs="Arial"/>
        </w:rPr>
        <w:t xml:space="preserve">listed White Teatfish </w:t>
      </w:r>
      <w:r w:rsidR="00C317BD">
        <w:rPr>
          <w:rFonts w:cs="Arial"/>
        </w:rPr>
        <w:t>(</w:t>
      </w:r>
      <w:r w:rsidR="00C317BD" w:rsidRPr="001356FE">
        <w:rPr>
          <w:rFonts w:cs="Arial"/>
          <w:i/>
          <w:iCs/>
        </w:rPr>
        <w:t>Holothuria fuscogilva</w:t>
      </w:r>
      <w:r w:rsidR="00C317BD">
        <w:rPr>
          <w:rFonts w:cs="Arial"/>
        </w:rPr>
        <w:t xml:space="preserve">) </w:t>
      </w:r>
      <w:r w:rsidR="00C317BD" w:rsidRPr="00C317BD">
        <w:rPr>
          <w:rFonts w:cs="Arial"/>
        </w:rPr>
        <w:t>from the Coral Sea Fishery</w:t>
      </w:r>
      <w:r w:rsidR="00C317BD">
        <w:rPr>
          <w:rFonts w:cs="Arial"/>
        </w:rPr>
        <w:t xml:space="preserve"> to be non </w:t>
      </w:r>
      <w:r w:rsidR="00C317BD" w:rsidRPr="00C317BD">
        <w:rPr>
          <w:rFonts w:cs="Arial"/>
        </w:rPr>
        <w:t xml:space="preserve">detrimental to the survival of the species in the wild. Consequently, the department has agreed with AFMA that these species will not be included in the export approvals </w:t>
      </w:r>
      <w:r w:rsidR="0086546D">
        <w:rPr>
          <w:rFonts w:cs="Arial"/>
        </w:rPr>
        <w:t xml:space="preserve">at this point </w:t>
      </w:r>
      <w:r w:rsidR="00C317BD" w:rsidRPr="00C317BD">
        <w:rPr>
          <w:rFonts w:cs="Arial"/>
        </w:rPr>
        <w:t xml:space="preserve">but will be considered for inclusion once </w:t>
      </w:r>
      <w:r w:rsidR="0086546D">
        <w:rPr>
          <w:rFonts w:cs="Arial"/>
        </w:rPr>
        <w:t xml:space="preserve">further information is provided and </w:t>
      </w:r>
      <w:r w:rsidR="00C317BD" w:rsidRPr="00C317BD">
        <w:rPr>
          <w:rFonts w:cs="Arial"/>
        </w:rPr>
        <w:t xml:space="preserve">the department’s consideration of those species is complete. </w:t>
      </w:r>
    </w:p>
    <w:p w14:paraId="41297645" w14:textId="1FBA98FA" w:rsidR="0086546D" w:rsidRDefault="0086546D" w:rsidP="0086546D">
      <w:r>
        <w:t>Lastly, I’d like to also bring to your attention that the Department will be undertaking a detailed review and assessment of fisheries documentation and scientific literature in relation to coral harvest from Australia against CITES expectations with the aim to develop a National Coral Non-detriment Finding that will help importing parties in their assessment of trade from Australia. Through this process we will engage with AFMA further in relation to the management of coral harvest from this fishery.  </w:t>
      </w:r>
    </w:p>
    <w:p w14:paraId="75D32C71" w14:textId="77777777" w:rsidR="0086546D" w:rsidRPr="00B07A05" w:rsidRDefault="0086546D" w:rsidP="00B07A05">
      <w:pPr>
        <w:spacing w:after="120"/>
        <w:rPr>
          <w:rFonts w:cs="Arial"/>
        </w:rPr>
      </w:pPr>
    </w:p>
    <w:p w14:paraId="30542DFE" w14:textId="77777777" w:rsidR="00B7603E" w:rsidRDefault="00B7603E">
      <w:pPr>
        <w:spacing w:after="0" w:line="240" w:lineRule="auto"/>
        <w:rPr>
          <w:rFonts w:cs="Arial"/>
        </w:rPr>
      </w:pPr>
      <w:r>
        <w:rPr>
          <w:rFonts w:cs="Arial"/>
        </w:rPr>
        <w:br w:type="page"/>
      </w:r>
    </w:p>
    <w:p w14:paraId="5F0653A9" w14:textId="215761EB" w:rsidR="00640137" w:rsidRPr="00B07A05" w:rsidRDefault="00640137" w:rsidP="00B07A05">
      <w:pPr>
        <w:spacing w:after="120"/>
        <w:rPr>
          <w:rFonts w:cs="Arial"/>
        </w:rPr>
      </w:pPr>
      <w:r w:rsidRPr="00B07A05">
        <w:rPr>
          <w:rFonts w:cs="Arial"/>
        </w:rPr>
        <w:lastRenderedPageBreak/>
        <w:t xml:space="preserve">Please note that any person whose interests are affected by this decision may make an application to the </w:t>
      </w:r>
      <w:r w:rsidR="00B65D8C">
        <w:rPr>
          <w:rFonts w:cs="Arial"/>
        </w:rPr>
        <w:t>d</w:t>
      </w:r>
      <w:r w:rsidRPr="00B07A05">
        <w:rPr>
          <w:rFonts w:cs="Arial"/>
        </w:rPr>
        <w:t xml:space="preserve">epartment for the reasons for the </w:t>
      </w:r>
      <w:r w:rsidR="00723649" w:rsidRPr="00B07A05">
        <w:rPr>
          <w:rFonts w:cs="Arial"/>
        </w:rPr>
        <w:t>decision</w:t>
      </w:r>
      <w:r w:rsidR="00131918">
        <w:rPr>
          <w:rFonts w:cs="Arial"/>
        </w:rPr>
        <w:t>s</w:t>
      </w:r>
      <w:r w:rsidR="00723649" w:rsidRPr="00B07A05">
        <w:rPr>
          <w:rFonts w:cs="Arial"/>
        </w:rPr>
        <w:t xml:space="preserve"> and</w:t>
      </w:r>
      <w:r w:rsidRPr="00B07A05">
        <w:rPr>
          <w:rFonts w:cs="Arial"/>
        </w:rPr>
        <w:t xml:space="preserve"> may apply to the Administrative Appeals Tribunal to have </w:t>
      </w:r>
      <w:r w:rsidR="00131918">
        <w:rPr>
          <w:rFonts w:cs="Arial"/>
        </w:rPr>
        <w:t>these</w:t>
      </w:r>
      <w:r w:rsidRPr="00B07A05">
        <w:rPr>
          <w:rFonts w:cs="Arial"/>
        </w:rPr>
        <w:t xml:space="preserve"> decision</w:t>
      </w:r>
      <w:r w:rsidR="00131918">
        <w:rPr>
          <w:rFonts w:cs="Arial"/>
        </w:rPr>
        <w:t>s</w:t>
      </w:r>
      <w:r w:rsidRPr="00B07A05">
        <w:rPr>
          <w:rFonts w:cs="Arial"/>
        </w:rPr>
        <w:t xml:space="preserve"> reviewed. I have enclosed further information on these processes at </w:t>
      </w:r>
      <w:r w:rsidRPr="00B07A05">
        <w:rPr>
          <w:rFonts w:cs="Arial"/>
          <w:u w:val="single"/>
        </w:rPr>
        <w:t xml:space="preserve">Attachment </w:t>
      </w:r>
      <w:r w:rsidR="00D126E3" w:rsidRPr="00B07A05">
        <w:rPr>
          <w:rFonts w:cs="Arial"/>
          <w:u w:val="single"/>
        </w:rPr>
        <w:t>2</w:t>
      </w:r>
      <w:r w:rsidRPr="00B07A05">
        <w:rPr>
          <w:rFonts w:cs="Arial"/>
        </w:rPr>
        <w:t>.</w:t>
      </w:r>
    </w:p>
    <w:p w14:paraId="26EA22F6" w14:textId="77777777" w:rsidR="00640137" w:rsidRPr="00B07A05" w:rsidRDefault="00640137" w:rsidP="00B07A05">
      <w:pPr>
        <w:spacing w:after="120"/>
        <w:rPr>
          <w:rFonts w:cs="Arial"/>
        </w:rPr>
      </w:pPr>
      <w:bookmarkStart w:id="0" w:name="bkStart"/>
      <w:bookmarkEnd w:id="0"/>
    </w:p>
    <w:p w14:paraId="7F4BF0D5" w14:textId="77777777" w:rsidR="00640137" w:rsidRPr="00B07A05" w:rsidRDefault="00640137" w:rsidP="00B07A05">
      <w:pPr>
        <w:spacing w:after="120"/>
        <w:rPr>
          <w:rFonts w:cs="Arial"/>
        </w:rPr>
      </w:pPr>
      <w:r w:rsidRPr="00B07A05">
        <w:rPr>
          <w:rFonts w:cs="Arial"/>
        </w:rPr>
        <w:t>Yours sincerely</w:t>
      </w:r>
    </w:p>
    <w:p w14:paraId="39FA7FDF" w14:textId="29B74A1B" w:rsidR="00640137" w:rsidRDefault="00640137" w:rsidP="00B07A05">
      <w:pPr>
        <w:spacing w:after="120"/>
        <w:rPr>
          <w:rFonts w:cs="Arial"/>
        </w:rPr>
      </w:pPr>
      <w:r w:rsidRPr="00B07A05">
        <w:rPr>
          <w:rFonts w:cs="Arial"/>
        </w:rPr>
        <w:t xml:space="preserve"> </w:t>
      </w:r>
    </w:p>
    <w:p w14:paraId="77A2C0C0" w14:textId="77777777" w:rsidR="00B07A05" w:rsidRPr="00B07A05" w:rsidRDefault="00B07A05" w:rsidP="00B07A05">
      <w:pPr>
        <w:spacing w:after="120"/>
        <w:rPr>
          <w:rFonts w:cs="Arial"/>
        </w:rPr>
      </w:pPr>
    </w:p>
    <w:p w14:paraId="06B892EC" w14:textId="1CDC213E" w:rsidR="00B804D2" w:rsidRPr="00B804D2" w:rsidRDefault="00B804D2" w:rsidP="00B804D2">
      <w:pPr>
        <w:tabs>
          <w:tab w:val="left" w:pos="284"/>
        </w:tabs>
        <w:spacing w:after="0"/>
      </w:pPr>
      <w:r w:rsidRPr="00B804D2">
        <w:t>Laura Timmins</w:t>
      </w:r>
    </w:p>
    <w:p w14:paraId="5A0861C8" w14:textId="0AEF66FE" w:rsidR="00640137" w:rsidRPr="00B07A05" w:rsidRDefault="00640137" w:rsidP="00B07A05">
      <w:pPr>
        <w:tabs>
          <w:tab w:val="left" w:pos="284"/>
        </w:tabs>
        <w:spacing w:after="120"/>
        <w:rPr>
          <w:rFonts w:cs="Arial"/>
        </w:rPr>
      </w:pPr>
      <w:r w:rsidRPr="00B804D2">
        <w:t xml:space="preserve">Delegate of the Minister for the Environment </w:t>
      </w:r>
      <w:r w:rsidRPr="00B804D2">
        <w:br/>
      </w:r>
      <w:r w:rsidRPr="00B07A05">
        <w:rPr>
          <w:rFonts w:cs="Arial"/>
        </w:rPr>
        <w:br/>
      </w:r>
      <w:r w:rsidR="00B11A6F">
        <w:rPr>
          <w:rFonts w:cs="Arial"/>
        </w:rPr>
        <w:t xml:space="preserve">7 </w:t>
      </w:r>
      <w:r w:rsidR="00BC2DAF">
        <w:rPr>
          <w:rFonts w:cs="Arial"/>
        </w:rPr>
        <w:t>January 2021</w:t>
      </w:r>
    </w:p>
    <w:p w14:paraId="72B5ECBE" w14:textId="77777777" w:rsidR="00CD55CC" w:rsidRDefault="00CD55CC" w:rsidP="00CD55CC">
      <w:pPr>
        <w:tabs>
          <w:tab w:val="left" w:pos="0"/>
        </w:tabs>
        <w:spacing w:after="120"/>
        <w:rPr>
          <w:rFonts w:cs="Arial"/>
        </w:rPr>
      </w:pPr>
    </w:p>
    <w:p w14:paraId="1082C7B6" w14:textId="77777777" w:rsidR="00CD55CC" w:rsidRDefault="00CD55CC">
      <w:pPr>
        <w:spacing w:after="0" w:line="240" w:lineRule="auto"/>
        <w:rPr>
          <w:rFonts w:cs="Arial"/>
          <w:b/>
        </w:rPr>
      </w:pPr>
      <w:r>
        <w:rPr>
          <w:rFonts w:cs="Arial"/>
          <w:b/>
        </w:rPr>
        <w:br w:type="page"/>
      </w:r>
    </w:p>
    <w:p w14:paraId="4255A8C9" w14:textId="7664B50E" w:rsidR="00640137" w:rsidRPr="00B07A05" w:rsidRDefault="00640137" w:rsidP="00B07A05">
      <w:pPr>
        <w:tabs>
          <w:tab w:val="left" w:pos="284"/>
        </w:tabs>
        <w:spacing w:after="120"/>
        <w:jc w:val="right"/>
        <w:rPr>
          <w:rFonts w:cs="Arial"/>
          <w:b/>
        </w:rPr>
      </w:pPr>
      <w:r w:rsidRPr="00B07A05">
        <w:rPr>
          <w:rFonts w:cs="Arial"/>
          <w:b/>
        </w:rPr>
        <w:lastRenderedPageBreak/>
        <w:t>Attachment 1</w:t>
      </w:r>
    </w:p>
    <w:p w14:paraId="6B39068D" w14:textId="77777777" w:rsidR="00640137" w:rsidRPr="00B07A05" w:rsidRDefault="00640137" w:rsidP="00B07A05">
      <w:pPr>
        <w:spacing w:after="120"/>
        <w:jc w:val="right"/>
        <w:rPr>
          <w:rFonts w:cs="Arial"/>
          <w:b/>
          <w:bCs/>
        </w:rPr>
      </w:pPr>
    </w:p>
    <w:p w14:paraId="05BD3FC5" w14:textId="20936092" w:rsidR="00640137" w:rsidRPr="00B07A05" w:rsidRDefault="00640137" w:rsidP="00B07A05">
      <w:pPr>
        <w:spacing w:after="120"/>
        <w:jc w:val="center"/>
        <w:rPr>
          <w:rFonts w:cs="Arial"/>
        </w:rPr>
      </w:pPr>
      <w:bookmarkStart w:id="1" w:name="_Hlk57890413"/>
      <w:r w:rsidRPr="00B07A05">
        <w:rPr>
          <w:rFonts w:cs="Arial"/>
          <w:b/>
          <w:bCs/>
        </w:rPr>
        <w:t xml:space="preserve">Part 13A conditions </w:t>
      </w:r>
      <w:r w:rsidRPr="00B07A05">
        <w:rPr>
          <w:rFonts w:cs="Arial"/>
          <w:b/>
        </w:rPr>
        <w:t xml:space="preserve">on </w:t>
      </w:r>
      <w:r w:rsidRPr="00B07A05">
        <w:rPr>
          <w:rFonts w:cs="Arial"/>
          <w:b/>
          <w:bCs/>
        </w:rPr>
        <w:t xml:space="preserve">the approved wildlife trade operation declaration for the </w:t>
      </w:r>
      <w:r w:rsidR="00B011AB">
        <w:rPr>
          <w:rFonts w:cs="Arial"/>
          <w:b/>
          <w:bCs/>
        </w:rPr>
        <w:t>Coral Sea</w:t>
      </w:r>
      <w:r w:rsidR="005E3514" w:rsidRPr="005E3514">
        <w:rPr>
          <w:rFonts w:cs="Arial"/>
          <w:b/>
          <w:bCs/>
        </w:rPr>
        <w:t xml:space="preserve"> Fishery</w:t>
      </w:r>
      <w:r w:rsidR="00B011AB">
        <w:rPr>
          <w:rFonts w:cs="Arial"/>
          <w:b/>
          <w:bCs/>
        </w:rPr>
        <w:t xml:space="preserve"> </w:t>
      </w:r>
      <w:r w:rsidR="00D126E3" w:rsidRPr="00B07A05">
        <w:rPr>
          <w:rFonts w:cs="Arial"/>
          <w:b/>
        </w:rPr>
        <w:t>–</w:t>
      </w:r>
      <w:r w:rsidRPr="00B07A05">
        <w:rPr>
          <w:rFonts w:cs="Arial"/>
          <w:b/>
        </w:rPr>
        <w:t xml:space="preserve"> </w:t>
      </w:r>
      <w:r w:rsidR="00BC2DAF">
        <w:rPr>
          <w:rFonts w:cs="Arial"/>
          <w:b/>
        </w:rPr>
        <w:t>January 2021</w:t>
      </w:r>
    </w:p>
    <w:bookmarkEnd w:id="1"/>
    <w:p w14:paraId="1F44F6A2" w14:textId="77777777" w:rsidR="008205AF" w:rsidRDefault="008205AF" w:rsidP="00076D3E">
      <w:pPr>
        <w:pStyle w:val="ListNumber"/>
        <w:numPr>
          <w:ilvl w:val="0"/>
          <w:numId w:val="7"/>
        </w:numPr>
        <w:spacing w:after="120"/>
        <w:ind w:left="357" w:hanging="357"/>
        <w:rPr>
          <w:rFonts w:cs="Arial"/>
        </w:rPr>
      </w:pPr>
      <w:r w:rsidRPr="008205AF">
        <w:rPr>
          <w:rFonts w:cs="Arial"/>
        </w:rPr>
        <w:t>The Australian Fisheries Management Authority must ensure that operation of the Coral Sea Fishery is carried out in accordance with management arrangements defined in the Fisheries Management Act 1991 (CTH) and Fisheries Management Regulations 2019 (CTH).</w:t>
      </w:r>
    </w:p>
    <w:p w14:paraId="3880E7CB" w14:textId="09410AB8" w:rsidR="00D126E3" w:rsidRPr="00B07A05" w:rsidRDefault="00D126E3" w:rsidP="00076D3E">
      <w:pPr>
        <w:pStyle w:val="ListNumber"/>
        <w:numPr>
          <w:ilvl w:val="0"/>
          <w:numId w:val="7"/>
        </w:numPr>
        <w:spacing w:after="120"/>
        <w:ind w:left="357" w:hanging="357"/>
        <w:rPr>
          <w:rFonts w:cs="Arial"/>
        </w:rPr>
      </w:pPr>
      <w:r w:rsidRPr="00B07A05">
        <w:rPr>
          <w:rFonts w:cs="Arial"/>
        </w:rPr>
        <w:t xml:space="preserve">The </w:t>
      </w:r>
      <w:r w:rsidR="005E3514" w:rsidRPr="005E3514">
        <w:rPr>
          <w:rFonts w:cs="Arial"/>
        </w:rPr>
        <w:t xml:space="preserve">Australian Fisheries Management Agency </w:t>
      </w:r>
      <w:r w:rsidRPr="00B07A05">
        <w:rPr>
          <w:rFonts w:cs="Arial"/>
        </w:rPr>
        <w:t xml:space="preserve">must inform the Department of the Environment and Energy of any intended material changes to the </w:t>
      </w:r>
      <w:r w:rsidR="003670F9">
        <w:rPr>
          <w:rFonts w:cs="Arial"/>
        </w:rPr>
        <w:t xml:space="preserve">Coral Sea </w:t>
      </w:r>
      <w:r w:rsidR="005E3514" w:rsidRPr="005E3514">
        <w:rPr>
          <w:rFonts w:cs="Arial"/>
        </w:rPr>
        <w:t xml:space="preserve">Fishery </w:t>
      </w:r>
      <w:r w:rsidRPr="00B07A05">
        <w:rPr>
          <w:rFonts w:cs="Arial"/>
        </w:rPr>
        <w:t xml:space="preserve">management arrangements that may affect the assessment against which </w:t>
      </w:r>
      <w:r w:rsidRPr="00ED3E37">
        <w:rPr>
          <w:rFonts w:cs="Arial"/>
          <w:i/>
        </w:rPr>
        <w:t>Environment Protection and Biodiversity Conservation Act 1999</w:t>
      </w:r>
      <w:r w:rsidRPr="00B07A05">
        <w:rPr>
          <w:rFonts w:cs="Arial"/>
        </w:rPr>
        <w:t xml:space="preserve"> decisions are made.</w:t>
      </w:r>
    </w:p>
    <w:p w14:paraId="317ACA45" w14:textId="641AB315" w:rsidR="00CB2ECE" w:rsidRPr="00B07A05" w:rsidRDefault="00CB2ECE" w:rsidP="00076D3E">
      <w:pPr>
        <w:pStyle w:val="ListNumber"/>
        <w:numPr>
          <w:ilvl w:val="0"/>
          <w:numId w:val="7"/>
        </w:numPr>
        <w:spacing w:after="120"/>
        <w:ind w:left="357" w:hanging="357"/>
        <w:rPr>
          <w:rFonts w:cs="Arial"/>
        </w:rPr>
      </w:pPr>
      <w:r w:rsidRPr="00B07A05">
        <w:rPr>
          <w:rFonts w:cs="Arial"/>
        </w:rPr>
        <w:t xml:space="preserve">The </w:t>
      </w:r>
      <w:r w:rsidR="005E3514" w:rsidRPr="005E3514">
        <w:rPr>
          <w:rFonts w:cs="Arial"/>
        </w:rPr>
        <w:t xml:space="preserve">Australian Fisheries Management Agency </w:t>
      </w:r>
      <w:r w:rsidRPr="00B07A05">
        <w:rPr>
          <w:rFonts w:cs="Arial"/>
        </w:rPr>
        <w:t xml:space="preserve">must inform the Department of Agriculture, </w:t>
      </w:r>
      <w:proofErr w:type="gramStart"/>
      <w:r w:rsidRPr="00B07A05">
        <w:rPr>
          <w:rFonts w:cs="Arial"/>
        </w:rPr>
        <w:t>Water</w:t>
      </w:r>
      <w:proofErr w:type="gramEnd"/>
      <w:r w:rsidRPr="00B07A05">
        <w:rPr>
          <w:rFonts w:cs="Arial"/>
        </w:rPr>
        <w:t xml:space="preserve"> and the Environment of any intended changes to fisheries legislation that may affect the legislative instruments relevant to this approval.</w:t>
      </w:r>
    </w:p>
    <w:p w14:paraId="25F64AF1" w14:textId="0F8FCE2B" w:rsidR="00CB2ECE" w:rsidRDefault="00CB2ECE" w:rsidP="00D610DC">
      <w:pPr>
        <w:pStyle w:val="ListNumber"/>
        <w:numPr>
          <w:ilvl w:val="0"/>
          <w:numId w:val="7"/>
        </w:numPr>
        <w:spacing w:after="120"/>
        <w:ind w:left="357" w:hanging="357"/>
        <w:rPr>
          <w:rFonts w:cs="Arial"/>
        </w:rPr>
      </w:pPr>
      <w:r w:rsidRPr="00B07A05">
        <w:rPr>
          <w:rFonts w:cs="Arial"/>
        </w:rPr>
        <w:t xml:space="preserve">The </w:t>
      </w:r>
      <w:r w:rsidR="005E3514" w:rsidRPr="005E3514">
        <w:rPr>
          <w:rFonts w:cs="Arial"/>
        </w:rPr>
        <w:t xml:space="preserve">Australian Fisheries Management Agency </w:t>
      </w:r>
      <w:r w:rsidRPr="00B07A05">
        <w:rPr>
          <w:rFonts w:cs="Arial"/>
        </w:rPr>
        <w:t xml:space="preserve">must provide reports to the Department of Agriculture, </w:t>
      </w:r>
      <w:proofErr w:type="gramStart"/>
      <w:r w:rsidRPr="00B07A05">
        <w:rPr>
          <w:rFonts w:cs="Arial"/>
        </w:rPr>
        <w:t>Water</w:t>
      </w:r>
      <w:proofErr w:type="gramEnd"/>
      <w:r w:rsidRPr="00B07A05">
        <w:rPr>
          <w:rFonts w:cs="Arial"/>
        </w:rPr>
        <w:t xml:space="preserve"> and the Environment annually as per Appendix B of the </w:t>
      </w:r>
      <w:r w:rsidRPr="00B07A05">
        <w:rPr>
          <w:rFonts w:cs="Arial"/>
          <w:i/>
          <w:iCs/>
        </w:rPr>
        <w:t>Guidelines for the Ecologically Sustainable Management of Fisheries - 2nd Edition</w:t>
      </w:r>
      <w:r w:rsidRPr="00B07A05">
        <w:rPr>
          <w:rFonts w:cs="Arial"/>
        </w:rPr>
        <w:t>.</w:t>
      </w:r>
    </w:p>
    <w:p w14:paraId="0B119AA0" w14:textId="77777777" w:rsidR="00995F0B" w:rsidRPr="00995F0B" w:rsidRDefault="00995F0B" w:rsidP="00995F0B">
      <w:pPr>
        <w:pStyle w:val="ListNumber"/>
        <w:numPr>
          <w:ilvl w:val="0"/>
          <w:numId w:val="7"/>
        </w:numPr>
        <w:spacing w:after="120"/>
        <w:ind w:left="357" w:hanging="357"/>
        <w:rPr>
          <w:rFonts w:cs="Arial"/>
        </w:rPr>
      </w:pPr>
      <w:r w:rsidRPr="00995F0B">
        <w:rPr>
          <w:rFonts w:cs="Arial"/>
        </w:rPr>
        <w:t>Australian Fisheries Management Authority must limit the take of species listed under the Convention on the International Trade of Endangered Species (CITES), from the area of the Coral Sea Fishery to no more than:</w:t>
      </w:r>
    </w:p>
    <w:p w14:paraId="3D65B209" w14:textId="77777777" w:rsidR="00995F0B" w:rsidRPr="00995F0B" w:rsidRDefault="00995F0B" w:rsidP="00995F0B">
      <w:pPr>
        <w:pStyle w:val="ListParagraph"/>
        <w:numPr>
          <w:ilvl w:val="0"/>
          <w:numId w:val="14"/>
        </w:numPr>
        <w:spacing w:after="120" w:line="240" w:lineRule="auto"/>
        <w:rPr>
          <w:rFonts w:eastAsia="Times New Roman" w:cs="Arial"/>
          <w:lang w:val="en-US"/>
        </w:rPr>
      </w:pPr>
      <w:r w:rsidRPr="00995F0B">
        <w:rPr>
          <w:rFonts w:eastAsia="Times New Roman" w:cs="Arial"/>
          <w:lang w:val="en-US"/>
        </w:rPr>
        <w:t xml:space="preserve">40 </w:t>
      </w:r>
      <w:proofErr w:type="spellStart"/>
      <w:r w:rsidRPr="00995F0B">
        <w:rPr>
          <w:rFonts w:eastAsia="Times New Roman" w:cs="Arial"/>
          <w:lang w:val="en-US"/>
        </w:rPr>
        <w:t>tonnes</w:t>
      </w:r>
      <w:proofErr w:type="spellEnd"/>
      <w:r w:rsidRPr="00995F0B">
        <w:rPr>
          <w:rFonts w:eastAsia="Times New Roman" w:cs="Arial"/>
          <w:lang w:val="en-US"/>
        </w:rPr>
        <w:t xml:space="preserve"> per year (1 July – 30 June) of any mixture of species belonging to the family </w:t>
      </w:r>
      <w:proofErr w:type="spellStart"/>
      <w:r w:rsidRPr="00995F0B">
        <w:rPr>
          <w:rFonts w:eastAsia="Times New Roman" w:cs="Arial"/>
          <w:lang w:val="en-US"/>
        </w:rPr>
        <w:t>Acroporidae</w:t>
      </w:r>
      <w:proofErr w:type="spellEnd"/>
      <w:r w:rsidRPr="00995F0B">
        <w:rPr>
          <w:rFonts w:eastAsia="Times New Roman" w:cs="Arial"/>
          <w:lang w:val="en-US"/>
        </w:rPr>
        <w:t>.</w:t>
      </w:r>
    </w:p>
    <w:p w14:paraId="016BC8CF" w14:textId="77777777" w:rsidR="00995F0B" w:rsidRPr="00995F0B" w:rsidRDefault="00995F0B" w:rsidP="00995F0B">
      <w:pPr>
        <w:pStyle w:val="ListParagraph"/>
        <w:numPr>
          <w:ilvl w:val="0"/>
          <w:numId w:val="14"/>
        </w:numPr>
        <w:spacing w:after="120" w:line="240" w:lineRule="auto"/>
        <w:rPr>
          <w:rFonts w:eastAsia="Times New Roman" w:cs="Arial"/>
          <w:lang w:val="en-US"/>
        </w:rPr>
      </w:pPr>
      <w:r w:rsidRPr="00995F0B">
        <w:rPr>
          <w:rFonts w:eastAsia="Times New Roman" w:cs="Arial"/>
          <w:lang w:val="en-US"/>
        </w:rPr>
        <w:t xml:space="preserve">50 individual </w:t>
      </w:r>
      <w:proofErr w:type="spellStart"/>
      <w:r w:rsidRPr="00995F0B">
        <w:rPr>
          <w:rFonts w:eastAsia="Times New Roman" w:cs="Arial"/>
          <w:lang w:val="en-US"/>
        </w:rPr>
        <w:t>humphead</w:t>
      </w:r>
      <w:proofErr w:type="spellEnd"/>
      <w:r w:rsidRPr="00995F0B">
        <w:rPr>
          <w:rFonts w:eastAsia="Times New Roman" w:cs="Arial"/>
          <w:lang w:val="en-US"/>
        </w:rPr>
        <w:t xml:space="preserve"> Maori wrasse (</w:t>
      </w:r>
      <w:proofErr w:type="spellStart"/>
      <w:r w:rsidRPr="00995F0B">
        <w:rPr>
          <w:rFonts w:eastAsia="Times New Roman" w:cs="Arial"/>
          <w:i/>
          <w:iCs/>
          <w:lang w:val="en-US"/>
        </w:rPr>
        <w:t>Cheilinus</w:t>
      </w:r>
      <w:proofErr w:type="spellEnd"/>
      <w:r w:rsidRPr="00995F0B">
        <w:rPr>
          <w:rFonts w:eastAsia="Times New Roman" w:cs="Arial"/>
          <w:i/>
          <w:iCs/>
          <w:lang w:val="en-US"/>
        </w:rPr>
        <w:t xml:space="preserve"> undulates</w:t>
      </w:r>
      <w:r w:rsidRPr="00995F0B">
        <w:rPr>
          <w:rFonts w:eastAsia="Times New Roman" w:cs="Arial"/>
          <w:lang w:val="en-US"/>
        </w:rPr>
        <w:t>) per year (1 July – 30 June). Consistent with the trigger limits in the relevant Harvest Strategy, no more than 10 individuals can be caught without assessment of the catch. This must be done in consultation with the CITES Scientific Authority.</w:t>
      </w:r>
    </w:p>
    <w:p w14:paraId="1F034FE5" w14:textId="77777777" w:rsidR="00995F0B" w:rsidRPr="00995F0B" w:rsidRDefault="00995F0B" w:rsidP="00995F0B">
      <w:pPr>
        <w:pStyle w:val="ListParagraph"/>
        <w:numPr>
          <w:ilvl w:val="0"/>
          <w:numId w:val="14"/>
        </w:numPr>
        <w:spacing w:after="120" w:line="240" w:lineRule="auto"/>
        <w:rPr>
          <w:rFonts w:eastAsia="Times New Roman" w:cs="Arial"/>
          <w:lang w:val="en-US"/>
        </w:rPr>
      </w:pPr>
      <w:r w:rsidRPr="00995F0B">
        <w:rPr>
          <w:rFonts w:eastAsia="Times New Roman" w:cs="Arial"/>
          <w:lang w:val="en-US"/>
        </w:rPr>
        <w:t xml:space="preserve">1 </w:t>
      </w:r>
      <w:proofErr w:type="spellStart"/>
      <w:r w:rsidRPr="00995F0B">
        <w:rPr>
          <w:rFonts w:eastAsia="Times New Roman" w:cs="Arial"/>
          <w:lang w:val="en-US"/>
        </w:rPr>
        <w:t>tonne</w:t>
      </w:r>
      <w:proofErr w:type="spellEnd"/>
      <w:r w:rsidRPr="00995F0B">
        <w:rPr>
          <w:rFonts w:eastAsia="Times New Roman" w:cs="Arial"/>
          <w:lang w:val="en-US"/>
        </w:rPr>
        <w:t xml:space="preserve"> per year of Black </w:t>
      </w:r>
      <w:proofErr w:type="spellStart"/>
      <w:r w:rsidRPr="00995F0B">
        <w:rPr>
          <w:rFonts w:eastAsia="Times New Roman" w:cs="Arial"/>
          <w:lang w:val="en-US"/>
        </w:rPr>
        <w:t>Teatfish</w:t>
      </w:r>
      <w:proofErr w:type="spellEnd"/>
      <w:r w:rsidRPr="00995F0B">
        <w:rPr>
          <w:rFonts w:eastAsia="Times New Roman" w:cs="Arial"/>
          <w:lang w:val="en-US"/>
        </w:rPr>
        <w:t xml:space="preserve"> (</w:t>
      </w:r>
      <w:r w:rsidRPr="00995F0B">
        <w:rPr>
          <w:rFonts w:eastAsia="Times New Roman" w:cs="Arial"/>
          <w:i/>
          <w:iCs/>
          <w:lang w:val="en-US"/>
        </w:rPr>
        <w:t xml:space="preserve">H. </w:t>
      </w:r>
      <w:proofErr w:type="spellStart"/>
      <w:r w:rsidRPr="00995F0B">
        <w:rPr>
          <w:rFonts w:eastAsia="Times New Roman" w:cs="Arial"/>
          <w:i/>
          <w:iCs/>
          <w:lang w:val="en-US"/>
        </w:rPr>
        <w:t>whitmaei</w:t>
      </w:r>
      <w:proofErr w:type="spellEnd"/>
      <w:r w:rsidRPr="00995F0B">
        <w:rPr>
          <w:rFonts w:eastAsia="Times New Roman" w:cs="Arial"/>
          <w:lang w:val="en-US"/>
        </w:rPr>
        <w:t>)</w:t>
      </w:r>
    </w:p>
    <w:p w14:paraId="41695F9F" w14:textId="4322B022" w:rsidR="00D53600" w:rsidRPr="00D53600" w:rsidRDefault="00D53600" w:rsidP="00D53600">
      <w:pPr>
        <w:pStyle w:val="ListNumber"/>
        <w:numPr>
          <w:ilvl w:val="0"/>
          <w:numId w:val="7"/>
        </w:numPr>
        <w:spacing w:after="120"/>
        <w:ind w:left="357" w:hanging="357"/>
        <w:rPr>
          <w:rFonts w:cs="Arial"/>
        </w:rPr>
      </w:pPr>
      <w:r w:rsidRPr="00D53600">
        <w:rPr>
          <w:rFonts w:cs="Arial"/>
        </w:rPr>
        <w:t>By 1 December 2021, the Australian Fisheries Management Authority must review the science underpinning the catch limit for Humphead Maori Wrasse (</w:t>
      </w:r>
      <w:r w:rsidRPr="00D53600">
        <w:rPr>
          <w:rFonts w:cs="Arial"/>
          <w:i/>
          <w:iCs/>
        </w:rPr>
        <w:t>Cheilinus undulatus</w:t>
      </w:r>
      <w:r w:rsidRPr="00D53600">
        <w:rPr>
          <w:rFonts w:cs="Arial"/>
        </w:rPr>
        <w:t>). This review must include independent, expert scientific advice.</w:t>
      </w:r>
    </w:p>
    <w:p w14:paraId="5D1CBB7D" w14:textId="08F3C243" w:rsidR="00995F0B" w:rsidRPr="00D53600" w:rsidRDefault="00995F0B" w:rsidP="00D53600">
      <w:pPr>
        <w:pStyle w:val="ListNumber"/>
        <w:numPr>
          <w:ilvl w:val="0"/>
          <w:numId w:val="7"/>
        </w:numPr>
        <w:spacing w:after="120"/>
        <w:ind w:left="357" w:hanging="357"/>
        <w:rPr>
          <w:rFonts w:cs="Arial"/>
        </w:rPr>
      </w:pPr>
      <w:r w:rsidRPr="00D53600">
        <w:rPr>
          <w:rFonts w:cs="Arial"/>
        </w:rPr>
        <w:t xml:space="preserve">As part of the annual reporting requirement referred to in Condition 4, the Australian Fisheries Management Authority must report the following to the Department of Agriculture, </w:t>
      </w:r>
      <w:proofErr w:type="gramStart"/>
      <w:r w:rsidRPr="00D53600">
        <w:rPr>
          <w:rFonts w:cs="Arial"/>
        </w:rPr>
        <w:t>Water</w:t>
      </w:r>
      <w:proofErr w:type="gramEnd"/>
      <w:r w:rsidRPr="00D53600">
        <w:rPr>
          <w:rFonts w:cs="Arial"/>
        </w:rPr>
        <w:t xml:space="preserve"> and the Environment, as the CITES Scientific Authority of Australia:</w:t>
      </w:r>
    </w:p>
    <w:p w14:paraId="325191B3" w14:textId="77777777" w:rsidR="00995F0B" w:rsidRPr="00995F0B" w:rsidRDefault="00995F0B" w:rsidP="00995F0B">
      <w:pPr>
        <w:pStyle w:val="ListParagraph"/>
        <w:numPr>
          <w:ilvl w:val="0"/>
          <w:numId w:val="15"/>
        </w:numPr>
        <w:spacing w:after="120" w:line="240" w:lineRule="auto"/>
        <w:rPr>
          <w:rFonts w:eastAsia="Times New Roman" w:cs="Arial"/>
          <w:lang w:val="en-US"/>
        </w:rPr>
      </w:pPr>
      <w:r w:rsidRPr="00995F0B">
        <w:rPr>
          <w:rFonts w:eastAsia="Times New Roman" w:cs="Arial"/>
          <w:lang w:val="en-US"/>
        </w:rPr>
        <w:t>the harvested weight and locations of harvest for each coral species. This reporting must be undertaken at a species-level.</w:t>
      </w:r>
    </w:p>
    <w:p w14:paraId="7E4F55BE" w14:textId="2601E0FB" w:rsidR="00995F0B" w:rsidRPr="00995F0B" w:rsidRDefault="00995F0B" w:rsidP="00995F0B">
      <w:pPr>
        <w:pStyle w:val="ListParagraph"/>
        <w:numPr>
          <w:ilvl w:val="0"/>
          <w:numId w:val="15"/>
        </w:numPr>
        <w:spacing w:after="120" w:line="240" w:lineRule="auto"/>
        <w:rPr>
          <w:rFonts w:eastAsia="Times New Roman" w:cs="Arial"/>
          <w:lang w:val="en-US"/>
        </w:rPr>
      </w:pPr>
      <w:r w:rsidRPr="00995F0B">
        <w:rPr>
          <w:rFonts w:eastAsia="Times New Roman" w:cs="Arial"/>
          <w:lang w:val="en-US"/>
        </w:rPr>
        <w:t xml:space="preserve">the number of individual </w:t>
      </w:r>
      <w:proofErr w:type="spellStart"/>
      <w:r w:rsidRPr="00995F0B">
        <w:rPr>
          <w:rFonts w:eastAsia="Times New Roman" w:cs="Arial"/>
          <w:lang w:val="en-US"/>
        </w:rPr>
        <w:t>Humphead</w:t>
      </w:r>
      <w:proofErr w:type="spellEnd"/>
      <w:r w:rsidRPr="00995F0B">
        <w:rPr>
          <w:rFonts w:eastAsia="Times New Roman" w:cs="Arial"/>
          <w:lang w:val="en-US"/>
        </w:rPr>
        <w:t xml:space="preserve"> Maori Wrasse</w:t>
      </w:r>
      <w:r>
        <w:rPr>
          <w:rFonts w:eastAsia="Times New Roman" w:cs="Arial"/>
          <w:lang w:val="en-US"/>
        </w:rPr>
        <w:t xml:space="preserve"> </w:t>
      </w:r>
      <w:r w:rsidRPr="00995F0B">
        <w:rPr>
          <w:rFonts w:cs="Arial"/>
        </w:rPr>
        <w:t>(</w:t>
      </w:r>
      <w:r w:rsidRPr="00995F0B">
        <w:rPr>
          <w:rFonts w:cs="Arial"/>
          <w:i/>
          <w:iCs/>
        </w:rPr>
        <w:t>Cheilinus undulatus</w:t>
      </w:r>
      <w:r w:rsidRPr="00995F0B">
        <w:rPr>
          <w:rFonts w:cs="Arial"/>
        </w:rPr>
        <w:t>)</w:t>
      </w:r>
      <w:r w:rsidRPr="00995F0B">
        <w:rPr>
          <w:rFonts w:eastAsia="Times New Roman" w:cs="Arial"/>
          <w:lang w:val="en-US"/>
        </w:rPr>
        <w:t xml:space="preserve">, their sex, </w:t>
      </w:r>
      <w:proofErr w:type="gramStart"/>
      <w:r w:rsidRPr="00995F0B">
        <w:rPr>
          <w:rFonts w:eastAsia="Times New Roman" w:cs="Arial"/>
          <w:lang w:val="en-US"/>
        </w:rPr>
        <w:t>lengths</w:t>
      </w:r>
      <w:proofErr w:type="gramEnd"/>
      <w:r w:rsidRPr="00995F0B">
        <w:rPr>
          <w:rFonts w:eastAsia="Times New Roman" w:cs="Arial"/>
          <w:lang w:val="en-US"/>
        </w:rPr>
        <w:t xml:space="preserve"> and locations of harvest.</w:t>
      </w:r>
    </w:p>
    <w:p w14:paraId="4499526F" w14:textId="77777777" w:rsidR="00995F0B" w:rsidRPr="00995F0B" w:rsidRDefault="00995F0B" w:rsidP="00995F0B">
      <w:pPr>
        <w:pStyle w:val="ListParagraph"/>
        <w:numPr>
          <w:ilvl w:val="0"/>
          <w:numId w:val="15"/>
        </w:numPr>
        <w:spacing w:after="120" w:line="240" w:lineRule="auto"/>
        <w:rPr>
          <w:rFonts w:eastAsia="Times New Roman" w:cs="Arial"/>
          <w:lang w:val="en-US"/>
        </w:rPr>
      </w:pPr>
      <w:r w:rsidRPr="00995F0B">
        <w:rPr>
          <w:rFonts w:eastAsia="Times New Roman" w:cs="Arial"/>
          <w:lang w:val="en-US"/>
        </w:rPr>
        <w:t>any assessments, management changes or findings relevant to the management of CITES-listed species in the Coral Sea Fishery</w:t>
      </w:r>
    </w:p>
    <w:p w14:paraId="4E224305" w14:textId="77777777" w:rsidR="00D53600" w:rsidRDefault="00D53600" w:rsidP="00D53600">
      <w:pPr>
        <w:pStyle w:val="ListNumber"/>
        <w:numPr>
          <w:ilvl w:val="0"/>
          <w:numId w:val="7"/>
        </w:numPr>
        <w:spacing w:after="120"/>
        <w:ind w:left="357" w:hanging="357"/>
        <w:rPr>
          <w:rFonts w:cs="Arial"/>
        </w:rPr>
      </w:pPr>
      <w:r w:rsidRPr="00D53600">
        <w:rPr>
          <w:rFonts w:cs="Arial"/>
        </w:rPr>
        <w:t>The Australian Fisheries Management Authority must update the science underpinning the Coral Sea Fishery – Sea Cucumber Sector Harvest Strategy by December 2021, including undertaking a fishery independent survey in the area of the fishery, to ensure that the harvest strategy is supported by up to date scientific information and supports a longer-term export approval for the fishery</w:t>
      </w:r>
      <w:r>
        <w:rPr>
          <w:rFonts w:cs="Arial"/>
        </w:rPr>
        <w:t>.</w:t>
      </w:r>
    </w:p>
    <w:p w14:paraId="3BBDE9A8" w14:textId="557A4126" w:rsidR="00D53600" w:rsidRPr="00D53600" w:rsidRDefault="00D53600" w:rsidP="00D53600">
      <w:pPr>
        <w:pStyle w:val="ListNumber"/>
        <w:numPr>
          <w:ilvl w:val="0"/>
          <w:numId w:val="7"/>
        </w:numPr>
        <w:spacing w:after="120"/>
        <w:ind w:left="357" w:hanging="357"/>
        <w:rPr>
          <w:rFonts w:cs="Arial"/>
        </w:rPr>
      </w:pPr>
      <w:r w:rsidRPr="00D53600">
        <w:rPr>
          <w:rFonts w:cs="Arial"/>
        </w:rPr>
        <w:lastRenderedPageBreak/>
        <w:t>By 1 December 2022, the Australian Fisheries Management Authority must complete a review of the Coral Sea Fishery Harvest Strategy – Sea Cucumber Sector and develop, at a minimum:</w:t>
      </w:r>
    </w:p>
    <w:p w14:paraId="7FB9A9B2" w14:textId="7AB9FFC2" w:rsidR="00D53600" w:rsidRPr="00020B05" w:rsidRDefault="00D53600" w:rsidP="00D53600">
      <w:pPr>
        <w:pStyle w:val="ListNumber"/>
        <w:numPr>
          <w:ilvl w:val="0"/>
          <w:numId w:val="21"/>
        </w:numPr>
        <w:spacing w:after="120"/>
        <w:rPr>
          <w:rFonts w:cs="Arial"/>
        </w:rPr>
      </w:pPr>
      <w:r w:rsidRPr="00020B05">
        <w:rPr>
          <w:rFonts w:cs="Arial"/>
        </w:rPr>
        <w:t xml:space="preserve">species-specific trigger limits </w:t>
      </w:r>
      <w:r w:rsidR="00020B05" w:rsidRPr="00020B05">
        <w:rPr>
          <w:rFonts w:cs="Arial"/>
        </w:rPr>
        <w:t xml:space="preserve">and reference points (or proxies) </w:t>
      </w:r>
      <w:r w:rsidRPr="00020B05">
        <w:rPr>
          <w:rFonts w:cs="Arial"/>
        </w:rPr>
        <w:t>for species listed under CITES; and</w:t>
      </w:r>
    </w:p>
    <w:p w14:paraId="10AFFF70" w14:textId="77777777" w:rsidR="00D53600" w:rsidRPr="00D53600" w:rsidRDefault="00D53600" w:rsidP="00D53600">
      <w:pPr>
        <w:pStyle w:val="ListNumber"/>
        <w:numPr>
          <w:ilvl w:val="0"/>
          <w:numId w:val="21"/>
        </w:numPr>
        <w:spacing w:after="120"/>
        <w:rPr>
          <w:rFonts w:cs="Arial"/>
        </w:rPr>
      </w:pPr>
      <w:r w:rsidRPr="00D53600">
        <w:rPr>
          <w:rFonts w:cs="Arial"/>
        </w:rPr>
        <w:t>ongoing data collection and monitoring plans required to support ongoing fishing of these species.</w:t>
      </w:r>
    </w:p>
    <w:p w14:paraId="1AE4F7E1" w14:textId="77777777" w:rsidR="00995F0B" w:rsidRDefault="00995F0B" w:rsidP="00D53600">
      <w:pPr>
        <w:pStyle w:val="ListNumber"/>
        <w:numPr>
          <w:ilvl w:val="0"/>
          <w:numId w:val="0"/>
        </w:numPr>
        <w:spacing w:after="120"/>
        <w:rPr>
          <w:rFonts w:cs="Arial"/>
        </w:rPr>
      </w:pPr>
    </w:p>
    <w:p w14:paraId="4B90EF4F" w14:textId="77777777" w:rsidR="00640137" w:rsidRPr="00B07A05" w:rsidRDefault="00640137" w:rsidP="00B07A05">
      <w:pPr>
        <w:spacing w:after="120"/>
        <w:rPr>
          <w:rFonts w:cs="Arial"/>
          <w:highlight w:val="yellow"/>
        </w:rPr>
      </w:pPr>
    </w:p>
    <w:p w14:paraId="1239777A" w14:textId="77777777" w:rsidR="00640137" w:rsidRPr="00B07A05" w:rsidRDefault="00640137" w:rsidP="00B07A05">
      <w:pPr>
        <w:spacing w:after="120"/>
        <w:rPr>
          <w:rFonts w:cs="Arial"/>
          <w:highlight w:val="yellow"/>
        </w:rPr>
      </w:pPr>
    </w:p>
    <w:p w14:paraId="607DD4D6" w14:textId="767131A7" w:rsidR="00640137" w:rsidRPr="00B07A05" w:rsidRDefault="00640137" w:rsidP="00ED3E37">
      <w:pPr>
        <w:pStyle w:val="ListNumber"/>
        <w:numPr>
          <w:ilvl w:val="0"/>
          <w:numId w:val="0"/>
        </w:numPr>
        <w:spacing w:after="120"/>
        <w:ind w:left="426"/>
        <w:rPr>
          <w:rFonts w:cs="Arial"/>
        </w:rPr>
        <w:sectPr w:rsidR="00640137" w:rsidRPr="00B07A05" w:rsidSect="00C325B9">
          <w:headerReference w:type="first" r:id="rId8"/>
          <w:pgSz w:w="11906" w:h="16838"/>
          <w:pgMar w:top="1134" w:right="1418" w:bottom="1134" w:left="1418" w:header="425" w:footer="425" w:gutter="0"/>
          <w:pgNumType w:start="1"/>
          <w:cols w:space="708"/>
          <w:titlePg/>
          <w:docGrid w:linePitch="360"/>
        </w:sectPr>
      </w:pPr>
    </w:p>
    <w:p w14:paraId="0666BD65" w14:textId="12A17733" w:rsidR="00CF569A" w:rsidRDefault="00CF569A">
      <w:pPr>
        <w:spacing w:after="0" w:line="240" w:lineRule="auto"/>
        <w:rPr>
          <w:rFonts w:cs="Arial"/>
          <w:b/>
        </w:rPr>
      </w:pPr>
    </w:p>
    <w:p w14:paraId="14A6EE0E" w14:textId="77777777" w:rsidR="00341C2C" w:rsidRDefault="00341C2C">
      <w:pPr>
        <w:spacing w:after="0" w:line="240" w:lineRule="auto"/>
        <w:rPr>
          <w:rFonts w:cs="Arial"/>
          <w:b/>
        </w:rPr>
      </w:pPr>
    </w:p>
    <w:p w14:paraId="565B0409" w14:textId="247061DA" w:rsidR="00640137" w:rsidRPr="00B07A05" w:rsidRDefault="00640137" w:rsidP="00B07A05">
      <w:pPr>
        <w:tabs>
          <w:tab w:val="left" w:pos="284"/>
        </w:tabs>
        <w:spacing w:after="120"/>
        <w:jc w:val="right"/>
        <w:rPr>
          <w:rFonts w:cs="Arial"/>
          <w:b/>
        </w:rPr>
      </w:pPr>
      <w:r w:rsidRPr="00B07A05">
        <w:rPr>
          <w:rFonts w:cs="Arial"/>
          <w:b/>
        </w:rPr>
        <w:t xml:space="preserve">Attachment </w:t>
      </w:r>
      <w:r w:rsidR="006A78C5" w:rsidRPr="00B07A05">
        <w:rPr>
          <w:rFonts w:cs="Arial"/>
          <w:b/>
        </w:rPr>
        <w:t>2</w:t>
      </w:r>
    </w:p>
    <w:p w14:paraId="7CB6B57E" w14:textId="77777777" w:rsidR="00640137" w:rsidRPr="00B07A05" w:rsidRDefault="00640137" w:rsidP="00B07A05">
      <w:pPr>
        <w:tabs>
          <w:tab w:val="left" w:pos="284"/>
        </w:tabs>
        <w:spacing w:after="120"/>
        <w:jc w:val="right"/>
        <w:rPr>
          <w:rFonts w:cs="Arial"/>
          <w:b/>
        </w:rPr>
      </w:pPr>
    </w:p>
    <w:p w14:paraId="085D9604" w14:textId="77777777" w:rsidR="00640137" w:rsidRPr="00B07A05" w:rsidRDefault="00640137" w:rsidP="00B07A05">
      <w:pPr>
        <w:pStyle w:val="Heading1"/>
        <w:spacing w:before="0"/>
      </w:pPr>
      <w:r w:rsidRPr="00B07A05">
        <w:t>Notification of Reviewable Decisions and Rights of Review</w:t>
      </w:r>
      <w:r w:rsidRPr="00B07A05">
        <w:rPr>
          <w:rStyle w:val="FootnoteReference"/>
          <w:u w:val="single"/>
        </w:rPr>
        <w:footnoteReference w:id="2"/>
      </w:r>
    </w:p>
    <w:p w14:paraId="0950D905" w14:textId="77777777" w:rsidR="00640137" w:rsidRPr="00B07A05" w:rsidRDefault="00640137" w:rsidP="00B07A05">
      <w:pPr>
        <w:spacing w:after="120"/>
        <w:jc w:val="both"/>
        <w:rPr>
          <w:rFonts w:cs="Arial"/>
        </w:rPr>
      </w:pPr>
      <w:r w:rsidRPr="00B07A05">
        <w:rPr>
          <w:rFonts w:cs="Arial"/>
        </w:rPr>
        <w:t xml:space="preserve">There is a right of review to the Administrative Appeals Tribunal (AAT) in relation to certain decisions/declarations made by the Minister, the Minister’s delegate or the Secretary under Part 13A of the </w:t>
      </w:r>
      <w:r w:rsidRPr="00B07A05">
        <w:rPr>
          <w:rFonts w:cs="Arial"/>
          <w:i/>
        </w:rPr>
        <w:t xml:space="preserve">Environment Protection and Biodiversity Conservation Act 1999 </w:t>
      </w:r>
      <w:r w:rsidRPr="00B07A05">
        <w:rPr>
          <w:rFonts w:cs="Arial"/>
        </w:rPr>
        <w:t xml:space="preserve">(EPBC Act). </w:t>
      </w:r>
    </w:p>
    <w:p w14:paraId="7DA245D1" w14:textId="77777777" w:rsidR="00640137" w:rsidRPr="00B07A05" w:rsidRDefault="00640137" w:rsidP="00B07A05">
      <w:pPr>
        <w:spacing w:after="120"/>
        <w:jc w:val="both"/>
        <w:rPr>
          <w:rFonts w:cs="Arial"/>
        </w:rPr>
      </w:pPr>
      <w:r w:rsidRPr="00B07A05">
        <w:rPr>
          <w:rFonts w:cs="Arial"/>
        </w:rPr>
        <w:t>Section 303</w:t>
      </w:r>
      <w:proofErr w:type="gramStart"/>
      <w:r w:rsidRPr="00B07A05">
        <w:rPr>
          <w:rFonts w:cs="Arial"/>
        </w:rPr>
        <w:t>GJ(</w:t>
      </w:r>
      <w:proofErr w:type="gramEnd"/>
      <w:r w:rsidRPr="00B07A05">
        <w:rPr>
          <w:rFonts w:cs="Arial"/>
        </w:rPr>
        <w:t xml:space="preserve">1) of the EPBC Act provides that applications may be made to the AAT for the review of the following decisions: </w:t>
      </w:r>
    </w:p>
    <w:p w14:paraId="555D5B2F" w14:textId="77777777" w:rsidR="00640137" w:rsidRPr="00B07A05" w:rsidRDefault="00640137" w:rsidP="00B07A05">
      <w:pPr>
        <w:spacing w:after="120"/>
        <w:ind w:left="720"/>
        <w:jc w:val="both"/>
        <w:rPr>
          <w:rFonts w:cs="Arial"/>
        </w:rPr>
      </w:pPr>
      <w:r w:rsidRPr="00B07A05">
        <w:rPr>
          <w:rFonts w:cs="Arial"/>
        </w:rPr>
        <w:t xml:space="preserve">(a) to issue or refuse a permit; or </w:t>
      </w:r>
    </w:p>
    <w:p w14:paraId="79800871" w14:textId="77777777" w:rsidR="00640137" w:rsidRPr="00B07A05" w:rsidRDefault="00640137" w:rsidP="00B07A05">
      <w:pPr>
        <w:spacing w:after="120"/>
        <w:ind w:left="720"/>
        <w:jc w:val="both"/>
        <w:rPr>
          <w:rFonts w:cs="Arial"/>
        </w:rPr>
      </w:pPr>
      <w:r w:rsidRPr="00B07A05">
        <w:rPr>
          <w:rFonts w:cs="Arial"/>
        </w:rPr>
        <w:t xml:space="preserve">(b) to specify, vary or revoke a condition of a permit; or </w:t>
      </w:r>
    </w:p>
    <w:p w14:paraId="3FD0C63F" w14:textId="77777777" w:rsidR="00640137" w:rsidRPr="00B07A05" w:rsidRDefault="00640137" w:rsidP="00B07A05">
      <w:pPr>
        <w:spacing w:after="120"/>
        <w:ind w:left="720"/>
        <w:jc w:val="both"/>
        <w:rPr>
          <w:rFonts w:cs="Arial"/>
        </w:rPr>
      </w:pPr>
      <w:r w:rsidRPr="00B07A05">
        <w:rPr>
          <w:rFonts w:cs="Arial"/>
        </w:rPr>
        <w:t xml:space="preserve">(c) to impose a further condition of a permit; or </w:t>
      </w:r>
    </w:p>
    <w:p w14:paraId="475227A4" w14:textId="77777777" w:rsidR="00640137" w:rsidRPr="00B07A05" w:rsidRDefault="00640137" w:rsidP="00B07A05">
      <w:pPr>
        <w:spacing w:after="120"/>
        <w:ind w:left="720"/>
        <w:jc w:val="both"/>
        <w:rPr>
          <w:rFonts w:cs="Arial"/>
        </w:rPr>
      </w:pPr>
      <w:r w:rsidRPr="00B07A05">
        <w:rPr>
          <w:rFonts w:cs="Arial"/>
        </w:rPr>
        <w:t xml:space="preserve">(d) to transfer or refuse to transfer a permit; or </w:t>
      </w:r>
    </w:p>
    <w:p w14:paraId="35C7A6BB" w14:textId="77777777" w:rsidR="00640137" w:rsidRPr="00B07A05" w:rsidRDefault="00640137" w:rsidP="00B07A05">
      <w:pPr>
        <w:spacing w:after="120"/>
        <w:ind w:left="720"/>
        <w:jc w:val="both"/>
        <w:rPr>
          <w:rFonts w:cs="Arial"/>
        </w:rPr>
      </w:pPr>
      <w:r w:rsidRPr="00B07A05">
        <w:rPr>
          <w:rFonts w:cs="Arial"/>
        </w:rPr>
        <w:t xml:space="preserve">(e) to suspend or cancel a permit; or </w:t>
      </w:r>
    </w:p>
    <w:p w14:paraId="475419D7" w14:textId="77777777" w:rsidR="00640137" w:rsidRPr="00B07A05" w:rsidRDefault="00640137" w:rsidP="00B07A05">
      <w:pPr>
        <w:spacing w:after="120"/>
        <w:ind w:left="720"/>
        <w:jc w:val="both"/>
        <w:rPr>
          <w:rFonts w:cs="Arial"/>
        </w:rPr>
      </w:pPr>
      <w:r w:rsidRPr="00B07A05">
        <w:rPr>
          <w:rFonts w:cs="Arial"/>
        </w:rPr>
        <w:t>(f) to issue or refuse a certificate under subsection 303</w:t>
      </w:r>
      <w:proofErr w:type="gramStart"/>
      <w:r w:rsidRPr="00B07A05">
        <w:rPr>
          <w:rFonts w:cs="Arial"/>
        </w:rPr>
        <w:t>CC(</w:t>
      </w:r>
      <w:proofErr w:type="gramEnd"/>
      <w:r w:rsidRPr="00B07A05">
        <w:rPr>
          <w:rFonts w:cs="Arial"/>
        </w:rPr>
        <w:t xml:space="preserve">5); or </w:t>
      </w:r>
    </w:p>
    <w:p w14:paraId="00703902" w14:textId="77777777" w:rsidR="00640137" w:rsidRPr="00B07A05" w:rsidRDefault="00640137" w:rsidP="00B07A05">
      <w:pPr>
        <w:spacing w:after="120"/>
        <w:ind w:left="720"/>
        <w:jc w:val="both"/>
        <w:rPr>
          <w:rFonts w:cs="Arial"/>
        </w:rPr>
      </w:pPr>
      <w:r w:rsidRPr="00B07A05">
        <w:rPr>
          <w:rFonts w:cs="Arial"/>
        </w:rPr>
        <w:t xml:space="preserve">(g) of the Secretary under a determination in force under section 303EU; or </w:t>
      </w:r>
    </w:p>
    <w:p w14:paraId="6C47A46A" w14:textId="77777777" w:rsidR="00640137" w:rsidRPr="00B07A05" w:rsidRDefault="00640137" w:rsidP="00B07A05">
      <w:pPr>
        <w:spacing w:after="120"/>
        <w:ind w:left="720"/>
        <w:jc w:val="both"/>
        <w:rPr>
          <w:rFonts w:cs="Arial"/>
        </w:rPr>
      </w:pPr>
      <w:r w:rsidRPr="00B07A05">
        <w:rPr>
          <w:rFonts w:cs="Arial"/>
        </w:rPr>
        <w:t>(h) to make or refuse a declaration under section 303FN, 303FO or 303FP; or</w:t>
      </w:r>
    </w:p>
    <w:p w14:paraId="137B7A89" w14:textId="77777777" w:rsidR="00640137" w:rsidRPr="00B07A05" w:rsidRDefault="00640137" w:rsidP="00B07A05">
      <w:pPr>
        <w:spacing w:after="120"/>
        <w:ind w:left="720"/>
        <w:jc w:val="both"/>
        <w:rPr>
          <w:rFonts w:cs="Arial"/>
        </w:rPr>
      </w:pPr>
      <w:r w:rsidRPr="00B07A05">
        <w:rPr>
          <w:rFonts w:cs="Arial"/>
        </w:rPr>
        <w:t>(</w:t>
      </w:r>
      <w:proofErr w:type="spellStart"/>
      <w:r w:rsidRPr="00B07A05">
        <w:rPr>
          <w:rFonts w:cs="Arial"/>
        </w:rPr>
        <w:t>i</w:t>
      </w:r>
      <w:proofErr w:type="spellEnd"/>
      <w:r w:rsidRPr="00B07A05">
        <w:rPr>
          <w:rFonts w:cs="Arial"/>
        </w:rPr>
        <w:t>) to vary or revoke a declaration under section 303FN, 303FO or 303FP.</w:t>
      </w:r>
    </w:p>
    <w:p w14:paraId="03189ABD" w14:textId="77777777" w:rsidR="00640137" w:rsidRPr="00B07A05" w:rsidRDefault="00640137" w:rsidP="00B07A05">
      <w:pPr>
        <w:pStyle w:val="ListBullet"/>
        <w:numPr>
          <w:ilvl w:val="0"/>
          <w:numId w:val="0"/>
        </w:numPr>
        <w:spacing w:after="120"/>
        <w:ind w:left="369" w:hanging="369"/>
        <w:rPr>
          <w:rFonts w:cs="Arial"/>
        </w:rPr>
      </w:pPr>
      <w:r w:rsidRPr="00B07A05">
        <w:rPr>
          <w:rFonts w:cs="Arial"/>
        </w:rPr>
        <w:t xml:space="preserve">If you are dissatisfied with a decision of a type listed </w:t>
      </w:r>
      <w:proofErr w:type="gramStart"/>
      <w:r w:rsidRPr="00B07A05">
        <w:rPr>
          <w:rFonts w:cs="Arial"/>
        </w:rPr>
        <w:t>above</w:t>
      </w:r>
      <w:proofErr w:type="gramEnd"/>
      <w:r w:rsidRPr="00B07A05">
        <w:rPr>
          <w:rFonts w:cs="Arial"/>
        </w:rPr>
        <w:t xml:space="preserve"> you may:</w:t>
      </w:r>
    </w:p>
    <w:p w14:paraId="61F4E447" w14:textId="77777777" w:rsidR="00640137" w:rsidRPr="00B07A05" w:rsidRDefault="00640137" w:rsidP="00B07A05">
      <w:pPr>
        <w:pStyle w:val="ListBullet"/>
        <w:spacing w:after="120"/>
        <w:jc w:val="both"/>
        <w:rPr>
          <w:rFonts w:cs="Arial"/>
        </w:rPr>
      </w:pPr>
      <w:r w:rsidRPr="00B07A05">
        <w:rPr>
          <w:rFonts w:cs="Arial"/>
        </w:rPr>
        <w:t xml:space="preserve">by notice, provided in writing, request that the Minister or the Minister’s delegate give you a statement in writing setting out the reasons for the decision as per section 28 of the </w:t>
      </w:r>
      <w:r w:rsidRPr="00B07A05">
        <w:rPr>
          <w:rFonts w:cs="Arial"/>
          <w:i/>
          <w:iCs/>
        </w:rPr>
        <w:t>Administrative Appeals Tribunal Act 1975</w:t>
      </w:r>
      <w:r w:rsidRPr="00B07A05">
        <w:rPr>
          <w:rFonts w:cs="Arial"/>
        </w:rPr>
        <w:t xml:space="preserve">. The Minister, or Minister’s delegate may refuse to give you a statement of reasons if your application is made more than 28 days after the day on which you received this notice. </w:t>
      </w:r>
    </w:p>
    <w:p w14:paraId="0AE66AAA" w14:textId="77777777" w:rsidR="00640137" w:rsidRPr="00B07A05" w:rsidRDefault="00640137" w:rsidP="00B07A05">
      <w:pPr>
        <w:pStyle w:val="ListBullet"/>
        <w:spacing w:after="120"/>
        <w:jc w:val="both"/>
        <w:rPr>
          <w:rFonts w:cs="Arial"/>
        </w:rPr>
      </w:pPr>
      <w:r w:rsidRPr="00B07A05">
        <w:rPr>
          <w:rFonts w:cs="Arial"/>
        </w:rPr>
        <w:t xml:space="preserve">apply to the AAT for independent merits review of the decision. The AAT undertakes </w:t>
      </w:r>
      <w:r w:rsidRPr="00B07A05">
        <w:rPr>
          <w:rFonts w:cs="Arial"/>
          <w:i/>
        </w:rPr>
        <w:t>de novo</w:t>
      </w:r>
      <w:r w:rsidRPr="00B07A05">
        <w:rPr>
          <w:rFonts w:cs="Arial"/>
        </w:rPr>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77777777" w:rsidR="00640137" w:rsidRPr="00B07A05" w:rsidRDefault="00640137" w:rsidP="00B07A05">
      <w:pPr>
        <w:pStyle w:val="ListBullet"/>
        <w:numPr>
          <w:ilvl w:val="0"/>
          <w:numId w:val="0"/>
        </w:numPr>
        <w:spacing w:after="120"/>
        <w:jc w:val="both"/>
        <w:rPr>
          <w:rFonts w:cs="Arial"/>
        </w:rPr>
      </w:pPr>
      <w:r w:rsidRPr="00B07A05">
        <w:rPr>
          <w:rFonts w:cs="Arial"/>
        </w:rPr>
        <w:t xml:space="preserve">Application for review of a decision must be made to the AAT within </w:t>
      </w:r>
      <w:r w:rsidRPr="00B07A05">
        <w:rPr>
          <w:rFonts w:cs="Arial"/>
          <w:b/>
        </w:rPr>
        <w:t>28 days</w:t>
      </w:r>
      <w:r w:rsidRPr="00B07A05">
        <w:rPr>
          <w:rFonts w:cs="Arial"/>
        </w:rPr>
        <w:t xml:space="preserve"> after the day on which you have received the reviewable decision. </w:t>
      </w:r>
      <w:proofErr w:type="gramStart"/>
      <w:r w:rsidRPr="00B07A05">
        <w:rPr>
          <w:rFonts w:cs="Arial"/>
          <w:color w:val="000000" w:themeColor="text1"/>
        </w:rPr>
        <w:t>However</w:t>
      </w:r>
      <w:proofErr w:type="gramEnd"/>
      <w:r w:rsidRPr="00B07A05">
        <w:rPr>
          <w:rFonts w:cs="Arial"/>
          <w:color w:val="000000" w:themeColor="text1"/>
        </w:rPr>
        <w:t xml:space="preserve"> an extension of time for lodging an application may be granted by the AAT under certain circumstances. Please visit the AAT’s website at </w:t>
      </w:r>
      <w:hyperlink r:id="rId9" w:history="1">
        <w:r w:rsidRPr="00B07A05">
          <w:rPr>
            <w:rStyle w:val="Hyperlink"/>
            <w:rFonts w:cs="Arial"/>
          </w:rPr>
          <w:t>http://www.aat.gov.au/</w:t>
        </w:r>
      </w:hyperlink>
      <w:r w:rsidRPr="00B07A05">
        <w:rPr>
          <w:rFonts w:cs="Arial"/>
          <w:color w:val="000000" w:themeColor="text1"/>
        </w:rPr>
        <w:t xml:space="preserve"> or telephone 1800 228 333 for further information. The role of the AAT is to provide a review mechanism that is fair, just, economical, </w:t>
      </w:r>
      <w:proofErr w:type="gramStart"/>
      <w:r w:rsidRPr="00B07A05">
        <w:rPr>
          <w:rFonts w:cs="Arial"/>
          <w:color w:val="000000" w:themeColor="text1"/>
        </w:rPr>
        <w:t>informal</w:t>
      </w:r>
      <w:proofErr w:type="gramEnd"/>
      <w:r w:rsidRPr="00B07A05">
        <w:rPr>
          <w:rFonts w:cs="Arial"/>
          <w:color w:val="000000" w:themeColor="text1"/>
        </w:rPr>
        <w:t xml:space="preserve"> and quick.</w:t>
      </w:r>
    </w:p>
    <w:p w14:paraId="641DDED9" w14:textId="77777777" w:rsidR="00640137" w:rsidRPr="00B07A05" w:rsidRDefault="00640137" w:rsidP="00B07A05">
      <w:pPr>
        <w:pStyle w:val="Heading2"/>
        <w:spacing w:before="0" w:after="120"/>
      </w:pPr>
      <w:r w:rsidRPr="00B07A05">
        <w:t xml:space="preserve">Applications &amp; Costs </w:t>
      </w:r>
    </w:p>
    <w:p w14:paraId="68FB03EB" w14:textId="77777777" w:rsidR="00640137" w:rsidRPr="00B07A05" w:rsidRDefault="00640137" w:rsidP="00B07A05">
      <w:pPr>
        <w:spacing w:after="120"/>
        <w:jc w:val="both"/>
        <w:rPr>
          <w:rFonts w:cs="Arial"/>
        </w:rPr>
      </w:pPr>
      <w:r w:rsidRPr="00B07A05">
        <w:rPr>
          <w:rFonts w:cs="Arial"/>
        </w:rPr>
        <w:t xml:space="preserve">Applications to the AAT are made by lodging an Application Form (Form 1). This can be found on the AAT’s website at </w:t>
      </w:r>
      <w:hyperlink r:id="rId10" w:history="1">
        <w:r w:rsidRPr="00B07A05">
          <w:rPr>
            <w:rStyle w:val="Hyperlink"/>
            <w:rFonts w:cs="Arial"/>
          </w:rPr>
          <w:t>http://www.aat.gov.au/</w:t>
        </w:r>
      </w:hyperlink>
      <w:r w:rsidRPr="00B07A05">
        <w:rPr>
          <w:rFonts w:cs="Arial"/>
        </w:rPr>
        <w:t xml:space="preserve">. </w:t>
      </w:r>
    </w:p>
    <w:p w14:paraId="00D24D74" w14:textId="77777777" w:rsidR="00640137" w:rsidRPr="00B07A05" w:rsidRDefault="00640137" w:rsidP="00B07A05">
      <w:pPr>
        <w:spacing w:after="120"/>
        <w:jc w:val="both"/>
        <w:rPr>
          <w:rFonts w:cs="Arial"/>
        </w:rPr>
      </w:pPr>
      <w:r w:rsidRPr="00B07A05">
        <w:rPr>
          <w:rFonts w:cs="Arial"/>
          <w:color w:val="000000" w:themeColor="text1"/>
        </w:rPr>
        <w:t xml:space="preserve">There are no strict timelines in which the AAT must review the decision, however the first conference between the parties will usually be held within 6 to 10 weeks of the application </w:t>
      </w:r>
      <w:r w:rsidRPr="00B07A05">
        <w:rPr>
          <w:rFonts w:cs="Arial"/>
          <w:color w:val="000000" w:themeColor="text1"/>
        </w:rPr>
        <w:lastRenderedPageBreak/>
        <w:t>being lodged. The time frame for review of certain decisions can be expedited in some circumstances.</w:t>
      </w:r>
    </w:p>
    <w:p w14:paraId="62BCDDF6" w14:textId="77777777" w:rsidR="00CD55CC" w:rsidRDefault="00CD55CC" w:rsidP="00B07A05">
      <w:pPr>
        <w:spacing w:after="120"/>
        <w:rPr>
          <w:rFonts w:cs="Arial"/>
        </w:rPr>
      </w:pPr>
    </w:p>
    <w:p w14:paraId="1EF21104" w14:textId="04343AB5" w:rsidR="00640137" w:rsidRPr="00B07A05" w:rsidRDefault="00640137" w:rsidP="00B07A05">
      <w:pPr>
        <w:spacing w:after="120"/>
        <w:rPr>
          <w:rFonts w:cs="Arial"/>
        </w:rPr>
      </w:pPr>
      <w:r w:rsidRPr="00B07A05">
        <w:rPr>
          <w:rFonts w:cs="Arial"/>
        </w:rPr>
        <w:t>The cost of lodging an application for review is $</w:t>
      </w:r>
      <w:r w:rsidR="00783C81" w:rsidRPr="00B07A05">
        <w:rPr>
          <w:rFonts w:cs="Arial"/>
        </w:rPr>
        <w:t xml:space="preserve">952 </w:t>
      </w:r>
      <w:r w:rsidRPr="00B07A05">
        <w:rPr>
          <w:rFonts w:cs="Arial"/>
        </w:rPr>
        <w:t xml:space="preserve">(as of 1 July </w:t>
      </w:r>
      <w:r w:rsidR="00783C81" w:rsidRPr="00B07A05">
        <w:rPr>
          <w:rFonts w:cs="Arial"/>
        </w:rPr>
        <w:t>2020</w:t>
      </w:r>
      <w:r w:rsidRPr="00B07A05">
        <w:rPr>
          <w:rFonts w:cs="Arial"/>
        </w:rPr>
        <w:t xml:space="preserve">) (GST inclusive). You may be eligible to pay a reduced fee of $100.00 if </w:t>
      </w:r>
    </w:p>
    <w:p w14:paraId="478390EF" w14:textId="77777777" w:rsidR="00640137" w:rsidRPr="00B07A05" w:rsidRDefault="00640137" w:rsidP="00B07A05">
      <w:pPr>
        <w:pStyle w:val="ListBullet"/>
        <w:spacing w:after="120"/>
        <w:rPr>
          <w:rFonts w:cs="Arial"/>
        </w:rPr>
      </w:pPr>
      <w:r w:rsidRPr="00B07A05">
        <w:rPr>
          <w:rFonts w:cs="Arial"/>
        </w:rPr>
        <w:t xml:space="preserve">you are receiving legal aid for your </w:t>
      </w:r>
      <w:proofErr w:type="gramStart"/>
      <w:r w:rsidRPr="00B07A05">
        <w:rPr>
          <w:rFonts w:cs="Arial"/>
        </w:rPr>
        <w:t>application;</w:t>
      </w:r>
      <w:proofErr w:type="gramEnd"/>
    </w:p>
    <w:p w14:paraId="1D5BF4EF" w14:textId="77777777" w:rsidR="00640137" w:rsidRPr="00B07A05" w:rsidRDefault="00640137" w:rsidP="00B07A05">
      <w:pPr>
        <w:pStyle w:val="ListBullet"/>
        <w:spacing w:after="120"/>
        <w:rPr>
          <w:rFonts w:cs="Arial"/>
        </w:rPr>
      </w:pPr>
      <w:r w:rsidRPr="00B07A05">
        <w:rPr>
          <w:rFonts w:cs="Arial"/>
        </w:rPr>
        <w:t xml:space="preserve">you hold a health care card, a Commonwealth seniors health card or any other card issued by the Department of Social Services or the Department of Veteran’s Affairs that entitles the holder to Commonwealth health </w:t>
      </w:r>
      <w:proofErr w:type="gramStart"/>
      <w:r w:rsidRPr="00B07A05">
        <w:rPr>
          <w:rFonts w:cs="Arial"/>
        </w:rPr>
        <w:t>concessions;</w:t>
      </w:r>
      <w:proofErr w:type="gramEnd"/>
    </w:p>
    <w:p w14:paraId="6BD0375C" w14:textId="77777777" w:rsidR="00640137" w:rsidRPr="00B07A05" w:rsidRDefault="00640137" w:rsidP="00B07A05">
      <w:pPr>
        <w:pStyle w:val="ListBullet"/>
        <w:spacing w:after="120"/>
        <w:rPr>
          <w:rFonts w:cs="Arial"/>
        </w:rPr>
      </w:pPr>
      <w:r w:rsidRPr="00B07A05">
        <w:rPr>
          <w:rFonts w:cs="Arial"/>
        </w:rPr>
        <w:t xml:space="preserve">you are in prison or lawfully detained in a public </w:t>
      </w:r>
      <w:proofErr w:type="gramStart"/>
      <w:r w:rsidRPr="00B07A05">
        <w:rPr>
          <w:rFonts w:cs="Arial"/>
        </w:rPr>
        <w:t>institution;</w:t>
      </w:r>
      <w:proofErr w:type="gramEnd"/>
    </w:p>
    <w:p w14:paraId="2DE8A9A7" w14:textId="77777777" w:rsidR="00640137" w:rsidRPr="00B07A05" w:rsidRDefault="00640137" w:rsidP="00B07A05">
      <w:pPr>
        <w:pStyle w:val="ListBullet"/>
        <w:spacing w:after="120"/>
        <w:rPr>
          <w:rFonts w:cs="Arial"/>
        </w:rPr>
      </w:pPr>
      <w:r w:rsidRPr="00B07A05">
        <w:rPr>
          <w:rFonts w:cs="Arial"/>
        </w:rPr>
        <w:t xml:space="preserve">you are under 18 years of age; or </w:t>
      </w:r>
    </w:p>
    <w:p w14:paraId="51C12E6E" w14:textId="77777777" w:rsidR="00640137" w:rsidRPr="00B07A05" w:rsidRDefault="00640137" w:rsidP="00B07A05">
      <w:pPr>
        <w:pStyle w:val="ListBullet"/>
        <w:spacing w:after="120"/>
        <w:rPr>
          <w:rFonts w:cs="Arial"/>
        </w:rPr>
      </w:pPr>
      <w:r w:rsidRPr="00B07A05">
        <w:rPr>
          <w:rFonts w:cs="Arial"/>
        </w:rPr>
        <w:t xml:space="preserve">you are receiving youth allowance, </w:t>
      </w:r>
      <w:proofErr w:type="spellStart"/>
      <w:r w:rsidRPr="00B07A05">
        <w:rPr>
          <w:rFonts w:cs="Arial"/>
        </w:rPr>
        <w:t>Austudy</w:t>
      </w:r>
      <w:proofErr w:type="spellEnd"/>
      <w:r w:rsidRPr="00B07A05">
        <w:rPr>
          <w:rFonts w:cs="Arial"/>
        </w:rPr>
        <w:t xml:space="preserve"> or ABSTUDY. </w:t>
      </w:r>
    </w:p>
    <w:p w14:paraId="7B1F05BA" w14:textId="77777777" w:rsidR="00640137" w:rsidRPr="00B07A05" w:rsidRDefault="00640137" w:rsidP="00B07A05">
      <w:pPr>
        <w:spacing w:after="120"/>
        <w:jc w:val="both"/>
        <w:rPr>
          <w:rFonts w:cs="Arial"/>
          <w:lang w:eastAsia="zh-CN"/>
        </w:rPr>
      </w:pPr>
      <w:r w:rsidRPr="00B07A05">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1" w:history="1">
        <w:r w:rsidRPr="00B07A05">
          <w:rPr>
            <w:rStyle w:val="Hyperlink"/>
            <w:rFonts w:cs="Arial"/>
          </w:rPr>
          <w:t>https://www.ag.gov.au/LegalSystem/Legalaidprogrammes/Commonwealthlegalfinancialassistance/Documents/LegalFinancialAssistanceInformationSheet.pdf</w:t>
        </w:r>
      </w:hyperlink>
      <w:r w:rsidRPr="00B07A05">
        <w:rPr>
          <w:rFonts w:cs="Arial"/>
          <w:lang w:eastAsia="zh-CN"/>
        </w:rPr>
        <w:t xml:space="preserve">. </w:t>
      </w:r>
    </w:p>
    <w:p w14:paraId="702BB39E" w14:textId="4ABCED1E" w:rsidR="00640137" w:rsidRPr="00B07A05" w:rsidRDefault="00640137" w:rsidP="00B07A05">
      <w:pPr>
        <w:spacing w:after="120"/>
        <w:rPr>
          <w:rFonts w:eastAsia="Times New Roman" w:cs="Arial"/>
          <w:lang w:eastAsia="en-AU"/>
        </w:rPr>
      </w:pPr>
      <w:r w:rsidRPr="00B07A05">
        <w:rPr>
          <w:rFonts w:eastAsia="Times New Roman" w:cs="Arial"/>
          <w:lang w:eastAsia="en-AU"/>
        </w:rPr>
        <w:t>If you pay a standard application fee, most of it will be refunded if the case is resolved in your favour. The refund amount is the difference between the fee you paid and $100. So, if you paid $</w:t>
      </w:r>
      <w:r w:rsidR="00783C81" w:rsidRPr="00B07A05">
        <w:rPr>
          <w:rFonts w:cs="Arial"/>
        </w:rPr>
        <w:t>920</w:t>
      </w:r>
      <w:r w:rsidRPr="00B07A05">
        <w:rPr>
          <w:rFonts w:eastAsia="Times New Roman" w:cs="Arial"/>
          <w:lang w:eastAsia="en-AU"/>
        </w:rPr>
        <w:t>, you get back $</w:t>
      </w:r>
      <w:r w:rsidR="00783C81" w:rsidRPr="00B07A05">
        <w:rPr>
          <w:rFonts w:eastAsia="Times New Roman" w:cs="Arial"/>
          <w:lang w:eastAsia="en-AU"/>
        </w:rPr>
        <w:t xml:space="preserve">820 </w:t>
      </w:r>
      <w:r w:rsidRPr="00B07A05">
        <w:rPr>
          <w:rFonts w:eastAsia="Times New Roman" w:cs="Arial"/>
          <w:lang w:eastAsia="en-AU"/>
        </w:rPr>
        <w:t>and if you pay $</w:t>
      </w:r>
      <w:r w:rsidR="00783C81" w:rsidRPr="00B07A05">
        <w:rPr>
          <w:rFonts w:eastAsia="Times New Roman" w:cs="Arial"/>
          <w:lang w:eastAsia="en-AU"/>
        </w:rPr>
        <w:t>952</w:t>
      </w:r>
      <w:r w:rsidRPr="00B07A05">
        <w:rPr>
          <w:rFonts w:eastAsia="Times New Roman" w:cs="Arial"/>
          <w:lang w:eastAsia="en-AU"/>
        </w:rPr>
        <w:t>, you get back $</w:t>
      </w:r>
      <w:r w:rsidR="00783C81" w:rsidRPr="00B07A05">
        <w:rPr>
          <w:rFonts w:eastAsia="Times New Roman" w:cs="Arial"/>
          <w:lang w:eastAsia="en-AU"/>
        </w:rPr>
        <w:t>852</w:t>
      </w:r>
      <w:r w:rsidRPr="00B07A05">
        <w:rPr>
          <w:rFonts w:eastAsia="Times New Roman" w:cs="Arial"/>
          <w:lang w:eastAsia="en-AU"/>
        </w:rPr>
        <w:t>. There is no refund if you paid the lower application fee for certain taxation decisions or the reduced fee of $100.</w:t>
      </w:r>
    </w:p>
    <w:p w14:paraId="5796A8C3" w14:textId="77777777" w:rsidR="00640137" w:rsidRPr="00B07A05" w:rsidRDefault="00640137" w:rsidP="00B07A05">
      <w:pPr>
        <w:pStyle w:val="Heading2"/>
        <w:spacing w:before="0" w:after="120"/>
      </w:pPr>
      <w:r w:rsidRPr="00B07A05">
        <w:t>Contact Details</w:t>
      </w:r>
    </w:p>
    <w:p w14:paraId="49D51E20" w14:textId="77777777" w:rsidR="00640137" w:rsidRPr="00B07A05" w:rsidRDefault="00640137" w:rsidP="00B07A05">
      <w:pPr>
        <w:spacing w:after="120"/>
        <w:rPr>
          <w:rFonts w:cs="Arial"/>
        </w:rPr>
      </w:pPr>
      <w:r w:rsidRPr="00B07A05">
        <w:rPr>
          <w:rFonts w:cs="Arial"/>
        </w:rPr>
        <w:t>Further information or enquiries relating to the decision should be directed to:</w:t>
      </w:r>
    </w:p>
    <w:p w14:paraId="0FF190F0" w14:textId="3F5B004E" w:rsidR="00640137" w:rsidRPr="00B07A05" w:rsidRDefault="00640137" w:rsidP="00B07A05">
      <w:pPr>
        <w:spacing w:after="120"/>
        <w:ind w:left="720"/>
        <w:rPr>
          <w:rFonts w:cs="Arial"/>
          <w:u w:val="single"/>
        </w:rPr>
      </w:pPr>
      <w:r w:rsidRPr="00B07A05">
        <w:rPr>
          <w:rFonts w:cs="Arial"/>
        </w:rPr>
        <w:t>The Director</w:t>
      </w:r>
      <w:r w:rsidRPr="00B07A05">
        <w:rPr>
          <w:rFonts w:cs="Arial"/>
        </w:rPr>
        <w:br/>
        <w:t>Wildlife Trade Assessments Section</w:t>
      </w:r>
      <w:r w:rsidRPr="00B07A05">
        <w:rPr>
          <w:rFonts w:cs="Arial"/>
        </w:rPr>
        <w:br/>
      </w:r>
      <w:r w:rsidR="00173525" w:rsidRPr="00B07A05">
        <w:rPr>
          <w:rFonts w:cs="Arial"/>
        </w:rPr>
        <w:t xml:space="preserve">Department of Agriculture, </w:t>
      </w:r>
      <w:proofErr w:type="gramStart"/>
      <w:r w:rsidR="00173525" w:rsidRPr="00B07A05">
        <w:rPr>
          <w:rFonts w:cs="Arial"/>
        </w:rPr>
        <w:t>Water</w:t>
      </w:r>
      <w:proofErr w:type="gramEnd"/>
      <w:r w:rsidR="00173525" w:rsidRPr="00B07A05">
        <w:rPr>
          <w:rFonts w:cs="Arial"/>
        </w:rPr>
        <w:t xml:space="preserve"> and the Environment</w:t>
      </w:r>
      <w:r w:rsidRPr="00B07A05">
        <w:rPr>
          <w:rFonts w:cs="Arial"/>
        </w:rPr>
        <w:br/>
        <w:t xml:space="preserve">GPO Box </w:t>
      </w:r>
      <w:r w:rsidR="00783C81" w:rsidRPr="00B07A05">
        <w:rPr>
          <w:rFonts w:cs="Arial"/>
        </w:rPr>
        <w:t>858</w:t>
      </w:r>
      <w:r w:rsidRPr="00B07A05">
        <w:rPr>
          <w:rFonts w:cs="Arial"/>
        </w:rPr>
        <w:br/>
        <w:t>Canberra ACT 2601</w:t>
      </w:r>
      <w:r w:rsidRPr="00B07A05">
        <w:rPr>
          <w:rFonts w:cs="Arial"/>
        </w:rPr>
        <w:br/>
      </w:r>
      <w:r w:rsidRPr="00B07A05">
        <w:rPr>
          <w:rFonts w:cs="Arial"/>
          <w:b/>
          <w:bCs/>
        </w:rPr>
        <w:t>Telephone:</w:t>
      </w:r>
      <w:r w:rsidRPr="00B07A05">
        <w:rPr>
          <w:rFonts w:cs="Arial"/>
        </w:rPr>
        <w:t xml:space="preserve"> +61 (0) 2 6274 1917</w:t>
      </w:r>
      <w:r w:rsidRPr="00B07A05">
        <w:rPr>
          <w:rFonts w:cs="Arial"/>
        </w:rPr>
        <w:br/>
      </w:r>
      <w:r w:rsidRPr="00B07A05">
        <w:rPr>
          <w:rFonts w:cs="Arial"/>
          <w:b/>
          <w:bCs/>
        </w:rPr>
        <w:t>Email:</w:t>
      </w:r>
      <w:r w:rsidRPr="00B07A05">
        <w:rPr>
          <w:rFonts w:cs="Arial"/>
        </w:rPr>
        <w:t xml:space="preserve"> </w:t>
      </w:r>
      <w:r w:rsidRPr="00B07A05">
        <w:rPr>
          <w:rFonts w:cs="Arial"/>
          <w:u w:val="single"/>
        </w:rPr>
        <w:t>sustainablefisheries@environment.gov.au</w:t>
      </w:r>
    </w:p>
    <w:p w14:paraId="4151FC76" w14:textId="77777777" w:rsidR="00640137" w:rsidRPr="00B07A05" w:rsidRDefault="00640137" w:rsidP="00B07A05">
      <w:pPr>
        <w:spacing w:after="120"/>
        <w:jc w:val="both"/>
        <w:rPr>
          <w:rFonts w:cs="Arial"/>
        </w:rPr>
      </w:pPr>
      <w:proofErr w:type="gramStart"/>
      <w:r w:rsidRPr="00B07A05">
        <w:rPr>
          <w:rFonts w:cs="Arial"/>
        </w:rPr>
        <w:t>Alternatively</w:t>
      </w:r>
      <w:proofErr w:type="gramEnd"/>
      <w:r w:rsidRPr="00B07A05">
        <w:rPr>
          <w:rFonts w:cs="Arial"/>
        </w:rPr>
        <w:t xml:space="preserve"> you may contact the AAT at their Principal Registry or the Deputy Registrar, Administrative Appeals Tribunal in your Capital City or Territory. </w:t>
      </w:r>
    </w:p>
    <w:p w14:paraId="014F1A54" w14:textId="77777777" w:rsidR="00640137" w:rsidRPr="00B07A05" w:rsidRDefault="00640137" w:rsidP="00B07A05">
      <w:pPr>
        <w:spacing w:after="120"/>
        <w:ind w:left="720"/>
        <w:rPr>
          <w:rFonts w:cs="Arial"/>
        </w:rPr>
      </w:pPr>
      <w:r w:rsidRPr="00B07A05">
        <w:rPr>
          <w:rFonts w:cs="Arial"/>
        </w:rPr>
        <w:t>Administrative Appeals Tribunal</w:t>
      </w:r>
      <w:r w:rsidRPr="00B07A05">
        <w:rPr>
          <w:rFonts w:cs="Arial"/>
        </w:rPr>
        <w:br/>
        <w:t>Street address: Level 6, 83 Clarence Street, Sydney</w:t>
      </w:r>
      <w:r w:rsidRPr="00B07A05">
        <w:rPr>
          <w:rFonts w:cs="Arial"/>
        </w:rPr>
        <w:br/>
        <w:t>Mailing address: GPO Box 9955, Sydney, NSW 2001</w:t>
      </w:r>
      <w:r w:rsidRPr="00B07A05">
        <w:rPr>
          <w:rFonts w:cs="Arial"/>
        </w:rPr>
        <w:br/>
        <w:t xml:space="preserve">T: 1800 228 333 and (02) 9276 5000 </w:t>
      </w:r>
      <w:r w:rsidRPr="00B07A05">
        <w:rPr>
          <w:rFonts w:cs="Arial"/>
        </w:rPr>
        <w:br/>
        <w:t>F: (02) 9276 5599</w:t>
      </w:r>
      <w:r w:rsidRPr="00B07A05">
        <w:rPr>
          <w:rFonts w:cs="Arial"/>
        </w:rPr>
        <w:br/>
        <w:t xml:space="preserve">E: </w:t>
      </w:r>
      <w:hyperlink r:id="rId12" w:history="1">
        <w:r w:rsidRPr="00B07A05">
          <w:rPr>
            <w:rStyle w:val="Hyperlink"/>
            <w:rFonts w:cs="Arial"/>
          </w:rPr>
          <w:t>generalreviews@aat.gov.au</w:t>
        </w:r>
      </w:hyperlink>
      <w:r w:rsidRPr="00B07A05">
        <w:rPr>
          <w:rFonts w:cs="Arial"/>
        </w:rPr>
        <w:t xml:space="preserve"> </w:t>
      </w:r>
      <w:r w:rsidRPr="00B07A05">
        <w:rPr>
          <w:rFonts w:cs="Arial"/>
        </w:rPr>
        <w:br/>
        <w:t xml:space="preserve">W: </w:t>
      </w:r>
      <w:hyperlink r:id="rId13" w:history="1">
        <w:r w:rsidRPr="00B07A05">
          <w:rPr>
            <w:rStyle w:val="Hyperlink"/>
            <w:rFonts w:cs="Arial"/>
          </w:rPr>
          <w:t>http://www.aat.gov.au</w:t>
        </w:r>
      </w:hyperlink>
      <w:r w:rsidRPr="00B07A05">
        <w:rPr>
          <w:rFonts w:cs="Arial"/>
        </w:rPr>
        <w:t xml:space="preserve"> </w:t>
      </w:r>
    </w:p>
    <w:p w14:paraId="52B1CBBA" w14:textId="77777777" w:rsidR="00640137" w:rsidRPr="00B07A05" w:rsidRDefault="00640137" w:rsidP="00B07A05">
      <w:pPr>
        <w:pStyle w:val="Heading2"/>
        <w:spacing w:before="0" w:after="120"/>
      </w:pPr>
      <w:r w:rsidRPr="00B07A05">
        <w:t>Freedom of Information Request</w:t>
      </w:r>
    </w:p>
    <w:p w14:paraId="0FD1852C" w14:textId="77A02368" w:rsidR="0050646D" w:rsidRPr="00B07A05" w:rsidRDefault="00640137" w:rsidP="00B07A05">
      <w:pPr>
        <w:spacing w:after="120"/>
        <w:rPr>
          <w:rFonts w:cs="Arial"/>
        </w:rPr>
      </w:pPr>
      <w:r w:rsidRPr="00B07A05">
        <w:rPr>
          <w:rFonts w:eastAsia="Times New Roman" w:cs="Arial"/>
        </w:rPr>
        <w:t xml:space="preserve">You may make an application under the </w:t>
      </w:r>
      <w:r w:rsidRPr="00B07A05">
        <w:rPr>
          <w:rFonts w:eastAsia="Times New Roman" w:cs="Arial"/>
          <w:i/>
          <w:iCs/>
        </w:rPr>
        <w:t>Freedom of Information Act 1982</w:t>
      </w:r>
      <w:r w:rsidRPr="00B07A05">
        <w:rPr>
          <w:rFonts w:eastAsia="Times New Roman" w:cs="Arial"/>
        </w:rPr>
        <w:t xml:space="preserve"> (FOI Act) to access documents. Further information can be found at </w:t>
      </w:r>
      <w:hyperlink r:id="rId14" w:history="1">
        <w:r w:rsidRPr="00B07A05">
          <w:rPr>
            <w:rStyle w:val="Hyperlink"/>
            <w:rFonts w:eastAsia="Times New Roman" w:cs="Arial"/>
          </w:rPr>
          <w:t>http://www.environment.gov.au/foi/index.html</w:t>
        </w:r>
      </w:hyperlink>
      <w:r w:rsidRPr="00B07A05">
        <w:rPr>
          <w:rFonts w:eastAsia="Times New Roman" w:cs="Arial"/>
        </w:rPr>
        <w:t xml:space="preserve">. Please contact the Freedom of Information Contact Officer at </w:t>
      </w:r>
      <w:hyperlink r:id="rId15" w:history="1">
        <w:r w:rsidRPr="00B07A05">
          <w:rPr>
            <w:rStyle w:val="Hyperlink"/>
            <w:rFonts w:cs="Arial"/>
          </w:rPr>
          <w:t>foi@environment.gov.au</w:t>
        </w:r>
      </w:hyperlink>
      <w:r w:rsidRPr="00B07A05">
        <w:rPr>
          <w:rFonts w:cs="Arial"/>
        </w:rPr>
        <w:t xml:space="preserve"> for more information. </w:t>
      </w:r>
    </w:p>
    <w:sectPr w:rsidR="0050646D" w:rsidRPr="00B07A05" w:rsidSect="00CC5322">
      <w:headerReference w:type="first" r:id="rId16"/>
      <w:pgSz w:w="11906" w:h="16838"/>
      <w:pgMar w:top="709"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15897" w14:textId="77777777" w:rsidR="0078672F" w:rsidRDefault="0078672F" w:rsidP="00A60185">
      <w:pPr>
        <w:spacing w:after="0" w:line="240" w:lineRule="auto"/>
      </w:pPr>
      <w:r>
        <w:separator/>
      </w:r>
    </w:p>
  </w:endnote>
  <w:endnote w:type="continuationSeparator" w:id="0">
    <w:p w14:paraId="27A29BDA" w14:textId="77777777" w:rsidR="0078672F" w:rsidRDefault="0078672F" w:rsidP="00A60185">
      <w:pPr>
        <w:spacing w:after="0" w:line="240" w:lineRule="auto"/>
      </w:pPr>
      <w:r>
        <w:continuationSeparator/>
      </w:r>
    </w:p>
  </w:endnote>
  <w:endnote w:type="continuationNotice" w:id="1">
    <w:p w14:paraId="0A034AE1" w14:textId="77777777" w:rsidR="0078672F" w:rsidRDefault="007867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51B198" w14:textId="77777777" w:rsidR="0078672F" w:rsidRDefault="0078672F" w:rsidP="00A60185">
      <w:pPr>
        <w:spacing w:after="0" w:line="240" w:lineRule="auto"/>
      </w:pPr>
      <w:r>
        <w:separator/>
      </w:r>
    </w:p>
  </w:footnote>
  <w:footnote w:type="continuationSeparator" w:id="0">
    <w:p w14:paraId="3345915B" w14:textId="77777777" w:rsidR="0078672F" w:rsidRDefault="0078672F" w:rsidP="00A60185">
      <w:pPr>
        <w:spacing w:after="0" w:line="240" w:lineRule="auto"/>
      </w:pPr>
      <w:r>
        <w:continuationSeparator/>
      </w:r>
    </w:p>
  </w:footnote>
  <w:footnote w:type="continuationNotice" w:id="1">
    <w:p w14:paraId="2CDCC582" w14:textId="77777777" w:rsidR="0078672F" w:rsidRDefault="0078672F">
      <w:pPr>
        <w:spacing w:after="0" w:line="240" w:lineRule="auto"/>
      </w:pPr>
    </w:p>
  </w:footnote>
  <w:footnote w:id="2">
    <w:p w14:paraId="2169E93C" w14:textId="77777777" w:rsidR="0078672F" w:rsidRDefault="0078672F"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0D807" w14:textId="0A9E4B7C" w:rsidR="0078672F" w:rsidRDefault="00974D2C" w:rsidP="00974D2C">
    <w:pPr>
      <w:pStyle w:val="Header"/>
    </w:pPr>
    <w:r>
      <w:rPr>
        <w:rFonts w:asciiTheme="majorHAnsi" w:hAnsiTheme="majorHAnsi"/>
        <w:noProof/>
        <w:sz w:val="16"/>
        <w:szCs w:val="16"/>
        <w:lang w:eastAsia="en-AU"/>
      </w:rPr>
      <w:drawing>
        <wp:inline distT="0" distB="0" distL="0" distR="0" wp14:anchorId="75C293F5" wp14:editId="44B31BE2">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0850BBCA" w:rsidR="0078672F" w:rsidRDefault="0078672F" w:rsidP="003647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9B2B52C"/>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0C39"/>
    <w:multiLevelType w:val="hybridMultilevel"/>
    <w:tmpl w:val="4BFEC2C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BC420E"/>
    <w:multiLevelType w:val="hybridMultilevel"/>
    <w:tmpl w:val="0632135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F745BC2"/>
    <w:multiLevelType w:val="multilevel"/>
    <w:tmpl w:val="E5E89F92"/>
    <w:numStyleLink w:val="BulletList"/>
  </w:abstractNum>
  <w:abstractNum w:abstractNumId="5" w15:restartNumberingAfterBreak="0">
    <w:nsid w:val="272A3538"/>
    <w:multiLevelType w:val="hybridMultilevel"/>
    <w:tmpl w:val="BFF805A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06C5D99"/>
    <w:multiLevelType w:val="hybridMultilevel"/>
    <w:tmpl w:val="FECA4F6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037D38"/>
    <w:multiLevelType w:val="hybridMultilevel"/>
    <w:tmpl w:val="49DE296E"/>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9684178"/>
    <w:multiLevelType w:val="hybridMultilevel"/>
    <w:tmpl w:val="B7FE2CEA"/>
    <w:lvl w:ilvl="0" w:tplc="0C090017">
      <w:start w:val="1"/>
      <w:numFmt w:val="lowerLetter"/>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1" w15:restartNumberingAfterBreak="0">
    <w:nsid w:val="6176383E"/>
    <w:multiLevelType w:val="hybridMultilevel"/>
    <w:tmpl w:val="C6985A12"/>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3" w15:restartNumberingAfterBreak="0">
    <w:nsid w:val="6A755B3D"/>
    <w:multiLevelType w:val="hybridMultilevel"/>
    <w:tmpl w:val="DF6CEEBC"/>
    <w:lvl w:ilvl="0" w:tplc="0C090017">
      <w:start w:val="1"/>
      <w:numFmt w:val="lowerLetter"/>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4"/>
  </w:num>
  <w:num w:numId="2">
    <w:abstractNumId w:val="1"/>
  </w:num>
  <w:num w:numId="3">
    <w:abstractNumId w:val="8"/>
  </w:num>
  <w:num w:numId="4">
    <w:abstractNumId w:val="7"/>
  </w:num>
  <w:num w:numId="5">
    <w:abstractNumId w:val="12"/>
  </w:num>
  <w:num w:numId="6">
    <w:abstractNumId w:val="4"/>
  </w:num>
  <w:num w:numId="7">
    <w:abstractNumId w:val="11"/>
  </w:num>
  <w:num w:numId="8">
    <w:abstractNumId w:val="13"/>
  </w:num>
  <w:num w:numId="9">
    <w:abstractNumId w:val="9"/>
  </w:num>
  <w:num w:numId="10">
    <w:abstractNumId w:val="6"/>
  </w:num>
  <w:num w:numId="11">
    <w:abstractNumId w:val="12"/>
  </w:num>
  <w:num w:numId="12">
    <w:abstractNumId w:val="0"/>
  </w:num>
  <w:num w:numId="13">
    <w:abstractNumId w:val="12"/>
  </w:num>
  <w:num w:numId="14">
    <w:abstractNumId w:val="2"/>
  </w:num>
  <w:num w:numId="15">
    <w:abstractNumId w:val="5"/>
  </w:num>
  <w:num w:numId="16">
    <w:abstractNumId w:val="12"/>
  </w:num>
  <w:num w:numId="17">
    <w:abstractNumId w:val="12"/>
  </w:num>
  <w:num w:numId="18">
    <w:abstractNumId w:val="3"/>
  </w:num>
  <w:num w:numId="19">
    <w:abstractNumId w:val="12"/>
  </w:num>
  <w:num w:numId="20">
    <w:abstractNumId w:val="12"/>
  </w:num>
  <w:num w:numId="2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761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35AE"/>
    <w:rsid w:val="00004AEE"/>
    <w:rsid w:val="00005CAA"/>
    <w:rsid w:val="00010210"/>
    <w:rsid w:val="00014060"/>
    <w:rsid w:val="00015ADA"/>
    <w:rsid w:val="00017BB8"/>
    <w:rsid w:val="00020B05"/>
    <w:rsid w:val="00020C99"/>
    <w:rsid w:val="000260F8"/>
    <w:rsid w:val="0002707B"/>
    <w:rsid w:val="00031219"/>
    <w:rsid w:val="00033029"/>
    <w:rsid w:val="00043190"/>
    <w:rsid w:val="00043C42"/>
    <w:rsid w:val="0005148E"/>
    <w:rsid w:val="0005270A"/>
    <w:rsid w:val="00053EAC"/>
    <w:rsid w:val="00057615"/>
    <w:rsid w:val="00063AF2"/>
    <w:rsid w:val="000642C0"/>
    <w:rsid w:val="000759E5"/>
    <w:rsid w:val="00076D3E"/>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5CDE"/>
    <w:rsid w:val="000B74A1"/>
    <w:rsid w:val="000B7681"/>
    <w:rsid w:val="000B7B42"/>
    <w:rsid w:val="000C02B7"/>
    <w:rsid w:val="000C09A7"/>
    <w:rsid w:val="000C5342"/>
    <w:rsid w:val="000C5DFC"/>
    <w:rsid w:val="000C605B"/>
    <w:rsid w:val="000C63ED"/>
    <w:rsid w:val="000C706A"/>
    <w:rsid w:val="000D2887"/>
    <w:rsid w:val="000D309E"/>
    <w:rsid w:val="000D5528"/>
    <w:rsid w:val="000D61D0"/>
    <w:rsid w:val="000D6D63"/>
    <w:rsid w:val="000E0081"/>
    <w:rsid w:val="000E07CF"/>
    <w:rsid w:val="000E0B31"/>
    <w:rsid w:val="000F1E51"/>
    <w:rsid w:val="000F72B0"/>
    <w:rsid w:val="001047E4"/>
    <w:rsid w:val="001062A3"/>
    <w:rsid w:val="0011030F"/>
    <w:rsid w:val="00114477"/>
    <w:rsid w:val="0011498E"/>
    <w:rsid w:val="00115BF1"/>
    <w:rsid w:val="00117A45"/>
    <w:rsid w:val="001219EE"/>
    <w:rsid w:val="001224AE"/>
    <w:rsid w:val="0012744F"/>
    <w:rsid w:val="00131918"/>
    <w:rsid w:val="001337D4"/>
    <w:rsid w:val="001369E3"/>
    <w:rsid w:val="00143480"/>
    <w:rsid w:val="00147C12"/>
    <w:rsid w:val="001527A1"/>
    <w:rsid w:val="001530DC"/>
    <w:rsid w:val="00154989"/>
    <w:rsid w:val="00155A9F"/>
    <w:rsid w:val="00160262"/>
    <w:rsid w:val="0016616A"/>
    <w:rsid w:val="0016780A"/>
    <w:rsid w:val="00170878"/>
    <w:rsid w:val="00173525"/>
    <w:rsid w:val="00173EBF"/>
    <w:rsid w:val="0018112F"/>
    <w:rsid w:val="001812CE"/>
    <w:rsid w:val="001842A2"/>
    <w:rsid w:val="00187FA8"/>
    <w:rsid w:val="00191C5D"/>
    <w:rsid w:val="00192F5E"/>
    <w:rsid w:val="00197772"/>
    <w:rsid w:val="001A51C8"/>
    <w:rsid w:val="001A76BB"/>
    <w:rsid w:val="001B4CA8"/>
    <w:rsid w:val="001C062F"/>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4F19"/>
    <w:rsid w:val="00216118"/>
    <w:rsid w:val="0021677E"/>
    <w:rsid w:val="002209AB"/>
    <w:rsid w:val="00220CFF"/>
    <w:rsid w:val="00224D4E"/>
    <w:rsid w:val="002251E3"/>
    <w:rsid w:val="00227A95"/>
    <w:rsid w:val="00227FEA"/>
    <w:rsid w:val="00235467"/>
    <w:rsid w:val="00236865"/>
    <w:rsid w:val="002473FC"/>
    <w:rsid w:val="00250919"/>
    <w:rsid w:val="00252E3C"/>
    <w:rsid w:val="00257DCA"/>
    <w:rsid w:val="00261931"/>
    <w:rsid w:val="00261EFE"/>
    <w:rsid w:val="00262198"/>
    <w:rsid w:val="00267CD5"/>
    <w:rsid w:val="00285F1B"/>
    <w:rsid w:val="00292592"/>
    <w:rsid w:val="00292B81"/>
    <w:rsid w:val="0029445E"/>
    <w:rsid w:val="00297D18"/>
    <w:rsid w:val="002A11A4"/>
    <w:rsid w:val="002A4671"/>
    <w:rsid w:val="002B11A5"/>
    <w:rsid w:val="002B18AE"/>
    <w:rsid w:val="002B3674"/>
    <w:rsid w:val="002C1C93"/>
    <w:rsid w:val="002C2FB1"/>
    <w:rsid w:val="002C429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26AAD"/>
    <w:rsid w:val="00330DCE"/>
    <w:rsid w:val="00331E11"/>
    <w:rsid w:val="00334761"/>
    <w:rsid w:val="00335A95"/>
    <w:rsid w:val="00341C2C"/>
    <w:rsid w:val="00341DCD"/>
    <w:rsid w:val="00344897"/>
    <w:rsid w:val="0034563E"/>
    <w:rsid w:val="00350ED9"/>
    <w:rsid w:val="003518D6"/>
    <w:rsid w:val="0035460C"/>
    <w:rsid w:val="003556BD"/>
    <w:rsid w:val="003647A1"/>
    <w:rsid w:val="00365147"/>
    <w:rsid w:val="003670F9"/>
    <w:rsid w:val="00367A20"/>
    <w:rsid w:val="0037016E"/>
    <w:rsid w:val="00372908"/>
    <w:rsid w:val="003764B0"/>
    <w:rsid w:val="00377900"/>
    <w:rsid w:val="00383020"/>
    <w:rsid w:val="00385E04"/>
    <w:rsid w:val="00392049"/>
    <w:rsid w:val="003968BA"/>
    <w:rsid w:val="00396D6E"/>
    <w:rsid w:val="00397570"/>
    <w:rsid w:val="003975FD"/>
    <w:rsid w:val="003A0F88"/>
    <w:rsid w:val="003B19E3"/>
    <w:rsid w:val="003B5C95"/>
    <w:rsid w:val="003B6068"/>
    <w:rsid w:val="003B60CC"/>
    <w:rsid w:val="003B6EE4"/>
    <w:rsid w:val="003C09B7"/>
    <w:rsid w:val="003C0B60"/>
    <w:rsid w:val="003C2443"/>
    <w:rsid w:val="003C5DA3"/>
    <w:rsid w:val="003D2ECE"/>
    <w:rsid w:val="003D4BCD"/>
    <w:rsid w:val="003D5140"/>
    <w:rsid w:val="003E2100"/>
    <w:rsid w:val="003E569A"/>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57B34"/>
    <w:rsid w:val="0046116B"/>
    <w:rsid w:val="0046173C"/>
    <w:rsid w:val="00464930"/>
    <w:rsid w:val="00465B32"/>
    <w:rsid w:val="004712A5"/>
    <w:rsid w:val="004722F0"/>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3176"/>
    <w:rsid w:val="004E47E7"/>
    <w:rsid w:val="004F60AC"/>
    <w:rsid w:val="004F7169"/>
    <w:rsid w:val="00500D66"/>
    <w:rsid w:val="0050646D"/>
    <w:rsid w:val="00507234"/>
    <w:rsid w:val="00514C8E"/>
    <w:rsid w:val="00515922"/>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3EE4"/>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14"/>
    <w:rsid w:val="005E35DC"/>
    <w:rsid w:val="005E3DFC"/>
    <w:rsid w:val="005E3ED0"/>
    <w:rsid w:val="005E5D52"/>
    <w:rsid w:val="005E60AF"/>
    <w:rsid w:val="005F0814"/>
    <w:rsid w:val="005F1DEA"/>
    <w:rsid w:val="0060462F"/>
    <w:rsid w:val="0060602D"/>
    <w:rsid w:val="00607FC9"/>
    <w:rsid w:val="0061002D"/>
    <w:rsid w:val="0061374A"/>
    <w:rsid w:val="00621170"/>
    <w:rsid w:val="00622FE1"/>
    <w:rsid w:val="00624BCA"/>
    <w:rsid w:val="0062521C"/>
    <w:rsid w:val="00630A2B"/>
    <w:rsid w:val="00631D4A"/>
    <w:rsid w:val="00632BC5"/>
    <w:rsid w:val="00632DC7"/>
    <w:rsid w:val="006357FB"/>
    <w:rsid w:val="00635C5E"/>
    <w:rsid w:val="00640137"/>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4930"/>
    <w:rsid w:val="0069534E"/>
    <w:rsid w:val="006957A3"/>
    <w:rsid w:val="0069669C"/>
    <w:rsid w:val="00696FAB"/>
    <w:rsid w:val="006A074A"/>
    <w:rsid w:val="006A1200"/>
    <w:rsid w:val="006A1AE4"/>
    <w:rsid w:val="006A27CB"/>
    <w:rsid w:val="006A4F4E"/>
    <w:rsid w:val="006A78C5"/>
    <w:rsid w:val="006B1098"/>
    <w:rsid w:val="006B14DB"/>
    <w:rsid w:val="006B1FFD"/>
    <w:rsid w:val="006B21C4"/>
    <w:rsid w:val="006B4FD2"/>
    <w:rsid w:val="006C1A92"/>
    <w:rsid w:val="006C4A1A"/>
    <w:rsid w:val="006D0393"/>
    <w:rsid w:val="006D1A83"/>
    <w:rsid w:val="006D6986"/>
    <w:rsid w:val="006D7A2B"/>
    <w:rsid w:val="006E1CFE"/>
    <w:rsid w:val="006E3EB2"/>
    <w:rsid w:val="006E6B38"/>
    <w:rsid w:val="006F10C4"/>
    <w:rsid w:val="006F181F"/>
    <w:rsid w:val="006F30C4"/>
    <w:rsid w:val="006F5051"/>
    <w:rsid w:val="006F5603"/>
    <w:rsid w:val="00700175"/>
    <w:rsid w:val="00701400"/>
    <w:rsid w:val="007037CF"/>
    <w:rsid w:val="00710BC8"/>
    <w:rsid w:val="00713FA2"/>
    <w:rsid w:val="00716663"/>
    <w:rsid w:val="007167C0"/>
    <w:rsid w:val="00720481"/>
    <w:rsid w:val="00720E46"/>
    <w:rsid w:val="00721704"/>
    <w:rsid w:val="00722A9F"/>
    <w:rsid w:val="00723649"/>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3C81"/>
    <w:rsid w:val="00785782"/>
    <w:rsid w:val="0078672F"/>
    <w:rsid w:val="007953DA"/>
    <w:rsid w:val="00797B2E"/>
    <w:rsid w:val="007A2573"/>
    <w:rsid w:val="007A570A"/>
    <w:rsid w:val="007A5B86"/>
    <w:rsid w:val="007A6A1A"/>
    <w:rsid w:val="007B106C"/>
    <w:rsid w:val="007B1A4E"/>
    <w:rsid w:val="007B3617"/>
    <w:rsid w:val="007B3D05"/>
    <w:rsid w:val="007B5B2F"/>
    <w:rsid w:val="007C093A"/>
    <w:rsid w:val="007C0C81"/>
    <w:rsid w:val="007C114B"/>
    <w:rsid w:val="007C1328"/>
    <w:rsid w:val="007C4BCF"/>
    <w:rsid w:val="007D14B4"/>
    <w:rsid w:val="007D2191"/>
    <w:rsid w:val="007D2FC3"/>
    <w:rsid w:val="007D4362"/>
    <w:rsid w:val="007D4CEC"/>
    <w:rsid w:val="007D5962"/>
    <w:rsid w:val="007E24F6"/>
    <w:rsid w:val="007F20CB"/>
    <w:rsid w:val="007F2EED"/>
    <w:rsid w:val="00800F64"/>
    <w:rsid w:val="00802F0B"/>
    <w:rsid w:val="00804F50"/>
    <w:rsid w:val="00807532"/>
    <w:rsid w:val="00810A67"/>
    <w:rsid w:val="00813398"/>
    <w:rsid w:val="00813F3B"/>
    <w:rsid w:val="008205AF"/>
    <w:rsid w:val="00821A31"/>
    <w:rsid w:val="00821AC5"/>
    <w:rsid w:val="00831030"/>
    <w:rsid w:val="008316C6"/>
    <w:rsid w:val="00832F0F"/>
    <w:rsid w:val="00833CF7"/>
    <w:rsid w:val="00843089"/>
    <w:rsid w:val="00845601"/>
    <w:rsid w:val="008518B4"/>
    <w:rsid w:val="00854F44"/>
    <w:rsid w:val="00855C5C"/>
    <w:rsid w:val="008565B9"/>
    <w:rsid w:val="0086185F"/>
    <w:rsid w:val="0086546D"/>
    <w:rsid w:val="00874D88"/>
    <w:rsid w:val="00875314"/>
    <w:rsid w:val="00882459"/>
    <w:rsid w:val="00890C23"/>
    <w:rsid w:val="008952C4"/>
    <w:rsid w:val="008A2B4A"/>
    <w:rsid w:val="008A2D87"/>
    <w:rsid w:val="008A3C96"/>
    <w:rsid w:val="008A6F57"/>
    <w:rsid w:val="008B4019"/>
    <w:rsid w:val="008B65C9"/>
    <w:rsid w:val="008C2D4A"/>
    <w:rsid w:val="008C424E"/>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4D2C"/>
    <w:rsid w:val="00976E4A"/>
    <w:rsid w:val="00986412"/>
    <w:rsid w:val="00995F0B"/>
    <w:rsid w:val="009A0D8E"/>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22EA"/>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67B44"/>
    <w:rsid w:val="00A7053D"/>
    <w:rsid w:val="00A70809"/>
    <w:rsid w:val="00A72668"/>
    <w:rsid w:val="00A76E17"/>
    <w:rsid w:val="00A77C92"/>
    <w:rsid w:val="00A830E5"/>
    <w:rsid w:val="00A85905"/>
    <w:rsid w:val="00A86618"/>
    <w:rsid w:val="00A87135"/>
    <w:rsid w:val="00A90239"/>
    <w:rsid w:val="00A93280"/>
    <w:rsid w:val="00AA2548"/>
    <w:rsid w:val="00AA58C4"/>
    <w:rsid w:val="00AB0B10"/>
    <w:rsid w:val="00AB10DB"/>
    <w:rsid w:val="00AB11C8"/>
    <w:rsid w:val="00AB60CF"/>
    <w:rsid w:val="00AC08A8"/>
    <w:rsid w:val="00AC5085"/>
    <w:rsid w:val="00AC73C4"/>
    <w:rsid w:val="00AC73E5"/>
    <w:rsid w:val="00AD1891"/>
    <w:rsid w:val="00AD3616"/>
    <w:rsid w:val="00AD56C8"/>
    <w:rsid w:val="00AD58F2"/>
    <w:rsid w:val="00AD5BA0"/>
    <w:rsid w:val="00AE02CA"/>
    <w:rsid w:val="00AE4C25"/>
    <w:rsid w:val="00AF2CDE"/>
    <w:rsid w:val="00AF4DBA"/>
    <w:rsid w:val="00B00313"/>
    <w:rsid w:val="00B00ABE"/>
    <w:rsid w:val="00B011AB"/>
    <w:rsid w:val="00B01599"/>
    <w:rsid w:val="00B0197B"/>
    <w:rsid w:val="00B01FD6"/>
    <w:rsid w:val="00B03A27"/>
    <w:rsid w:val="00B0472C"/>
    <w:rsid w:val="00B0529F"/>
    <w:rsid w:val="00B07A05"/>
    <w:rsid w:val="00B11A6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D8C"/>
    <w:rsid w:val="00B65E27"/>
    <w:rsid w:val="00B66855"/>
    <w:rsid w:val="00B66EBE"/>
    <w:rsid w:val="00B70ED4"/>
    <w:rsid w:val="00B7603E"/>
    <w:rsid w:val="00B774CD"/>
    <w:rsid w:val="00B804D2"/>
    <w:rsid w:val="00B80ECC"/>
    <w:rsid w:val="00B82C24"/>
    <w:rsid w:val="00B912DE"/>
    <w:rsid w:val="00B93DD0"/>
    <w:rsid w:val="00B95973"/>
    <w:rsid w:val="00B95D71"/>
    <w:rsid w:val="00B97732"/>
    <w:rsid w:val="00BA0922"/>
    <w:rsid w:val="00BA17FC"/>
    <w:rsid w:val="00BA22FB"/>
    <w:rsid w:val="00BA65A8"/>
    <w:rsid w:val="00BA6D19"/>
    <w:rsid w:val="00BA7461"/>
    <w:rsid w:val="00BA7DA9"/>
    <w:rsid w:val="00BB418A"/>
    <w:rsid w:val="00BC0616"/>
    <w:rsid w:val="00BC2DAF"/>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3F95"/>
    <w:rsid w:val="00BF671B"/>
    <w:rsid w:val="00BF7CEE"/>
    <w:rsid w:val="00C03880"/>
    <w:rsid w:val="00C07E4C"/>
    <w:rsid w:val="00C132E3"/>
    <w:rsid w:val="00C135CF"/>
    <w:rsid w:val="00C173B0"/>
    <w:rsid w:val="00C17F88"/>
    <w:rsid w:val="00C22E15"/>
    <w:rsid w:val="00C2683F"/>
    <w:rsid w:val="00C317BD"/>
    <w:rsid w:val="00C3184D"/>
    <w:rsid w:val="00C325B9"/>
    <w:rsid w:val="00C37862"/>
    <w:rsid w:val="00C37B7A"/>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B2ECE"/>
    <w:rsid w:val="00CC1AE6"/>
    <w:rsid w:val="00CC39F8"/>
    <w:rsid w:val="00CC4365"/>
    <w:rsid w:val="00CC5322"/>
    <w:rsid w:val="00CC7297"/>
    <w:rsid w:val="00CD11B0"/>
    <w:rsid w:val="00CD2830"/>
    <w:rsid w:val="00CD3A95"/>
    <w:rsid w:val="00CD49AD"/>
    <w:rsid w:val="00CD55CC"/>
    <w:rsid w:val="00CD7E72"/>
    <w:rsid w:val="00CE42D0"/>
    <w:rsid w:val="00CE6A38"/>
    <w:rsid w:val="00CE71C2"/>
    <w:rsid w:val="00CF42D5"/>
    <w:rsid w:val="00CF4EDA"/>
    <w:rsid w:val="00CF569A"/>
    <w:rsid w:val="00CF5CAE"/>
    <w:rsid w:val="00D01D39"/>
    <w:rsid w:val="00D021CB"/>
    <w:rsid w:val="00D0562E"/>
    <w:rsid w:val="00D05A2D"/>
    <w:rsid w:val="00D10ACD"/>
    <w:rsid w:val="00D10F1A"/>
    <w:rsid w:val="00D116F8"/>
    <w:rsid w:val="00D126E3"/>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600"/>
    <w:rsid w:val="00D53B1C"/>
    <w:rsid w:val="00D5575B"/>
    <w:rsid w:val="00D558DD"/>
    <w:rsid w:val="00D610DC"/>
    <w:rsid w:val="00D62131"/>
    <w:rsid w:val="00D64914"/>
    <w:rsid w:val="00D71F66"/>
    <w:rsid w:val="00D77838"/>
    <w:rsid w:val="00D80F3B"/>
    <w:rsid w:val="00D92DB2"/>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603D"/>
    <w:rsid w:val="00DF7BCD"/>
    <w:rsid w:val="00E00D0D"/>
    <w:rsid w:val="00E0580C"/>
    <w:rsid w:val="00E0596E"/>
    <w:rsid w:val="00E06F66"/>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6751D"/>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D3E37"/>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0673"/>
    <w:rsid w:val="00F46F46"/>
    <w:rsid w:val="00F46F9D"/>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0FD184CA"/>
  <w15:docId w15:val="{4EAD6276-7FE6-454E-9217-E7C05912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783C81"/>
    <w:rPr>
      <w:color w:val="605E5C"/>
      <w:shd w:val="clear" w:color="auto" w:fill="E1DFDD"/>
    </w:rPr>
  </w:style>
  <w:style w:type="paragraph" w:styleId="Revision">
    <w:name w:val="Revision"/>
    <w:hidden/>
    <w:uiPriority w:val="99"/>
    <w:semiHidden/>
    <w:rsid w:val="00A8590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198326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at.gov.au"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mailto:generalreviews@aat.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g.gov.au/LegalSystem/Legalaidprogrammes/Commonwealthlegalfinancialassistance/Documents/LegalFinancialAssistanceInformationSheet.pdf" TargetMode="External"/><Relationship Id="rId5" Type="http://schemas.openxmlformats.org/officeDocument/2006/relationships/webSettings" Target="webSettings.xml"/><Relationship Id="rId15" Type="http://schemas.openxmlformats.org/officeDocument/2006/relationships/hyperlink" Target="mailto:foi@environment.gov.au" TargetMode="External"/><Relationship Id="rId10" Type="http://schemas.openxmlformats.org/officeDocument/2006/relationships/hyperlink" Target="http://www.aat.gov.au/"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aat.gov.au/" TargetMode="External"/><Relationship Id="rId14" Type="http://schemas.openxmlformats.org/officeDocument/2006/relationships/hyperlink" Target="http://www.environment.gov.au/foi/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18B24CC8-A75E-487C-B1D5-42A010423550}">
  <ds:schemaRefs>
    <ds:schemaRef ds:uri="http://schemas.openxmlformats.org/officeDocument/2006/bibliography"/>
  </ds:schemaRefs>
</ds:datastoreItem>
</file>

<file path=customXml/itemProps2.xml><?xml version="1.0" encoding="utf-8"?>
<ds:datastoreItem xmlns:ds="http://schemas.openxmlformats.org/officeDocument/2006/customXml" ds:itemID="{BB586B7F-8374-41EC-82BE-67A75739FBAA}"/>
</file>

<file path=customXml/itemProps3.xml><?xml version="1.0" encoding="utf-8"?>
<ds:datastoreItem xmlns:ds="http://schemas.openxmlformats.org/officeDocument/2006/customXml" ds:itemID="{21B09639-44AA-46F9-8E98-3AF898417C15}"/>
</file>

<file path=customXml/itemProps4.xml><?xml version="1.0" encoding="utf-8"?>
<ds:datastoreItem xmlns:ds="http://schemas.openxmlformats.org/officeDocument/2006/customXml" ds:itemID="{D4A3417E-6796-4B11-A4CD-1CACE68473D5}"/>
</file>

<file path=docProps/app.xml><?xml version="1.0" encoding="utf-8"?>
<Properties xmlns="http://schemas.openxmlformats.org/officeDocument/2006/extended-properties" xmlns:vt="http://schemas.openxmlformats.org/officeDocument/2006/docPropsVTypes">
  <Template>Normal.dotm</Template>
  <TotalTime>0</TotalTime>
  <Pages>6</Pages>
  <Words>1773</Words>
  <Characters>10107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Letter to AFMA CEO - December 2020</vt:lpstr>
    </vt:vector>
  </TitlesOfParts>
  <Company/>
  <LinksUpToDate>false</LinksUpToDate>
  <CharactersWithSpaces>11857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CEO - December 2020</dc:title>
  <dc:creator>Department of Agriculture, Water and the Environment</dc:creator>
  <cp:lastModifiedBy>Lien Nguyen</cp:lastModifiedBy>
  <cp:revision>2</cp:revision>
  <dcterms:created xsi:type="dcterms:W3CDTF">2021-01-12T22:41:00Z</dcterms:created>
  <dcterms:modified xsi:type="dcterms:W3CDTF">2021-01-12T22:41:00Z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