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AA52A" w14:textId="192F9A84" w:rsidR="005B588D" w:rsidRPr="00B0197B" w:rsidRDefault="005B588D" w:rsidP="005B588D">
      <w:pPr>
        <w:jc w:val="right"/>
      </w:pPr>
      <w:bookmarkStart w:id="0" w:name="_GoBack"/>
      <w:bookmarkEnd w:id="0"/>
      <w:r w:rsidRPr="00B0197B">
        <w:t xml:space="preserve">Ref: </w:t>
      </w:r>
      <w:r w:rsidR="00FD278E">
        <w:t>001798230</w:t>
      </w:r>
    </w:p>
    <w:p w14:paraId="477AA52B" w14:textId="77777777" w:rsidR="004A6F22" w:rsidRDefault="004A6F22" w:rsidP="00A60B0D">
      <w:pPr>
        <w:contextualSpacing/>
        <w:rPr>
          <w:rFonts w:cs="Arial"/>
        </w:rPr>
      </w:pPr>
    </w:p>
    <w:p w14:paraId="477AA52C" w14:textId="77777777" w:rsidR="005B588D" w:rsidRDefault="005B588D" w:rsidP="00A60B0D">
      <w:pPr>
        <w:contextualSpacing/>
        <w:rPr>
          <w:rFonts w:cs="Arial"/>
        </w:rPr>
      </w:pPr>
    </w:p>
    <w:p w14:paraId="477AA52D" w14:textId="77777777" w:rsidR="005B588D" w:rsidRDefault="005B588D" w:rsidP="00A60B0D">
      <w:pPr>
        <w:contextualSpacing/>
      </w:pPr>
    </w:p>
    <w:p w14:paraId="477AA52E" w14:textId="2351141A" w:rsidR="00F64682" w:rsidRDefault="00E205EF" w:rsidP="00290F9A">
      <w:pPr>
        <w:contextualSpacing/>
      </w:pPr>
      <w:r>
        <w:t>Dr</w:t>
      </w:r>
      <w:r w:rsidR="00F64682" w:rsidRPr="005B588D">
        <w:t xml:space="preserve"> </w:t>
      </w:r>
      <w:r w:rsidR="00780FFF">
        <w:t xml:space="preserve">Nick </w:t>
      </w:r>
      <w:proofErr w:type="spellStart"/>
      <w:r w:rsidR="00780FFF">
        <w:t>Rayns</w:t>
      </w:r>
      <w:proofErr w:type="spellEnd"/>
      <w:r w:rsidR="00F64682" w:rsidRPr="005B588D">
        <w:br/>
      </w:r>
      <w:r w:rsidR="00780FFF">
        <w:t>Executive Manager AFMA Fisheries</w:t>
      </w:r>
      <w:r w:rsidR="00290F9A" w:rsidRPr="005B588D">
        <w:br/>
      </w:r>
      <w:r w:rsidR="00780FFF">
        <w:t>Box 7051</w:t>
      </w:r>
      <w:r w:rsidR="00290F9A" w:rsidRPr="005B588D">
        <w:br/>
      </w:r>
      <w:r w:rsidR="00780FFF">
        <w:t xml:space="preserve">Canberra BC </w:t>
      </w:r>
      <w:r w:rsidR="005B588D" w:rsidRPr="005B588D">
        <w:t xml:space="preserve">  </w:t>
      </w:r>
      <w:r w:rsidR="00780FFF">
        <w:t xml:space="preserve">ACT </w:t>
      </w:r>
      <w:r w:rsidR="00753889" w:rsidRPr="005B588D">
        <w:t xml:space="preserve">  </w:t>
      </w:r>
      <w:r w:rsidR="00780FFF">
        <w:t>2610</w:t>
      </w:r>
    </w:p>
    <w:p w14:paraId="477AA52F" w14:textId="77777777" w:rsidR="004A6F22" w:rsidRDefault="004A6F22" w:rsidP="001F4075"/>
    <w:p w14:paraId="477AA530" w14:textId="0D3E2638" w:rsidR="001F4075" w:rsidRDefault="001F4075" w:rsidP="001F4075">
      <w:r>
        <w:t xml:space="preserve">Dear </w:t>
      </w:r>
      <w:r w:rsidR="00945F22">
        <w:t xml:space="preserve">Dr </w:t>
      </w:r>
      <w:proofErr w:type="spellStart"/>
      <w:r w:rsidR="00945F22">
        <w:t>Rayns</w:t>
      </w:r>
      <w:proofErr w:type="spellEnd"/>
    </w:p>
    <w:p w14:paraId="477AA531" w14:textId="372AFB9C" w:rsidR="00392049" w:rsidRDefault="00392049" w:rsidP="0095424B">
      <w:pPr>
        <w:widowControl w:val="0"/>
        <w:rPr>
          <w:rFonts w:cs="Arial"/>
        </w:rPr>
      </w:pPr>
      <w:r w:rsidRPr="00822585">
        <w:rPr>
          <w:rFonts w:cs="Arial"/>
          <w:lang w:val="en-US"/>
        </w:rPr>
        <w:t xml:space="preserve">I am writing to you </w:t>
      </w:r>
      <w:r w:rsidR="00DB7879">
        <w:rPr>
          <w:rFonts w:cs="Arial"/>
          <w:lang w:val="en-US"/>
        </w:rPr>
        <w:t xml:space="preserve">regarding the extension of export approvals </w:t>
      </w:r>
      <w:r w:rsidRPr="003C0B60">
        <w:rPr>
          <w:rFonts w:cs="Arial"/>
        </w:rPr>
        <w:t>under</w:t>
      </w:r>
      <w:r w:rsidRPr="00822585">
        <w:rPr>
          <w:rFonts w:cs="Arial"/>
        </w:rPr>
        <w:t xml:space="preserve"> the</w:t>
      </w:r>
      <w:r w:rsidR="00022DFE">
        <w:rPr>
          <w:rFonts w:cs="Arial"/>
        </w:rPr>
        <w:t xml:space="preserve"> </w:t>
      </w:r>
      <w:r w:rsidRPr="00822585">
        <w:rPr>
          <w:rFonts w:cs="Arial"/>
          <w:i/>
        </w:rPr>
        <w:t>Environment</w:t>
      </w:r>
      <w:r w:rsidR="00945F22">
        <w:rPr>
          <w:rFonts w:cs="Arial"/>
          <w:i/>
        </w:rPr>
        <w:t> </w:t>
      </w:r>
      <w:r w:rsidRPr="00822585">
        <w:rPr>
          <w:rFonts w:cs="Arial"/>
          <w:i/>
        </w:rPr>
        <w:t>Protection</w:t>
      </w:r>
      <w:r w:rsidR="00945F22">
        <w:rPr>
          <w:rFonts w:cs="Arial"/>
          <w:i/>
        </w:rPr>
        <w:t> </w:t>
      </w:r>
      <w:r w:rsidRPr="00822585">
        <w:rPr>
          <w:rFonts w:cs="Arial"/>
          <w:i/>
        </w:rPr>
        <w:t>an</w:t>
      </w:r>
      <w:r w:rsidR="003C0B60">
        <w:rPr>
          <w:rFonts w:cs="Arial"/>
          <w:i/>
        </w:rPr>
        <w:t>d</w:t>
      </w:r>
      <w:r w:rsidR="00945F22">
        <w:rPr>
          <w:rFonts w:cs="Arial"/>
          <w:i/>
        </w:rPr>
        <w:t> </w:t>
      </w:r>
      <w:r w:rsidR="003C0B60">
        <w:rPr>
          <w:rFonts w:cs="Arial"/>
          <w:i/>
        </w:rPr>
        <w:t>Biodiversity</w:t>
      </w:r>
      <w:r w:rsidR="00945F22">
        <w:rPr>
          <w:rFonts w:cs="Arial"/>
          <w:i/>
        </w:rPr>
        <w:t> </w:t>
      </w:r>
      <w:r w:rsidR="003C0B60">
        <w:rPr>
          <w:rFonts w:cs="Arial"/>
          <w:i/>
        </w:rPr>
        <w:t>Conservation</w:t>
      </w:r>
      <w:r w:rsidR="00945F22">
        <w:rPr>
          <w:rFonts w:cs="Arial"/>
          <w:i/>
        </w:rPr>
        <w:t> </w:t>
      </w:r>
      <w:r w:rsidR="003C0B60">
        <w:rPr>
          <w:rFonts w:cs="Arial"/>
          <w:i/>
        </w:rPr>
        <w:t>Act </w:t>
      </w:r>
      <w:r w:rsidRPr="00822585">
        <w:rPr>
          <w:rFonts w:cs="Arial"/>
          <w:i/>
        </w:rPr>
        <w:t xml:space="preserve">1999 </w:t>
      </w:r>
      <w:r w:rsidRPr="00822585">
        <w:rPr>
          <w:rFonts w:cs="Arial"/>
        </w:rPr>
        <w:t>(EPBC Act)</w:t>
      </w:r>
      <w:r w:rsidR="000E0121">
        <w:rPr>
          <w:rFonts w:cs="Arial"/>
        </w:rPr>
        <w:t xml:space="preserve"> for </w:t>
      </w:r>
      <w:r w:rsidR="00945F22">
        <w:rPr>
          <w:rFonts w:cs="Arial"/>
        </w:rPr>
        <w:t xml:space="preserve">the </w:t>
      </w:r>
      <w:r w:rsidR="00D03D4E">
        <w:rPr>
          <w:rFonts w:cs="Arial"/>
        </w:rPr>
        <w:t xml:space="preserve">Commonwealth </w:t>
      </w:r>
      <w:r w:rsidR="0095424B">
        <w:rPr>
          <w:rFonts w:cs="Arial"/>
        </w:rPr>
        <w:t>Coral Sea</w:t>
      </w:r>
      <w:r w:rsidR="008C691E">
        <w:rPr>
          <w:rFonts w:cs="Arial"/>
        </w:rPr>
        <w:t xml:space="preserve">, </w:t>
      </w:r>
      <w:r w:rsidR="00D03D4E">
        <w:rPr>
          <w:rFonts w:cs="Arial"/>
        </w:rPr>
        <w:t xml:space="preserve">Commonwealth </w:t>
      </w:r>
      <w:r w:rsidR="00945F22" w:rsidRPr="00945F22">
        <w:rPr>
          <w:rFonts w:cs="Arial"/>
        </w:rPr>
        <w:t xml:space="preserve">Western Trawl </w:t>
      </w:r>
      <w:r w:rsidR="00945F22">
        <w:rPr>
          <w:rFonts w:cs="Arial"/>
        </w:rPr>
        <w:t>(North West Slope Trawl and Western Deepwater Trawl)</w:t>
      </w:r>
      <w:r w:rsidR="008C691E">
        <w:rPr>
          <w:rFonts w:cs="Arial"/>
        </w:rPr>
        <w:t>,</w:t>
      </w:r>
      <w:r w:rsidR="0095424B">
        <w:rPr>
          <w:rFonts w:cs="Arial"/>
        </w:rPr>
        <w:t xml:space="preserve"> Torres Strait Finfish, Torres Strait Prawn, and Torres Strait Trochus fisheries</w:t>
      </w:r>
      <w:r w:rsidRPr="00822585">
        <w:rPr>
          <w:rFonts w:cs="Arial"/>
        </w:rPr>
        <w:t>.</w:t>
      </w:r>
    </w:p>
    <w:p w14:paraId="07FD51B2" w14:textId="77777777" w:rsidR="00C97813" w:rsidRPr="00713433" w:rsidRDefault="00C97813" w:rsidP="00C97813">
      <w:pPr>
        <w:rPr>
          <w:rFonts w:cs="Arial"/>
        </w:rPr>
      </w:pPr>
      <w:r w:rsidRPr="00705A13">
        <w:rPr>
          <w:rFonts w:cs="Arial"/>
        </w:rPr>
        <w:t>I</w:t>
      </w:r>
      <w:r>
        <w:rPr>
          <w:rFonts w:cs="Arial"/>
        </w:rPr>
        <w:t> </w:t>
      </w:r>
      <w:r w:rsidRPr="00705A13">
        <w:rPr>
          <w:rFonts w:cs="Arial"/>
        </w:rPr>
        <w:t>am satisfied that it remains unlikely that fishing operations conducted in accordance with these management regimes will adversely affect the conservation status of protected species</w:t>
      </w:r>
      <w:r>
        <w:rPr>
          <w:rFonts w:cs="Arial"/>
        </w:rPr>
        <w:t xml:space="preserve"> including </w:t>
      </w:r>
      <w:r w:rsidRPr="00705A13">
        <w:rPr>
          <w:rFonts w:cs="Arial"/>
        </w:rPr>
        <w:t>listed migratory species, cetaceans or listed marine species</w:t>
      </w:r>
      <w:r>
        <w:rPr>
          <w:rFonts w:cs="Arial"/>
        </w:rPr>
        <w:t xml:space="preserve">, or </w:t>
      </w:r>
      <w:r w:rsidRPr="00705A13">
        <w:rPr>
          <w:rFonts w:cs="Arial"/>
        </w:rPr>
        <w:t>the survival or recovery in nature of listed threatened species. I also consider that under the current management regimes, fishing operators are required to take all reasonable steps to avoid the killing or injuri</w:t>
      </w:r>
      <w:r>
        <w:rPr>
          <w:rFonts w:cs="Arial"/>
        </w:rPr>
        <w:t>ng of species listed under Part 13 of the EPBC </w:t>
      </w:r>
      <w:r w:rsidRPr="00705A13">
        <w:rPr>
          <w:rFonts w:cs="Arial"/>
        </w:rPr>
        <w:t>Act.</w:t>
      </w:r>
    </w:p>
    <w:p w14:paraId="3F5DDF3A" w14:textId="0249F88E" w:rsidR="00945F22" w:rsidRDefault="0095424B" w:rsidP="00551573">
      <w:pPr>
        <w:rPr>
          <w:rFonts w:cs="Arial"/>
        </w:rPr>
      </w:pPr>
      <w:r>
        <w:rPr>
          <w:rFonts w:cs="Arial"/>
        </w:rPr>
        <w:t xml:space="preserve">I have </w:t>
      </w:r>
      <w:r w:rsidR="00C97813">
        <w:rPr>
          <w:rFonts w:cs="Arial"/>
        </w:rPr>
        <w:t xml:space="preserve">therefore </w:t>
      </w:r>
      <w:r>
        <w:rPr>
          <w:rFonts w:cs="Arial"/>
        </w:rPr>
        <w:t xml:space="preserve">decided to include </w:t>
      </w:r>
      <w:r w:rsidRPr="00945F22">
        <w:rPr>
          <w:rFonts w:cs="Arial"/>
        </w:rPr>
        <w:t>product derived from the</w:t>
      </w:r>
      <w:r>
        <w:rPr>
          <w:rFonts w:cs="Arial"/>
        </w:rPr>
        <w:t xml:space="preserve">se </w:t>
      </w:r>
      <w:r w:rsidRPr="00945F22">
        <w:rPr>
          <w:rFonts w:cs="Arial"/>
        </w:rPr>
        <w:t>fisheries on the list of exempt native specimens until 22</w:t>
      </w:r>
      <w:r>
        <w:rPr>
          <w:rFonts w:cs="Arial"/>
        </w:rPr>
        <w:t> </w:t>
      </w:r>
      <w:r w:rsidRPr="00945F22">
        <w:rPr>
          <w:rFonts w:cs="Arial"/>
        </w:rPr>
        <w:t>December</w:t>
      </w:r>
      <w:r>
        <w:rPr>
          <w:rFonts w:cs="Arial"/>
        </w:rPr>
        <w:t> </w:t>
      </w:r>
      <w:r w:rsidRPr="00945F22">
        <w:rPr>
          <w:rFonts w:cs="Arial"/>
        </w:rPr>
        <w:t>2017</w:t>
      </w:r>
      <w:r w:rsidR="00C97813">
        <w:rPr>
          <w:rFonts w:cs="Arial"/>
        </w:rPr>
        <w:t>. This will</w:t>
      </w:r>
      <w:r>
        <w:rPr>
          <w:rFonts w:cs="Arial"/>
        </w:rPr>
        <w:t xml:space="preserve"> ensure product can continue </w:t>
      </w:r>
      <w:r w:rsidR="00C97813">
        <w:rPr>
          <w:rFonts w:cs="Arial"/>
        </w:rPr>
        <w:t xml:space="preserve">to </w:t>
      </w:r>
      <w:proofErr w:type="gramStart"/>
      <w:r w:rsidR="00C97813">
        <w:rPr>
          <w:rFonts w:cs="Arial"/>
        </w:rPr>
        <w:t>be exported</w:t>
      </w:r>
      <w:proofErr w:type="gramEnd"/>
      <w:r w:rsidR="00C97813">
        <w:rPr>
          <w:rFonts w:cs="Arial"/>
        </w:rPr>
        <w:t xml:space="preserve"> </w:t>
      </w:r>
      <w:r>
        <w:rPr>
          <w:rFonts w:cs="Arial"/>
        </w:rPr>
        <w:t>while these fisheries are assessed for further approval.</w:t>
      </w:r>
    </w:p>
    <w:p w14:paraId="477AA53F" w14:textId="4FF16FD2" w:rsidR="00BF094F" w:rsidRPr="00DB4636" w:rsidRDefault="00DB7879" w:rsidP="00551573">
      <w:pPr>
        <w:rPr>
          <w:rFonts w:cs="Arial"/>
        </w:rPr>
      </w:pPr>
      <w:r>
        <w:rPr>
          <w:rFonts w:cs="Arial"/>
        </w:rPr>
        <w:t xml:space="preserve">The conditions placed on the original export approvals continue to apply during this time. For your </w:t>
      </w:r>
      <w:proofErr w:type="gramStart"/>
      <w:r>
        <w:rPr>
          <w:rFonts w:cs="Arial"/>
        </w:rPr>
        <w:t>convenience</w:t>
      </w:r>
      <w:proofErr w:type="gramEnd"/>
      <w:r>
        <w:rPr>
          <w:rFonts w:cs="Arial"/>
        </w:rPr>
        <w:t xml:space="preserve"> I have listed these </w:t>
      </w:r>
      <w:r w:rsidR="00C97813">
        <w:rPr>
          <w:rFonts w:cs="Arial"/>
        </w:rPr>
        <w:t>at the end of this letter</w:t>
      </w:r>
      <w:r>
        <w:rPr>
          <w:rFonts w:cs="Arial"/>
        </w:rPr>
        <w:t>.</w:t>
      </w:r>
    </w:p>
    <w:p w14:paraId="477AA541" w14:textId="77777777" w:rsidR="00392049" w:rsidRPr="00022DFE" w:rsidRDefault="00392049" w:rsidP="00392049">
      <w:pPr>
        <w:rPr>
          <w:rFonts w:cs="Arial"/>
        </w:rPr>
      </w:pPr>
      <w:bookmarkStart w:id="1" w:name="bkStart"/>
      <w:bookmarkEnd w:id="1"/>
      <w:r w:rsidRPr="00022DFE">
        <w:rPr>
          <w:rFonts w:cs="Arial"/>
        </w:rPr>
        <w:t>Yours sincerely</w:t>
      </w:r>
      <w:r w:rsidR="00781D97">
        <w:rPr>
          <w:rFonts w:cs="Arial"/>
        </w:rPr>
        <w:t xml:space="preserve"> </w:t>
      </w:r>
    </w:p>
    <w:p w14:paraId="477AA542" w14:textId="0A932E26" w:rsidR="001F4075" w:rsidRPr="00022DFE" w:rsidRDefault="001F4075" w:rsidP="001F4075"/>
    <w:p w14:paraId="477AA543" w14:textId="77777777" w:rsidR="001F4075" w:rsidRPr="00022DFE" w:rsidRDefault="001F4075" w:rsidP="001F4075"/>
    <w:p w14:paraId="477AA544" w14:textId="3DE2BAC5" w:rsidR="00D03D4E" w:rsidRDefault="00DB7879" w:rsidP="00392049">
      <w:pPr>
        <w:tabs>
          <w:tab w:val="left" w:pos="284"/>
        </w:tabs>
      </w:pPr>
      <w:r>
        <w:t>Paul Murphy</w:t>
      </w:r>
      <w:r w:rsidR="00392049" w:rsidRPr="00880955">
        <w:br/>
      </w:r>
      <w:r w:rsidR="00392049" w:rsidRPr="00880955">
        <w:br/>
      </w:r>
      <w:r w:rsidR="00392049" w:rsidRPr="00880955">
        <w:rPr>
          <w:rFonts w:cs="Arial"/>
        </w:rPr>
        <w:t xml:space="preserve">Delegate of the Minister for </w:t>
      </w:r>
      <w:r w:rsidR="00554289" w:rsidRPr="00880955">
        <w:rPr>
          <w:rFonts w:cs="Arial"/>
        </w:rPr>
        <w:t>the</w:t>
      </w:r>
      <w:r w:rsidR="00392049" w:rsidRPr="00880955">
        <w:rPr>
          <w:rFonts w:cs="Arial"/>
        </w:rPr>
        <w:t xml:space="preserve"> </w:t>
      </w:r>
      <w:r w:rsidR="00022DFE" w:rsidRPr="00880955">
        <w:rPr>
          <w:rFonts w:cs="Arial"/>
        </w:rPr>
        <w:t>Environment and Energy</w:t>
      </w:r>
      <w:r w:rsidR="00392049" w:rsidRPr="00880955">
        <w:br/>
      </w:r>
      <w:r w:rsidR="003124D2">
        <w:t>28</w:t>
      </w:r>
      <w:r>
        <w:t xml:space="preserve"> </w:t>
      </w:r>
      <w:r>
        <w:rPr>
          <w:rFonts w:cs="Arial"/>
        </w:rPr>
        <w:t>June</w:t>
      </w:r>
      <w:r w:rsidR="004619D3" w:rsidRPr="00880955">
        <w:rPr>
          <w:rFonts w:cs="Arial"/>
        </w:rPr>
        <w:t> </w:t>
      </w:r>
      <w:r w:rsidR="00187646" w:rsidRPr="00880955">
        <w:t>201</w:t>
      </w:r>
      <w:r>
        <w:t>7</w:t>
      </w:r>
    </w:p>
    <w:p w14:paraId="2809E69E" w14:textId="77777777" w:rsidR="00D03D4E" w:rsidRDefault="00D03D4E">
      <w:pPr>
        <w:spacing w:after="0" w:line="240" w:lineRule="auto"/>
      </w:pPr>
      <w:r>
        <w:br w:type="page"/>
      </w:r>
    </w:p>
    <w:p w14:paraId="2D7C898B" w14:textId="1CA8A895" w:rsidR="00D03D4E" w:rsidRPr="004A5964" w:rsidRDefault="00D03D4E" w:rsidP="00D03D4E">
      <w:pPr>
        <w:pStyle w:val="ListNumber2"/>
        <w:numPr>
          <w:ilvl w:val="0"/>
          <w:numId w:val="0"/>
        </w:numPr>
        <w:spacing w:before="240" w:after="240" w:line="240" w:lineRule="auto"/>
        <w:rPr>
          <w:b/>
        </w:rPr>
      </w:pPr>
      <w:r w:rsidRPr="004A5964">
        <w:rPr>
          <w:b/>
        </w:rPr>
        <w:lastRenderedPageBreak/>
        <w:t>Commonwealth Coral Sea Fishery</w:t>
      </w:r>
    </w:p>
    <w:p w14:paraId="47A315EE" w14:textId="77777777" w:rsidR="00D03D4E" w:rsidRPr="00D03D4E" w:rsidRDefault="00D03D4E" w:rsidP="00D03D4E">
      <w:pPr>
        <w:pStyle w:val="ListNumber2"/>
        <w:numPr>
          <w:ilvl w:val="0"/>
          <w:numId w:val="7"/>
        </w:numPr>
        <w:spacing w:before="240" w:after="240" w:line="240" w:lineRule="auto"/>
      </w:pPr>
      <w:r w:rsidRPr="00D03D4E">
        <w:t xml:space="preserve">Operation of the Coral Sea Fishery </w:t>
      </w:r>
      <w:proofErr w:type="gramStart"/>
      <w:r w:rsidRPr="00D03D4E">
        <w:t>will be carried out</w:t>
      </w:r>
      <w:proofErr w:type="gramEnd"/>
      <w:r w:rsidRPr="00D03D4E">
        <w:t xml:space="preserve"> in accordance with the management regime in force under the </w:t>
      </w:r>
      <w:r w:rsidRPr="00D03D4E">
        <w:rPr>
          <w:i/>
        </w:rPr>
        <w:t>Fisheries Management Act 1991</w:t>
      </w:r>
      <w:r w:rsidRPr="00D03D4E">
        <w:t xml:space="preserve"> and the Fisheries Management Regulations 1992.</w:t>
      </w:r>
    </w:p>
    <w:p w14:paraId="568D18A3" w14:textId="77777777" w:rsidR="00D03D4E" w:rsidRPr="00D03D4E" w:rsidRDefault="00D03D4E" w:rsidP="00D03D4E">
      <w:pPr>
        <w:pStyle w:val="ListNumber2"/>
        <w:numPr>
          <w:ilvl w:val="0"/>
          <w:numId w:val="7"/>
        </w:numPr>
        <w:spacing w:before="240" w:after="240" w:line="240" w:lineRule="auto"/>
      </w:pPr>
      <w:r w:rsidRPr="00D03D4E">
        <w:t xml:space="preserve">The Australian Fisheries Management Authority to inform the Department of the Environment of any intended amendments to Coral Sea Fishery management arrangements that may affect the assessment of the fishery against the criteria on which </w:t>
      </w:r>
      <w:r w:rsidRPr="00D03D4E">
        <w:rPr>
          <w:i/>
        </w:rPr>
        <w:t>Environment Protection and Biodiversity Conservation Act 1999</w:t>
      </w:r>
      <w:r w:rsidRPr="00D03D4E">
        <w:t xml:space="preserve"> decisions are based.</w:t>
      </w:r>
    </w:p>
    <w:p w14:paraId="7DF7027F" w14:textId="77777777" w:rsidR="00D03D4E" w:rsidRPr="00D03D4E" w:rsidRDefault="00D03D4E" w:rsidP="00D03D4E">
      <w:pPr>
        <w:pStyle w:val="ListNumber2"/>
        <w:numPr>
          <w:ilvl w:val="0"/>
          <w:numId w:val="7"/>
        </w:numPr>
        <w:spacing w:before="240" w:after="240" w:line="240" w:lineRule="auto"/>
      </w:pPr>
      <w:r w:rsidRPr="00D03D4E">
        <w:t xml:space="preserve">The Australian Fisheries Management Authority to produce and present reports to the Department of the Environment annually as per Appendix B to the </w:t>
      </w:r>
      <w:r w:rsidRPr="00D03D4E">
        <w:rPr>
          <w:i/>
        </w:rPr>
        <w:t>Guidelines for the Ecologically Sustainable Management of Fisheries - 2nd Edition</w:t>
      </w:r>
      <w:r w:rsidRPr="00D03D4E">
        <w:t>.</w:t>
      </w:r>
    </w:p>
    <w:p w14:paraId="0827C7D0" w14:textId="77777777" w:rsidR="00D03D4E" w:rsidRPr="004A5964" w:rsidRDefault="00D03D4E" w:rsidP="00D03D4E">
      <w:pPr>
        <w:pStyle w:val="ListNumber2"/>
        <w:numPr>
          <w:ilvl w:val="0"/>
          <w:numId w:val="7"/>
        </w:numPr>
        <w:spacing w:before="240" w:after="240" w:line="240" w:lineRule="auto"/>
      </w:pPr>
      <w:r w:rsidRPr="004A5964">
        <w:t>The Australian Fisheries Management Authority to:</w:t>
      </w:r>
    </w:p>
    <w:p w14:paraId="79292BD5" w14:textId="77777777" w:rsidR="00D03D4E" w:rsidRPr="004A5964" w:rsidRDefault="00D03D4E" w:rsidP="00D03D4E">
      <w:pPr>
        <w:pStyle w:val="ListNumber2"/>
        <w:spacing w:before="240" w:after="240" w:line="240" w:lineRule="auto"/>
      </w:pPr>
      <w:r w:rsidRPr="004A5964">
        <w:t xml:space="preserve">evaluate and document the risks to </w:t>
      </w:r>
      <w:proofErr w:type="spellStart"/>
      <w:r w:rsidRPr="004A5964">
        <w:t>humphead</w:t>
      </w:r>
      <w:proofErr w:type="spellEnd"/>
      <w:r w:rsidRPr="004A5964">
        <w:t xml:space="preserve"> Maori wrasse in the Coral Sea Fishery at the reef and sub-reef level</w:t>
      </w:r>
    </w:p>
    <w:p w14:paraId="3B839034" w14:textId="77777777" w:rsidR="00D03D4E" w:rsidRPr="004A5964" w:rsidRDefault="00D03D4E" w:rsidP="00D03D4E">
      <w:pPr>
        <w:pStyle w:val="ListNumber2"/>
        <w:spacing w:before="240" w:after="240" w:line="240" w:lineRule="auto"/>
      </w:pPr>
      <w:r w:rsidRPr="004A5964">
        <w:t>implement additional management measures, as appropriate, to mitigate the risks identified, as agreed with the Australian</w:t>
      </w:r>
      <w:r w:rsidRPr="004A5964" w:rsidDel="000817EF">
        <w:t xml:space="preserve"> </w:t>
      </w:r>
      <w:r w:rsidRPr="004A5964">
        <w:t>Scientific Authority for CITES</w:t>
      </w:r>
      <w:r w:rsidRPr="004A5964">
        <w:rPr>
          <w:vertAlign w:val="superscript"/>
        </w:rPr>
        <w:footnoteReference w:id="1"/>
      </w:r>
      <w:r w:rsidRPr="004A5964">
        <w:t>, and</w:t>
      </w:r>
    </w:p>
    <w:p w14:paraId="17643CD1" w14:textId="18C2B5E5" w:rsidR="004A5964" w:rsidRPr="003E7D60" w:rsidRDefault="00D03D4E" w:rsidP="00112691">
      <w:pPr>
        <w:pStyle w:val="ListNumber2"/>
        <w:spacing w:before="240" w:after="240" w:line="240" w:lineRule="auto"/>
      </w:pPr>
      <w:proofErr w:type="gramStart"/>
      <w:r w:rsidRPr="00D03D4E">
        <w:t>report</w:t>
      </w:r>
      <w:proofErr w:type="gramEnd"/>
      <w:r w:rsidRPr="00D03D4E">
        <w:t xml:space="preserve"> annually on the management and monitoring of </w:t>
      </w:r>
      <w:proofErr w:type="spellStart"/>
      <w:r w:rsidRPr="00D03D4E">
        <w:t>humphead</w:t>
      </w:r>
      <w:proofErr w:type="spellEnd"/>
      <w:r w:rsidRPr="00D03D4E">
        <w:t xml:space="preserve"> Maori wrasse in the fishery to the Australian</w:t>
      </w:r>
      <w:r w:rsidRPr="00D03D4E" w:rsidDel="000817EF">
        <w:t xml:space="preserve"> </w:t>
      </w:r>
      <w:r w:rsidRPr="00D03D4E">
        <w:t>Scientific Authority for CITES, as part of the annual reporting referred to in Condition 3.</w:t>
      </w:r>
    </w:p>
    <w:p w14:paraId="0A8474A1" w14:textId="77777777" w:rsidR="00112691" w:rsidRDefault="00112691" w:rsidP="00D03D4E">
      <w:pPr>
        <w:pStyle w:val="ListNumber2"/>
        <w:numPr>
          <w:ilvl w:val="0"/>
          <w:numId w:val="0"/>
        </w:numPr>
        <w:spacing w:before="240" w:after="240" w:line="240" w:lineRule="auto"/>
        <w:rPr>
          <w:b/>
        </w:rPr>
      </w:pPr>
    </w:p>
    <w:p w14:paraId="1DB560AE" w14:textId="77777777" w:rsidR="00D03D4E" w:rsidRPr="004A5964" w:rsidRDefault="00D03D4E" w:rsidP="00D03D4E">
      <w:pPr>
        <w:pStyle w:val="ListNumber2"/>
        <w:numPr>
          <w:ilvl w:val="0"/>
          <w:numId w:val="0"/>
        </w:numPr>
        <w:spacing w:before="240" w:after="240" w:line="240" w:lineRule="auto"/>
        <w:rPr>
          <w:b/>
        </w:rPr>
      </w:pPr>
      <w:r w:rsidRPr="004A5964">
        <w:rPr>
          <w:b/>
        </w:rPr>
        <w:t>Commonwealth Western Trawl Fisheries</w:t>
      </w:r>
    </w:p>
    <w:p w14:paraId="09A63652" w14:textId="2BB71B0C" w:rsidR="00D03D4E" w:rsidRDefault="00D03D4E" w:rsidP="004A5964">
      <w:pPr>
        <w:pStyle w:val="ListNumber2"/>
        <w:numPr>
          <w:ilvl w:val="0"/>
          <w:numId w:val="0"/>
        </w:numPr>
        <w:spacing w:before="240" w:after="240" w:line="240" w:lineRule="auto"/>
        <w:ind w:left="738" w:hanging="369"/>
      </w:pPr>
      <w:r>
        <w:t>1.</w:t>
      </w:r>
      <w:r>
        <w:tab/>
        <w:t xml:space="preserve">Operation of the North West Slope Trawl Fishery and the Western Deepwater Trawl Fishery </w:t>
      </w:r>
      <w:proofErr w:type="gramStart"/>
      <w:r>
        <w:t>will be carried out</w:t>
      </w:r>
      <w:proofErr w:type="gramEnd"/>
      <w:r>
        <w:t xml:space="preserve"> in accordance with the management regime, in force under the </w:t>
      </w:r>
      <w:r w:rsidRPr="004A5964">
        <w:rPr>
          <w:i/>
        </w:rPr>
        <w:t>Fisheries Management Act 1991</w:t>
      </w:r>
      <w:r>
        <w:t xml:space="preserve"> and the Fisheri</w:t>
      </w:r>
      <w:r w:rsidR="004A5964">
        <w:t>es Management Regulations 1992.</w:t>
      </w:r>
    </w:p>
    <w:p w14:paraId="3E72F638" w14:textId="60D4109B" w:rsidR="00D03D4E" w:rsidRDefault="00D03D4E" w:rsidP="004A5964">
      <w:pPr>
        <w:pStyle w:val="ListNumber2"/>
        <w:numPr>
          <w:ilvl w:val="0"/>
          <w:numId w:val="0"/>
        </w:numPr>
        <w:spacing w:before="240" w:after="240" w:line="240" w:lineRule="auto"/>
        <w:ind w:left="738" w:hanging="369"/>
      </w:pPr>
      <w:r>
        <w:t>2.</w:t>
      </w:r>
      <w:r>
        <w:tab/>
        <w:t xml:space="preserve">The Australian Fisheries Management Authority to advise the Department of Sustainability, Environment, Water, Population and Communities of any intended material change to the legislated management regime and management arrangements of the North West Slope Trawl Fishery and the Western Deepwater Trawl Fishery that could affect the criteria on which </w:t>
      </w:r>
      <w:r w:rsidRPr="004A5964">
        <w:rPr>
          <w:i/>
        </w:rPr>
        <w:t>Environment</w:t>
      </w:r>
      <w:r w:rsidR="00311EA2">
        <w:rPr>
          <w:i/>
        </w:rPr>
        <w:t> </w:t>
      </w:r>
      <w:r w:rsidRPr="004A5964">
        <w:rPr>
          <w:i/>
        </w:rPr>
        <w:t>Protection</w:t>
      </w:r>
      <w:r w:rsidR="00311EA2">
        <w:rPr>
          <w:i/>
        </w:rPr>
        <w:t> </w:t>
      </w:r>
      <w:r w:rsidRPr="004A5964">
        <w:rPr>
          <w:i/>
        </w:rPr>
        <w:t>and</w:t>
      </w:r>
      <w:r w:rsidR="00311EA2">
        <w:rPr>
          <w:i/>
        </w:rPr>
        <w:t> </w:t>
      </w:r>
      <w:r w:rsidRPr="004A5964">
        <w:rPr>
          <w:i/>
        </w:rPr>
        <w:t>Biodiversity</w:t>
      </w:r>
      <w:r w:rsidR="00311EA2">
        <w:rPr>
          <w:i/>
        </w:rPr>
        <w:t> </w:t>
      </w:r>
      <w:r w:rsidRPr="004A5964">
        <w:rPr>
          <w:i/>
        </w:rPr>
        <w:t>Conservatio</w:t>
      </w:r>
      <w:r w:rsidR="004A5964" w:rsidRPr="004A5964">
        <w:rPr>
          <w:i/>
        </w:rPr>
        <w:t>n</w:t>
      </w:r>
      <w:r w:rsidR="00311EA2">
        <w:rPr>
          <w:i/>
        </w:rPr>
        <w:t> </w:t>
      </w:r>
      <w:r w:rsidR="004A5964" w:rsidRPr="004A5964">
        <w:rPr>
          <w:i/>
        </w:rPr>
        <w:t>Act 1999</w:t>
      </w:r>
      <w:r w:rsidR="004A5964">
        <w:t xml:space="preserve"> decisions are based.</w:t>
      </w:r>
    </w:p>
    <w:p w14:paraId="4258BF2F" w14:textId="77777777" w:rsidR="004A5964" w:rsidRDefault="00D03D4E" w:rsidP="004A5964">
      <w:pPr>
        <w:pStyle w:val="ListNumber2"/>
        <w:numPr>
          <w:ilvl w:val="0"/>
          <w:numId w:val="0"/>
        </w:numPr>
        <w:spacing w:before="240" w:after="240" w:line="240" w:lineRule="auto"/>
        <w:ind w:left="738" w:hanging="369"/>
      </w:pPr>
      <w:r>
        <w:t>3.</w:t>
      </w:r>
      <w:r>
        <w:tab/>
        <w:t>The Australian Fisheries Management Authority to produce and present reports to the Department of Sustainability, Environment, Water, Population and Communities annually as per Appendix B of the ‘Guidelines for the Ecologically Sustainable Manageme</w:t>
      </w:r>
      <w:r w:rsidR="004A5964">
        <w:t>nt of Fisheries – 2nd Edition’.</w:t>
      </w:r>
    </w:p>
    <w:p w14:paraId="36D08FDC" w14:textId="61AB3CD2" w:rsidR="00D03D4E" w:rsidRPr="003E7D60" w:rsidRDefault="00D03D4E" w:rsidP="004A5964">
      <w:pPr>
        <w:pStyle w:val="ListNumber2"/>
        <w:numPr>
          <w:ilvl w:val="0"/>
          <w:numId w:val="0"/>
        </w:numPr>
        <w:spacing w:before="240" w:after="240" w:line="240" w:lineRule="auto"/>
        <w:ind w:left="738" w:hanging="369"/>
      </w:pPr>
      <w:proofErr w:type="gramStart"/>
      <w:r>
        <w:t>4.</w:t>
      </w:r>
      <w:r>
        <w:tab/>
        <w:t>Should fishing effort in waters shallower than 200 metres in the north east portion of the North West Slope Trawl Fishery exceed 2011 levels in a given season, the Australian Fisheries Management Authority to review the ecological risk assessment for this fishery to include analysis of the impact of demersal trawling on bottom habitats in this area of the fishery.</w:t>
      </w:r>
      <w:proofErr w:type="gramEnd"/>
    </w:p>
    <w:p w14:paraId="55ED9B1B" w14:textId="77777777" w:rsidR="004A5964" w:rsidRDefault="004A5964">
      <w:pPr>
        <w:spacing w:after="0" w:line="240" w:lineRule="auto"/>
        <w:rPr>
          <w:rFonts w:cs="Arial"/>
          <w:b/>
        </w:rPr>
      </w:pPr>
      <w:r>
        <w:rPr>
          <w:rFonts w:cs="Arial"/>
          <w:b/>
        </w:rPr>
        <w:br w:type="page"/>
      </w:r>
    </w:p>
    <w:p w14:paraId="181F9AA0" w14:textId="3A6BD595" w:rsidR="00D03D4E" w:rsidRPr="004A5964" w:rsidRDefault="00D03D4E" w:rsidP="00D03D4E">
      <w:pPr>
        <w:pStyle w:val="ListNumber2"/>
        <w:numPr>
          <w:ilvl w:val="0"/>
          <w:numId w:val="0"/>
        </w:numPr>
        <w:spacing w:before="240" w:after="240" w:line="240" w:lineRule="auto"/>
        <w:rPr>
          <w:rFonts w:cs="Arial"/>
          <w:b/>
        </w:rPr>
      </w:pPr>
      <w:r w:rsidRPr="004A5964">
        <w:rPr>
          <w:rFonts w:cs="Arial"/>
          <w:b/>
        </w:rPr>
        <w:lastRenderedPageBreak/>
        <w:t>Torres Strait Finfish Fishery</w:t>
      </w:r>
    </w:p>
    <w:p w14:paraId="0181C19A" w14:textId="4AC74A43" w:rsidR="004A5964" w:rsidRPr="00823181" w:rsidRDefault="004A5964" w:rsidP="004A5964">
      <w:pPr>
        <w:numPr>
          <w:ilvl w:val="0"/>
          <w:numId w:val="23"/>
        </w:numPr>
        <w:spacing w:after="120" w:line="240" w:lineRule="auto"/>
      </w:pPr>
      <w:r w:rsidRPr="00823181">
        <w:rPr>
          <w:lang w:val="en-US"/>
        </w:rPr>
        <w:t xml:space="preserve">Operation of the Torres Strait Finfish Fishery will be carried out in accordance with the </w:t>
      </w:r>
      <w:r w:rsidRPr="00981E34">
        <w:rPr>
          <w:lang w:val="en-US"/>
        </w:rPr>
        <w:t>Torres Strait Finfish Fishery Management Plan 2013</w:t>
      </w:r>
      <w:r w:rsidRPr="004510CB">
        <w:rPr>
          <w:lang w:val="en-US"/>
        </w:rPr>
        <w:t xml:space="preserve"> </w:t>
      </w:r>
      <w:r>
        <w:rPr>
          <w:lang w:val="en-US"/>
        </w:rPr>
        <w:t xml:space="preserve">in force under the </w:t>
      </w:r>
      <w:r w:rsidRPr="00823181">
        <w:rPr>
          <w:i/>
          <w:lang w:val="en-US"/>
        </w:rPr>
        <w:t>Torres Strait</w:t>
      </w:r>
      <w:r w:rsidR="00430D44">
        <w:rPr>
          <w:i/>
          <w:lang w:val="en-US"/>
        </w:rPr>
        <w:t> </w:t>
      </w:r>
      <w:r w:rsidRPr="00823181">
        <w:rPr>
          <w:i/>
          <w:lang w:val="en-US"/>
        </w:rPr>
        <w:t>Fisheries Act 1984</w:t>
      </w:r>
      <w:r w:rsidRPr="00823181">
        <w:t>.</w:t>
      </w:r>
    </w:p>
    <w:p w14:paraId="406B5040" w14:textId="54D3E9B7" w:rsidR="004A5964" w:rsidRPr="00823181" w:rsidRDefault="004A5964" w:rsidP="004A5964">
      <w:pPr>
        <w:numPr>
          <w:ilvl w:val="0"/>
          <w:numId w:val="23"/>
        </w:numPr>
        <w:spacing w:after="120" w:line="240" w:lineRule="auto"/>
      </w:pPr>
      <w:r w:rsidRPr="00823181">
        <w:t xml:space="preserve">The Protected Zone Joint Authority to inform the Department of Sustainability, Environment, Water, Population and Communities of any intended amendments to the Torres Strait Finfish Fishery’s management arrangements that may affect the assessment of the fishery against the criteria on which </w:t>
      </w:r>
      <w:r w:rsidRPr="00823181">
        <w:rPr>
          <w:i/>
          <w:iCs/>
        </w:rPr>
        <w:t xml:space="preserve">Environment Protection and Biodiversity Conservation Act 1999 </w:t>
      </w:r>
      <w:r w:rsidRPr="00823181">
        <w:t>decisions are based.</w:t>
      </w:r>
    </w:p>
    <w:p w14:paraId="6FF29132" w14:textId="77777777" w:rsidR="004A5964" w:rsidRPr="00823181" w:rsidRDefault="004A5964" w:rsidP="004A5964">
      <w:pPr>
        <w:numPr>
          <w:ilvl w:val="0"/>
          <w:numId w:val="23"/>
        </w:numPr>
        <w:spacing w:after="120" w:line="240" w:lineRule="auto"/>
      </w:pPr>
      <w:r w:rsidRPr="00823181">
        <w:t xml:space="preserve">The Protected Zone Joint Authority to produce and present reports to the Department of Sustainability, Environment, Water, Population and Communities annually as per Appendix B of the </w:t>
      </w:r>
      <w:r w:rsidRPr="004510CB">
        <w:t>‘Guidelines for the Ecologically Sustainable Management of Fisheries – 2</w:t>
      </w:r>
      <w:r w:rsidRPr="004510CB">
        <w:rPr>
          <w:vertAlign w:val="superscript"/>
        </w:rPr>
        <w:t>nd</w:t>
      </w:r>
      <w:r w:rsidRPr="004510CB">
        <w:t> Edition’</w:t>
      </w:r>
      <w:r w:rsidRPr="00823181">
        <w:t>.</w:t>
      </w:r>
    </w:p>
    <w:p w14:paraId="2D8902A8" w14:textId="77777777" w:rsidR="004A5964" w:rsidRPr="003E7D60" w:rsidRDefault="004A5964" w:rsidP="00D03D4E">
      <w:pPr>
        <w:pStyle w:val="ListNumber2"/>
        <w:numPr>
          <w:ilvl w:val="0"/>
          <w:numId w:val="0"/>
        </w:numPr>
        <w:spacing w:before="240" w:after="240" w:line="240" w:lineRule="auto"/>
      </w:pPr>
    </w:p>
    <w:p w14:paraId="0F7BA9CB" w14:textId="77777777" w:rsidR="00D03D4E" w:rsidRPr="004A5964" w:rsidRDefault="00D03D4E" w:rsidP="00D03D4E">
      <w:pPr>
        <w:pStyle w:val="ListNumber2"/>
        <w:numPr>
          <w:ilvl w:val="0"/>
          <w:numId w:val="0"/>
        </w:numPr>
        <w:spacing w:before="240" w:after="240" w:line="240" w:lineRule="auto"/>
        <w:rPr>
          <w:rFonts w:cs="Arial"/>
          <w:b/>
        </w:rPr>
      </w:pPr>
      <w:r w:rsidRPr="004A5964">
        <w:rPr>
          <w:rFonts w:cs="Arial"/>
          <w:b/>
        </w:rPr>
        <w:t>Torres Strait Prawn Fishery</w:t>
      </w:r>
    </w:p>
    <w:p w14:paraId="47861FEF" w14:textId="28A10BC8" w:rsidR="004A5964" w:rsidRPr="00DF1029" w:rsidRDefault="004A5964" w:rsidP="004A5964">
      <w:pPr>
        <w:numPr>
          <w:ilvl w:val="0"/>
          <w:numId w:val="24"/>
        </w:numPr>
        <w:spacing w:after="120" w:line="240" w:lineRule="auto"/>
      </w:pPr>
      <w:r w:rsidRPr="00281E60">
        <w:t xml:space="preserve">Operation of the fishery </w:t>
      </w:r>
      <w:proofErr w:type="gramStart"/>
      <w:r w:rsidRPr="00281E60">
        <w:t>will be carried out</w:t>
      </w:r>
      <w:proofErr w:type="gramEnd"/>
      <w:r w:rsidRPr="00281E60">
        <w:t xml:space="preserve"> in accordance with the </w:t>
      </w:r>
      <w:r w:rsidRPr="00E1072B">
        <w:t>Torres Strait Prawn Fishery Management Plan 2009 in f</w:t>
      </w:r>
      <w:r w:rsidRPr="00281E60">
        <w:t xml:space="preserve">orce under the </w:t>
      </w:r>
      <w:r w:rsidRPr="000C4EB5">
        <w:rPr>
          <w:i/>
        </w:rPr>
        <w:t>Torres Strait Fisheries Act 1984</w:t>
      </w:r>
      <w:r w:rsidRPr="00281E60">
        <w:t xml:space="preserve"> and the </w:t>
      </w:r>
      <w:r w:rsidRPr="00E1072B">
        <w:t>Torres Strait Fisheries Regulations 1985.</w:t>
      </w:r>
    </w:p>
    <w:p w14:paraId="01E873F4" w14:textId="26D1357C" w:rsidR="004A5964" w:rsidRPr="005176FC" w:rsidRDefault="004A5964" w:rsidP="004A5964">
      <w:pPr>
        <w:numPr>
          <w:ilvl w:val="0"/>
          <w:numId w:val="24"/>
        </w:numPr>
        <w:spacing w:after="120" w:line="240" w:lineRule="auto"/>
      </w:pPr>
      <w:r w:rsidRPr="00DF1029">
        <w:t>The Protected Zone Joint Authority will advise the Department of Sustainability, Environment, Water, Population and Communitie</w:t>
      </w:r>
      <w:r>
        <w:t>s of any intended change to the </w:t>
      </w:r>
      <w:r w:rsidRPr="00DF1029">
        <w:t>Torres Strait Prawn Fishery’s management arr</w:t>
      </w:r>
      <w:r>
        <w:t>angements that could affect the </w:t>
      </w:r>
      <w:r w:rsidRPr="00DF1029">
        <w:t xml:space="preserve">assessment against the criteria on which </w:t>
      </w:r>
      <w:r w:rsidRPr="00B83D43">
        <w:rPr>
          <w:i/>
        </w:rPr>
        <w:t>Environment</w:t>
      </w:r>
      <w:r w:rsidR="00430D44">
        <w:rPr>
          <w:i/>
        </w:rPr>
        <w:t> </w:t>
      </w:r>
      <w:r w:rsidRPr="00B83D43">
        <w:rPr>
          <w:i/>
        </w:rPr>
        <w:t>Protection</w:t>
      </w:r>
      <w:r w:rsidR="00430D44">
        <w:rPr>
          <w:i/>
        </w:rPr>
        <w:t> </w:t>
      </w:r>
      <w:r w:rsidRPr="00B83D43">
        <w:rPr>
          <w:i/>
        </w:rPr>
        <w:t>and</w:t>
      </w:r>
      <w:r w:rsidR="00430D44">
        <w:rPr>
          <w:i/>
        </w:rPr>
        <w:t> </w:t>
      </w:r>
      <w:r w:rsidRPr="00B83D43">
        <w:rPr>
          <w:i/>
        </w:rPr>
        <w:t>Biodiversity</w:t>
      </w:r>
      <w:r w:rsidR="00430D44">
        <w:rPr>
          <w:i/>
        </w:rPr>
        <w:t> </w:t>
      </w:r>
      <w:r w:rsidRPr="00B83D43">
        <w:rPr>
          <w:i/>
        </w:rPr>
        <w:t xml:space="preserve">Conservation Act 1999 </w:t>
      </w:r>
      <w:r w:rsidRPr="00DF1029">
        <w:t xml:space="preserve">decisions </w:t>
      </w:r>
      <w:proofErr w:type="gramStart"/>
      <w:r w:rsidRPr="00DF1029">
        <w:t>are based</w:t>
      </w:r>
      <w:proofErr w:type="gramEnd"/>
      <w:r w:rsidRPr="00DF1029">
        <w:t>.</w:t>
      </w:r>
    </w:p>
    <w:p w14:paraId="4DB5069F" w14:textId="77777777" w:rsidR="004A5964" w:rsidRPr="00E1072B" w:rsidRDefault="004A5964" w:rsidP="004A5964">
      <w:pPr>
        <w:numPr>
          <w:ilvl w:val="0"/>
          <w:numId w:val="24"/>
        </w:numPr>
        <w:spacing w:after="120" w:line="240" w:lineRule="auto"/>
      </w:pPr>
      <w:r w:rsidRPr="000D6D77">
        <w:t>The Protected Zone Joint Authority to pro</w:t>
      </w:r>
      <w:r>
        <w:t>duce and present reports to the </w:t>
      </w:r>
      <w:r w:rsidRPr="000D6D77">
        <w:t>Department of Sustainability, Environment, Water, Population and Commu</w:t>
      </w:r>
      <w:r>
        <w:t>nities annually as per Appendix </w:t>
      </w:r>
      <w:r w:rsidRPr="000D6D77">
        <w:t xml:space="preserve">B to the </w:t>
      </w:r>
      <w:r>
        <w:t>‘</w:t>
      </w:r>
      <w:r w:rsidRPr="00E1072B">
        <w:t>Guidelines for the Ecologically Sustainable Management of Fisheries – 2</w:t>
      </w:r>
      <w:r w:rsidRPr="00E1072B">
        <w:rPr>
          <w:vertAlign w:val="superscript"/>
        </w:rPr>
        <w:t>nd</w:t>
      </w:r>
      <w:r w:rsidRPr="00E1072B">
        <w:t xml:space="preserve"> Edition</w:t>
      </w:r>
      <w:r>
        <w:t>’</w:t>
      </w:r>
      <w:r w:rsidRPr="00E1072B">
        <w:t xml:space="preserve">. </w:t>
      </w:r>
    </w:p>
    <w:p w14:paraId="60B9E1BA" w14:textId="77777777" w:rsidR="004A5964" w:rsidRPr="003E7D60" w:rsidRDefault="004A5964" w:rsidP="00D03D4E">
      <w:pPr>
        <w:pStyle w:val="ListNumber2"/>
        <w:numPr>
          <w:ilvl w:val="0"/>
          <w:numId w:val="0"/>
        </w:numPr>
        <w:spacing w:before="240" w:after="240" w:line="240" w:lineRule="auto"/>
      </w:pPr>
    </w:p>
    <w:p w14:paraId="77870292" w14:textId="162D9708" w:rsidR="00187646" w:rsidRPr="004A5964" w:rsidRDefault="00D03D4E" w:rsidP="00D03D4E">
      <w:pPr>
        <w:tabs>
          <w:tab w:val="left" w:pos="284"/>
        </w:tabs>
        <w:rPr>
          <w:rFonts w:cs="Arial"/>
          <w:b/>
        </w:rPr>
      </w:pPr>
      <w:r w:rsidRPr="004A5964">
        <w:rPr>
          <w:rFonts w:cs="Arial"/>
          <w:b/>
        </w:rPr>
        <w:t>Torres Strait Trochus Fishery</w:t>
      </w:r>
    </w:p>
    <w:p w14:paraId="2D51D329" w14:textId="77777777" w:rsidR="004A5964" w:rsidRPr="00BB73B7" w:rsidRDefault="004A5964" w:rsidP="004A5964">
      <w:pPr>
        <w:pStyle w:val="ListParagraph"/>
        <w:numPr>
          <w:ilvl w:val="0"/>
          <w:numId w:val="25"/>
        </w:numPr>
        <w:tabs>
          <w:tab w:val="clear" w:pos="1440"/>
          <w:tab w:val="num" w:pos="426"/>
        </w:tabs>
        <w:autoSpaceDE w:val="0"/>
        <w:autoSpaceDN w:val="0"/>
        <w:adjustRightInd w:val="0"/>
        <w:spacing w:line="240" w:lineRule="auto"/>
        <w:ind w:left="426" w:hanging="426"/>
        <w:rPr>
          <w:rFonts w:eastAsiaTheme="minorHAnsi" w:cs="Arial"/>
        </w:rPr>
      </w:pPr>
      <w:r w:rsidRPr="00BB73B7">
        <w:rPr>
          <w:rFonts w:eastAsiaTheme="minorHAnsi" w:cs="Arial"/>
        </w:rPr>
        <w:t xml:space="preserve">Operation of the fishery </w:t>
      </w:r>
      <w:proofErr w:type="gramStart"/>
      <w:r w:rsidRPr="00BB73B7">
        <w:rPr>
          <w:rFonts w:eastAsiaTheme="minorHAnsi" w:cs="Arial"/>
        </w:rPr>
        <w:t>will be carried out</w:t>
      </w:r>
      <w:proofErr w:type="gramEnd"/>
      <w:r w:rsidRPr="00BB73B7">
        <w:rPr>
          <w:rFonts w:eastAsiaTheme="minorHAnsi" w:cs="Arial"/>
        </w:rPr>
        <w:t xml:space="preserve"> in accordance with the management regime in force under the </w:t>
      </w:r>
      <w:r w:rsidRPr="001C4F33">
        <w:rPr>
          <w:rFonts w:eastAsiaTheme="minorHAnsi" w:cs="Arial"/>
          <w:i/>
          <w:iCs/>
        </w:rPr>
        <w:t xml:space="preserve">Torres Strait Fisheries Act 1984 </w:t>
      </w:r>
      <w:r w:rsidRPr="00BB73B7">
        <w:rPr>
          <w:rFonts w:eastAsiaTheme="minorHAnsi" w:cs="Arial"/>
        </w:rPr>
        <w:t xml:space="preserve">and the </w:t>
      </w:r>
      <w:r w:rsidRPr="00BB73B7">
        <w:rPr>
          <w:rFonts w:eastAsiaTheme="minorHAnsi" w:cs="Arial"/>
          <w:iCs/>
        </w:rPr>
        <w:t xml:space="preserve">Torres Strait </w:t>
      </w:r>
      <w:r w:rsidRPr="00840A98">
        <w:rPr>
          <w:rFonts w:eastAsiaTheme="minorHAnsi" w:cs="Arial"/>
          <w:iCs/>
        </w:rPr>
        <w:t>Fisheries Regulations 1985</w:t>
      </w:r>
      <w:r w:rsidRPr="00BB73B7">
        <w:rPr>
          <w:rFonts w:eastAsiaTheme="minorHAnsi" w:cs="Arial"/>
        </w:rPr>
        <w:t>.</w:t>
      </w:r>
    </w:p>
    <w:p w14:paraId="371E8690" w14:textId="2E115D3C" w:rsidR="004A5964" w:rsidRPr="00BB73B7" w:rsidRDefault="004A5964" w:rsidP="004A5964">
      <w:pPr>
        <w:pStyle w:val="ListParagraph"/>
        <w:numPr>
          <w:ilvl w:val="0"/>
          <w:numId w:val="25"/>
        </w:numPr>
        <w:tabs>
          <w:tab w:val="clear" w:pos="1440"/>
          <w:tab w:val="num" w:pos="426"/>
        </w:tabs>
        <w:autoSpaceDE w:val="0"/>
        <w:autoSpaceDN w:val="0"/>
        <w:adjustRightInd w:val="0"/>
        <w:spacing w:line="240" w:lineRule="auto"/>
        <w:ind w:left="426" w:hanging="426"/>
        <w:rPr>
          <w:rFonts w:eastAsiaTheme="minorHAnsi" w:cs="Arial"/>
        </w:rPr>
      </w:pPr>
      <w:r w:rsidRPr="00BB73B7">
        <w:rPr>
          <w:rFonts w:eastAsiaTheme="minorHAnsi" w:cs="Arial"/>
        </w:rPr>
        <w:t xml:space="preserve">The </w:t>
      </w:r>
      <w:r w:rsidRPr="00BB73B7">
        <w:rPr>
          <w:rFonts w:cs="Arial"/>
        </w:rPr>
        <w:t xml:space="preserve">Protected Zone Joint Authority </w:t>
      </w:r>
      <w:r w:rsidRPr="00BB73B7">
        <w:rPr>
          <w:rFonts w:eastAsiaTheme="minorHAnsi" w:cs="Arial"/>
        </w:rPr>
        <w:t xml:space="preserve">to inform the Department of Sustainability, Environment, Water, Population and Communities of any intended amendments to the Torres Strait </w:t>
      </w:r>
      <w:r>
        <w:rPr>
          <w:rFonts w:eastAsiaTheme="minorHAnsi" w:cs="Arial"/>
        </w:rPr>
        <w:t>Trochus</w:t>
      </w:r>
      <w:r w:rsidRPr="00BB73B7">
        <w:rPr>
          <w:rFonts w:eastAsiaTheme="minorHAnsi" w:cs="Arial"/>
        </w:rPr>
        <w:t xml:space="preserve"> Fishery management arrangements that may affect the assessment of the fishery against the criteria on which </w:t>
      </w:r>
      <w:r w:rsidRPr="00BB73B7">
        <w:rPr>
          <w:rFonts w:eastAsiaTheme="minorHAnsi" w:cs="Arial"/>
          <w:i/>
          <w:iCs/>
        </w:rPr>
        <w:t>Environment Protection</w:t>
      </w:r>
      <w:r w:rsidR="00311EA2">
        <w:rPr>
          <w:rFonts w:eastAsiaTheme="minorHAnsi" w:cs="Arial"/>
          <w:i/>
          <w:iCs/>
        </w:rPr>
        <w:t> </w:t>
      </w:r>
      <w:r w:rsidRPr="00BB73B7">
        <w:rPr>
          <w:rFonts w:eastAsiaTheme="minorHAnsi" w:cs="Arial"/>
          <w:i/>
          <w:iCs/>
        </w:rPr>
        <w:t>and</w:t>
      </w:r>
      <w:r w:rsidR="00311EA2">
        <w:rPr>
          <w:rFonts w:eastAsiaTheme="minorHAnsi" w:cs="Arial"/>
          <w:i/>
          <w:iCs/>
        </w:rPr>
        <w:t> </w:t>
      </w:r>
      <w:r w:rsidRPr="00BB73B7">
        <w:rPr>
          <w:rFonts w:eastAsiaTheme="minorHAnsi" w:cs="Arial"/>
          <w:i/>
          <w:iCs/>
        </w:rPr>
        <w:t>Biodiversity</w:t>
      </w:r>
      <w:r w:rsidR="00311EA2">
        <w:rPr>
          <w:rFonts w:eastAsiaTheme="minorHAnsi" w:cs="Arial"/>
          <w:i/>
          <w:iCs/>
        </w:rPr>
        <w:t> </w:t>
      </w:r>
      <w:r w:rsidRPr="00BB73B7">
        <w:rPr>
          <w:rFonts w:eastAsiaTheme="minorHAnsi" w:cs="Arial"/>
          <w:i/>
          <w:iCs/>
        </w:rPr>
        <w:t>Conservation</w:t>
      </w:r>
      <w:r w:rsidR="00311EA2">
        <w:rPr>
          <w:rFonts w:eastAsiaTheme="minorHAnsi" w:cs="Arial"/>
          <w:i/>
          <w:iCs/>
        </w:rPr>
        <w:t> </w:t>
      </w:r>
      <w:r w:rsidRPr="00BB73B7">
        <w:rPr>
          <w:rFonts w:eastAsiaTheme="minorHAnsi" w:cs="Arial"/>
          <w:i/>
          <w:iCs/>
        </w:rPr>
        <w:t>Act</w:t>
      </w:r>
      <w:r w:rsidR="00311EA2">
        <w:rPr>
          <w:rFonts w:eastAsiaTheme="minorHAnsi" w:cs="Arial"/>
          <w:i/>
          <w:iCs/>
        </w:rPr>
        <w:t> </w:t>
      </w:r>
      <w:r w:rsidRPr="00BB73B7">
        <w:rPr>
          <w:rFonts w:eastAsiaTheme="minorHAnsi" w:cs="Arial"/>
          <w:i/>
          <w:iCs/>
        </w:rPr>
        <w:t xml:space="preserve">1999 </w:t>
      </w:r>
      <w:r w:rsidRPr="00BB73B7">
        <w:rPr>
          <w:rFonts w:eastAsiaTheme="minorHAnsi" w:cs="Arial"/>
        </w:rPr>
        <w:t xml:space="preserve">decisions are based. </w:t>
      </w:r>
    </w:p>
    <w:p w14:paraId="0D5828C9" w14:textId="59017EB7" w:rsidR="00D03D4E" w:rsidRPr="004A5964" w:rsidRDefault="004A5964" w:rsidP="004A5964">
      <w:pPr>
        <w:pStyle w:val="ListParagraph"/>
        <w:numPr>
          <w:ilvl w:val="0"/>
          <w:numId w:val="25"/>
        </w:numPr>
        <w:tabs>
          <w:tab w:val="clear" w:pos="1440"/>
          <w:tab w:val="num" w:pos="426"/>
        </w:tabs>
        <w:autoSpaceDE w:val="0"/>
        <w:autoSpaceDN w:val="0"/>
        <w:adjustRightInd w:val="0"/>
        <w:spacing w:line="240" w:lineRule="auto"/>
        <w:ind w:left="426" w:hanging="426"/>
        <w:rPr>
          <w:rFonts w:eastAsiaTheme="minorHAnsi" w:cs="Arial"/>
        </w:rPr>
      </w:pPr>
      <w:r w:rsidRPr="00BB73B7">
        <w:rPr>
          <w:rFonts w:eastAsiaTheme="minorHAnsi" w:cs="Arial"/>
        </w:rPr>
        <w:t xml:space="preserve">The </w:t>
      </w:r>
      <w:r w:rsidRPr="00BB73B7">
        <w:rPr>
          <w:rFonts w:cs="Arial"/>
        </w:rPr>
        <w:t xml:space="preserve">Protected Zone Joint Authority </w:t>
      </w:r>
      <w:r w:rsidRPr="00BB73B7">
        <w:rPr>
          <w:rFonts w:eastAsiaTheme="minorHAnsi" w:cs="Arial"/>
        </w:rPr>
        <w:t xml:space="preserve">to produce and present reports to the Department of Sustainability, Environment, Water, Population and Communities annually as per Appendix B to the </w:t>
      </w:r>
      <w:r>
        <w:rPr>
          <w:rFonts w:eastAsiaTheme="minorHAnsi" w:cs="Arial"/>
        </w:rPr>
        <w:t>‘</w:t>
      </w:r>
      <w:r w:rsidRPr="00840A98">
        <w:rPr>
          <w:rFonts w:eastAsiaTheme="minorHAnsi" w:cs="Arial"/>
          <w:iCs/>
        </w:rPr>
        <w:t>Guidelines for the Ecologically Sustainable Management of Fisheries - 2</w:t>
      </w:r>
      <w:r w:rsidRPr="000938E2">
        <w:rPr>
          <w:rFonts w:eastAsiaTheme="minorHAnsi" w:cs="Arial"/>
          <w:iCs/>
        </w:rPr>
        <w:t>nd</w:t>
      </w:r>
      <w:r w:rsidRPr="00840A98">
        <w:rPr>
          <w:rFonts w:eastAsiaTheme="minorHAnsi" w:cs="Arial"/>
          <w:iCs/>
        </w:rPr>
        <w:t xml:space="preserve"> Edition</w:t>
      </w:r>
      <w:r>
        <w:rPr>
          <w:rFonts w:eastAsiaTheme="minorHAnsi" w:cs="Arial"/>
          <w:iCs/>
        </w:rPr>
        <w:t>’</w:t>
      </w:r>
      <w:r w:rsidRPr="00BB73B7">
        <w:rPr>
          <w:rFonts w:eastAsiaTheme="minorHAnsi" w:cs="Arial"/>
          <w:i/>
          <w:iCs/>
        </w:rPr>
        <w:t>.</w:t>
      </w:r>
    </w:p>
    <w:sectPr w:rsidR="00D03D4E" w:rsidRPr="004A5964" w:rsidSect="005A0247">
      <w:headerReference w:type="first" r:id="rId7"/>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8B7F4" w14:textId="77777777" w:rsidR="00222947" w:rsidRDefault="00222947" w:rsidP="00A60185">
      <w:pPr>
        <w:spacing w:after="0" w:line="240" w:lineRule="auto"/>
      </w:pPr>
      <w:r>
        <w:separator/>
      </w:r>
    </w:p>
  </w:endnote>
  <w:endnote w:type="continuationSeparator" w:id="0">
    <w:p w14:paraId="0A854BE3" w14:textId="77777777" w:rsidR="00222947" w:rsidRDefault="00222947"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35E9E" w14:textId="77777777" w:rsidR="00222947" w:rsidRDefault="00222947" w:rsidP="00A60185">
      <w:pPr>
        <w:spacing w:after="0" w:line="240" w:lineRule="auto"/>
      </w:pPr>
      <w:r>
        <w:separator/>
      </w:r>
    </w:p>
  </w:footnote>
  <w:footnote w:type="continuationSeparator" w:id="0">
    <w:p w14:paraId="21B31647" w14:textId="77777777" w:rsidR="00222947" w:rsidRDefault="00222947" w:rsidP="00A60185">
      <w:pPr>
        <w:spacing w:after="0" w:line="240" w:lineRule="auto"/>
      </w:pPr>
      <w:r>
        <w:continuationSeparator/>
      </w:r>
    </w:p>
  </w:footnote>
  <w:footnote w:id="1">
    <w:p w14:paraId="4A3E2267" w14:textId="77777777" w:rsidR="00D03D4E" w:rsidRDefault="00D03D4E" w:rsidP="00D03D4E">
      <w:pPr>
        <w:pStyle w:val="FootnoteText"/>
      </w:pPr>
      <w:r>
        <w:rPr>
          <w:rStyle w:val="FootnoteReference"/>
        </w:rPr>
        <w:footnoteRef/>
      </w:r>
      <w:r>
        <w:t xml:space="preserve"> </w:t>
      </w:r>
      <w:r>
        <w:rPr>
          <w:rFonts w:cs="Arial"/>
        </w:rPr>
        <w:t xml:space="preserve">Convention on International Trade in Endangered </w:t>
      </w:r>
      <w:r w:rsidRPr="001D041B">
        <w:rPr>
          <w:rFonts w:cs="Arial"/>
        </w:rPr>
        <w:t xml:space="preserve">Species of </w:t>
      </w:r>
      <w:r>
        <w:rPr>
          <w:rFonts w:cs="Arial"/>
        </w:rPr>
        <w:t xml:space="preserve">Wild </w:t>
      </w:r>
      <w:r w:rsidRPr="001D041B">
        <w:rPr>
          <w:rFonts w:cs="Arial"/>
        </w:rPr>
        <w:t>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A549" w14:textId="77777777" w:rsidR="00653288" w:rsidRDefault="00653288" w:rsidP="003B762A">
    <w:pPr>
      <w:pStyle w:val="Header"/>
      <w:jc w:val="left"/>
    </w:pPr>
    <w:r w:rsidRPr="003B762A">
      <w:rPr>
        <w:noProof/>
        <w:lang w:eastAsia="en-AU"/>
      </w:rPr>
      <w:drawing>
        <wp:inline distT="0" distB="0" distL="0" distR="0" wp14:anchorId="477AA54A" wp14:editId="477AA54B">
          <wp:extent cx="3172888" cy="540000"/>
          <wp:effectExtent l="19050" t="0" r="8462"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tretch>
                    <a:fillRect/>
                  </a:stretch>
                </pic:blipFill>
                <pic:spPr bwMode="auto">
                  <a:xfrm>
                    <a:off x="0" y="0"/>
                    <a:ext cx="3172888" cy="540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BE41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1DE1C71"/>
    <w:multiLevelType w:val="hybridMultilevel"/>
    <w:tmpl w:val="C2C0C4D8"/>
    <w:lvl w:ilvl="0" w:tplc="0C09000F">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CE23B5"/>
    <w:multiLevelType w:val="multilevel"/>
    <w:tmpl w:val="3E906BF2"/>
    <w:lvl w:ilvl="0">
      <w:start w:val="1"/>
      <w:numFmt w:val="decimal"/>
      <w:lvlText w:val="%1."/>
      <w:lvlJc w:val="left"/>
      <w:pPr>
        <w:ind w:left="1107" w:hanging="369"/>
      </w:pPr>
      <w:rPr>
        <w:rFonts w:hint="default"/>
      </w:rPr>
    </w:lvl>
    <w:lvl w:ilvl="1">
      <w:start w:val="1"/>
      <w:numFmt w:val="none"/>
      <w:lvlText w:val="-"/>
      <w:lvlJc w:val="left"/>
      <w:pPr>
        <w:ind w:left="1475" w:hanging="368"/>
      </w:pPr>
      <w:rPr>
        <w:rFonts w:hint="default"/>
      </w:rPr>
    </w:lvl>
    <w:lvl w:ilvl="2">
      <w:start w:val="1"/>
      <w:numFmt w:val="none"/>
      <w:lvlText w:val=":"/>
      <w:lvlJc w:val="left"/>
      <w:pPr>
        <w:ind w:left="1844" w:hanging="369"/>
      </w:pPr>
      <w:rPr>
        <w:rFonts w:hint="default"/>
      </w:rPr>
    </w:lvl>
    <w:lvl w:ilvl="3">
      <w:start w:val="1"/>
      <w:numFmt w:val="none"/>
      <w:lvlText w:val=""/>
      <w:lvlJc w:val="left"/>
      <w:pPr>
        <w:ind w:left="2212" w:hanging="368"/>
      </w:pPr>
      <w:rPr>
        <w:rFonts w:hint="default"/>
        <w:color w:val="auto"/>
      </w:rPr>
    </w:lvl>
    <w:lvl w:ilvl="4">
      <w:start w:val="1"/>
      <w:numFmt w:val="none"/>
      <w:lvlText w:val=""/>
      <w:lvlJc w:val="left"/>
      <w:pPr>
        <w:ind w:left="2538" w:hanging="360"/>
      </w:pPr>
      <w:rPr>
        <w:rFonts w:hint="default"/>
        <w:color w:val="auto"/>
      </w:rPr>
    </w:lvl>
    <w:lvl w:ilvl="5">
      <w:start w:val="1"/>
      <w:numFmt w:val="none"/>
      <w:lvlText w:val=""/>
      <w:lvlJc w:val="left"/>
      <w:pPr>
        <w:ind w:left="2898" w:hanging="360"/>
      </w:pPr>
      <w:rPr>
        <w:rFonts w:hint="default"/>
        <w:color w:val="auto"/>
      </w:rPr>
    </w:lvl>
    <w:lvl w:ilvl="6">
      <w:start w:val="1"/>
      <w:numFmt w:val="none"/>
      <w:lvlText w:val=""/>
      <w:lvlJc w:val="left"/>
      <w:pPr>
        <w:ind w:left="3258" w:hanging="360"/>
      </w:pPr>
      <w:rPr>
        <w:rFonts w:hint="default"/>
        <w:color w:val="auto"/>
      </w:rPr>
    </w:lvl>
    <w:lvl w:ilvl="7">
      <w:start w:val="1"/>
      <w:numFmt w:val="none"/>
      <w:lvlText w:val=""/>
      <w:lvlJc w:val="left"/>
      <w:pPr>
        <w:ind w:left="3618" w:hanging="360"/>
      </w:pPr>
      <w:rPr>
        <w:rFonts w:hint="default"/>
        <w:color w:val="auto"/>
      </w:rPr>
    </w:lvl>
    <w:lvl w:ilvl="8">
      <w:start w:val="1"/>
      <w:numFmt w:val="none"/>
      <w:lvlText w:val=""/>
      <w:lvlJc w:val="left"/>
      <w:pPr>
        <w:ind w:left="3978" w:hanging="360"/>
      </w:pPr>
      <w:rPr>
        <w:rFonts w:hint="default"/>
        <w:color w:val="auto"/>
      </w:rPr>
    </w:lvl>
  </w:abstractNum>
  <w:abstractNum w:abstractNumId="4" w15:restartNumberingAfterBreak="0">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5" w15:restartNumberingAfterBreak="0">
    <w:nsid w:val="1AAF5C19"/>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F745BC2"/>
    <w:multiLevelType w:val="multilevel"/>
    <w:tmpl w:val="E5E89F92"/>
    <w:numStyleLink w:val="BulletList"/>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8"/>
  </w:num>
  <w:num w:numId="2">
    <w:abstractNumId w:val="1"/>
  </w:num>
  <w:num w:numId="3">
    <w:abstractNumId w:val="16"/>
  </w:num>
  <w:num w:numId="4">
    <w:abstractNumId w:val="15"/>
  </w:num>
  <w:num w:numId="5">
    <w:abstractNumId w:val="9"/>
  </w:num>
  <w:num w:numId="6">
    <w:abstractNumId w:val="8"/>
  </w:num>
  <w:num w:numId="7">
    <w:abstractNumId w:val="14"/>
  </w:num>
  <w:num w:numId="8">
    <w:abstractNumId w:val="7"/>
  </w:num>
  <w:num w:numId="9">
    <w:abstractNumId w:val="6"/>
  </w:num>
  <w:num w:numId="10">
    <w:abstractNumId w:val="1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3"/>
  </w:num>
  <w:num w:numId="18">
    <w:abstractNumId w:val="12"/>
  </w:num>
  <w:num w:numId="19">
    <w:abstractNumId w:val="10"/>
  </w:num>
  <w:num w:numId="20">
    <w:abstractNumId w:val="4"/>
  </w:num>
  <w:num w:numId="21">
    <w:abstractNumId w:val="3"/>
  </w:num>
  <w:num w:numId="22">
    <w:abstractNumId w:val="0"/>
  </w:num>
  <w:num w:numId="23">
    <w:abstractNumId w:val="11"/>
  </w:num>
  <w:num w:numId="24">
    <w:abstractNumId w:val="5"/>
  </w:num>
  <w:num w:numId="2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activeWritingStyle w:appName="MSWord" w:lang="en-AU" w:vendorID="64" w:dllVersion="131078" w:nlCheck="1" w:checkStyle="0"/>
  <w:activeWritingStyle w:appName="MSWord" w:lang="en-US" w:vendorID="64" w:dllVersion="131078" w:nlCheck="1" w:checkStyle="1"/>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DC9"/>
    <w:rsid w:val="00004AEE"/>
    <w:rsid w:val="00005CAA"/>
    <w:rsid w:val="00010210"/>
    <w:rsid w:val="00014060"/>
    <w:rsid w:val="00015ADA"/>
    <w:rsid w:val="00017BB8"/>
    <w:rsid w:val="00020C99"/>
    <w:rsid w:val="00022DFE"/>
    <w:rsid w:val="000260F8"/>
    <w:rsid w:val="0002707B"/>
    <w:rsid w:val="00031219"/>
    <w:rsid w:val="0005148E"/>
    <w:rsid w:val="0005270A"/>
    <w:rsid w:val="00053EAC"/>
    <w:rsid w:val="0006256F"/>
    <w:rsid w:val="00063AF2"/>
    <w:rsid w:val="000642C0"/>
    <w:rsid w:val="00065D2B"/>
    <w:rsid w:val="000750FB"/>
    <w:rsid w:val="000759E5"/>
    <w:rsid w:val="00080A47"/>
    <w:rsid w:val="0008410F"/>
    <w:rsid w:val="00084AC6"/>
    <w:rsid w:val="00085C49"/>
    <w:rsid w:val="00087B76"/>
    <w:rsid w:val="00091608"/>
    <w:rsid w:val="0009257B"/>
    <w:rsid w:val="0009333C"/>
    <w:rsid w:val="0009704F"/>
    <w:rsid w:val="000A0F11"/>
    <w:rsid w:val="000A125A"/>
    <w:rsid w:val="000A1716"/>
    <w:rsid w:val="000A1D37"/>
    <w:rsid w:val="000A57CD"/>
    <w:rsid w:val="000B3758"/>
    <w:rsid w:val="000B7681"/>
    <w:rsid w:val="000B7B42"/>
    <w:rsid w:val="000C02B7"/>
    <w:rsid w:val="000C1130"/>
    <w:rsid w:val="000C45A3"/>
    <w:rsid w:val="000C5342"/>
    <w:rsid w:val="000C5DFC"/>
    <w:rsid w:val="000C63ED"/>
    <w:rsid w:val="000C706A"/>
    <w:rsid w:val="000D2887"/>
    <w:rsid w:val="000D2D48"/>
    <w:rsid w:val="000D61D0"/>
    <w:rsid w:val="000D6D63"/>
    <w:rsid w:val="000E0081"/>
    <w:rsid w:val="000E0121"/>
    <w:rsid w:val="000E07CF"/>
    <w:rsid w:val="000E0B31"/>
    <w:rsid w:val="001021CE"/>
    <w:rsid w:val="00106158"/>
    <w:rsid w:val="00112691"/>
    <w:rsid w:val="0011498E"/>
    <w:rsid w:val="00115BF1"/>
    <w:rsid w:val="00117A45"/>
    <w:rsid w:val="00121716"/>
    <w:rsid w:val="001219EE"/>
    <w:rsid w:val="001224AE"/>
    <w:rsid w:val="00125138"/>
    <w:rsid w:val="001337D4"/>
    <w:rsid w:val="00135151"/>
    <w:rsid w:val="001369E3"/>
    <w:rsid w:val="00143480"/>
    <w:rsid w:val="00147C12"/>
    <w:rsid w:val="0015048C"/>
    <w:rsid w:val="001527A1"/>
    <w:rsid w:val="001530DC"/>
    <w:rsid w:val="00154989"/>
    <w:rsid w:val="00155A9F"/>
    <w:rsid w:val="00160262"/>
    <w:rsid w:val="00161C46"/>
    <w:rsid w:val="0016616A"/>
    <w:rsid w:val="0016780A"/>
    <w:rsid w:val="00173EBF"/>
    <w:rsid w:val="0018112F"/>
    <w:rsid w:val="001842A2"/>
    <w:rsid w:val="00187646"/>
    <w:rsid w:val="00187FA8"/>
    <w:rsid w:val="00191C5D"/>
    <w:rsid w:val="00192F5E"/>
    <w:rsid w:val="00197772"/>
    <w:rsid w:val="001A51C8"/>
    <w:rsid w:val="001A76BB"/>
    <w:rsid w:val="001B4CA8"/>
    <w:rsid w:val="001C1D95"/>
    <w:rsid w:val="001C2208"/>
    <w:rsid w:val="001C4F3D"/>
    <w:rsid w:val="001D0CDC"/>
    <w:rsid w:val="001D1B03"/>
    <w:rsid w:val="001D1D82"/>
    <w:rsid w:val="001D510A"/>
    <w:rsid w:val="001E0274"/>
    <w:rsid w:val="001E1182"/>
    <w:rsid w:val="001E1CE4"/>
    <w:rsid w:val="001E25B3"/>
    <w:rsid w:val="001F30B7"/>
    <w:rsid w:val="001F4075"/>
    <w:rsid w:val="00202955"/>
    <w:rsid w:val="00202C90"/>
    <w:rsid w:val="00210C0C"/>
    <w:rsid w:val="00212E75"/>
    <w:rsid w:val="00212EE3"/>
    <w:rsid w:val="002133EA"/>
    <w:rsid w:val="00213DE8"/>
    <w:rsid w:val="00214B4E"/>
    <w:rsid w:val="00216118"/>
    <w:rsid w:val="002209AB"/>
    <w:rsid w:val="00220CA5"/>
    <w:rsid w:val="00222916"/>
    <w:rsid w:val="00222947"/>
    <w:rsid w:val="00224D4E"/>
    <w:rsid w:val="002251E3"/>
    <w:rsid w:val="00227A95"/>
    <w:rsid w:val="00244912"/>
    <w:rsid w:val="002473FC"/>
    <w:rsid w:val="00252E3C"/>
    <w:rsid w:val="00261931"/>
    <w:rsid w:val="00261EFE"/>
    <w:rsid w:val="00262198"/>
    <w:rsid w:val="00273850"/>
    <w:rsid w:val="00285F1B"/>
    <w:rsid w:val="00290F9A"/>
    <w:rsid w:val="00291DFD"/>
    <w:rsid w:val="00292B81"/>
    <w:rsid w:val="0029319C"/>
    <w:rsid w:val="002A0080"/>
    <w:rsid w:val="002A11A4"/>
    <w:rsid w:val="002A3268"/>
    <w:rsid w:val="002B0757"/>
    <w:rsid w:val="002B18AE"/>
    <w:rsid w:val="002B3674"/>
    <w:rsid w:val="002B7E18"/>
    <w:rsid w:val="002C1C93"/>
    <w:rsid w:val="002C2FB1"/>
    <w:rsid w:val="002C4C4A"/>
    <w:rsid w:val="002C5066"/>
    <w:rsid w:val="002D022C"/>
    <w:rsid w:val="002D419A"/>
    <w:rsid w:val="002D4AAC"/>
    <w:rsid w:val="002E3117"/>
    <w:rsid w:val="002E3BAF"/>
    <w:rsid w:val="002E5D24"/>
    <w:rsid w:val="002F045A"/>
    <w:rsid w:val="002F18F8"/>
    <w:rsid w:val="002F23D0"/>
    <w:rsid w:val="0030039D"/>
    <w:rsid w:val="0030171F"/>
    <w:rsid w:val="00302B2F"/>
    <w:rsid w:val="0030326F"/>
    <w:rsid w:val="00310701"/>
    <w:rsid w:val="00311EA2"/>
    <w:rsid w:val="003124D2"/>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0D93"/>
    <w:rsid w:val="00365147"/>
    <w:rsid w:val="0037016E"/>
    <w:rsid w:val="00372908"/>
    <w:rsid w:val="00373E29"/>
    <w:rsid w:val="003764B0"/>
    <w:rsid w:val="00377900"/>
    <w:rsid w:val="00383020"/>
    <w:rsid w:val="00385BF6"/>
    <w:rsid w:val="00392049"/>
    <w:rsid w:val="003939C4"/>
    <w:rsid w:val="00394E52"/>
    <w:rsid w:val="003968BA"/>
    <w:rsid w:val="00396D6E"/>
    <w:rsid w:val="00397570"/>
    <w:rsid w:val="003975FD"/>
    <w:rsid w:val="003A0F88"/>
    <w:rsid w:val="003B3A78"/>
    <w:rsid w:val="003B6068"/>
    <w:rsid w:val="003B60CC"/>
    <w:rsid w:val="003B6EE4"/>
    <w:rsid w:val="003B762A"/>
    <w:rsid w:val="003C09B7"/>
    <w:rsid w:val="003C0B60"/>
    <w:rsid w:val="003C2443"/>
    <w:rsid w:val="003C5DA3"/>
    <w:rsid w:val="003D210B"/>
    <w:rsid w:val="003D4A14"/>
    <w:rsid w:val="003D4BCD"/>
    <w:rsid w:val="003D5140"/>
    <w:rsid w:val="003E2100"/>
    <w:rsid w:val="003E22D4"/>
    <w:rsid w:val="003F6F5B"/>
    <w:rsid w:val="004019EE"/>
    <w:rsid w:val="0040342D"/>
    <w:rsid w:val="0041192D"/>
    <w:rsid w:val="00413D8E"/>
    <w:rsid w:val="00413EE1"/>
    <w:rsid w:val="0042128E"/>
    <w:rsid w:val="00421FEC"/>
    <w:rsid w:val="00423277"/>
    <w:rsid w:val="00430252"/>
    <w:rsid w:val="00430D44"/>
    <w:rsid w:val="00432B60"/>
    <w:rsid w:val="00434A49"/>
    <w:rsid w:val="0043776F"/>
    <w:rsid w:val="00440698"/>
    <w:rsid w:val="0045217C"/>
    <w:rsid w:val="004540E2"/>
    <w:rsid w:val="00455A78"/>
    <w:rsid w:val="0046116B"/>
    <w:rsid w:val="0046173C"/>
    <w:rsid w:val="004619D3"/>
    <w:rsid w:val="00464930"/>
    <w:rsid w:val="00465B32"/>
    <w:rsid w:val="0047085E"/>
    <w:rsid w:val="004712A5"/>
    <w:rsid w:val="0047266F"/>
    <w:rsid w:val="00476D6B"/>
    <w:rsid w:val="0048578B"/>
    <w:rsid w:val="00485FF0"/>
    <w:rsid w:val="00490053"/>
    <w:rsid w:val="0049225E"/>
    <w:rsid w:val="00492C16"/>
    <w:rsid w:val="00494ACA"/>
    <w:rsid w:val="00496BE5"/>
    <w:rsid w:val="004A0678"/>
    <w:rsid w:val="004A12CC"/>
    <w:rsid w:val="004A4393"/>
    <w:rsid w:val="004A48A3"/>
    <w:rsid w:val="004A5964"/>
    <w:rsid w:val="004A6F22"/>
    <w:rsid w:val="004B0D92"/>
    <w:rsid w:val="004B0EC0"/>
    <w:rsid w:val="004B2D0D"/>
    <w:rsid w:val="004B4500"/>
    <w:rsid w:val="004B66F1"/>
    <w:rsid w:val="004B7CBA"/>
    <w:rsid w:val="004C3EA0"/>
    <w:rsid w:val="004C4A81"/>
    <w:rsid w:val="004D3D4E"/>
    <w:rsid w:val="004E32FC"/>
    <w:rsid w:val="004E6E20"/>
    <w:rsid w:val="004F09E1"/>
    <w:rsid w:val="004F60AC"/>
    <w:rsid w:val="004F7169"/>
    <w:rsid w:val="00500D66"/>
    <w:rsid w:val="00506854"/>
    <w:rsid w:val="00514C8E"/>
    <w:rsid w:val="00525EF4"/>
    <w:rsid w:val="00526021"/>
    <w:rsid w:val="0052681E"/>
    <w:rsid w:val="00527851"/>
    <w:rsid w:val="00531DBF"/>
    <w:rsid w:val="00534D72"/>
    <w:rsid w:val="00535D49"/>
    <w:rsid w:val="00537E1E"/>
    <w:rsid w:val="00541DAF"/>
    <w:rsid w:val="00545759"/>
    <w:rsid w:val="00545BE0"/>
    <w:rsid w:val="0055072D"/>
    <w:rsid w:val="00551573"/>
    <w:rsid w:val="005531C9"/>
    <w:rsid w:val="00554289"/>
    <w:rsid w:val="00562E85"/>
    <w:rsid w:val="0056332F"/>
    <w:rsid w:val="00566906"/>
    <w:rsid w:val="005675AE"/>
    <w:rsid w:val="00574B36"/>
    <w:rsid w:val="00574FB6"/>
    <w:rsid w:val="00581C39"/>
    <w:rsid w:val="005833A9"/>
    <w:rsid w:val="00584C12"/>
    <w:rsid w:val="00585198"/>
    <w:rsid w:val="005865F0"/>
    <w:rsid w:val="00586CB3"/>
    <w:rsid w:val="005903B6"/>
    <w:rsid w:val="005931E7"/>
    <w:rsid w:val="005A0247"/>
    <w:rsid w:val="005A231B"/>
    <w:rsid w:val="005B140D"/>
    <w:rsid w:val="005B588D"/>
    <w:rsid w:val="005C1FEA"/>
    <w:rsid w:val="005C2672"/>
    <w:rsid w:val="005C3495"/>
    <w:rsid w:val="005D3AAE"/>
    <w:rsid w:val="005E35DC"/>
    <w:rsid w:val="005E3DFC"/>
    <w:rsid w:val="005E5D52"/>
    <w:rsid w:val="005E60AF"/>
    <w:rsid w:val="005E6EF6"/>
    <w:rsid w:val="005F1DEA"/>
    <w:rsid w:val="0060462F"/>
    <w:rsid w:val="0060602D"/>
    <w:rsid w:val="00607FC9"/>
    <w:rsid w:val="0061002D"/>
    <w:rsid w:val="00616A35"/>
    <w:rsid w:val="00622FE1"/>
    <w:rsid w:val="0062521C"/>
    <w:rsid w:val="006254CC"/>
    <w:rsid w:val="00630A2B"/>
    <w:rsid w:val="00632DC7"/>
    <w:rsid w:val="006357FB"/>
    <w:rsid w:val="00635C5E"/>
    <w:rsid w:val="00637981"/>
    <w:rsid w:val="006406FC"/>
    <w:rsid w:val="00643B47"/>
    <w:rsid w:val="00645CB8"/>
    <w:rsid w:val="00651483"/>
    <w:rsid w:val="006529F3"/>
    <w:rsid w:val="00653288"/>
    <w:rsid w:val="00653B6D"/>
    <w:rsid w:val="00653E16"/>
    <w:rsid w:val="00653F7B"/>
    <w:rsid w:val="00657220"/>
    <w:rsid w:val="0066093E"/>
    <w:rsid w:val="0066104B"/>
    <w:rsid w:val="00664F14"/>
    <w:rsid w:val="006655EE"/>
    <w:rsid w:val="00667C10"/>
    <w:rsid w:val="00667EF4"/>
    <w:rsid w:val="00674550"/>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A13"/>
    <w:rsid w:val="00710D09"/>
    <w:rsid w:val="007115AF"/>
    <w:rsid w:val="00713433"/>
    <w:rsid w:val="00713FA2"/>
    <w:rsid w:val="00716663"/>
    <w:rsid w:val="007167C0"/>
    <w:rsid w:val="00720481"/>
    <w:rsid w:val="0072055C"/>
    <w:rsid w:val="00720E46"/>
    <w:rsid w:val="00721704"/>
    <w:rsid w:val="0073057B"/>
    <w:rsid w:val="00733193"/>
    <w:rsid w:val="00742DA9"/>
    <w:rsid w:val="00744429"/>
    <w:rsid w:val="007470BF"/>
    <w:rsid w:val="00751C97"/>
    <w:rsid w:val="00753889"/>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0FFF"/>
    <w:rsid w:val="00781D97"/>
    <w:rsid w:val="007820D3"/>
    <w:rsid w:val="007952E6"/>
    <w:rsid w:val="007953DA"/>
    <w:rsid w:val="007A1A01"/>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4017"/>
    <w:rsid w:val="00810A67"/>
    <w:rsid w:val="00813398"/>
    <w:rsid w:val="0081381E"/>
    <w:rsid w:val="00821A31"/>
    <w:rsid w:val="00821AC5"/>
    <w:rsid w:val="00822842"/>
    <w:rsid w:val="00831030"/>
    <w:rsid w:val="008316C6"/>
    <w:rsid w:val="00833CF7"/>
    <w:rsid w:val="00843089"/>
    <w:rsid w:val="00845601"/>
    <w:rsid w:val="00855C5C"/>
    <w:rsid w:val="0086185F"/>
    <w:rsid w:val="008631A3"/>
    <w:rsid w:val="00873CF4"/>
    <w:rsid w:val="00880955"/>
    <w:rsid w:val="00882459"/>
    <w:rsid w:val="008979E2"/>
    <w:rsid w:val="008A2B4A"/>
    <w:rsid w:val="008A3C96"/>
    <w:rsid w:val="008A6DC5"/>
    <w:rsid w:val="008B4019"/>
    <w:rsid w:val="008B612C"/>
    <w:rsid w:val="008B65C9"/>
    <w:rsid w:val="008C2D4A"/>
    <w:rsid w:val="008C3C01"/>
    <w:rsid w:val="008C49DA"/>
    <w:rsid w:val="008C691E"/>
    <w:rsid w:val="008D3900"/>
    <w:rsid w:val="008D62EB"/>
    <w:rsid w:val="008D6E1D"/>
    <w:rsid w:val="008E48BF"/>
    <w:rsid w:val="008E563E"/>
    <w:rsid w:val="008E611A"/>
    <w:rsid w:val="008F39B4"/>
    <w:rsid w:val="008F4162"/>
    <w:rsid w:val="008F4206"/>
    <w:rsid w:val="009003D4"/>
    <w:rsid w:val="00903E02"/>
    <w:rsid w:val="009120E4"/>
    <w:rsid w:val="00913175"/>
    <w:rsid w:val="00916EDB"/>
    <w:rsid w:val="009240A6"/>
    <w:rsid w:val="009242EF"/>
    <w:rsid w:val="009252EF"/>
    <w:rsid w:val="009304C2"/>
    <w:rsid w:val="00932291"/>
    <w:rsid w:val="0093408E"/>
    <w:rsid w:val="009424FD"/>
    <w:rsid w:val="00945F22"/>
    <w:rsid w:val="00947CBC"/>
    <w:rsid w:val="00952DDF"/>
    <w:rsid w:val="0095424B"/>
    <w:rsid w:val="0096170E"/>
    <w:rsid w:val="00964524"/>
    <w:rsid w:val="00976E4A"/>
    <w:rsid w:val="00992708"/>
    <w:rsid w:val="00993355"/>
    <w:rsid w:val="009B38BE"/>
    <w:rsid w:val="009B43BD"/>
    <w:rsid w:val="009B498D"/>
    <w:rsid w:val="009B75D3"/>
    <w:rsid w:val="009C333F"/>
    <w:rsid w:val="009C3D0F"/>
    <w:rsid w:val="009D2FDC"/>
    <w:rsid w:val="009D54FF"/>
    <w:rsid w:val="009D6446"/>
    <w:rsid w:val="009D7341"/>
    <w:rsid w:val="009E1B62"/>
    <w:rsid w:val="009E2913"/>
    <w:rsid w:val="009E2F48"/>
    <w:rsid w:val="009E357E"/>
    <w:rsid w:val="009F35E2"/>
    <w:rsid w:val="009F5BEB"/>
    <w:rsid w:val="009F65F9"/>
    <w:rsid w:val="009F66C9"/>
    <w:rsid w:val="009F68BA"/>
    <w:rsid w:val="009F7C99"/>
    <w:rsid w:val="00A05947"/>
    <w:rsid w:val="00A06277"/>
    <w:rsid w:val="00A079DC"/>
    <w:rsid w:val="00A111C2"/>
    <w:rsid w:val="00A11DBE"/>
    <w:rsid w:val="00A17D0F"/>
    <w:rsid w:val="00A23425"/>
    <w:rsid w:val="00A27314"/>
    <w:rsid w:val="00A27A54"/>
    <w:rsid w:val="00A320A9"/>
    <w:rsid w:val="00A338E7"/>
    <w:rsid w:val="00A343B2"/>
    <w:rsid w:val="00A35CAA"/>
    <w:rsid w:val="00A36E7F"/>
    <w:rsid w:val="00A378DB"/>
    <w:rsid w:val="00A37E9D"/>
    <w:rsid w:val="00A41E65"/>
    <w:rsid w:val="00A43237"/>
    <w:rsid w:val="00A43E0A"/>
    <w:rsid w:val="00A45659"/>
    <w:rsid w:val="00A5206E"/>
    <w:rsid w:val="00A539B1"/>
    <w:rsid w:val="00A55F5B"/>
    <w:rsid w:val="00A57FB9"/>
    <w:rsid w:val="00A60185"/>
    <w:rsid w:val="00A60B0D"/>
    <w:rsid w:val="00A65959"/>
    <w:rsid w:val="00A661EA"/>
    <w:rsid w:val="00A70809"/>
    <w:rsid w:val="00A76E17"/>
    <w:rsid w:val="00A830E5"/>
    <w:rsid w:val="00A86618"/>
    <w:rsid w:val="00A87135"/>
    <w:rsid w:val="00A9267A"/>
    <w:rsid w:val="00A93280"/>
    <w:rsid w:val="00AA2020"/>
    <w:rsid w:val="00AA2548"/>
    <w:rsid w:val="00AA58C4"/>
    <w:rsid w:val="00AB11C8"/>
    <w:rsid w:val="00AB2206"/>
    <w:rsid w:val="00AB5F4E"/>
    <w:rsid w:val="00AB60CF"/>
    <w:rsid w:val="00AC08A8"/>
    <w:rsid w:val="00AC73E5"/>
    <w:rsid w:val="00AC7C0F"/>
    <w:rsid w:val="00AD2A4D"/>
    <w:rsid w:val="00AD4FC3"/>
    <w:rsid w:val="00AD56C8"/>
    <w:rsid w:val="00AD58F2"/>
    <w:rsid w:val="00AD5BA0"/>
    <w:rsid w:val="00AE02CA"/>
    <w:rsid w:val="00AE0F51"/>
    <w:rsid w:val="00AE4C25"/>
    <w:rsid w:val="00AF66A0"/>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E35"/>
    <w:rsid w:val="00B56BA3"/>
    <w:rsid w:val="00B61A54"/>
    <w:rsid w:val="00B62B98"/>
    <w:rsid w:val="00B65E27"/>
    <w:rsid w:val="00B66EBE"/>
    <w:rsid w:val="00B70ED4"/>
    <w:rsid w:val="00B731AF"/>
    <w:rsid w:val="00B774CD"/>
    <w:rsid w:val="00B8383E"/>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D7091"/>
    <w:rsid w:val="00BE033E"/>
    <w:rsid w:val="00BE4871"/>
    <w:rsid w:val="00BE6D3C"/>
    <w:rsid w:val="00BE7852"/>
    <w:rsid w:val="00BE7E91"/>
    <w:rsid w:val="00BF0762"/>
    <w:rsid w:val="00BF094F"/>
    <w:rsid w:val="00BF3F7C"/>
    <w:rsid w:val="00BF4E18"/>
    <w:rsid w:val="00BF671B"/>
    <w:rsid w:val="00BF7CEE"/>
    <w:rsid w:val="00C03880"/>
    <w:rsid w:val="00C132E3"/>
    <w:rsid w:val="00C135CF"/>
    <w:rsid w:val="00C138D7"/>
    <w:rsid w:val="00C173B0"/>
    <w:rsid w:val="00C17F88"/>
    <w:rsid w:val="00C2130B"/>
    <w:rsid w:val="00C22E15"/>
    <w:rsid w:val="00C2683F"/>
    <w:rsid w:val="00C30334"/>
    <w:rsid w:val="00C3184D"/>
    <w:rsid w:val="00C43020"/>
    <w:rsid w:val="00C4714E"/>
    <w:rsid w:val="00C5366B"/>
    <w:rsid w:val="00C5504F"/>
    <w:rsid w:val="00C63376"/>
    <w:rsid w:val="00C634DE"/>
    <w:rsid w:val="00C74F97"/>
    <w:rsid w:val="00C8276E"/>
    <w:rsid w:val="00C842AC"/>
    <w:rsid w:val="00C8523E"/>
    <w:rsid w:val="00C85444"/>
    <w:rsid w:val="00C86DC8"/>
    <w:rsid w:val="00C90E71"/>
    <w:rsid w:val="00C926AF"/>
    <w:rsid w:val="00C97813"/>
    <w:rsid w:val="00CA0723"/>
    <w:rsid w:val="00CB0286"/>
    <w:rsid w:val="00CB1690"/>
    <w:rsid w:val="00CB507E"/>
    <w:rsid w:val="00CB7C3E"/>
    <w:rsid w:val="00CC1AE6"/>
    <w:rsid w:val="00CC39F8"/>
    <w:rsid w:val="00CC4365"/>
    <w:rsid w:val="00CD11B0"/>
    <w:rsid w:val="00CD3A95"/>
    <w:rsid w:val="00CD76C2"/>
    <w:rsid w:val="00CD7E72"/>
    <w:rsid w:val="00CE42D0"/>
    <w:rsid w:val="00CE6A38"/>
    <w:rsid w:val="00CE71C2"/>
    <w:rsid w:val="00CF42D5"/>
    <w:rsid w:val="00CF4EDA"/>
    <w:rsid w:val="00D021CB"/>
    <w:rsid w:val="00D039F6"/>
    <w:rsid w:val="00D03D4E"/>
    <w:rsid w:val="00D0562E"/>
    <w:rsid w:val="00D05A2D"/>
    <w:rsid w:val="00D10ACD"/>
    <w:rsid w:val="00D10D1E"/>
    <w:rsid w:val="00D10F1A"/>
    <w:rsid w:val="00D116F8"/>
    <w:rsid w:val="00D14BE2"/>
    <w:rsid w:val="00D15127"/>
    <w:rsid w:val="00D16EB9"/>
    <w:rsid w:val="00D17596"/>
    <w:rsid w:val="00D2323D"/>
    <w:rsid w:val="00D24123"/>
    <w:rsid w:val="00D26D3A"/>
    <w:rsid w:val="00D31545"/>
    <w:rsid w:val="00D3508B"/>
    <w:rsid w:val="00D374CF"/>
    <w:rsid w:val="00D45EE3"/>
    <w:rsid w:val="00D50618"/>
    <w:rsid w:val="00D509E9"/>
    <w:rsid w:val="00D50A8A"/>
    <w:rsid w:val="00D51D7D"/>
    <w:rsid w:val="00D53B1C"/>
    <w:rsid w:val="00D5575B"/>
    <w:rsid w:val="00D64914"/>
    <w:rsid w:val="00D77838"/>
    <w:rsid w:val="00D80F3B"/>
    <w:rsid w:val="00D9385F"/>
    <w:rsid w:val="00D96E2C"/>
    <w:rsid w:val="00D97FF9"/>
    <w:rsid w:val="00DA1B12"/>
    <w:rsid w:val="00DA54C9"/>
    <w:rsid w:val="00DA6739"/>
    <w:rsid w:val="00DA6CAE"/>
    <w:rsid w:val="00DB1A9E"/>
    <w:rsid w:val="00DB31D6"/>
    <w:rsid w:val="00DB4005"/>
    <w:rsid w:val="00DB4636"/>
    <w:rsid w:val="00DB4CBF"/>
    <w:rsid w:val="00DB7879"/>
    <w:rsid w:val="00DC34EB"/>
    <w:rsid w:val="00DC781A"/>
    <w:rsid w:val="00DD1729"/>
    <w:rsid w:val="00DD714D"/>
    <w:rsid w:val="00DE0472"/>
    <w:rsid w:val="00DE633A"/>
    <w:rsid w:val="00DE6446"/>
    <w:rsid w:val="00DF1E5B"/>
    <w:rsid w:val="00DF2275"/>
    <w:rsid w:val="00DF3F5E"/>
    <w:rsid w:val="00DF7BCD"/>
    <w:rsid w:val="00E0596E"/>
    <w:rsid w:val="00E06F66"/>
    <w:rsid w:val="00E106A0"/>
    <w:rsid w:val="00E1333E"/>
    <w:rsid w:val="00E138B9"/>
    <w:rsid w:val="00E205EF"/>
    <w:rsid w:val="00E22AD5"/>
    <w:rsid w:val="00E3330C"/>
    <w:rsid w:val="00E356E5"/>
    <w:rsid w:val="00E36F81"/>
    <w:rsid w:val="00E41C86"/>
    <w:rsid w:val="00E44648"/>
    <w:rsid w:val="00E452FA"/>
    <w:rsid w:val="00E45765"/>
    <w:rsid w:val="00E45E10"/>
    <w:rsid w:val="00E5098C"/>
    <w:rsid w:val="00E50DC9"/>
    <w:rsid w:val="00E60213"/>
    <w:rsid w:val="00E65A5E"/>
    <w:rsid w:val="00E701ED"/>
    <w:rsid w:val="00E74D29"/>
    <w:rsid w:val="00E83C74"/>
    <w:rsid w:val="00E83CEE"/>
    <w:rsid w:val="00E86DB3"/>
    <w:rsid w:val="00E8776C"/>
    <w:rsid w:val="00E9226D"/>
    <w:rsid w:val="00E923D6"/>
    <w:rsid w:val="00EA337A"/>
    <w:rsid w:val="00EA5941"/>
    <w:rsid w:val="00EA725F"/>
    <w:rsid w:val="00EB02BE"/>
    <w:rsid w:val="00EB4974"/>
    <w:rsid w:val="00EB4DFB"/>
    <w:rsid w:val="00EB60CE"/>
    <w:rsid w:val="00EB7D53"/>
    <w:rsid w:val="00EC24FD"/>
    <w:rsid w:val="00ED7DC9"/>
    <w:rsid w:val="00EE1E28"/>
    <w:rsid w:val="00EE2A2B"/>
    <w:rsid w:val="00EE3146"/>
    <w:rsid w:val="00EF0C37"/>
    <w:rsid w:val="00EF3CE4"/>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676EF"/>
    <w:rsid w:val="00F77283"/>
    <w:rsid w:val="00F82FF8"/>
    <w:rsid w:val="00F8330D"/>
    <w:rsid w:val="00F84305"/>
    <w:rsid w:val="00F8485C"/>
    <w:rsid w:val="00F87149"/>
    <w:rsid w:val="00F87239"/>
    <w:rsid w:val="00F87FFE"/>
    <w:rsid w:val="00F9030C"/>
    <w:rsid w:val="00F91335"/>
    <w:rsid w:val="00F940DB"/>
    <w:rsid w:val="00F9527D"/>
    <w:rsid w:val="00F954C9"/>
    <w:rsid w:val="00F977DD"/>
    <w:rsid w:val="00FA61AA"/>
    <w:rsid w:val="00FA62B5"/>
    <w:rsid w:val="00FA69A4"/>
    <w:rsid w:val="00FB1279"/>
    <w:rsid w:val="00FB1495"/>
    <w:rsid w:val="00FB2489"/>
    <w:rsid w:val="00FC073B"/>
    <w:rsid w:val="00FC64AE"/>
    <w:rsid w:val="00FC779B"/>
    <w:rsid w:val="00FC7FCA"/>
    <w:rsid w:val="00FD1694"/>
    <w:rsid w:val="00FD278E"/>
    <w:rsid w:val="00FD2FE0"/>
    <w:rsid w:val="00FD4BB7"/>
    <w:rsid w:val="00FD7636"/>
    <w:rsid w:val="00FE3229"/>
    <w:rsid w:val="00FE7173"/>
    <w:rsid w:val="00FE74C3"/>
    <w:rsid w:val="00FF1DA1"/>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7AA52A"/>
  <w15:docId w15:val="{8D31C66B-B69F-4524-A16F-3F00EE82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99"/>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semiHidden/>
    <w:unhideWhenUsed/>
    <w:rsid w:val="00637981"/>
    <w:rPr>
      <w:vertAlign w:val="superscript"/>
    </w:rPr>
  </w:style>
  <w:style w:type="paragraph" w:styleId="List">
    <w:name w:val="List"/>
    <w:basedOn w:val="ListParagraph"/>
    <w:uiPriority w:val="99"/>
    <w:rsid w:val="00D03D4E"/>
    <w:pPr>
      <w:numPr>
        <w:numId w:val="0"/>
      </w:numPr>
      <w:ind w:left="567" w:hanging="567"/>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639698845">
      <w:bodyDiv w:val="1"/>
      <w:marLeft w:val="0"/>
      <w:marRight w:val="0"/>
      <w:marTop w:val="0"/>
      <w:marBottom w:val="0"/>
      <w:divBdr>
        <w:top w:val="none" w:sz="0" w:space="0" w:color="auto"/>
        <w:left w:val="none" w:sz="0" w:space="0" w:color="auto"/>
        <w:bottom w:val="none" w:sz="0" w:space="0" w:color="auto"/>
        <w:right w:val="none" w:sz="0" w:space="0" w:color="auto"/>
      </w:divBdr>
    </w:div>
    <w:div w:id="706368408">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CA48EAC6.dotm</Template>
  <TotalTime>1</TotalTime>
  <Pages>3</Pages>
  <Words>1010</Words>
  <Characters>5760</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Dr Rayns</dc:title>
  <dc:creator>Department of the Environment and Energy</dc:creator>
  <cp:lastModifiedBy>Durack, Bec</cp:lastModifiedBy>
  <cp:revision>2</cp:revision>
  <dcterms:created xsi:type="dcterms:W3CDTF">2017-07-03T04:35:00Z</dcterms:created>
  <dcterms:modified xsi:type="dcterms:W3CDTF">2017-07-03T04:35:00Z</dcterms:modified>
</cp:coreProperties>
</file>