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22" w:rsidRDefault="00B0197B" w:rsidP="00ED2BB8">
      <w:pPr>
        <w:jc w:val="right"/>
      </w:pPr>
      <w:r w:rsidRPr="0012744F">
        <w:t xml:space="preserve">Ref: </w:t>
      </w:r>
      <w:r w:rsidR="00304A37">
        <w:rPr>
          <w:rFonts w:cs="Arial"/>
        </w:rPr>
        <w:t>15</w:t>
      </w:r>
      <w:r w:rsidR="00F50D3B" w:rsidRPr="0012744F">
        <w:rPr>
          <w:rFonts w:cs="Arial"/>
        </w:rPr>
        <w:t>/0</w:t>
      </w:r>
      <w:r w:rsidR="00304A37">
        <w:rPr>
          <w:rFonts w:cs="Arial"/>
        </w:rPr>
        <w:t>06942</w:t>
      </w:r>
    </w:p>
    <w:p w:rsidR="00FC0D47" w:rsidRPr="00FC0D47" w:rsidRDefault="00FC0D47" w:rsidP="00FC0D47">
      <w:pPr>
        <w:contextualSpacing/>
      </w:pPr>
      <w:r w:rsidRPr="00FC0D47">
        <w:t>Mr John Clunies-Ross</w:t>
      </w:r>
    </w:p>
    <w:p w:rsidR="00FC0D47" w:rsidRPr="00FC0D47" w:rsidRDefault="00FC0D47" w:rsidP="00FC0D47">
      <w:pPr>
        <w:contextualSpacing/>
      </w:pPr>
      <w:r w:rsidRPr="00FC0D47">
        <w:t xml:space="preserve">Tycraft Pty Ltd </w:t>
      </w:r>
    </w:p>
    <w:p w:rsidR="00FC0D47" w:rsidRPr="00FC0D47" w:rsidRDefault="00FC0D47" w:rsidP="00FC0D47">
      <w:pPr>
        <w:contextualSpacing/>
      </w:pPr>
      <w:r w:rsidRPr="00FC0D47">
        <w:t xml:space="preserve">Gudang Satu </w:t>
      </w:r>
    </w:p>
    <w:p w:rsidR="00FC0D47" w:rsidRPr="00FC0D47" w:rsidRDefault="00FC0D47" w:rsidP="00FC0D47">
      <w:pPr>
        <w:contextualSpacing/>
      </w:pPr>
      <w:r w:rsidRPr="00FC0D47">
        <w:t>Cocos (Keeling) Islands WA 6799</w:t>
      </w:r>
    </w:p>
    <w:p w:rsidR="001F4075" w:rsidRDefault="001F4075" w:rsidP="00A60B0D">
      <w:pPr>
        <w:contextualSpacing/>
      </w:pPr>
    </w:p>
    <w:p w:rsidR="004D2E9F" w:rsidRDefault="004D2E9F" w:rsidP="00A60B0D">
      <w:pPr>
        <w:contextualSpacing/>
      </w:pPr>
    </w:p>
    <w:p w:rsidR="00FC0D47" w:rsidRPr="00087848" w:rsidRDefault="00FC0D47" w:rsidP="00FC0D47">
      <w:r>
        <w:t>Dear Mr Clunies-Ross,</w:t>
      </w:r>
    </w:p>
    <w:p w:rsidR="00FC0D47" w:rsidRPr="00087848" w:rsidRDefault="00FC0D47" w:rsidP="00FC0D47">
      <w:pPr>
        <w:widowControl w:val="0"/>
        <w:spacing w:after="180"/>
        <w:rPr>
          <w:rFonts w:cs="Arial"/>
          <w:color w:val="3366FF"/>
          <w:lang w:val="en-US"/>
        </w:rPr>
      </w:pPr>
      <w:r w:rsidRPr="00087848">
        <w:rPr>
          <w:rFonts w:cs="Arial"/>
          <w:lang w:val="en-US"/>
        </w:rPr>
        <w:t>I am writing to you as Delegate of t</w:t>
      </w:r>
      <w:r w:rsidR="004D2E9F">
        <w:rPr>
          <w:rFonts w:cs="Arial"/>
          <w:lang w:val="en-US"/>
        </w:rPr>
        <w:t>he Minister for</w:t>
      </w:r>
      <w:r w:rsidR="00ED2BB8">
        <w:rPr>
          <w:rFonts w:cs="Arial"/>
          <w:lang w:val="en-US"/>
        </w:rPr>
        <w:t xml:space="preserve"> the Environment</w:t>
      </w:r>
      <w:r w:rsidRPr="00087848">
        <w:rPr>
          <w:rFonts w:cs="Arial"/>
          <w:lang w:val="en-US"/>
        </w:rPr>
        <w:t xml:space="preserve"> in relation to the assessment of the harvest of </w:t>
      </w:r>
      <w:r w:rsidRPr="00087848">
        <w:rPr>
          <w:rFonts w:cs="Arial"/>
          <w:i/>
          <w:lang w:val="en-US"/>
        </w:rPr>
        <w:t>Tridacna maxima</w:t>
      </w:r>
      <w:r w:rsidRPr="00087848">
        <w:rPr>
          <w:rFonts w:cs="Arial"/>
          <w:lang w:val="en-US"/>
        </w:rPr>
        <w:t xml:space="preserve"> for Tycraft Pty Ltd under the </w:t>
      </w:r>
      <w:r w:rsidRPr="00087848">
        <w:rPr>
          <w:rFonts w:cs="Arial"/>
          <w:i/>
          <w:iCs/>
          <w:lang w:val="en-US"/>
        </w:rPr>
        <w:t xml:space="preserve">Environment Protection and Biodiversity </w:t>
      </w:r>
      <w:r w:rsidRPr="00087848">
        <w:rPr>
          <w:rFonts w:cs="Arial"/>
          <w:i/>
          <w:iCs/>
          <w:color w:val="000000"/>
          <w:lang w:val="en-US"/>
        </w:rPr>
        <w:t>Conservation Act 1999</w:t>
      </w:r>
      <w:r w:rsidRPr="00087848">
        <w:rPr>
          <w:rFonts w:cs="Arial"/>
          <w:color w:val="000000"/>
          <w:lang w:val="en-US"/>
        </w:rPr>
        <w:t xml:space="preserve"> (EPBC Act). </w:t>
      </w:r>
    </w:p>
    <w:p w:rsidR="00FC0D47" w:rsidRPr="00087848" w:rsidRDefault="00FC0D47" w:rsidP="00FC0D47">
      <w:pPr>
        <w:widowControl w:val="0"/>
        <w:spacing w:after="180"/>
        <w:rPr>
          <w:rFonts w:cs="Arial"/>
          <w:lang w:val="en-US"/>
        </w:rPr>
      </w:pPr>
      <w:r w:rsidRPr="00087848">
        <w:rPr>
          <w:rFonts w:cs="Arial"/>
          <w:lang w:val="en-US"/>
        </w:rPr>
        <w:t xml:space="preserve">In </w:t>
      </w:r>
      <w:r w:rsidR="007B158C">
        <w:rPr>
          <w:rFonts w:cs="Arial"/>
          <w:lang w:val="en-US"/>
        </w:rPr>
        <w:t>September 2015</w:t>
      </w:r>
      <w:r w:rsidRPr="00087848">
        <w:rPr>
          <w:rFonts w:cs="Arial"/>
          <w:lang w:val="en-US"/>
        </w:rPr>
        <w:t xml:space="preserve">, you made a submission for assessment under the EPBC Act seeking export approval for this small scale operation. The submission has been assessed for the purposes of the wildlife trade provisions of Part 13A of the EPBC Act. The proposed harvest of </w:t>
      </w:r>
      <w:r w:rsidR="007F008F">
        <w:rPr>
          <w:rFonts w:cs="Arial"/>
          <w:i/>
          <w:lang w:val="en-US"/>
        </w:rPr>
        <w:t>T.</w:t>
      </w:r>
      <w:r w:rsidRPr="00087848">
        <w:rPr>
          <w:rFonts w:cs="Arial"/>
          <w:i/>
          <w:lang w:val="en-US"/>
        </w:rPr>
        <w:t xml:space="preserve">maxima </w:t>
      </w:r>
      <w:r w:rsidRPr="00087848">
        <w:rPr>
          <w:rFonts w:cs="Arial"/>
          <w:lang w:val="en-US"/>
        </w:rPr>
        <w:t xml:space="preserve">was also assessed under the requirements for export of specimens listed under the appendices of the </w:t>
      </w:r>
      <w:r w:rsidRPr="00087848">
        <w:rPr>
          <w:rFonts w:cs="Arial"/>
        </w:rPr>
        <w:t>Convention on the International Trade in Endangered Species of Wild Fauna and Flora</w:t>
      </w:r>
      <w:r w:rsidRPr="00087848">
        <w:rPr>
          <w:rFonts w:cs="Arial"/>
          <w:lang w:val="en-US"/>
        </w:rPr>
        <w:t xml:space="preserve"> (CITES).  </w:t>
      </w:r>
    </w:p>
    <w:p w:rsidR="00FC0D47" w:rsidRPr="00087848" w:rsidRDefault="00FC0D47" w:rsidP="00FC0D47">
      <w:pPr>
        <w:widowControl w:val="0"/>
        <w:spacing w:after="180"/>
        <w:rPr>
          <w:rFonts w:cs="Arial"/>
          <w:lang w:val="en-US"/>
        </w:rPr>
      </w:pPr>
      <w:r w:rsidRPr="00087848">
        <w:rPr>
          <w:rFonts w:cs="Arial"/>
          <w:lang w:val="en-US"/>
        </w:rPr>
        <w:t xml:space="preserve">I am pleased to advise that the assessment of the operation of Tycraft Pty Ltd is now complete. I am satisfied that the operation of Tycraft Pty Ltd, as it relates to </w:t>
      </w:r>
      <w:r w:rsidRPr="00087848">
        <w:rPr>
          <w:rFonts w:cs="Arial"/>
          <w:i/>
          <w:lang w:val="en-US"/>
        </w:rPr>
        <w:t>T. maxima</w:t>
      </w:r>
      <w:r w:rsidRPr="00087848">
        <w:rPr>
          <w:rFonts w:cs="Arial"/>
          <w:lang w:val="en-US"/>
        </w:rPr>
        <w:t>,</w:t>
      </w:r>
      <w:r w:rsidRPr="00087848">
        <w:rPr>
          <w:rFonts w:cs="Arial"/>
          <w:i/>
          <w:lang w:val="en-US"/>
        </w:rPr>
        <w:t xml:space="preserve"> </w:t>
      </w:r>
      <w:r w:rsidRPr="00087848">
        <w:rPr>
          <w:rFonts w:cs="Arial"/>
          <w:lang w:val="en-US"/>
        </w:rPr>
        <w:t xml:space="preserve">is consistent with the objects of the wildlife trade provisions of Part 13A of the EPBC Act and that the management arrangements provide the basis for the operation to be managed in an ecologically sustainable way. I am also satisfied that the operation, as it relates to </w:t>
      </w:r>
      <w:r w:rsidR="002B5A72">
        <w:rPr>
          <w:rFonts w:cs="Arial"/>
          <w:i/>
          <w:lang w:val="en-US"/>
        </w:rPr>
        <w:t>T. </w:t>
      </w:r>
      <w:r w:rsidRPr="00087848">
        <w:rPr>
          <w:rFonts w:cs="Arial"/>
          <w:i/>
          <w:lang w:val="en-US"/>
        </w:rPr>
        <w:t xml:space="preserve">maxima, </w:t>
      </w:r>
      <w:r w:rsidRPr="00087848">
        <w:rPr>
          <w:rFonts w:cs="Arial"/>
          <w:lang w:val="en-US"/>
        </w:rPr>
        <w:t>is unlikely to be detrimental to the survival or conservation status of the taxon to which the operation relates, or threaten any relevant ecosystem.</w:t>
      </w:r>
    </w:p>
    <w:p w:rsidR="00FC0D47" w:rsidRPr="00087848" w:rsidRDefault="00FC0D47" w:rsidP="00FC0D47">
      <w:pPr>
        <w:widowControl w:val="0"/>
        <w:spacing w:after="180"/>
        <w:rPr>
          <w:rFonts w:cs="Arial"/>
          <w:color w:val="000000"/>
        </w:rPr>
      </w:pPr>
      <w:r w:rsidRPr="00087848">
        <w:rPr>
          <w:rFonts w:cs="Arial"/>
          <w:color w:val="000000"/>
        </w:rPr>
        <w:t xml:space="preserve">Hence, I propose to declare Tycraft Pty Ltd an approved wildlife trade operation under </w:t>
      </w:r>
      <w:r w:rsidR="00B36ACE">
        <w:rPr>
          <w:rFonts w:cs="Arial"/>
          <w:color w:val="000000"/>
        </w:rPr>
        <w:br/>
      </w:r>
      <w:r w:rsidRPr="00087848">
        <w:rPr>
          <w:rFonts w:cs="Arial"/>
          <w:color w:val="000000"/>
        </w:rPr>
        <w:t xml:space="preserve">Part 13A of the EPBC Act, subject to the conditions at </w:t>
      </w:r>
      <w:r w:rsidRPr="00087848">
        <w:rPr>
          <w:rFonts w:cs="Arial"/>
          <w:b/>
          <w:color w:val="000000"/>
          <w:u w:val="single"/>
        </w:rPr>
        <w:t>Attachment A</w:t>
      </w:r>
      <w:r w:rsidRPr="00087848">
        <w:rPr>
          <w:rFonts w:cs="Arial"/>
          <w:color w:val="000000"/>
        </w:rPr>
        <w:t xml:space="preserve">. This declaration </w:t>
      </w:r>
      <w:r w:rsidR="003F2B47">
        <w:rPr>
          <w:rFonts w:cs="Arial"/>
          <w:color w:val="000000"/>
        </w:rPr>
        <w:t>will</w:t>
      </w:r>
      <w:r w:rsidRPr="00087848">
        <w:rPr>
          <w:rFonts w:cs="Arial"/>
          <w:color w:val="000000"/>
        </w:rPr>
        <w:t xml:space="preserve"> allow export o</w:t>
      </w:r>
      <w:r>
        <w:rPr>
          <w:rFonts w:cs="Arial"/>
          <w:color w:val="000000"/>
        </w:rPr>
        <w:t>f</w:t>
      </w:r>
      <w:r w:rsidR="003F2B47">
        <w:rPr>
          <w:rFonts w:cs="Arial"/>
          <w:color w:val="000000"/>
        </w:rPr>
        <w:t xml:space="preserve"> progeny of</w:t>
      </w:r>
      <w:r>
        <w:rPr>
          <w:rFonts w:cs="Arial"/>
          <w:color w:val="000000"/>
        </w:rPr>
        <w:t xml:space="preserve"> </w:t>
      </w:r>
      <w:r>
        <w:rPr>
          <w:rFonts w:cs="Arial"/>
          <w:i/>
          <w:color w:val="000000"/>
        </w:rPr>
        <w:t>T.</w:t>
      </w:r>
      <w:r w:rsidRPr="00087848">
        <w:rPr>
          <w:rFonts w:cs="Arial"/>
          <w:i/>
          <w:color w:val="000000"/>
        </w:rPr>
        <w:t>maxima</w:t>
      </w:r>
      <w:r w:rsidRPr="00087848">
        <w:rPr>
          <w:rFonts w:cs="Arial"/>
          <w:color w:val="000000"/>
        </w:rPr>
        <w:t xml:space="preserve"> </w:t>
      </w:r>
      <w:r w:rsidR="003F2B47" w:rsidRPr="00087848">
        <w:rPr>
          <w:rFonts w:cs="Arial"/>
          <w:color w:val="000000"/>
        </w:rPr>
        <w:t xml:space="preserve">collected </w:t>
      </w:r>
      <w:r w:rsidRPr="00087848">
        <w:rPr>
          <w:rFonts w:cs="Arial"/>
          <w:color w:val="000000"/>
        </w:rPr>
        <w:t xml:space="preserve">by Tycraft Pty Ltd </w:t>
      </w:r>
      <w:r w:rsidR="003F2B47">
        <w:rPr>
          <w:rFonts w:cs="Arial"/>
          <w:color w:val="000000"/>
        </w:rPr>
        <w:t>until 1</w:t>
      </w:r>
      <w:r w:rsidR="002A0E15">
        <w:rPr>
          <w:rFonts w:cs="Arial"/>
          <w:color w:val="000000"/>
        </w:rPr>
        <w:t>9</w:t>
      </w:r>
      <w:r w:rsidR="003F2B47">
        <w:rPr>
          <w:rFonts w:cs="Arial"/>
          <w:color w:val="000000"/>
        </w:rPr>
        <w:t xml:space="preserve"> April</w:t>
      </w:r>
      <w:r w:rsidR="007B158C">
        <w:rPr>
          <w:rFonts w:cs="Arial"/>
          <w:color w:val="000000"/>
        </w:rPr>
        <w:t xml:space="preserve"> 2019</w:t>
      </w:r>
      <w:r w:rsidRPr="002B5A72">
        <w:rPr>
          <w:rFonts w:cs="Arial"/>
          <w:color w:val="000000"/>
        </w:rPr>
        <w:t>.</w:t>
      </w:r>
      <w:r w:rsidR="003F2B47">
        <w:rPr>
          <w:rFonts w:cs="Arial"/>
          <w:color w:val="000000"/>
        </w:rPr>
        <w:t xml:space="preserve"> This three year period is the maximum time allowed for a wildlife trade declaration.</w:t>
      </w:r>
    </w:p>
    <w:p w:rsidR="00FC0D47" w:rsidRPr="00087848" w:rsidRDefault="00FC0D47" w:rsidP="00FC0D47">
      <w:pPr>
        <w:widowControl w:val="0"/>
        <w:spacing w:after="180"/>
        <w:rPr>
          <w:rFonts w:cs="Arial"/>
        </w:rPr>
      </w:pPr>
      <w:r w:rsidRPr="00087848">
        <w:rPr>
          <w:rFonts w:cs="Arial"/>
        </w:rPr>
        <w:t>As Tycraft Pty Ltd exports EPBC Act listed specimens and species listed under CITES, incl</w:t>
      </w:r>
      <w:r w:rsidR="007B158C">
        <w:rPr>
          <w:rFonts w:cs="Arial"/>
        </w:rPr>
        <w:t>usion of your operation in the list of exempt native s</w:t>
      </w:r>
      <w:r w:rsidRPr="00087848">
        <w:rPr>
          <w:rFonts w:cs="Arial"/>
        </w:rPr>
        <w:t xml:space="preserve">pecimens is not possible. You will therefore be required to apply to the Department </w:t>
      </w:r>
      <w:r w:rsidR="004D2E9F">
        <w:rPr>
          <w:rFonts w:cs="Arial"/>
        </w:rPr>
        <w:t xml:space="preserve">of </w:t>
      </w:r>
      <w:r w:rsidR="00B36ACE">
        <w:rPr>
          <w:rFonts w:cs="Arial"/>
        </w:rPr>
        <w:t xml:space="preserve">the </w:t>
      </w:r>
      <w:r w:rsidR="00B36ACE">
        <w:rPr>
          <w:rFonts w:cs="Arial"/>
          <w:lang w:val="en-US"/>
        </w:rPr>
        <w:t xml:space="preserve">Environment </w:t>
      </w:r>
      <w:r w:rsidRPr="00087848">
        <w:rPr>
          <w:rFonts w:cs="Arial"/>
        </w:rPr>
        <w:t xml:space="preserve">for multiple-use export permits prior to exporting specimens covered by the declaration. </w:t>
      </w:r>
    </w:p>
    <w:p w:rsidR="007B158C" w:rsidRPr="007B158C" w:rsidRDefault="007B158C" w:rsidP="007B158C">
      <w:pPr>
        <w:widowControl w:val="0"/>
        <w:tabs>
          <w:tab w:val="left" w:pos="6700"/>
        </w:tabs>
        <w:spacing w:after="180"/>
        <w:rPr>
          <w:rFonts w:cs="Arial"/>
        </w:rPr>
      </w:pPr>
      <w:r w:rsidRPr="007B158C">
        <w:rPr>
          <w:rFonts w:cs="Arial"/>
        </w:rPr>
        <w:t>Please note that any person whose interests are affected by this decision may make an application to the Department of the Environment for the reasons for the decision, and may apply to the Administrative Appeals Tribunal to have this decision reviewed. I have enclosed further information on these processes.</w:t>
      </w:r>
    </w:p>
    <w:p w:rsidR="00FC0D47" w:rsidRDefault="00FC0D47" w:rsidP="00ED2BB8">
      <w:pPr>
        <w:widowControl w:val="0"/>
        <w:tabs>
          <w:tab w:val="left" w:pos="6700"/>
        </w:tabs>
        <w:spacing w:after="180"/>
        <w:rPr>
          <w:rFonts w:cs="Arial"/>
        </w:rPr>
      </w:pPr>
      <w:r w:rsidRPr="00087848">
        <w:rPr>
          <w:rFonts w:cs="Arial"/>
        </w:rPr>
        <w:t>Yours sincerely</w:t>
      </w:r>
    </w:p>
    <w:p w:rsidR="00B36ACE" w:rsidRPr="00087848" w:rsidRDefault="00273290" w:rsidP="00ED2BB8">
      <w:pPr>
        <w:widowControl w:val="0"/>
        <w:tabs>
          <w:tab w:val="left" w:pos="6700"/>
        </w:tabs>
        <w:spacing w:after="180"/>
        <w:rPr>
          <w:rFonts w:cs="Arial"/>
        </w:rPr>
      </w:pPr>
      <w:r>
        <w:rPr>
          <w:rFonts w:cs="Arial"/>
        </w:rPr>
        <w:t>(signed)</w:t>
      </w:r>
    </w:p>
    <w:p w:rsidR="00ED2BB8" w:rsidRDefault="00FC0D47" w:rsidP="00ED2BB8">
      <w:pPr>
        <w:widowControl w:val="0"/>
        <w:tabs>
          <w:tab w:val="left" w:pos="6700"/>
        </w:tabs>
        <w:spacing w:after="0"/>
        <w:rPr>
          <w:rFonts w:cs="Arial"/>
        </w:rPr>
      </w:pPr>
      <w:r>
        <w:rPr>
          <w:rFonts w:cs="Arial"/>
        </w:rPr>
        <w:t>Paul Murphy</w:t>
      </w:r>
    </w:p>
    <w:p w:rsidR="00FC0D47" w:rsidRPr="00087848" w:rsidRDefault="00FC0D47" w:rsidP="00ED2BB8">
      <w:pPr>
        <w:widowControl w:val="0"/>
        <w:tabs>
          <w:tab w:val="left" w:pos="6700"/>
        </w:tabs>
        <w:spacing w:after="0"/>
        <w:rPr>
          <w:rFonts w:cs="Arial"/>
        </w:rPr>
      </w:pPr>
      <w:r w:rsidRPr="00087848">
        <w:rPr>
          <w:rFonts w:cs="Arial"/>
        </w:rPr>
        <w:t xml:space="preserve">Delegate of the Minister for </w:t>
      </w:r>
      <w:r>
        <w:rPr>
          <w:rFonts w:cs="Arial"/>
        </w:rPr>
        <w:t xml:space="preserve">the </w:t>
      </w:r>
      <w:r w:rsidR="00ED2BB8">
        <w:rPr>
          <w:rFonts w:cs="Arial"/>
        </w:rPr>
        <w:t>Environment</w:t>
      </w:r>
    </w:p>
    <w:p w:rsidR="004A6F22" w:rsidRDefault="00273290" w:rsidP="00FC0D47">
      <w:r>
        <w:rPr>
          <w:rFonts w:cs="Arial"/>
        </w:rPr>
        <w:t>27</w:t>
      </w:r>
      <w:r w:rsidR="00FC0D47" w:rsidRPr="00087848">
        <w:rPr>
          <w:rFonts w:cs="Arial"/>
        </w:rPr>
        <w:t xml:space="preserve"> </w:t>
      </w:r>
      <w:r w:rsidR="007B158C">
        <w:rPr>
          <w:rFonts w:cs="Arial"/>
        </w:rPr>
        <w:t>April 2016</w:t>
      </w:r>
    </w:p>
    <w:p w:rsidR="00FA0CF5" w:rsidRDefault="00FA0CF5" w:rsidP="006B1098">
      <w:pPr>
        <w:tabs>
          <w:tab w:val="left" w:pos="284"/>
        </w:tabs>
        <w:rPr>
          <w:rFonts w:cs="Arial"/>
        </w:rPr>
        <w:sectPr w:rsidR="00FA0CF5"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rsidR="00ED2BB8" w:rsidRDefault="00965253" w:rsidP="00965253">
      <w:pPr>
        <w:spacing w:after="0" w:line="220" w:lineRule="atLeast"/>
        <w:ind w:left="-567" w:right="-766"/>
        <w:jc w:val="right"/>
        <w:rPr>
          <w:rFonts w:eastAsia="Times New Roman" w:cs="Arial"/>
          <w:b/>
        </w:rPr>
      </w:pPr>
      <w:r>
        <w:rPr>
          <w:rFonts w:eastAsia="Times New Roman" w:cs="Arial"/>
          <w:b/>
        </w:rPr>
        <w:lastRenderedPageBreak/>
        <w:t>Attachment A</w:t>
      </w:r>
    </w:p>
    <w:p w:rsidR="00965253" w:rsidRPr="00ED2BB8" w:rsidRDefault="00965253" w:rsidP="00ED2BB8">
      <w:pPr>
        <w:spacing w:after="0" w:line="220" w:lineRule="atLeast"/>
        <w:ind w:left="-567" w:right="-766"/>
        <w:jc w:val="center"/>
        <w:rPr>
          <w:rFonts w:eastAsia="Times New Roman" w:cs="Arial"/>
          <w:b/>
        </w:rPr>
      </w:pPr>
    </w:p>
    <w:p w:rsidR="00ED2BB8" w:rsidRPr="00ED2BB8" w:rsidRDefault="00ED2BB8" w:rsidP="00ED2BB8">
      <w:pPr>
        <w:spacing w:after="0" w:line="220" w:lineRule="atLeast"/>
        <w:ind w:left="360" w:right="-766"/>
        <w:rPr>
          <w:rFonts w:eastAsia="Times New Roman" w:cs="Arial"/>
          <w:b/>
        </w:rPr>
      </w:pPr>
      <w:bookmarkStart w:id="0" w:name="conditions"/>
      <w:r w:rsidRPr="00ED2BB8">
        <w:rPr>
          <w:rFonts w:eastAsia="Times New Roman" w:cs="Arial"/>
          <w:b/>
        </w:rPr>
        <w:t xml:space="preserve">Conditions on the approved wildlife trade declaration for </w:t>
      </w:r>
      <w:bookmarkEnd w:id="0"/>
      <w:r w:rsidRPr="00ED2BB8">
        <w:rPr>
          <w:rFonts w:eastAsia="Times New Roman" w:cs="Arial"/>
          <w:b/>
        </w:rPr>
        <w:t>Tycraft Pty Ltd</w:t>
      </w:r>
    </w:p>
    <w:p w:rsidR="00ED2BB8" w:rsidRPr="00ED2BB8" w:rsidRDefault="00ED2BB8" w:rsidP="00ED2BB8">
      <w:pPr>
        <w:spacing w:after="0" w:line="220" w:lineRule="atLeast"/>
        <w:ind w:left="-567" w:right="-766"/>
        <w:rPr>
          <w:rFonts w:eastAsia="Times New Roman" w:cs="Arial"/>
          <w:b/>
          <w:bCs/>
        </w:rPr>
      </w:pPr>
    </w:p>
    <w:p w:rsidR="002B5A72" w:rsidRPr="00CE1EFA" w:rsidRDefault="002B5A72" w:rsidP="002B5A72">
      <w:pPr>
        <w:spacing w:line="220" w:lineRule="atLeast"/>
        <w:rPr>
          <w:b/>
        </w:rPr>
      </w:pPr>
      <w:r w:rsidRPr="00CE1EFA">
        <w:rPr>
          <w:b/>
        </w:rPr>
        <w:t xml:space="preserve">Condition 1:  </w:t>
      </w:r>
    </w:p>
    <w:p w:rsidR="00304A37" w:rsidRPr="00304A37" w:rsidRDefault="00304A37" w:rsidP="00304A37">
      <w:pPr>
        <w:spacing w:line="220" w:lineRule="atLeast"/>
      </w:pPr>
      <w:r w:rsidRPr="00304A37">
        <w:t>Operation of Tycraft Pty Ltd will be carried out in accordance with</w:t>
      </w:r>
      <w:r w:rsidRPr="00304A37">
        <w:rPr>
          <w:i/>
        </w:rPr>
        <w:t xml:space="preserve"> </w:t>
      </w:r>
      <w:r w:rsidRPr="00304A37">
        <w:t>the</w:t>
      </w:r>
      <w:r w:rsidRPr="00304A37">
        <w:rPr>
          <w:i/>
        </w:rPr>
        <w:t xml:space="preserve"> </w:t>
      </w:r>
      <w:r w:rsidRPr="00304A37">
        <w:rPr>
          <w:iCs/>
        </w:rPr>
        <w:t>management regime</w:t>
      </w:r>
      <w:r w:rsidRPr="00304A37">
        <w:rPr>
          <w:i/>
        </w:rPr>
        <w:t xml:space="preserve"> </w:t>
      </w:r>
      <w:r w:rsidRPr="00304A37">
        <w:t xml:space="preserve">under the </w:t>
      </w:r>
      <w:r w:rsidRPr="00304A37">
        <w:rPr>
          <w:i/>
        </w:rPr>
        <w:t>Fish Resources Management Act 1994 (WA) (CKI)</w:t>
      </w:r>
      <w:r w:rsidRPr="00304A37">
        <w:t xml:space="preserve"> and the Instrument of Exemption (No 2737) under Section 7(2) (e) of this act, signed on 18 March 2016. </w:t>
      </w:r>
    </w:p>
    <w:p w:rsidR="002B5A72" w:rsidRPr="00CE1EFA" w:rsidRDefault="002B5A72" w:rsidP="002B5A72">
      <w:pPr>
        <w:spacing w:line="220" w:lineRule="atLeast"/>
        <w:rPr>
          <w:b/>
        </w:rPr>
      </w:pPr>
      <w:r w:rsidRPr="00CE1EFA">
        <w:rPr>
          <w:b/>
        </w:rPr>
        <w:t xml:space="preserve">Condition 2: </w:t>
      </w:r>
    </w:p>
    <w:p w:rsidR="00304A37" w:rsidRDefault="00304A37" w:rsidP="002B5A72">
      <w:pPr>
        <w:spacing w:line="220" w:lineRule="atLeast"/>
      </w:pPr>
      <w:r w:rsidRPr="00304A37">
        <w:t xml:space="preserve">Tycraft Pty Ltd to inform the Department of the Environment of any material changes to the legislated permit conditions that may affect the assessment against which </w:t>
      </w:r>
      <w:r w:rsidRPr="00304A37">
        <w:rPr>
          <w:i/>
          <w:iCs/>
        </w:rPr>
        <w:t>Environment Protection and Biodiversity Conservation Act 1999</w:t>
      </w:r>
      <w:r w:rsidRPr="00304A37">
        <w:t xml:space="preserve"> decisions are made.</w:t>
      </w:r>
    </w:p>
    <w:p w:rsidR="002B5A72" w:rsidRPr="00CE1EFA" w:rsidRDefault="002B5A72" w:rsidP="002B5A72">
      <w:pPr>
        <w:spacing w:line="220" w:lineRule="atLeast"/>
        <w:rPr>
          <w:b/>
        </w:rPr>
      </w:pPr>
      <w:r w:rsidRPr="00CE1EFA">
        <w:rPr>
          <w:b/>
        </w:rPr>
        <w:t>Condition 3</w:t>
      </w:r>
    </w:p>
    <w:p w:rsidR="00304A37" w:rsidRPr="00304A37" w:rsidRDefault="00304A37" w:rsidP="00304A37">
      <w:pPr>
        <w:pStyle w:val="ListBullet"/>
        <w:numPr>
          <w:ilvl w:val="0"/>
          <w:numId w:val="0"/>
        </w:numPr>
      </w:pPr>
      <w:r w:rsidRPr="00304A37">
        <w:t>Tycraft Pty Ltd to produce and present reports to the Department of the Environment annually as per Appendix B of the Guidelines for the Ecologically Sustainable Management of Fisheries - 2nd Edition.  These reports must be p</w:t>
      </w:r>
      <w:r>
        <w:t>rovided to the Department by 30 </w:t>
      </w:r>
      <w:r w:rsidRPr="00304A37">
        <w:t>September each year. The reports must include:</w:t>
      </w:r>
    </w:p>
    <w:p w:rsidR="00304A37" w:rsidRPr="00304A37" w:rsidRDefault="00304A37" w:rsidP="00304A37">
      <w:pPr>
        <w:pStyle w:val="ListBullet"/>
      </w:pPr>
      <w:r w:rsidRPr="00304A37">
        <w:t xml:space="preserve">the number of </w:t>
      </w:r>
      <w:r w:rsidRPr="00304A37">
        <w:rPr>
          <w:i/>
        </w:rPr>
        <w:t>Tridacna maxima</w:t>
      </w:r>
      <w:r w:rsidRPr="00304A37">
        <w:t xml:space="preserve"> harvested from the wild for broodstock </w:t>
      </w:r>
    </w:p>
    <w:p w:rsidR="00304A37" w:rsidRPr="00304A37" w:rsidRDefault="00304A37" w:rsidP="00304A37">
      <w:pPr>
        <w:pStyle w:val="ListBullet"/>
      </w:pPr>
      <w:r w:rsidRPr="00304A37">
        <w:t>details of any mortalities of broodstock</w:t>
      </w:r>
    </w:p>
    <w:p w:rsidR="002B5A72" w:rsidRPr="002B5A72" w:rsidRDefault="00304A37" w:rsidP="00304A37">
      <w:pPr>
        <w:pStyle w:val="ListBullet"/>
      </w:pPr>
      <w:r w:rsidRPr="00304A37">
        <w:t>results of mating and rearing trials and the number of specimens reared, lost through brood mortality, numbers sold and those held as stock.</w:t>
      </w:r>
      <w:r w:rsidR="002B5A72" w:rsidRPr="002B5A72">
        <w:t>.</w:t>
      </w:r>
    </w:p>
    <w:p w:rsidR="00AB0B10" w:rsidRDefault="00AB0B10"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F60381" w:rsidRDefault="00F60381" w:rsidP="00F60381">
      <w:pPr>
        <w:spacing w:before="120" w:after="120"/>
        <w:rPr>
          <w:rFonts w:cs="Arial"/>
          <w:b/>
          <w:u w:val="single"/>
        </w:rPr>
      </w:pPr>
    </w:p>
    <w:p w:rsidR="002F69A6" w:rsidRPr="002F69A6" w:rsidRDefault="002F69A6" w:rsidP="002F69A6">
      <w:pPr>
        <w:spacing w:before="120" w:after="120"/>
        <w:jc w:val="center"/>
        <w:rPr>
          <w:rFonts w:cs="Arial"/>
          <w:b/>
          <w:u w:val="single"/>
        </w:rPr>
      </w:pPr>
      <w:r w:rsidRPr="002F69A6">
        <w:rPr>
          <w:rFonts w:cs="Arial"/>
          <w:b/>
          <w:u w:val="single"/>
        </w:rPr>
        <w:t>Notification of Reviewable Decisions and Rights of Review</w:t>
      </w:r>
      <w:r w:rsidRPr="002F69A6">
        <w:rPr>
          <w:rFonts w:cs="Arial"/>
          <w:b/>
          <w:u w:val="single"/>
          <w:vertAlign w:val="superscript"/>
        </w:rPr>
        <w:footnoteReference w:id="1"/>
      </w:r>
    </w:p>
    <w:p w:rsidR="002F69A6" w:rsidRPr="002F69A6" w:rsidRDefault="002F69A6" w:rsidP="002F69A6">
      <w:pPr>
        <w:spacing w:before="120" w:after="120"/>
        <w:jc w:val="both"/>
        <w:rPr>
          <w:rFonts w:cs="Arial"/>
        </w:rPr>
      </w:pPr>
      <w:r w:rsidRPr="002F69A6">
        <w:rPr>
          <w:rFonts w:cs="Arial"/>
        </w:rPr>
        <w:t xml:space="preserve">There is a right of review to the Administrative Appeals Tribunal in relation to certain decisions made by the Minister or the Minister’s delegate under the </w:t>
      </w:r>
      <w:r w:rsidRPr="002F69A6">
        <w:rPr>
          <w:rFonts w:cs="Arial"/>
          <w:i/>
          <w:color w:val="000000"/>
        </w:rPr>
        <w:t xml:space="preserve">Environment Protection and Biodiversity Conservation Act 1999 </w:t>
      </w:r>
      <w:r w:rsidRPr="002F69A6">
        <w:rPr>
          <w:rFonts w:cs="Arial"/>
          <w:color w:val="000000"/>
        </w:rPr>
        <w:t>(</w:t>
      </w:r>
      <w:r w:rsidRPr="002F69A6">
        <w:rPr>
          <w:rFonts w:cs="Arial"/>
          <w:b/>
          <w:color w:val="000000"/>
        </w:rPr>
        <w:t>EPBC Act</w:t>
      </w:r>
      <w:r w:rsidRPr="002F69A6">
        <w:rPr>
          <w:rFonts w:cs="Arial"/>
          <w:color w:val="000000"/>
        </w:rPr>
        <w:t>)</w:t>
      </w:r>
      <w:r w:rsidRPr="002F69A6">
        <w:rPr>
          <w:rFonts w:cs="Arial"/>
        </w:rPr>
        <w:t xml:space="preserve">. </w:t>
      </w:r>
    </w:p>
    <w:p w:rsidR="002F69A6" w:rsidRPr="002F69A6" w:rsidRDefault="002F69A6" w:rsidP="002F69A6">
      <w:pPr>
        <w:spacing w:before="120" w:after="120"/>
        <w:jc w:val="both"/>
        <w:rPr>
          <w:rFonts w:cs="Arial"/>
        </w:rPr>
      </w:pPr>
      <w:r w:rsidRPr="002F69A6">
        <w:rPr>
          <w:rFonts w:cs="Arial"/>
          <w:color w:val="000000"/>
        </w:rPr>
        <w:t>Section 303GJ(1) of the EPBC Act</w:t>
      </w:r>
      <w:r w:rsidRPr="002F69A6">
        <w:rPr>
          <w:rFonts w:cs="Arial"/>
        </w:rPr>
        <w:t xml:space="preserve"> provides that applications may be made to the Administrative Appeals Tribunal for the review of the following decisions of the Minister: </w:t>
      </w:r>
    </w:p>
    <w:p w:rsidR="002F69A6" w:rsidRPr="002F69A6" w:rsidRDefault="002F69A6" w:rsidP="002F69A6">
      <w:pPr>
        <w:numPr>
          <w:ilvl w:val="0"/>
          <w:numId w:val="8"/>
        </w:numPr>
      </w:pPr>
      <w:r w:rsidRPr="002F69A6">
        <w:t>to make, refuse, vary or revoke a declaration under section 303FN of the EPBC Act</w:t>
      </w:r>
    </w:p>
    <w:p w:rsidR="002F69A6" w:rsidRPr="002F69A6" w:rsidRDefault="002F69A6" w:rsidP="002F69A6">
      <w:pPr>
        <w:ind w:left="369" w:hanging="369"/>
      </w:pPr>
      <w:r w:rsidRPr="002F69A6">
        <w:t>If you are dissatisfied with a decision of a type listed above you may:</w:t>
      </w:r>
    </w:p>
    <w:p w:rsidR="002F69A6" w:rsidRPr="002F69A6" w:rsidRDefault="002F69A6" w:rsidP="002F69A6">
      <w:pPr>
        <w:numPr>
          <w:ilvl w:val="0"/>
          <w:numId w:val="8"/>
        </w:numPr>
      </w:pPr>
      <w:r w:rsidRPr="002F69A6">
        <w:t>by notice, provided in writing, request that the Minister or the Minister’s delegate give you a statement in writing setting out the reasons for the decision; and</w:t>
      </w:r>
    </w:p>
    <w:p w:rsidR="002F69A6" w:rsidRPr="002F69A6" w:rsidRDefault="002F69A6" w:rsidP="002F69A6">
      <w:pPr>
        <w:numPr>
          <w:ilvl w:val="0"/>
          <w:numId w:val="8"/>
        </w:numPr>
      </w:pPr>
      <w:r w:rsidRPr="002F69A6">
        <w:t>apply to the Administrative Appeals Tribunal (</w:t>
      </w:r>
      <w:r w:rsidRPr="002F69A6">
        <w:rPr>
          <w:b/>
        </w:rPr>
        <w:t>AAT</w:t>
      </w:r>
      <w:r w:rsidRPr="002F69A6">
        <w:t xml:space="preserve">) for independent merits review of the decision. Application for review of a decision must be made to the AAT within </w:t>
      </w:r>
      <w:r w:rsidRPr="002F69A6">
        <w:rPr>
          <w:b/>
        </w:rPr>
        <w:t>28 days</w:t>
      </w:r>
      <w:r w:rsidRPr="002F69A6">
        <w:t xml:space="preserve"> after the day on which you have received the reviewable decision. </w:t>
      </w:r>
      <w:r w:rsidRPr="002F69A6">
        <w:rPr>
          <w:color w:val="000000" w:themeColor="text1"/>
        </w:rPr>
        <w:t xml:space="preserve">However an extension of time for lodging an application may be granted by the AAT under certain circumstances. Please visit the AAT’s website at </w:t>
      </w:r>
      <w:hyperlink r:id="rId14" w:history="1">
        <w:r w:rsidRPr="002F69A6">
          <w:rPr>
            <w:rFonts w:cs="Arial"/>
            <w:color w:val="000000" w:themeColor="text1"/>
            <w:u w:val="single"/>
          </w:rPr>
          <w:t>http://www.aat.gov.au/</w:t>
        </w:r>
      </w:hyperlink>
      <w:r w:rsidRPr="002F69A6">
        <w:rPr>
          <w:color w:val="000000" w:themeColor="text1"/>
        </w:rPr>
        <w:t xml:space="preserve"> or telephone 1300 366 700 for further information. The role of the AAT is to provide a review mechanism that is fair, just, economical, informal and quick.</w:t>
      </w:r>
    </w:p>
    <w:p w:rsidR="002F69A6" w:rsidRPr="002F69A6" w:rsidRDefault="002F69A6" w:rsidP="002F69A6">
      <w:pPr>
        <w:spacing w:before="120" w:after="120"/>
        <w:ind w:left="369" w:hanging="369"/>
        <w:jc w:val="both"/>
        <w:rPr>
          <w:rFonts w:cs="Arial"/>
          <w:b/>
        </w:rPr>
      </w:pPr>
      <w:r w:rsidRPr="002F69A6">
        <w:rPr>
          <w:rFonts w:cs="Arial"/>
          <w:b/>
        </w:rPr>
        <w:t xml:space="preserve">Applications &amp; Costs </w:t>
      </w:r>
    </w:p>
    <w:p w:rsidR="002F69A6" w:rsidRPr="002F69A6" w:rsidRDefault="002F69A6" w:rsidP="002F69A6">
      <w:pPr>
        <w:spacing w:before="120" w:after="120"/>
        <w:jc w:val="both"/>
        <w:rPr>
          <w:rFonts w:cs="Arial"/>
        </w:rPr>
      </w:pPr>
      <w:r w:rsidRPr="002F69A6">
        <w:rPr>
          <w:rFonts w:cs="Arial"/>
        </w:rPr>
        <w:t xml:space="preserve">Applications to the AAT are made by lodging an Application Form (Form 1). This can be found on the AAT’s website </w:t>
      </w:r>
      <w:hyperlink r:id="rId15" w:history="1">
        <w:r w:rsidRPr="002F69A6">
          <w:rPr>
            <w:rFonts w:cs="Arial"/>
            <w:color w:val="0000FF"/>
            <w:u w:val="single"/>
          </w:rPr>
          <w:t>http://www.aat.gov.au/</w:t>
        </w:r>
      </w:hyperlink>
      <w:r w:rsidRPr="002F69A6">
        <w:rPr>
          <w:rFonts w:cs="Arial"/>
        </w:rPr>
        <w:t xml:space="preserve">. </w:t>
      </w:r>
    </w:p>
    <w:p w:rsidR="002F69A6" w:rsidRPr="002F69A6" w:rsidRDefault="002F69A6" w:rsidP="002F69A6">
      <w:pPr>
        <w:spacing w:before="120" w:after="120"/>
        <w:jc w:val="both"/>
        <w:rPr>
          <w:rFonts w:cs="Arial"/>
        </w:rPr>
      </w:pPr>
      <w:r w:rsidRPr="002F69A6">
        <w:rPr>
          <w:rFonts w:cs="Arial"/>
          <w:color w:val="000000" w:themeColor="text1"/>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rsidR="002F69A6" w:rsidRPr="002F69A6" w:rsidRDefault="002F69A6" w:rsidP="002F69A6">
      <w:pPr>
        <w:spacing w:before="120" w:after="120"/>
        <w:rPr>
          <w:rFonts w:cs="Arial"/>
        </w:rPr>
      </w:pPr>
      <w:r w:rsidRPr="002F69A6">
        <w:rPr>
          <w:rFonts w:cs="Arial"/>
        </w:rPr>
        <w:t xml:space="preserve">The cost of lodging an application for review is $816 (GST inclusive) (current as of 30 March 2016). </w:t>
      </w:r>
    </w:p>
    <w:p w:rsidR="002F69A6" w:rsidRPr="002F69A6" w:rsidRDefault="002F69A6" w:rsidP="002F69A6">
      <w:pPr>
        <w:spacing w:before="120" w:after="120"/>
        <w:rPr>
          <w:rFonts w:cs="Arial"/>
        </w:rPr>
      </w:pPr>
      <w:r w:rsidRPr="002F69A6">
        <w:rPr>
          <w:rFonts w:cs="Arial"/>
        </w:rPr>
        <w:t xml:space="preserve">You may be eligible to pay a reduced fee of $100.00 if:  </w:t>
      </w:r>
    </w:p>
    <w:p w:rsidR="002F69A6" w:rsidRPr="002F69A6" w:rsidRDefault="002F69A6" w:rsidP="002F69A6">
      <w:pPr>
        <w:numPr>
          <w:ilvl w:val="0"/>
          <w:numId w:val="8"/>
        </w:numPr>
        <w:spacing w:before="120" w:after="120"/>
      </w:pPr>
      <w:r w:rsidRPr="002F69A6">
        <w:t>you are receiving legal aid for your application;</w:t>
      </w:r>
    </w:p>
    <w:p w:rsidR="002F69A6" w:rsidRPr="002F69A6" w:rsidRDefault="002F69A6" w:rsidP="002F69A6">
      <w:pPr>
        <w:numPr>
          <w:ilvl w:val="0"/>
          <w:numId w:val="8"/>
        </w:numPr>
        <w:spacing w:before="120" w:after="120"/>
      </w:pPr>
      <w:r w:rsidRPr="002F69A6">
        <w:t>you hold a health care card, a Commonwealth seniors health card or any other card issued by the Department of Social Services or the Department of Veteran’s Affairs that entitles the holder to Commonwealth health concessions;</w:t>
      </w:r>
    </w:p>
    <w:p w:rsidR="002F69A6" w:rsidRPr="002F69A6" w:rsidRDefault="002F69A6" w:rsidP="002F69A6">
      <w:pPr>
        <w:numPr>
          <w:ilvl w:val="0"/>
          <w:numId w:val="8"/>
        </w:numPr>
        <w:spacing w:before="120" w:after="120"/>
      </w:pPr>
      <w:r w:rsidRPr="002F69A6">
        <w:t>you are in prison or lawfully detained in a public institution;</w:t>
      </w:r>
    </w:p>
    <w:p w:rsidR="002F69A6" w:rsidRPr="002F69A6" w:rsidRDefault="002F69A6" w:rsidP="002F69A6">
      <w:pPr>
        <w:numPr>
          <w:ilvl w:val="0"/>
          <w:numId w:val="8"/>
        </w:numPr>
        <w:spacing w:before="120" w:after="120"/>
      </w:pPr>
      <w:r w:rsidRPr="002F69A6">
        <w:t xml:space="preserve">you are under 18 years of age; or </w:t>
      </w:r>
    </w:p>
    <w:p w:rsidR="002F69A6" w:rsidRPr="002F69A6" w:rsidRDefault="002F69A6" w:rsidP="002F69A6">
      <w:pPr>
        <w:numPr>
          <w:ilvl w:val="0"/>
          <w:numId w:val="8"/>
        </w:numPr>
        <w:spacing w:before="120" w:after="120"/>
      </w:pPr>
      <w:r w:rsidRPr="002F69A6">
        <w:t xml:space="preserve">you are receiving youth allowance, Austudy or ABSTUDY. </w:t>
      </w:r>
    </w:p>
    <w:p w:rsidR="002F69A6" w:rsidRPr="002F69A6" w:rsidRDefault="002F69A6" w:rsidP="002F69A6">
      <w:pPr>
        <w:spacing w:before="120" w:beforeAutospacing="1" w:after="120" w:afterAutospacing="1" w:line="240" w:lineRule="auto"/>
        <w:rPr>
          <w:rFonts w:eastAsia="Times New Roman" w:cs="Arial"/>
          <w:lang w:eastAsia="en-AU"/>
        </w:rPr>
      </w:pPr>
      <w:r w:rsidRPr="002F69A6">
        <w:rPr>
          <w:rFonts w:eastAsia="Times New Roman" w:cs="Arial"/>
          <w:lang w:eastAsia="en-AU"/>
        </w:rPr>
        <w:lastRenderedPageBreak/>
        <w:t>You may also be eligible for a reduced fee if you can demonstrate to the AAT that paying the full fee would cause you financial hardship. Further information can be found on the AAT’s website.</w:t>
      </w:r>
    </w:p>
    <w:p w:rsidR="002F69A6" w:rsidRPr="002F69A6" w:rsidRDefault="002F69A6" w:rsidP="002F69A6">
      <w:pPr>
        <w:spacing w:before="120" w:after="120"/>
        <w:rPr>
          <w:rFonts w:cs="Arial"/>
          <w:b/>
        </w:rPr>
      </w:pPr>
      <w:r w:rsidRPr="002F69A6">
        <w:rPr>
          <w:rFonts w:cs="Arial"/>
          <w:b/>
        </w:rPr>
        <w:t>Contact Details</w:t>
      </w:r>
    </w:p>
    <w:p w:rsidR="002F69A6" w:rsidRPr="002F69A6" w:rsidRDefault="002F69A6" w:rsidP="002F69A6">
      <w:pPr>
        <w:spacing w:before="120" w:after="120"/>
        <w:rPr>
          <w:rFonts w:cs="Arial"/>
        </w:rPr>
      </w:pPr>
      <w:r w:rsidRPr="002F69A6">
        <w:rPr>
          <w:rFonts w:cs="Arial"/>
        </w:rPr>
        <w:t>Further information or enquiries relating to the decision should be directed to:</w:t>
      </w:r>
    </w:p>
    <w:p w:rsidR="002F69A6" w:rsidRPr="002F69A6" w:rsidRDefault="002F69A6" w:rsidP="002F69A6">
      <w:pPr>
        <w:spacing w:after="0"/>
        <w:ind w:left="720"/>
        <w:rPr>
          <w:rFonts w:cs="Arial"/>
          <w:color w:val="000000"/>
        </w:rPr>
      </w:pPr>
      <w:r w:rsidRPr="002F69A6">
        <w:rPr>
          <w:rFonts w:cs="Arial"/>
          <w:color w:val="000000"/>
        </w:rPr>
        <w:t>The Director</w:t>
      </w:r>
    </w:p>
    <w:p w:rsidR="002F69A6" w:rsidRPr="002F69A6" w:rsidRDefault="002F69A6" w:rsidP="002F69A6">
      <w:pPr>
        <w:spacing w:after="0"/>
        <w:ind w:left="720"/>
        <w:rPr>
          <w:rFonts w:cs="Arial"/>
          <w:color w:val="000000"/>
        </w:rPr>
      </w:pPr>
      <w:r w:rsidRPr="002F69A6">
        <w:rPr>
          <w:rFonts w:cs="Arial"/>
          <w:color w:val="000000"/>
        </w:rPr>
        <w:t>Sustainable Fisheries Section</w:t>
      </w:r>
      <w:r w:rsidRPr="002F69A6">
        <w:rPr>
          <w:rFonts w:cs="Arial"/>
          <w:color w:val="000000"/>
        </w:rPr>
        <w:br/>
        <w:t>Department of the Environment</w:t>
      </w:r>
      <w:r w:rsidRPr="002F69A6">
        <w:rPr>
          <w:rFonts w:cs="Arial"/>
          <w:color w:val="000000"/>
        </w:rPr>
        <w:br/>
        <w:t>GPO Box 787</w:t>
      </w:r>
      <w:r w:rsidRPr="002F69A6">
        <w:rPr>
          <w:rFonts w:cs="Arial"/>
          <w:color w:val="000000"/>
        </w:rPr>
        <w:br/>
        <w:t>Canberra ACT 2601</w:t>
      </w:r>
      <w:r w:rsidRPr="002F69A6">
        <w:rPr>
          <w:rFonts w:cs="Arial"/>
          <w:color w:val="000000"/>
        </w:rPr>
        <w:br/>
      </w:r>
      <w:r w:rsidRPr="002F69A6">
        <w:rPr>
          <w:rFonts w:cs="Arial"/>
          <w:b/>
          <w:bCs/>
          <w:color w:val="000000"/>
        </w:rPr>
        <w:t>Telephone:</w:t>
      </w:r>
      <w:r w:rsidRPr="002F69A6">
        <w:rPr>
          <w:rFonts w:cs="Arial"/>
          <w:color w:val="000000"/>
        </w:rPr>
        <w:t xml:space="preserve"> +61 (0) 2 6274 1917</w:t>
      </w:r>
    </w:p>
    <w:p w:rsidR="002F69A6" w:rsidRPr="002F69A6" w:rsidRDefault="002F69A6" w:rsidP="002F69A6">
      <w:pPr>
        <w:ind w:left="720"/>
        <w:rPr>
          <w:rFonts w:cs="Arial"/>
          <w:color w:val="000000"/>
          <w:u w:val="single"/>
        </w:rPr>
      </w:pPr>
      <w:r w:rsidRPr="002F69A6">
        <w:rPr>
          <w:rFonts w:cs="Arial"/>
          <w:b/>
          <w:bCs/>
          <w:color w:val="000000"/>
        </w:rPr>
        <w:t>Email:</w:t>
      </w:r>
      <w:r w:rsidRPr="002F69A6">
        <w:rPr>
          <w:rFonts w:cs="Arial"/>
          <w:color w:val="000000"/>
        </w:rPr>
        <w:t xml:space="preserve"> </w:t>
      </w:r>
      <w:r w:rsidRPr="002F69A6">
        <w:rPr>
          <w:rFonts w:cs="Arial"/>
          <w:color w:val="000000"/>
          <w:u w:val="single"/>
        </w:rPr>
        <w:t>sustainablefisheries@environment.gov.au</w:t>
      </w:r>
    </w:p>
    <w:p w:rsidR="002F69A6" w:rsidRPr="002F69A6" w:rsidRDefault="002F69A6" w:rsidP="002F69A6">
      <w:pPr>
        <w:spacing w:before="120" w:after="120"/>
        <w:jc w:val="both"/>
        <w:rPr>
          <w:rFonts w:cs="Arial"/>
        </w:rPr>
      </w:pPr>
      <w:r w:rsidRPr="002F69A6">
        <w:rPr>
          <w:rFonts w:cs="Arial"/>
        </w:rPr>
        <w:t xml:space="preserve">Alternatively you may contact the AAT at their Principal Registry or the Deputy Registrar, Administrative Appeals Tribunal in your Capital City or Territory. </w:t>
      </w:r>
    </w:p>
    <w:p w:rsidR="002F69A6" w:rsidRPr="002F69A6" w:rsidRDefault="002F69A6" w:rsidP="002F69A6">
      <w:pPr>
        <w:spacing w:after="0"/>
        <w:ind w:left="720"/>
        <w:rPr>
          <w:rFonts w:cs="Arial"/>
        </w:rPr>
      </w:pPr>
      <w:r w:rsidRPr="002F69A6">
        <w:rPr>
          <w:rFonts w:cs="Arial"/>
        </w:rPr>
        <w:t>Administrative Appeals Tribunal</w:t>
      </w:r>
      <w:r w:rsidRPr="002F69A6">
        <w:rPr>
          <w:rFonts w:cs="Arial"/>
        </w:rPr>
        <w:br/>
        <w:t xml:space="preserve">GPO Box 9955 </w:t>
      </w:r>
      <w:r w:rsidRPr="002F69A6">
        <w:rPr>
          <w:rFonts w:cs="Arial"/>
        </w:rPr>
        <w:br/>
        <w:t>Sydney NSW 2001</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T: (02) 9391 2400 (metropolitan area) or 1300 366 700 (country areas)</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F: (02) 9267 5538</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 xml:space="preserve">E: </w:t>
      </w:r>
      <w:hyperlink r:id="rId16" w:history="1">
        <w:r w:rsidRPr="002F69A6">
          <w:rPr>
            <w:rFonts w:eastAsia="Times New Roman" w:cs="Arial"/>
            <w:color w:val="0000FF"/>
            <w:u w:val="single"/>
            <w:lang w:eastAsia="en-AU"/>
          </w:rPr>
          <w:t>Principal.Registry@aat.gov.au</w:t>
        </w:r>
      </w:hyperlink>
    </w:p>
    <w:p w:rsidR="002F69A6" w:rsidRPr="002F69A6" w:rsidRDefault="002F69A6" w:rsidP="002F69A6">
      <w:pPr>
        <w:spacing w:after="0" w:line="240" w:lineRule="auto"/>
        <w:ind w:left="720"/>
        <w:jc w:val="both"/>
        <w:rPr>
          <w:rFonts w:ascii="Times New Roman" w:eastAsia="Times New Roman" w:hAnsi="Times New Roman"/>
          <w:sz w:val="24"/>
          <w:szCs w:val="24"/>
          <w:lang w:eastAsia="en-AU"/>
        </w:rPr>
      </w:pPr>
      <w:r w:rsidRPr="002F69A6">
        <w:rPr>
          <w:rFonts w:eastAsia="Times New Roman" w:cs="Arial"/>
          <w:lang w:eastAsia="en-AU"/>
        </w:rPr>
        <w:t xml:space="preserve">W: </w:t>
      </w:r>
      <w:hyperlink r:id="rId17" w:history="1">
        <w:r w:rsidRPr="002F69A6">
          <w:rPr>
            <w:rFonts w:eastAsia="Times New Roman" w:cs="Arial"/>
            <w:color w:val="0000FF"/>
            <w:u w:val="single"/>
            <w:lang w:eastAsia="en-AU"/>
          </w:rPr>
          <w:t>http://www.aat.gov.au/default.htm</w:t>
        </w:r>
      </w:hyperlink>
    </w:p>
    <w:p w:rsidR="002F69A6" w:rsidRPr="002F69A6" w:rsidRDefault="002F69A6" w:rsidP="002F69A6">
      <w:pPr>
        <w:spacing w:after="0" w:line="240" w:lineRule="auto"/>
        <w:jc w:val="both"/>
        <w:rPr>
          <w:rFonts w:eastAsia="Times New Roman" w:cs="Arial"/>
          <w:lang w:eastAsia="en-AU"/>
        </w:rPr>
      </w:pPr>
    </w:p>
    <w:p w:rsidR="002F69A6" w:rsidRPr="002F69A6" w:rsidRDefault="002F69A6" w:rsidP="002F69A6">
      <w:pPr>
        <w:spacing w:after="0" w:line="240" w:lineRule="auto"/>
        <w:jc w:val="both"/>
        <w:rPr>
          <w:rFonts w:eastAsia="Times New Roman" w:cs="Arial"/>
          <w:lang w:eastAsia="en-AU"/>
        </w:rPr>
      </w:pPr>
      <w:r w:rsidRPr="002F69A6">
        <w:rPr>
          <w:rFonts w:eastAsia="Times New Roman" w:cs="Arial"/>
          <w:lang w:eastAsia="en-AU"/>
        </w:rPr>
        <w:t>From 2 May 2016, the contact details of the Principal Registry of the AAT will be:</w:t>
      </w:r>
    </w:p>
    <w:p w:rsidR="002F69A6" w:rsidRPr="002F69A6" w:rsidRDefault="002F69A6" w:rsidP="002F69A6">
      <w:pPr>
        <w:spacing w:after="0"/>
        <w:ind w:left="720"/>
        <w:rPr>
          <w:rFonts w:cs="Arial"/>
        </w:rPr>
      </w:pPr>
    </w:p>
    <w:p w:rsidR="002F69A6" w:rsidRPr="002F69A6" w:rsidRDefault="002F69A6" w:rsidP="002F69A6">
      <w:pPr>
        <w:spacing w:after="0"/>
        <w:ind w:left="720"/>
        <w:rPr>
          <w:rFonts w:cs="Arial"/>
        </w:rPr>
      </w:pPr>
      <w:r w:rsidRPr="002F69A6">
        <w:rPr>
          <w:rFonts w:cs="Arial"/>
        </w:rPr>
        <w:t>Street address: Level 6, 83 Clarence Street, Sydney</w:t>
      </w:r>
      <w:r w:rsidRPr="002F69A6">
        <w:rPr>
          <w:rFonts w:cs="Arial"/>
        </w:rPr>
        <w:br/>
        <w:t>Mailing address: GPO Box 9955, Sydney, NSW 2001</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 xml:space="preserve">T: 1800 228 333 and (02) 9276 5000 </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F: (02) 9276 5599</w:t>
      </w:r>
    </w:p>
    <w:p w:rsidR="002F69A6" w:rsidRPr="002F69A6" w:rsidRDefault="002F69A6" w:rsidP="002F69A6">
      <w:pPr>
        <w:spacing w:after="0" w:line="240" w:lineRule="auto"/>
        <w:ind w:left="720"/>
        <w:jc w:val="both"/>
        <w:rPr>
          <w:rFonts w:eastAsia="Times New Roman" w:cs="Arial"/>
          <w:lang w:eastAsia="en-AU"/>
        </w:rPr>
      </w:pPr>
      <w:r w:rsidRPr="002F69A6">
        <w:rPr>
          <w:rFonts w:eastAsia="Times New Roman" w:cs="Arial"/>
          <w:lang w:eastAsia="en-AU"/>
        </w:rPr>
        <w:t xml:space="preserve">E: </w:t>
      </w:r>
      <w:hyperlink r:id="rId18" w:history="1">
        <w:r w:rsidRPr="002F69A6">
          <w:rPr>
            <w:rFonts w:eastAsia="Times New Roman" w:cs="Arial"/>
            <w:color w:val="0000FF"/>
            <w:u w:val="single"/>
            <w:lang w:eastAsia="en-AU"/>
          </w:rPr>
          <w:t>generalreviews@aat.gov.au</w:t>
        </w:r>
      </w:hyperlink>
      <w:r w:rsidRPr="002F69A6">
        <w:rPr>
          <w:rFonts w:eastAsia="Times New Roman" w:cs="Arial"/>
          <w:lang w:eastAsia="en-AU"/>
        </w:rPr>
        <w:t xml:space="preserve"> </w:t>
      </w:r>
    </w:p>
    <w:p w:rsidR="002F69A6" w:rsidRPr="002F69A6" w:rsidRDefault="002F69A6" w:rsidP="002F69A6">
      <w:pPr>
        <w:spacing w:after="0" w:line="240" w:lineRule="auto"/>
        <w:ind w:left="720"/>
        <w:jc w:val="both"/>
        <w:rPr>
          <w:rFonts w:ascii="Times New Roman" w:eastAsia="Times New Roman" w:hAnsi="Times New Roman"/>
          <w:sz w:val="24"/>
          <w:szCs w:val="24"/>
          <w:lang w:eastAsia="en-AU"/>
        </w:rPr>
      </w:pPr>
      <w:r w:rsidRPr="002F69A6">
        <w:rPr>
          <w:rFonts w:eastAsia="Times New Roman" w:cs="Arial"/>
          <w:lang w:eastAsia="en-AU"/>
        </w:rPr>
        <w:t xml:space="preserve">W: </w:t>
      </w:r>
      <w:hyperlink r:id="rId19" w:history="1">
        <w:r w:rsidRPr="002F69A6">
          <w:rPr>
            <w:rFonts w:eastAsia="Times New Roman" w:cs="Arial"/>
            <w:color w:val="0000FF"/>
            <w:u w:val="single"/>
            <w:lang w:eastAsia="en-AU"/>
          </w:rPr>
          <w:t>http://www.aat.gov.au</w:t>
        </w:r>
      </w:hyperlink>
      <w:r w:rsidRPr="002F69A6">
        <w:rPr>
          <w:rFonts w:eastAsia="Times New Roman" w:cs="Arial"/>
          <w:lang w:eastAsia="en-AU"/>
        </w:rPr>
        <w:t xml:space="preserve"> </w:t>
      </w:r>
    </w:p>
    <w:p w:rsidR="002F69A6" w:rsidRPr="002F69A6" w:rsidRDefault="002F69A6" w:rsidP="002F69A6">
      <w:pPr>
        <w:spacing w:before="120" w:after="120"/>
        <w:rPr>
          <w:rFonts w:cs="Arial"/>
          <w:b/>
        </w:rPr>
      </w:pPr>
    </w:p>
    <w:p w:rsidR="002F69A6" w:rsidRPr="002F69A6" w:rsidRDefault="002F69A6" w:rsidP="002F69A6">
      <w:pPr>
        <w:spacing w:before="120" w:after="120"/>
        <w:rPr>
          <w:rFonts w:cs="Arial"/>
          <w:b/>
        </w:rPr>
      </w:pPr>
      <w:r w:rsidRPr="002F69A6">
        <w:rPr>
          <w:rFonts w:cs="Arial"/>
          <w:b/>
        </w:rPr>
        <w:t>Freedom of Information Request</w:t>
      </w:r>
    </w:p>
    <w:p w:rsidR="002F69A6" w:rsidRPr="002F69A6" w:rsidRDefault="002F69A6" w:rsidP="002F69A6">
      <w:pPr>
        <w:spacing w:before="120" w:after="120"/>
        <w:rPr>
          <w:rFonts w:eastAsia="Times New Roman" w:cs="Arial"/>
        </w:rPr>
      </w:pPr>
      <w:r w:rsidRPr="002F69A6">
        <w:rPr>
          <w:rFonts w:eastAsia="Times New Roman" w:cs="Arial"/>
        </w:rPr>
        <w:t xml:space="preserve">You may make an application under the </w:t>
      </w:r>
      <w:r w:rsidRPr="002F69A6">
        <w:rPr>
          <w:rFonts w:eastAsia="Times New Roman" w:cs="Arial"/>
          <w:i/>
          <w:iCs/>
        </w:rPr>
        <w:t>Freedom of Information Act 1982</w:t>
      </w:r>
      <w:r w:rsidRPr="002F69A6">
        <w:rPr>
          <w:rFonts w:eastAsia="Times New Roman" w:cs="Arial"/>
        </w:rPr>
        <w:t xml:space="preserve"> (FOI Act) to access documents. Further information can be found at </w:t>
      </w:r>
      <w:hyperlink r:id="rId20" w:history="1">
        <w:r w:rsidRPr="002F69A6">
          <w:rPr>
            <w:rFonts w:eastAsia="Times New Roman" w:cs="Arial"/>
            <w:color w:val="0000FF"/>
            <w:u w:val="single"/>
          </w:rPr>
          <w:t>http://www.environment.gov.au/foi/index.html</w:t>
        </w:r>
      </w:hyperlink>
    </w:p>
    <w:p w:rsidR="002F69A6" w:rsidRDefault="002F69A6" w:rsidP="002F69A6">
      <w:pPr>
        <w:pStyle w:val="ListNumber"/>
        <w:numPr>
          <w:ilvl w:val="0"/>
          <w:numId w:val="0"/>
        </w:numPr>
        <w:spacing w:after="120"/>
        <w:rPr>
          <w:highlight w:val="yellow"/>
        </w:rPr>
      </w:pPr>
      <w:r w:rsidRPr="002F69A6">
        <w:rPr>
          <w:rFonts w:eastAsia="Times New Roman" w:cs="Arial"/>
        </w:rPr>
        <w:t xml:space="preserve">Please contact the Freedom of Information Contact Officer at </w:t>
      </w:r>
      <w:hyperlink r:id="rId21" w:history="1">
        <w:r w:rsidRPr="002F69A6">
          <w:rPr>
            <w:rFonts w:cs="Arial"/>
            <w:color w:val="0000FF"/>
            <w:u w:val="single"/>
          </w:rPr>
          <w:t>foi@environment.gov.au</w:t>
        </w:r>
      </w:hyperlink>
      <w:r w:rsidRPr="002F69A6">
        <w:rPr>
          <w:rFonts w:cs="Arial"/>
        </w:rPr>
        <w:t xml:space="preserve"> for more information.</w:t>
      </w: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Default="002F69A6" w:rsidP="00ED2BB8">
      <w:pPr>
        <w:pStyle w:val="ListNumber"/>
        <w:numPr>
          <w:ilvl w:val="0"/>
          <w:numId w:val="0"/>
        </w:numPr>
        <w:spacing w:after="120"/>
        <w:rPr>
          <w:highlight w:val="yellow"/>
        </w:rPr>
      </w:pPr>
    </w:p>
    <w:p w:rsidR="002F69A6" w:rsidRPr="00CB0489" w:rsidRDefault="002F69A6" w:rsidP="00ED2BB8">
      <w:pPr>
        <w:pStyle w:val="ListNumber"/>
        <w:numPr>
          <w:ilvl w:val="0"/>
          <w:numId w:val="0"/>
        </w:numPr>
        <w:spacing w:after="120"/>
        <w:rPr>
          <w:highlight w:val="yellow"/>
        </w:rPr>
      </w:pPr>
    </w:p>
    <w:sectPr w:rsidR="002F69A6" w:rsidRPr="00CB0489" w:rsidSect="00C325B9">
      <w:headerReference w:type="default" r:id="rId22"/>
      <w:headerReference w:type="first" r:id="rId23"/>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B47" w:rsidRDefault="003F2B47" w:rsidP="00A60185">
      <w:pPr>
        <w:spacing w:after="0" w:line="240" w:lineRule="auto"/>
      </w:pPr>
      <w:r>
        <w:separator/>
      </w:r>
    </w:p>
  </w:endnote>
  <w:endnote w:type="continuationSeparator" w:id="0">
    <w:p w:rsidR="003F2B47" w:rsidRDefault="003F2B4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B47" w:rsidRDefault="003F2B47" w:rsidP="00A60185">
      <w:pPr>
        <w:spacing w:after="0" w:line="240" w:lineRule="auto"/>
      </w:pPr>
      <w:r>
        <w:separator/>
      </w:r>
    </w:p>
  </w:footnote>
  <w:footnote w:type="continuationSeparator" w:id="0">
    <w:p w:rsidR="003F2B47" w:rsidRDefault="003F2B47" w:rsidP="00A60185">
      <w:pPr>
        <w:spacing w:after="0" w:line="240" w:lineRule="auto"/>
      </w:pPr>
      <w:r>
        <w:continuationSeparator/>
      </w:r>
    </w:p>
  </w:footnote>
  <w:footnote w:id="1">
    <w:p w:rsidR="003F2B47" w:rsidRDefault="003F2B47" w:rsidP="002F69A6">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48" w:rsidRDefault="0014024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B47" w:rsidRDefault="00140248" w:rsidP="00330F87">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48.75pt;visibility:visible;mso-wrap-style:square">
          <v:imagedata r:id="rId1" o:title="Dept the Environment inli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B47" w:rsidRDefault="003F2B47"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03230BE2"/>
    <w:multiLevelType w:val="hybridMultilevel"/>
    <w:tmpl w:val="0546CA14"/>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13FA1143"/>
    <w:multiLevelType w:val="hybridMultilevel"/>
    <w:tmpl w:val="8DC428FA"/>
    <w:lvl w:ilvl="0" w:tplc="69729924">
      <w:start w:val="1"/>
      <w:numFmt w:val="lowerLetter"/>
      <w:lvlText w:val="%1."/>
      <w:lvlJc w:val="left"/>
      <w:pPr>
        <w:tabs>
          <w:tab w:val="num" w:pos="360"/>
        </w:tabs>
        <w:ind w:left="360" w:hanging="360"/>
      </w:pPr>
      <w:rPr>
        <w:rFonts w:ascii="Times New Roman" w:eastAsia="Times New Roman" w:hAnsi="Times New Roman" w:cs="Times New Roman"/>
        <w:color w:val="auto"/>
      </w:rPr>
    </w:lvl>
    <w:lvl w:ilvl="1" w:tplc="499080DC">
      <w:start w:val="1"/>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1D7120FB"/>
    <w:multiLevelType w:val="singleLevel"/>
    <w:tmpl w:val="2000EDEA"/>
    <w:lvl w:ilvl="0">
      <w:start w:val="1"/>
      <w:numFmt w:val="upperLetter"/>
      <w:lvlText w:val="%1:"/>
      <w:lvlJc w:val="left"/>
      <w:pPr>
        <w:ind w:left="360" w:hanging="360"/>
      </w:pPr>
      <w:rPr>
        <w:rFonts w:hint="default"/>
        <w:sz w:val="22"/>
      </w:r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2037D38"/>
    <w:multiLevelType w:val="hybridMultilevel"/>
    <w:tmpl w:val="0614711E"/>
    <w:lvl w:ilvl="0" w:tplc="2AA42046">
      <w:start w:val="1"/>
      <w:numFmt w:val="decimal"/>
      <w:lvlText w:val="%1."/>
      <w:lvlJc w:val="left"/>
      <w:pPr>
        <w:tabs>
          <w:tab w:val="num" w:pos="360"/>
        </w:tabs>
        <w:ind w:left="360" w:hanging="360"/>
      </w:pPr>
      <w:rPr>
        <w:rFonts w:ascii="Times New Roman" w:hAnsi="Times New Roman" w:hint="default"/>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EB1C222E">
      <w:start w:val="1"/>
      <w:numFmt w:val="lowerRoman"/>
      <w:lvlText w:val="%3."/>
      <w:lvlJc w:val="right"/>
      <w:pPr>
        <w:tabs>
          <w:tab w:val="num" w:pos="340"/>
        </w:tabs>
        <w:ind w:left="340" w:hanging="5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5">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nsid w:val="6FAE23A7"/>
    <w:multiLevelType w:val="singleLevel"/>
    <w:tmpl w:val="2000EDEA"/>
    <w:lvl w:ilvl="0">
      <w:start w:val="1"/>
      <w:numFmt w:val="upperLetter"/>
      <w:lvlText w:val="%1:"/>
      <w:lvlJc w:val="left"/>
      <w:pPr>
        <w:ind w:left="360" w:hanging="360"/>
      </w:pPr>
      <w:rPr>
        <w:rFonts w:hint="default"/>
        <w:sz w:val="22"/>
      </w:rPr>
    </w:lvl>
  </w:abstractNum>
  <w:abstractNum w:abstractNumId="2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9"/>
  </w:num>
  <w:num w:numId="4">
    <w:abstractNumId w:val="17"/>
  </w:num>
  <w:num w:numId="5">
    <w:abstractNumId w:val="8"/>
  </w:num>
  <w:num w:numId="6">
    <w:abstractNumId w:val="7"/>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3"/>
  </w:num>
  <w:num w:numId="19">
    <w:abstractNumId w:val="22"/>
  </w:num>
  <w:num w:numId="20">
    <w:abstractNumId w:val="12"/>
  </w:num>
  <w:num w:numId="21">
    <w:abstractNumId w:val="10"/>
  </w:num>
  <w:num w:numId="22">
    <w:abstractNumId w:val="1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9"/>
  </w:num>
  <w:num w:numId="3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2"/>
  </w:num>
  <w:num w:numId="3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TrackMoves/>
  <w:defaultTabStop w:val="720"/>
  <w:drawingGridHorizontalSpacing w:val="110"/>
  <w:displayHorizontalDrawingGridEvery w:val="2"/>
  <w:displayVerticalDrawingGridEvery w:val="2"/>
  <w:characterSpacingControl w:val="doNotCompress"/>
  <w:hdrShapeDefaults>
    <o:shapedefaults v:ext="edit" spidmax="788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ED2BB8"/>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80A47"/>
    <w:rsid w:val="0008410F"/>
    <w:rsid w:val="00084AC6"/>
    <w:rsid w:val="00085C49"/>
    <w:rsid w:val="00087100"/>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E5C87"/>
    <w:rsid w:val="000F1E51"/>
    <w:rsid w:val="001047E4"/>
    <w:rsid w:val="0011030F"/>
    <w:rsid w:val="0011325D"/>
    <w:rsid w:val="0011498E"/>
    <w:rsid w:val="00115BF1"/>
    <w:rsid w:val="00117A45"/>
    <w:rsid w:val="001219EE"/>
    <w:rsid w:val="001224AE"/>
    <w:rsid w:val="0012744F"/>
    <w:rsid w:val="001337D4"/>
    <w:rsid w:val="001369E3"/>
    <w:rsid w:val="00140248"/>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73290"/>
    <w:rsid w:val="00285F1B"/>
    <w:rsid w:val="00292B81"/>
    <w:rsid w:val="00297D18"/>
    <w:rsid w:val="002A0E15"/>
    <w:rsid w:val="002A11A4"/>
    <w:rsid w:val="002B18AE"/>
    <w:rsid w:val="002B3674"/>
    <w:rsid w:val="002B5A72"/>
    <w:rsid w:val="002C1C93"/>
    <w:rsid w:val="002C2FB1"/>
    <w:rsid w:val="002C5066"/>
    <w:rsid w:val="002C58A6"/>
    <w:rsid w:val="002D022C"/>
    <w:rsid w:val="002D419A"/>
    <w:rsid w:val="002D4AAC"/>
    <w:rsid w:val="002E3BAF"/>
    <w:rsid w:val="002E5D24"/>
    <w:rsid w:val="002F045A"/>
    <w:rsid w:val="002F18F8"/>
    <w:rsid w:val="002F23D0"/>
    <w:rsid w:val="002F28E1"/>
    <w:rsid w:val="002F69A6"/>
    <w:rsid w:val="0030039D"/>
    <w:rsid w:val="0030171F"/>
    <w:rsid w:val="00302B2F"/>
    <w:rsid w:val="0030326F"/>
    <w:rsid w:val="00304A37"/>
    <w:rsid w:val="00305ED4"/>
    <w:rsid w:val="00310675"/>
    <w:rsid w:val="00310701"/>
    <w:rsid w:val="00315980"/>
    <w:rsid w:val="00316F7F"/>
    <w:rsid w:val="00320DFB"/>
    <w:rsid w:val="003218E8"/>
    <w:rsid w:val="003230EE"/>
    <w:rsid w:val="00330DCE"/>
    <w:rsid w:val="00330F87"/>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2B47"/>
    <w:rsid w:val="003F6F5B"/>
    <w:rsid w:val="00402F24"/>
    <w:rsid w:val="0040342D"/>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2E9F"/>
    <w:rsid w:val="004E0330"/>
    <w:rsid w:val="004E47E7"/>
    <w:rsid w:val="004F60AC"/>
    <w:rsid w:val="004F7169"/>
    <w:rsid w:val="00500D66"/>
    <w:rsid w:val="00514C8E"/>
    <w:rsid w:val="0052361B"/>
    <w:rsid w:val="00525EF4"/>
    <w:rsid w:val="0052681E"/>
    <w:rsid w:val="00527851"/>
    <w:rsid w:val="00531DBF"/>
    <w:rsid w:val="00535D49"/>
    <w:rsid w:val="00545759"/>
    <w:rsid w:val="00545BE0"/>
    <w:rsid w:val="00557D44"/>
    <w:rsid w:val="00562E85"/>
    <w:rsid w:val="0056332F"/>
    <w:rsid w:val="0056373D"/>
    <w:rsid w:val="00566906"/>
    <w:rsid w:val="005675AE"/>
    <w:rsid w:val="00581C39"/>
    <w:rsid w:val="00585198"/>
    <w:rsid w:val="00586CB3"/>
    <w:rsid w:val="00587579"/>
    <w:rsid w:val="00587C57"/>
    <w:rsid w:val="005903B6"/>
    <w:rsid w:val="005931E7"/>
    <w:rsid w:val="005A0247"/>
    <w:rsid w:val="005B140D"/>
    <w:rsid w:val="005B593C"/>
    <w:rsid w:val="005C1970"/>
    <w:rsid w:val="005C1FEA"/>
    <w:rsid w:val="005C2672"/>
    <w:rsid w:val="005C3495"/>
    <w:rsid w:val="005D6F37"/>
    <w:rsid w:val="005E35DC"/>
    <w:rsid w:val="005E3DFC"/>
    <w:rsid w:val="005E5D52"/>
    <w:rsid w:val="005E60AF"/>
    <w:rsid w:val="005F1DEA"/>
    <w:rsid w:val="005F1F03"/>
    <w:rsid w:val="0060462F"/>
    <w:rsid w:val="0060602D"/>
    <w:rsid w:val="00607FC9"/>
    <w:rsid w:val="0061002D"/>
    <w:rsid w:val="00622FE1"/>
    <w:rsid w:val="0062521C"/>
    <w:rsid w:val="00630A2B"/>
    <w:rsid w:val="00631D4A"/>
    <w:rsid w:val="00632DC7"/>
    <w:rsid w:val="006357FB"/>
    <w:rsid w:val="00635C5E"/>
    <w:rsid w:val="006406FC"/>
    <w:rsid w:val="00643B47"/>
    <w:rsid w:val="00645CB8"/>
    <w:rsid w:val="00651041"/>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27E08"/>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58C"/>
    <w:rsid w:val="007B1A4E"/>
    <w:rsid w:val="007B3617"/>
    <w:rsid w:val="007B3D05"/>
    <w:rsid w:val="007B4D03"/>
    <w:rsid w:val="007B5B2F"/>
    <w:rsid w:val="007C093A"/>
    <w:rsid w:val="007C0C81"/>
    <w:rsid w:val="007C114B"/>
    <w:rsid w:val="007C1328"/>
    <w:rsid w:val="007D14B4"/>
    <w:rsid w:val="007D2191"/>
    <w:rsid w:val="007D2FC3"/>
    <w:rsid w:val="007D5962"/>
    <w:rsid w:val="007E24F6"/>
    <w:rsid w:val="007F008F"/>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77FD2"/>
    <w:rsid w:val="00882459"/>
    <w:rsid w:val="00890C23"/>
    <w:rsid w:val="008A2B4A"/>
    <w:rsid w:val="008A3C96"/>
    <w:rsid w:val="008B4019"/>
    <w:rsid w:val="008B65C9"/>
    <w:rsid w:val="008C2D4A"/>
    <w:rsid w:val="008C49DA"/>
    <w:rsid w:val="008D3900"/>
    <w:rsid w:val="008D6E1D"/>
    <w:rsid w:val="008E611A"/>
    <w:rsid w:val="008F0E17"/>
    <w:rsid w:val="008F39B4"/>
    <w:rsid w:val="008F4162"/>
    <w:rsid w:val="00903E02"/>
    <w:rsid w:val="00905A36"/>
    <w:rsid w:val="009120E4"/>
    <w:rsid w:val="00912DB0"/>
    <w:rsid w:val="00913175"/>
    <w:rsid w:val="00916EDB"/>
    <w:rsid w:val="009240A6"/>
    <w:rsid w:val="009242EF"/>
    <w:rsid w:val="009252EF"/>
    <w:rsid w:val="00932291"/>
    <w:rsid w:val="0093408E"/>
    <w:rsid w:val="00947CBC"/>
    <w:rsid w:val="0095201C"/>
    <w:rsid w:val="00952DDF"/>
    <w:rsid w:val="009602A8"/>
    <w:rsid w:val="0096170E"/>
    <w:rsid w:val="00965253"/>
    <w:rsid w:val="0097415B"/>
    <w:rsid w:val="009769F2"/>
    <w:rsid w:val="00976E4A"/>
    <w:rsid w:val="009B3234"/>
    <w:rsid w:val="009B38BE"/>
    <w:rsid w:val="009C333F"/>
    <w:rsid w:val="009C3D0F"/>
    <w:rsid w:val="009C6C93"/>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1E63"/>
    <w:rsid w:val="00A539B1"/>
    <w:rsid w:val="00A55F5B"/>
    <w:rsid w:val="00A57FB9"/>
    <w:rsid w:val="00A60185"/>
    <w:rsid w:val="00A60B0D"/>
    <w:rsid w:val="00A65959"/>
    <w:rsid w:val="00A661EA"/>
    <w:rsid w:val="00A70809"/>
    <w:rsid w:val="00A7428A"/>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7B11"/>
    <w:rsid w:val="00B32F8F"/>
    <w:rsid w:val="00B36ACE"/>
    <w:rsid w:val="00B404DC"/>
    <w:rsid w:val="00B54DE9"/>
    <w:rsid w:val="00B553EC"/>
    <w:rsid w:val="00B62B98"/>
    <w:rsid w:val="00B65E27"/>
    <w:rsid w:val="00B66855"/>
    <w:rsid w:val="00B66EBE"/>
    <w:rsid w:val="00B70ED4"/>
    <w:rsid w:val="00B774CD"/>
    <w:rsid w:val="00B80ECC"/>
    <w:rsid w:val="00B912DE"/>
    <w:rsid w:val="00B93DD0"/>
    <w:rsid w:val="00B97732"/>
    <w:rsid w:val="00BA0922"/>
    <w:rsid w:val="00BA17FC"/>
    <w:rsid w:val="00BA2E7C"/>
    <w:rsid w:val="00BA65A8"/>
    <w:rsid w:val="00BA6D19"/>
    <w:rsid w:val="00BA7461"/>
    <w:rsid w:val="00BA7DA9"/>
    <w:rsid w:val="00BB418A"/>
    <w:rsid w:val="00BC0616"/>
    <w:rsid w:val="00BC4215"/>
    <w:rsid w:val="00BC473A"/>
    <w:rsid w:val="00BD1A6F"/>
    <w:rsid w:val="00BD5DB8"/>
    <w:rsid w:val="00BD5F54"/>
    <w:rsid w:val="00BE033E"/>
    <w:rsid w:val="00BE1046"/>
    <w:rsid w:val="00BE4871"/>
    <w:rsid w:val="00BE6D3C"/>
    <w:rsid w:val="00BE7852"/>
    <w:rsid w:val="00BE7E91"/>
    <w:rsid w:val="00BF0762"/>
    <w:rsid w:val="00BF1A68"/>
    <w:rsid w:val="00BF333C"/>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2F92"/>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7E72"/>
    <w:rsid w:val="00CE24FA"/>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A1B12"/>
    <w:rsid w:val="00DA54C9"/>
    <w:rsid w:val="00DA6739"/>
    <w:rsid w:val="00DA6CAE"/>
    <w:rsid w:val="00DB1A9E"/>
    <w:rsid w:val="00DB31D6"/>
    <w:rsid w:val="00DB4005"/>
    <w:rsid w:val="00DB4CBF"/>
    <w:rsid w:val="00DC34EB"/>
    <w:rsid w:val="00DC781A"/>
    <w:rsid w:val="00DD0616"/>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372D"/>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D2BB8"/>
    <w:rsid w:val="00EE1E28"/>
    <w:rsid w:val="00EE2A2B"/>
    <w:rsid w:val="00EE3146"/>
    <w:rsid w:val="00EF0C37"/>
    <w:rsid w:val="00EF50BB"/>
    <w:rsid w:val="00EF746E"/>
    <w:rsid w:val="00EF7DAD"/>
    <w:rsid w:val="00F00192"/>
    <w:rsid w:val="00F01DF6"/>
    <w:rsid w:val="00F03021"/>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697A"/>
    <w:rsid w:val="00F60329"/>
    <w:rsid w:val="00F60381"/>
    <w:rsid w:val="00F65A1C"/>
    <w:rsid w:val="00F66F50"/>
    <w:rsid w:val="00F82FF8"/>
    <w:rsid w:val="00F8330D"/>
    <w:rsid w:val="00F84305"/>
    <w:rsid w:val="00F8485C"/>
    <w:rsid w:val="00F87149"/>
    <w:rsid w:val="00F87239"/>
    <w:rsid w:val="00F87FFE"/>
    <w:rsid w:val="00F91335"/>
    <w:rsid w:val="00F940DB"/>
    <w:rsid w:val="00F954C9"/>
    <w:rsid w:val="00F977DD"/>
    <w:rsid w:val="00FA0CF5"/>
    <w:rsid w:val="00FA61AA"/>
    <w:rsid w:val="00FA62B5"/>
    <w:rsid w:val="00FA69A4"/>
    <w:rsid w:val="00FA7D15"/>
    <w:rsid w:val="00FB1279"/>
    <w:rsid w:val="00FB1495"/>
    <w:rsid w:val="00FC0D47"/>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paragraph" w:customStyle="1" w:styleId="normal-dot">
    <w:name w:val="normal-dot"/>
    <w:basedOn w:val="Normal"/>
    <w:rsid w:val="002B5A72"/>
    <w:pPr>
      <w:numPr>
        <w:numId w:val="37"/>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eneralreviews@aat.gov.au" TargetMode="External"/><Relationship Id="rId3" Type="http://schemas.openxmlformats.org/officeDocument/2006/relationships/styles" Target="styles.xml"/><Relationship Id="rId21" Type="http://schemas.openxmlformats.org/officeDocument/2006/relationships/hyperlink" Target="mailto:foi@environment.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at.gov.au/default.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incipal.Registry@aat.gov.au" TargetMode="Externa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at.gov.au/"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F0A9C-87C5-4024-9E71-A90ACF08F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6757</Characters>
  <Application>Microsoft Office Word</Application>
  <DocSecurity>0</DocSecurity>
  <Lines>56</Lines>
  <Paragraphs>15</Paragraphs>
  <ScaleCrop>false</ScaleCrop>
  <Company/>
  <LinksUpToDate>false</LinksUpToDate>
  <CharactersWithSpaces>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Mr John Clunies-Ross</dc:title>
  <dc:creator/>
  <cp:lastModifiedBy/>
  <cp:revision>1</cp:revision>
  <dcterms:created xsi:type="dcterms:W3CDTF">2016-04-29T05:27:00Z</dcterms:created>
  <dcterms:modified xsi:type="dcterms:W3CDTF">2016-04-29T05:27:00Z</dcterms:modified>
</cp:coreProperties>
</file>