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ED29" w14:textId="58D7C40F" w:rsidR="00E321E1" w:rsidRPr="00BF3B54" w:rsidRDefault="003F79A0" w:rsidP="004A4E70">
      <w:pPr>
        <w:jc w:val="center"/>
        <w:rPr>
          <w:rFonts w:ascii="Arial" w:hAnsi="Arial" w:cs="Arial"/>
          <w:snapToGrid w:val="0"/>
          <w:sz w:val="22"/>
          <w:szCs w:val="22"/>
        </w:rPr>
      </w:pPr>
      <w:bookmarkStart w:id="0" w:name="_GoBack"/>
      <w:bookmarkEnd w:id="0"/>
      <w:r w:rsidRPr="00BF3B54">
        <w:rPr>
          <w:rFonts w:ascii="Arial" w:hAnsi="Arial" w:cs="Arial"/>
          <w:noProof/>
          <w:sz w:val="22"/>
          <w:szCs w:val="22"/>
          <w:lang w:val="en-AU" w:eastAsia="en-AU"/>
        </w:rPr>
        <w:drawing>
          <wp:inline distT="0" distB="0" distL="0" distR="0" wp14:anchorId="0C2FED47" wp14:editId="039A7DC6">
            <wp:extent cx="1082040" cy="8991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FED2A" w14:textId="77777777" w:rsidR="00E321E1" w:rsidRPr="00BF3B54" w:rsidRDefault="00E321E1" w:rsidP="004A4E7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BF3B54">
        <w:rPr>
          <w:rFonts w:ascii="Arial" w:hAnsi="Arial" w:cs="Arial"/>
          <w:b/>
          <w:snapToGrid w:val="0"/>
          <w:sz w:val="22"/>
          <w:szCs w:val="22"/>
        </w:rPr>
        <w:t>COMMONWEALTH OF AUSTRALIA</w:t>
      </w:r>
    </w:p>
    <w:p w14:paraId="0C2FED2B" w14:textId="77777777" w:rsidR="00E321E1" w:rsidRPr="00BF3B54" w:rsidRDefault="00E321E1" w:rsidP="004A4E7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0C2FED2C" w14:textId="77777777" w:rsidR="00E321E1" w:rsidRPr="00BF3B54" w:rsidRDefault="00E321E1" w:rsidP="004A4E70">
      <w:pPr>
        <w:pStyle w:val="Heading1"/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BF3B54">
        <w:rPr>
          <w:rFonts w:ascii="Arial" w:hAnsi="Arial" w:cs="Arial"/>
          <w:b/>
          <w:i/>
          <w:iCs/>
          <w:sz w:val="22"/>
          <w:szCs w:val="22"/>
        </w:rPr>
        <w:t>Environment Protection and Biodiversity Conservation Act 1999</w:t>
      </w:r>
    </w:p>
    <w:p w14:paraId="0C2FED2D" w14:textId="77777777" w:rsidR="00E321E1" w:rsidRPr="00BF3B54" w:rsidRDefault="00E321E1" w:rsidP="004A4E7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157661E9" w14:textId="1106BA0F" w:rsidR="008A7845" w:rsidRPr="00BF3B54" w:rsidRDefault="00FB1480" w:rsidP="004A4E7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BF3B54">
        <w:rPr>
          <w:rFonts w:ascii="Arial" w:hAnsi="Arial" w:cs="Arial"/>
          <w:b/>
          <w:snapToGrid w:val="0"/>
          <w:sz w:val="22"/>
          <w:szCs w:val="22"/>
        </w:rPr>
        <w:t xml:space="preserve">Revocation of Accreditation of a Plan, Regime or </w:t>
      </w:r>
      <w:r w:rsidR="00C77716" w:rsidRPr="00BF3B54">
        <w:rPr>
          <w:rFonts w:ascii="Arial" w:hAnsi="Arial" w:cs="Arial"/>
          <w:b/>
          <w:snapToGrid w:val="0"/>
          <w:sz w:val="22"/>
          <w:szCs w:val="22"/>
        </w:rPr>
        <w:t>Policy for the purposes of Part </w:t>
      </w:r>
      <w:r w:rsidRPr="00BF3B54">
        <w:rPr>
          <w:rFonts w:ascii="Arial" w:hAnsi="Arial" w:cs="Arial"/>
          <w:b/>
          <w:snapToGrid w:val="0"/>
          <w:sz w:val="22"/>
          <w:szCs w:val="22"/>
        </w:rPr>
        <w:t>13</w:t>
      </w:r>
    </w:p>
    <w:p w14:paraId="4A1C95EF" w14:textId="77777777" w:rsidR="008A7845" w:rsidRPr="00BF3B54" w:rsidRDefault="00FB1480" w:rsidP="004A4E7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BF3B54">
        <w:rPr>
          <w:rFonts w:ascii="Arial" w:hAnsi="Arial" w:cs="Arial"/>
          <w:b/>
          <w:snapToGrid w:val="0"/>
          <w:sz w:val="22"/>
          <w:szCs w:val="22"/>
        </w:rPr>
        <w:t xml:space="preserve">Accreditation of a Plan, Regime or </w:t>
      </w:r>
      <w:r w:rsidR="00C77716" w:rsidRPr="00BF3B54">
        <w:rPr>
          <w:rFonts w:ascii="Arial" w:hAnsi="Arial" w:cs="Arial"/>
          <w:b/>
          <w:snapToGrid w:val="0"/>
          <w:sz w:val="22"/>
          <w:szCs w:val="22"/>
        </w:rPr>
        <w:t>Policy for the purposes of Part </w:t>
      </w:r>
      <w:r w:rsidRPr="00BF3B54">
        <w:rPr>
          <w:rFonts w:ascii="Arial" w:hAnsi="Arial" w:cs="Arial"/>
          <w:b/>
          <w:snapToGrid w:val="0"/>
          <w:sz w:val="22"/>
          <w:szCs w:val="22"/>
        </w:rPr>
        <w:t>13</w:t>
      </w:r>
    </w:p>
    <w:p w14:paraId="420002C0" w14:textId="383DDE5E" w:rsidR="008A7845" w:rsidRPr="00EE5313" w:rsidRDefault="00D41A9F" w:rsidP="004A4E7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EE5313">
        <w:rPr>
          <w:rFonts w:ascii="Arial" w:hAnsi="Arial" w:cs="Arial"/>
          <w:b/>
          <w:snapToGrid w:val="0"/>
          <w:sz w:val="22"/>
          <w:szCs w:val="22"/>
        </w:rPr>
        <w:t>Commonwealth Northern Prawn Fishery</w:t>
      </w:r>
      <w:r w:rsidR="008A7845" w:rsidRPr="00EE5313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C159D2">
        <w:rPr>
          <w:rFonts w:ascii="Arial" w:hAnsi="Arial" w:cs="Arial"/>
          <w:b/>
          <w:snapToGrid w:val="0"/>
          <w:sz w:val="22"/>
          <w:szCs w:val="22"/>
        </w:rPr>
        <w:t>January</w:t>
      </w:r>
      <w:r w:rsidR="002C7512" w:rsidRPr="00EE5313">
        <w:rPr>
          <w:rFonts w:ascii="Arial" w:hAnsi="Arial" w:cs="Arial"/>
          <w:b/>
          <w:snapToGrid w:val="0"/>
          <w:sz w:val="22"/>
          <w:szCs w:val="22"/>
        </w:rPr>
        <w:t xml:space="preserve"> 201</w:t>
      </w:r>
      <w:r w:rsidR="00C159D2">
        <w:rPr>
          <w:rFonts w:ascii="Arial" w:hAnsi="Arial" w:cs="Arial"/>
          <w:b/>
          <w:snapToGrid w:val="0"/>
          <w:sz w:val="22"/>
          <w:szCs w:val="22"/>
        </w:rPr>
        <w:t>9</w:t>
      </w:r>
    </w:p>
    <w:p w14:paraId="0C2FED30" w14:textId="77777777" w:rsidR="00E321E1" w:rsidRPr="00EE5313" w:rsidRDefault="00E321E1" w:rsidP="004A4E70">
      <w:pPr>
        <w:rPr>
          <w:rFonts w:ascii="Arial" w:hAnsi="Arial" w:cs="Arial"/>
          <w:snapToGrid w:val="0"/>
          <w:sz w:val="22"/>
          <w:szCs w:val="22"/>
        </w:rPr>
      </w:pPr>
    </w:p>
    <w:p w14:paraId="0C2FED31" w14:textId="75E91665" w:rsidR="00B134B6" w:rsidRPr="00EE5313" w:rsidRDefault="00FB1480" w:rsidP="004A4E70">
      <w:pPr>
        <w:rPr>
          <w:rFonts w:ascii="Arial" w:hAnsi="Arial" w:cs="Arial"/>
          <w:sz w:val="22"/>
          <w:szCs w:val="22"/>
        </w:rPr>
      </w:pPr>
      <w:r w:rsidRPr="00EE5313">
        <w:rPr>
          <w:rFonts w:ascii="Arial" w:hAnsi="Arial" w:cs="Arial"/>
          <w:sz w:val="22"/>
          <w:szCs w:val="22"/>
        </w:rPr>
        <w:t xml:space="preserve">I, </w:t>
      </w:r>
      <w:r w:rsidR="00C159D2">
        <w:rPr>
          <w:rFonts w:ascii="Arial" w:hAnsi="Arial" w:cs="Arial"/>
          <w:sz w:val="22"/>
          <w:szCs w:val="22"/>
        </w:rPr>
        <w:t>VERONICA BLAZELY</w:t>
      </w:r>
      <w:r w:rsidR="00C03370" w:rsidRPr="00EE5313">
        <w:rPr>
          <w:rFonts w:ascii="Arial" w:hAnsi="Arial" w:cs="Arial"/>
          <w:sz w:val="22"/>
          <w:szCs w:val="22"/>
        </w:rPr>
        <w:t xml:space="preserve">, </w:t>
      </w:r>
      <w:r w:rsidR="00C159D2">
        <w:rPr>
          <w:rFonts w:ascii="Arial" w:hAnsi="Arial" w:cs="Arial"/>
          <w:sz w:val="22"/>
          <w:szCs w:val="22"/>
        </w:rPr>
        <w:t xml:space="preserve">Acting </w:t>
      </w:r>
      <w:r w:rsidR="00C03370" w:rsidRPr="00EE5313">
        <w:rPr>
          <w:rFonts w:ascii="Arial" w:hAnsi="Arial" w:cs="Arial"/>
          <w:sz w:val="22"/>
          <w:szCs w:val="22"/>
        </w:rPr>
        <w:t xml:space="preserve">Assistant Secretary, Wildlife Trade and Biosecurity Branch, as Delegate of the Minister </w:t>
      </w:r>
      <w:r w:rsidR="00A6198D" w:rsidRPr="00EE5313">
        <w:rPr>
          <w:rFonts w:ascii="Arial" w:hAnsi="Arial" w:cs="Arial"/>
          <w:sz w:val="22"/>
          <w:szCs w:val="22"/>
        </w:rPr>
        <w:t>for the</w:t>
      </w:r>
      <w:r w:rsidRPr="00EE5313">
        <w:rPr>
          <w:rFonts w:ascii="Arial" w:hAnsi="Arial" w:cs="Arial"/>
          <w:sz w:val="22"/>
          <w:szCs w:val="22"/>
        </w:rPr>
        <w:t xml:space="preserve"> Env</w:t>
      </w:r>
      <w:r w:rsidR="00442816" w:rsidRPr="00EE5313">
        <w:rPr>
          <w:rFonts w:ascii="Arial" w:hAnsi="Arial" w:cs="Arial"/>
          <w:sz w:val="22"/>
          <w:szCs w:val="22"/>
        </w:rPr>
        <w:t>ironment</w:t>
      </w:r>
      <w:r w:rsidRPr="00EE5313">
        <w:rPr>
          <w:rFonts w:ascii="Arial" w:hAnsi="Arial" w:cs="Arial"/>
          <w:sz w:val="22"/>
          <w:szCs w:val="22"/>
        </w:rPr>
        <w:t>:</w:t>
      </w:r>
    </w:p>
    <w:p w14:paraId="0C2FED32" w14:textId="77777777" w:rsidR="00B134B6" w:rsidRPr="00EE5313" w:rsidRDefault="00B134B6" w:rsidP="004A4E70">
      <w:pPr>
        <w:rPr>
          <w:rFonts w:ascii="Arial" w:hAnsi="Arial" w:cs="Arial"/>
          <w:sz w:val="22"/>
          <w:szCs w:val="22"/>
        </w:rPr>
      </w:pPr>
    </w:p>
    <w:p w14:paraId="0C2FED33" w14:textId="1802D11D" w:rsidR="00B134B6" w:rsidRPr="00EE5313" w:rsidRDefault="00C77716" w:rsidP="004A4E70">
      <w:pPr>
        <w:numPr>
          <w:ilvl w:val="0"/>
          <w:numId w:val="14"/>
        </w:numPr>
        <w:ind w:left="360"/>
        <w:rPr>
          <w:rFonts w:ascii="Arial" w:hAnsi="Arial" w:cs="Arial"/>
          <w:snapToGrid w:val="0"/>
          <w:sz w:val="22"/>
          <w:szCs w:val="22"/>
        </w:rPr>
      </w:pPr>
      <w:r w:rsidRPr="00EE5313">
        <w:rPr>
          <w:rFonts w:ascii="Arial" w:hAnsi="Arial" w:cs="Arial"/>
          <w:sz w:val="22"/>
          <w:szCs w:val="22"/>
        </w:rPr>
        <w:t>revoke</w:t>
      </w:r>
      <w:r w:rsidR="00FB1480" w:rsidRPr="00EE5313">
        <w:rPr>
          <w:rFonts w:ascii="Arial" w:hAnsi="Arial" w:cs="Arial"/>
          <w:sz w:val="22"/>
          <w:szCs w:val="22"/>
        </w:rPr>
        <w:t xml:space="preserve"> the accre</w:t>
      </w:r>
      <w:r w:rsidR="005E68D9" w:rsidRPr="00EE5313">
        <w:rPr>
          <w:rFonts w:ascii="Arial" w:hAnsi="Arial" w:cs="Arial"/>
          <w:sz w:val="22"/>
          <w:szCs w:val="22"/>
        </w:rPr>
        <w:t>ditation of the</w:t>
      </w:r>
      <w:r w:rsidR="004B6C56" w:rsidRPr="00EE5313">
        <w:rPr>
          <w:rFonts w:ascii="Arial" w:hAnsi="Arial" w:cs="Arial"/>
          <w:sz w:val="22"/>
          <w:szCs w:val="22"/>
        </w:rPr>
        <w:t xml:space="preserve"> </w:t>
      </w:r>
      <w:r w:rsidR="00D41A9F" w:rsidRPr="00EE5313">
        <w:rPr>
          <w:rFonts w:ascii="Arial" w:hAnsi="Arial" w:cs="Arial"/>
          <w:i/>
          <w:sz w:val="22"/>
          <w:szCs w:val="22"/>
        </w:rPr>
        <w:t>Northern Prawn</w:t>
      </w:r>
      <w:r w:rsidR="00807FA4" w:rsidRPr="00EE5313">
        <w:rPr>
          <w:rStyle w:val="Emphasis"/>
          <w:rFonts w:ascii="Arial" w:hAnsi="Arial" w:cs="Arial"/>
          <w:i w:val="0"/>
          <w:sz w:val="22"/>
          <w:szCs w:val="22"/>
        </w:rPr>
        <w:t xml:space="preserve"> </w:t>
      </w:r>
      <w:r w:rsidR="00807FA4" w:rsidRPr="00EE5313">
        <w:rPr>
          <w:rFonts w:ascii="Arial" w:hAnsi="Arial" w:cs="Arial"/>
          <w:i/>
          <w:sz w:val="22"/>
          <w:szCs w:val="22"/>
        </w:rPr>
        <w:t>Fishery</w:t>
      </w:r>
      <w:r w:rsidR="00FB1480" w:rsidRPr="00EE5313">
        <w:rPr>
          <w:rFonts w:ascii="Arial" w:hAnsi="Arial" w:cs="Arial"/>
          <w:i/>
          <w:sz w:val="22"/>
          <w:szCs w:val="22"/>
        </w:rPr>
        <w:t xml:space="preserve"> </w:t>
      </w:r>
      <w:r w:rsidR="00154539" w:rsidRPr="00EE5313">
        <w:rPr>
          <w:rFonts w:ascii="Arial" w:hAnsi="Arial" w:cs="Arial"/>
          <w:i/>
          <w:sz w:val="22"/>
          <w:szCs w:val="22"/>
        </w:rPr>
        <w:t>Management Plan 1995</w:t>
      </w:r>
      <w:r w:rsidR="00154539" w:rsidRPr="00EE5313">
        <w:rPr>
          <w:rFonts w:ascii="Arial" w:hAnsi="Arial" w:cs="Arial"/>
          <w:sz w:val="22"/>
          <w:szCs w:val="22"/>
        </w:rPr>
        <w:t xml:space="preserve"> </w:t>
      </w:r>
      <w:r w:rsidR="00FB1480" w:rsidRPr="00EE5313">
        <w:rPr>
          <w:rFonts w:ascii="Arial" w:hAnsi="Arial" w:cs="Arial"/>
          <w:sz w:val="22"/>
          <w:szCs w:val="22"/>
        </w:rPr>
        <w:t xml:space="preserve">dated </w:t>
      </w:r>
      <w:r w:rsidR="00154539" w:rsidRPr="00EE5313">
        <w:rPr>
          <w:rFonts w:ascii="Arial" w:hAnsi="Arial" w:cs="Arial"/>
          <w:sz w:val="22"/>
          <w:szCs w:val="22"/>
        </w:rPr>
        <w:t>20</w:t>
      </w:r>
      <w:r w:rsidR="00417558" w:rsidRPr="00EE5313">
        <w:rPr>
          <w:rFonts w:ascii="Arial" w:hAnsi="Arial" w:cs="Arial"/>
          <w:sz w:val="22"/>
          <w:szCs w:val="22"/>
        </w:rPr>
        <w:t> </w:t>
      </w:r>
      <w:r w:rsidR="00154539" w:rsidRPr="00EE5313">
        <w:rPr>
          <w:rFonts w:ascii="Arial" w:hAnsi="Arial" w:cs="Arial"/>
          <w:sz w:val="22"/>
          <w:szCs w:val="22"/>
        </w:rPr>
        <w:t>December</w:t>
      </w:r>
      <w:r w:rsidR="00D41A9F" w:rsidRPr="00EE5313">
        <w:rPr>
          <w:rFonts w:ascii="Arial" w:hAnsi="Arial" w:cs="Arial"/>
          <w:sz w:val="22"/>
          <w:szCs w:val="22"/>
        </w:rPr>
        <w:t> 201</w:t>
      </w:r>
      <w:r w:rsidR="00154539" w:rsidRPr="00EE5313">
        <w:rPr>
          <w:rFonts w:ascii="Arial" w:hAnsi="Arial" w:cs="Arial"/>
          <w:sz w:val="22"/>
          <w:szCs w:val="22"/>
        </w:rPr>
        <w:t>3</w:t>
      </w:r>
      <w:r w:rsidR="00C4202F" w:rsidRPr="00EE5313">
        <w:rPr>
          <w:rStyle w:val="Emphasis"/>
          <w:rFonts w:ascii="Arial" w:hAnsi="Arial" w:cs="Arial"/>
          <w:i w:val="0"/>
          <w:sz w:val="22"/>
          <w:szCs w:val="22"/>
        </w:rPr>
        <w:t>,</w:t>
      </w:r>
      <w:r w:rsidR="00FB1480" w:rsidRPr="00EE5313">
        <w:rPr>
          <w:rFonts w:ascii="Arial" w:hAnsi="Arial" w:cs="Arial"/>
          <w:snapToGrid w:val="0"/>
          <w:sz w:val="22"/>
          <w:szCs w:val="22"/>
        </w:rPr>
        <w:t xml:space="preserve"> and</w:t>
      </w:r>
    </w:p>
    <w:p w14:paraId="0C2FED34" w14:textId="77777777" w:rsidR="00B134B6" w:rsidRPr="00EE5313" w:rsidRDefault="00B134B6" w:rsidP="004A4E70">
      <w:pPr>
        <w:ind w:left="360"/>
        <w:rPr>
          <w:rFonts w:ascii="Arial" w:hAnsi="Arial" w:cs="Arial"/>
          <w:snapToGrid w:val="0"/>
          <w:sz w:val="22"/>
          <w:szCs w:val="22"/>
        </w:rPr>
      </w:pPr>
    </w:p>
    <w:p w14:paraId="0C2FED35" w14:textId="77777777" w:rsidR="00E321E1" w:rsidRPr="00EE5313" w:rsidRDefault="00FB1480" w:rsidP="004A4E70">
      <w:pPr>
        <w:numPr>
          <w:ilvl w:val="0"/>
          <w:numId w:val="14"/>
        </w:numPr>
        <w:ind w:left="360"/>
        <w:rPr>
          <w:rFonts w:ascii="Arial" w:hAnsi="Arial" w:cs="Arial"/>
          <w:snapToGrid w:val="0"/>
          <w:sz w:val="22"/>
          <w:szCs w:val="22"/>
        </w:rPr>
      </w:pPr>
      <w:r w:rsidRPr="00EE5313">
        <w:rPr>
          <w:rFonts w:ascii="Arial" w:hAnsi="Arial" w:cs="Arial"/>
          <w:snapToGrid w:val="0"/>
          <w:sz w:val="22"/>
          <w:szCs w:val="22"/>
        </w:rPr>
        <w:t>being satisfied that:</w:t>
      </w:r>
    </w:p>
    <w:p w14:paraId="4AFEBF51" w14:textId="77777777" w:rsidR="00BF3B54" w:rsidRPr="00EE5313" w:rsidRDefault="00BF3B54" w:rsidP="004A4E70">
      <w:pPr>
        <w:rPr>
          <w:rFonts w:ascii="Arial" w:hAnsi="Arial" w:cs="Arial"/>
          <w:snapToGrid w:val="0"/>
          <w:sz w:val="22"/>
          <w:szCs w:val="22"/>
        </w:rPr>
      </w:pPr>
    </w:p>
    <w:p w14:paraId="0C2FED36" w14:textId="06E8EF96" w:rsidR="00F755FB" w:rsidRPr="00EE5313" w:rsidRDefault="00FB1480" w:rsidP="004A4E70">
      <w:pPr>
        <w:numPr>
          <w:ilvl w:val="1"/>
          <w:numId w:val="14"/>
        </w:numPr>
        <w:ind w:left="720"/>
        <w:rPr>
          <w:rFonts w:ascii="Arial" w:hAnsi="Arial" w:cs="Arial"/>
          <w:sz w:val="22"/>
          <w:szCs w:val="22"/>
        </w:rPr>
      </w:pPr>
      <w:r w:rsidRPr="00EE5313">
        <w:rPr>
          <w:rFonts w:ascii="Arial" w:hAnsi="Arial" w:cs="Arial"/>
          <w:sz w:val="22"/>
          <w:szCs w:val="22"/>
        </w:rPr>
        <w:t xml:space="preserve">the </w:t>
      </w:r>
      <w:r w:rsidR="00154539" w:rsidRPr="00EE5313">
        <w:rPr>
          <w:rFonts w:ascii="Arial" w:hAnsi="Arial" w:cs="Arial"/>
          <w:i/>
          <w:sz w:val="22"/>
          <w:szCs w:val="22"/>
        </w:rPr>
        <w:t>Northern Prawn</w:t>
      </w:r>
      <w:r w:rsidR="00154539" w:rsidRPr="00EE5313">
        <w:rPr>
          <w:rStyle w:val="Emphasis"/>
          <w:rFonts w:ascii="Arial" w:hAnsi="Arial" w:cs="Arial"/>
          <w:i w:val="0"/>
          <w:sz w:val="22"/>
          <w:szCs w:val="22"/>
        </w:rPr>
        <w:t xml:space="preserve"> </w:t>
      </w:r>
      <w:r w:rsidR="00154539" w:rsidRPr="00EE5313">
        <w:rPr>
          <w:rFonts w:ascii="Arial" w:hAnsi="Arial" w:cs="Arial"/>
          <w:i/>
          <w:sz w:val="22"/>
          <w:szCs w:val="22"/>
        </w:rPr>
        <w:t>Fishery Management Plan 1995</w:t>
      </w:r>
      <w:r w:rsidRPr="00EE5313">
        <w:rPr>
          <w:rFonts w:ascii="Arial" w:hAnsi="Arial" w:cs="Arial"/>
          <w:sz w:val="22"/>
          <w:szCs w:val="22"/>
        </w:rPr>
        <w:t xml:space="preserve">, in force under the </w:t>
      </w:r>
      <w:r w:rsidR="00154539" w:rsidRPr="00EE5313">
        <w:rPr>
          <w:rFonts w:ascii="Arial" w:hAnsi="Arial" w:cs="Arial"/>
          <w:i/>
          <w:iCs/>
          <w:sz w:val="22"/>
          <w:szCs w:val="22"/>
        </w:rPr>
        <w:t xml:space="preserve">Fisheries Management </w:t>
      </w:r>
      <w:r w:rsidR="004B6C56" w:rsidRPr="00EE5313">
        <w:rPr>
          <w:rFonts w:ascii="Arial" w:hAnsi="Arial" w:cs="Arial"/>
          <w:i/>
          <w:iCs/>
          <w:sz w:val="22"/>
          <w:szCs w:val="22"/>
        </w:rPr>
        <w:t>Act </w:t>
      </w:r>
      <w:r w:rsidR="00D41A9F" w:rsidRPr="00EE5313">
        <w:rPr>
          <w:rFonts w:ascii="Arial" w:hAnsi="Arial" w:cs="Arial"/>
          <w:i/>
          <w:iCs/>
          <w:sz w:val="22"/>
          <w:szCs w:val="22"/>
        </w:rPr>
        <w:t>1991</w:t>
      </w:r>
      <w:r w:rsidR="004B6C56" w:rsidRPr="00EE5313">
        <w:rPr>
          <w:rFonts w:ascii="Arial" w:hAnsi="Arial" w:cs="Arial"/>
          <w:sz w:val="22"/>
          <w:szCs w:val="22"/>
        </w:rPr>
        <w:t xml:space="preserve"> (</w:t>
      </w:r>
      <w:r w:rsidR="00D41A9F" w:rsidRPr="00EE5313">
        <w:rPr>
          <w:rFonts w:ascii="Arial" w:hAnsi="Arial" w:cs="Arial"/>
          <w:sz w:val="22"/>
          <w:szCs w:val="22"/>
        </w:rPr>
        <w:t>Cth</w:t>
      </w:r>
      <w:r w:rsidR="004B6C56" w:rsidRPr="00EE5313">
        <w:rPr>
          <w:rFonts w:ascii="Arial" w:hAnsi="Arial" w:cs="Arial"/>
          <w:sz w:val="22"/>
          <w:szCs w:val="22"/>
        </w:rPr>
        <w:t>) and the</w:t>
      </w:r>
      <w:r w:rsidR="00D41A9F" w:rsidRPr="00EE5313">
        <w:rPr>
          <w:rFonts w:ascii="Arial" w:hAnsi="Arial" w:cs="Arial"/>
          <w:i/>
          <w:sz w:val="22"/>
          <w:szCs w:val="22"/>
        </w:rPr>
        <w:t xml:space="preserve"> </w:t>
      </w:r>
      <w:r w:rsidR="00154539" w:rsidRPr="00EE5313">
        <w:rPr>
          <w:rFonts w:ascii="Arial" w:hAnsi="Arial" w:cs="Arial"/>
          <w:i/>
          <w:iCs/>
          <w:sz w:val="22"/>
          <w:szCs w:val="22"/>
        </w:rPr>
        <w:t xml:space="preserve">Fisheries Management </w:t>
      </w:r>
      <w:r w:rsidR="004B6C56" w:rsidRPr="00EE5313">
        <w:rPr>
          <w:rFonts w:ascii="Arial" w:hAnsi="Arial" w:cs="Arial"/>
          <w:i/>
          <w:sz w:val="22"/>
          <w:szCs w:val="22"/>
        </w:rPr>
        <w:t>Regulation </w:t>
      </w:r>
      <w:r w:rsidR="00D41A9F" w:rsidRPr="00EE5313">
        <w:rPr>
          <w:rFonts w:ascii="Arial" w:hAnsi="Arial" w:cs="Arial"/>
          <w:i/>
          <w:sz w:val="22"/>
          <w:szCs w:val="22"/>
        </w:rPr>
        <w:t>1992</w:t>
      </w:r>
      <w:r w:rsidR="004B6C56" w:rsidRPr="00EE5313">
        <w:rPr>
          <w:rFonts w:ascii="Arial" w:hAnsi="Arial" w:cs="Arial"/>
          <w:sz w:val="22"/>
          <w:szCs w:val="22"/>
        </w:rPr>
        <w:t xml:space="preserve"> (</w:t>
      </w:r>
      <w:r w:rsidR="00D41A9F" w:rsidRPr="00EE5313">
        <w:rPr>
          <w:rFonts w:ascii="Arial" w:hAnsi="Arial" w:cs="Arial"/>
          <w:sz w:val="22"/>
          <w:szCs w:val="22"/>
        </w:rPr>
        <w:t>Cth</w:t>
      </w:r>
      <w:r w:rsidR="004B6C56" w:rsidRPr="00EE5313">
        <w:rPr>
          <w:rFonts w:ascii="Arial" w:hAnsi="Arial" w:cs="Arial"/>
          <w:sz w:val="22"/>
          <w:szCs w:val="22"/>
        </w:rPr>
        <w:t xml:space="preserve">), </w:t>
      </w:r>
      <w:r w:rsidRPr="00EE5313">
        <w:rPr>
          <w:rStyle w:val="Emphasis"/>
          <w:rFonts w:ascii="Arial" w:hAnsi="Arial" w:cs="Arial"/>
          <w:i w:val="0"/>
          <w:sz w:val="22"/>
          <w:szCs w:val="22"/>
        </w:rPr>
        <w:t>r</w:t>
      </w:r>
      <w:r w:rsidRPr="00EE5313">
        <w:rPr>
          <w:rFonts w:ascii="Arial" w:hAnsi="Arial" w:cs="Arial"/>
          <w:sz w:val="22"/>
          <w:szCs w:val="22"/>
        </w:rPr>
        <w:t xml:space="preserve">equires persons engaged in fishing under the management </w:t>
      </w:r>
      <w:r w:rsidR="00154539" w:rsidRPr="00EE5313">
        <w:rPr>
          <w:rFonts w:ascii="Arial" w:hAnsi="Arial" w:cs="Arial"/>
          <w:sz w:val="22"/>
          <w:szCs w:val="22"/>
        </w:rPr>
        <w:t>plan</w:t>
      </w:r>
      <w:r w:rsidRPr="00EE5313">
        <w:rPr>
          <w:rFonts w:ascii="Arial" w:hAnsi="Arial" w:cs="Arial"/>
          <w:sz w:val="22"/>
          <w:szCs w:val="22"/>
        </w:rPr>
        <w:t xml:space="preserve"> to take all reasonable steps to ensure that members of listed threatened species, listed migratory species, cetaceans and listed marine species are not killed or inj</w:t>
      </w:r>
      <w:r w:rsidR="00C4202F" w:rsidRPr="00EE5313">
        <w:rPr>
          <w:rFonts w:ascii="Arial" w:hAnsi="Arial" w:cs="Arial"/>
          <w:sz w:val="22"/>
          <w:szCs w:val="22"/>
        </w:rPr>
        <w:t>ured as a result of the fishing,</w:t>
      </w:r>
      <w:r w:rsidRPr="00EE5313">
        <w:rPr>
          <w:rFonts w:ascii="Arial" w:hAnsi="Arial" w:cs="Arial"/>
          <w:sz w:val="22"/>
          <w:szCs w:val="22"/>
        </w:rPr>
        <w:t xml:space="preserve"> and</w:t>
      </w:r>
    </w:p>
    <w:p w14:paraId="43FDFAA4" w14:textId="77777777" w:rsidR="00BF3B54" w:rsidRPr="00EE5313" w:rsidRDefault="00BF3B54" w:rsidP="004A4E70">
      <w:pPr>
        <w:rPr>
          <w:rFonts w:ascii="Arial" w:hAnsi="Arial" w:cs="Arial"/>
          <w:sz w:val="22"/>
          <w:szCs w:val="22"/>
        </w:rPr>
      </w:pPr>
    </w:p>
    <w:p w14:paraId="0C2FED37" w14:textId="1ECC35DF" w:rsidR="00E321E1" w:rsidRPr="00EE5313" w:rsidRDefault="00FB1480" w:rsidP="004A4E70">
      <w:pPr>
        <w:numPr>
          <w:ilvl w:val="1"/>
          <w:numId w:val="14"/>
        </w:numPr>
        <w:ind w:left="720"/>
        <w:rPr>
          <w:rFonts w:ascii="Arial" w:hAnsi="Arial" w:cs="Arial"/>
          <w:snapToGrid w:val="0"/>
          <w:sz w:val="22"/>
          <w:szCs w:val="22"/>
        </w:rPr>
      </w:pPr>
      <w:r w:rsidRPr="00EE5313">
        <w:rPr>
          <w:rFonts w:ascii="Arial" w:hAnsi="Arial" w:cs="Arial"/>
          <w:sz w:val="22"/>
          <w:szCs w:val="22"/>
        </w:rPr>
        <w:t xml:space="preserve">the fishery to which the management </w:t>
      </w:r>
      <w:r w:rsidR="00154539" w:rsidRPr="00EE5313">
        <w:rPr>
          <w:rFonts w:ascii="Arial" w:hAnsi="Arial" w:cs="Arial"/>
          <w:sz w:val="22"/>
          <w:szCs w:val="22"/>
        </w:rPr>
        <w:t>plan</w:t>
      </w:r>
      <w:r w:rsidRPr="00EE5313">
        <w:rPr>
          <w:rFonts w:ascii="Arial" w:hAnsi="Arial" w:cs="Arial"/>
          <w:sz w:val="22"/>
          <w:szCs w:val="22"/>
        </w:rPr>
        <w:t xml:space="preserve"> relates does not, or is not likely to, adversely affect:</w:t>
      </w:r>
    </w:p>
    <w:p w14:paraId="0C2FED38" w14:textId="77777777" w:rsidR="00E321E1" w:rsidRPr="00EE5313" w:rsidRDefault="00FB1480" w:rsidP="004A4E70">
      <w:pPr>
        <w:numPr>
          <w:ilvl w:val="0"/>
          <w:numId w:val="15"/>
        </w:numPr>
        <w:ind w:left="1080"/>
        <w:rPr>
          <w:rFonts w:ascii="Arial" w:hAnsi="Arial" w:cs="Arial"/>
          <w:sz w:val="22"/>
          <w:szCs w:val="22"/>
        </w:rPr>
      </w:pPr>
      <w:r w:rsidRPr="00EE5313">
        <w:rPr>
          <w:rFonts w:ascii="Arial" w:hAnsi="Arial" w:cs="Arial"/>
          <w:sz w:val="22"/>
          <w:szCs w:val="22"/>
        </w:rPr>
        <w:t>the survival or recovery in nature of any listed threatened species</w:t>
      </w:r>
      <w:r w:rsidR="00C4202F" w:rsidRPr="00EE5313">
        <w:rPr>
          <w:rFonts w:ascii="Arial" w:hAnsi="Arial" w:cs="Arial"/>
          <w:sz w:val="22"/>
          <w:szCs w:val="22"/>
        </w:rPr>
        <w:t>,</w:t>
      </w:r>
      <w:r w:rsidRPr="00EE5313">
        <w:rPr>
          <w:rFonts w:ascii="Arial" w:hAnsi="Arial" w:cs="Arial"/>
          <w:sz w:val="22"/>
          <w:szCs w:val="22"/>
        </w:rPr>
        <w:t xml:space="preserve"> or </w:t>
      </w:r>
    </w:p>
    <w:p w14:paraId="0C2FED39" w14:textId="77777777" w:rsidR="00B134B6" w:rsidRPr="00EE5313" w:rsidRDefault="00FB1480" w:rsidP="004A4E70">
      <w:pPr>
        <w:numPr>
          <w:ilvl w:val="0"/>
          <w:numId w:val="15"/>
        </w:numPr>
        <w:ind w:left="1080"/>
        <w:rPr>
          <w:rFonts w:ascii="Arial" w:hAnsi="Arial" w:cs="Arial"/>
          <w:sz w:val="22"/>
          <w:szCs w:val="22"/>
        </w:rPr>
      </w:pPr>
      <w:r w:rsidRPr="00EE5313">
        <w:rPr>
          <w:rFonts w:ascii="Arial" w:hAnsi="Arial" w:cs="Arial"/>
          <w:sz w:val="22"/>
          <w:szCs w:val="22"/>
        </w:rPr>
        <w:t>the conservation status of a listed migratory species, cetacean, or listed marine species or a population of that species,</w:t>
      </w:r>
    </w:p>
    <w:p w14:paraId="0C2FED3A" w14:textId="77777777" w:rsidR="00B134B6" w:rsidRPr="00EE5313" w:rsidRDefault="00B134B6" w:rsidP="004A4E70">
      <w:pPr>
        <w:rPr>
          <w:rFonts w:ascii="Arial" w:hAnsi="Arial" w:cs="Arial"/>
          <w:sz w:val="22"/>
          <w:szCs w:val="22"/>
        </w:rPr>
      </w:pPr>
    </w:p>
    <w:p w14:paraId="0C2FED3B" w14:textId="1BF0846F" w:rsidR="00E321E1" w:rsidRPr="00EE5313" w:rsidRDefault="00FB1480" w:rsidP="004A4E70">
      <w:pPr>
        <w:rPr>
          <w:rFonts w:ascii="Arial" w:hAnsi="Arial" w:cs="Arial"/>
          <w:snapToGrid w:val="0"/>
          <w:sz w:val="22"/>
          <w:szCs w:val="22"/>
        </w:rPr>
      </w:pPr>
      <w:r w:rsidRPr="00EE5313">
        <w:rPr>
          <w:rFonts w:ascii="Arial" w:hAnsi="Arial" w:cs="Arial"/>
          <w:sz w:val="22"/>
          <w:szCs w:val="22"/>
        </w:rPr>
        <w:t xml:space="preserve">accredit the </w:t>
      </w:r>
      <w:r w:rsidR="00154539" w:rsidRPr="00EE5313">
        <w:rPr>
          <w:rFonts w:ascii="Arial" w:hAnsi="Arial" w:cs="Arial"/>
          <w:i/>
          <w:sz w:val="22"/>
          <w:szCs w:val="22"/>
        </w:rPr>
        <w:t>Northern Prawn</w:t>
      </w:r>
      <w:r w:rsidR="00154539" w:rsidRPr="00EE5313">
        <w:rPr>
          <w:rStyle w:val="Emphasis"/>
          <w:rFonts w:ascii="Arial" w:hAnsi="Arial" w:cs="Arial"/>
          <w:i w:val="0"/>
          <w:sz w:val="22"/>
          <w:szCs w:val="22"/>
        </w:rPr>
        <w:t xml:space="preserve"> </w:t>
      </w:r>
      <w:r w:rsidR="00154539" w:rsidRPr="00EE5313">
        <w:rPr>
          <w:rFonts w:ascii="Arial" w:hAnsi="Arial" w:cs="Arial"/>
          <w:i/>
          <w:sz w:val="22"/>
          <w:szCs w:val="22"/>
        </w:rPr>
        <w:t>Fishery Management Plan 1995</w:t>
      </w:r>
      <w:r w:rsidR="00154539" w:rsidRPr="00EE5313">
        <w:rPr>
          <w:rFonts w:ascii="Arial" w:hAnsi="Arial" w:cs="Arial"/>
          <w:sz w:val="22"/>
          <w:szCs w:val="22"/>
        </w:rPr>
        <w:t xml:space="preserve">, </w:t>
      </w:r>
      <w:r w:rsidRPr="00EE5313">
        <w:rPr>
          <w:rFonts w:ascii="Arial" w:hAnsi="Arial" w:cs="Arial"/>
          <w:sz w:val="22"/>
          <w:szCs w:val="22"/>
        </w:rPr>
        <w:t xml:space="preserve">in force under the </w:t>
      </w:r>
      <w:r w:rsidR="00417558" w:rsidRPr="00EE5313">
        <w:rPr>
          <w:rFonts w:ascii="Arial" w:hAnsi="Arial" w:cs="Arial"/>
          <w:i/>
          <w:iCs/>
          <w:sz w:val="22"/>
          <w:szCs w:val="22"/>
        </w:rPr>
        <w:t xml:space="preserve">Fisheries </w:t>
      </w:r>
      <w:r w:rsidR="00154539" w:rsidRPr="00EE5313">
        <w:rPr>
          <w:rFonts w:ascii="Arial" w:hAnsi="Arial" w:cs="Arial"/>
          <w:i/>
          <w:iCs/>
          <w:sz w:val="22"/>
          <w:szCs w:val="22"/>
        </w:rPr>
        <w:t xml:space="preserve">Management </w:t>
      </w:r>
      <w:r w:rsidR="00417558" w:rsidRPr="00EE5313">
        <w:rPr>
          <w:rFonts w:ascii="Arial" w:hAnsi="Arial" w:cs="Arial"/>
          <w:i/>
          <w:iCs/>
          <w:sz w:val="22"/>
          <w:szCs w:val="22"/>
        </w:rPr>
        <w:t>Act 1991</w:t>
      </w:r>
      <w:r w:rsidR="00417558" w:rsidRPr="00EE5313">
        <w:rPr>
          <w:rFonts w:ascii="Arial" w:hAnsi="Arial" w:cs="Arial"/>
          <w:sz w:val="22"/>
          <w:szCs w:val="22"/>
        </w:rPr>
        <w:t xml:space="preserve"> (Cth) and the</w:t>
      </w:r>
      <w:r w:rsidR="00417558" w:rsidRPr="00EE5313">
        <w:rPr>
          <w:rFonts w:ascii="Arial" w:hAnsi="Arial" w:cs="Arial"/>
          <w:i/>
          <w:sz w:val="22"/>
          <w:szCs w:val="22"/>
        </w:rPr>
        <w:t xml:space="preserve"> </w:t>
      </w:r>
      <w:r w:rsidR="00154539" w:rsidRPr="00EE5313">
        <w:rPr>
          <w:rFonts w:ascii="Arial" w:hAnsi="Arial" w:cs="Arial"/>
          <w:i/>
          <w:iCs/>
          <w:sz w:val="22"/>
          <w:szCs w:val="22"/>
        </w:rPr>
        <w:t xml:space="preserve">Fisheries Management </w:t>
      </w:r>
      <w:r w:rsidR="00417558" w:rsidRPr="00EE5313">
        <w:rPr>
          <w:rFonts w:ascii="Arial" w:hAnsi="Arial" w:cs="Arial"/>
          <w:i/>
          <w:sz w:val="22"/>
          <w:szCs w:val="22"/>
        </w:rPr>
        <w:t>Regulation 1992</w:t>
      </w:r>
      <w:r w:rsidR="00417558" w:rsidRPr="00EE5313">
        <w:rPr>
          <w:rFonts w:ascii="Arial" w:hAnsi="Arial" w:cs="Arial"/>
          <w:sz w:val="22"/>
          <w:szCs w:val="22"/>
        </w:rPr>
        <w:t xml:space="preserve"> </w:t>
      </w:r>
      <w:r w:rsidR="008A7845" w:rsidRPr="00EE5313">
        <w:rPr>
          <w:rFonts w:ascii="Arial" w:hAnsi="Arial" w:cs="Arial"/>
          <w:sz w:val="22"/>
          <w:szCs w:val="22"/>
        </w:rPr>
        <w:t>(</w:t>
      </w:r>
      <w:r w:rsidR="00417558" w:rsidRPr="00EE5313">
        <w:rPr>
          <w:rFonts w:ascii="Arial" w:hAnsi="Arial" w:cs="Arial"/>
          <w:sz w:val="22"/>
          <w:szCs w:val="22"/>
        </w:rPr>
        <w:t>Cth</w:t>
      </w:r>
      <w:r w:rsidR="008A7845" w:rsidRPr="00EE5313">
        <w:rPr>
          <w:rFonts w:ascii="Arial" w:hAnsi="Arial" w:cs="Arial"/>
          <w:sz w:val="22"/>
          <w:szCs w:val="22"/>
        </w:rPr>
        <w:t xml:space="preserve">) </w:t>
      </w:r>
      <w:r w:rsidR="007C176F" w:rsidRPr="00EE5313">
        <w:rPr>
          <w:rFonts w:ascii="Arial" w:hAnsi="Arial" w:cs="Arial"/>
          <w:sz w:val="22"/>
          <w:szCs w:val="22"/>
        </w:rPr>
        <w:t>under sections </w:t>
      </w:r>
      <w:r w:rsidR="004B6C56" w:rsidRPr="00EE5313">
        <w:rPr>
          <w:rFonts w:ascii="Arial" w:hAnsi="Arial" w:cs="Arial"/>
          <w:sz w:val="22"/>
          <w:szCs w:val="22"/>
        </w:rPr>
        <w:t>208A, 222A, 245 and </w:t>
      </w:r>
      <w:r w:rsidRPr="00EE5313">
        <w:rPr>
          <w:rFonts w:ascii="Arial" w:hAnsi="Arial" w:cs="Arial"/>
          <w:sz w:val="22"/>
          <w:szCs w:val="22"/>
        </w:rPr>
        <w:t xml:space="preserve">265 of the </w:t>
      </w:r>
      <w:r w:rsidRPr="00EE5313">
        <w:rPr>
          <w:rStyle w:val="Emphasis"/>
          <w:rFonts w:ascii="Arial" w:hAnsi="Arial" w:cs="Arial"/>
          <w:sz w:val="22"/>
          <w:szCs w:val="22"/>
        </w:rPr>
        <w:t>Environment Protection and Biodiversity Conservation</w:t>
      </w:r>
      <w:r w:rsidRPr="00EE5313">
        <w:rPr>
          <w:rStyle w:val="Emphasis"/>
          <w:rFonts w:ascii="Arial" w:hAnsi="Arial" w:cs="Arial"/>
          <w:i w:val="0"/>
          <w:sz w:val="22"/>
          <w:szCs w:val="22"/>
        </w:rPr>
        <w:t xml:space="preserve"> </w:t>
      </w:r>
      <w:r w:rsidRPr="00EE5313">
        <w:rPr>
          <w:rStyle w:val="Emphasis"/>
          <w:rFonts w:ascii="Arial" w:hAnsi="Arial" w:cs="Arial"/>
          <w:sz w:val="22"/>
          <w:szCs w:val="22"/>
        </w:rPr>
        <w:t>Act</w:t>
      </w:r>
      <w:r w:rsidR="004A2909" w:rsidRPr="00EE5313">
        <w:rPr>
          <w:rStyle w:val="Emphasis"/>
          <w:rFonts w:ascii="Arial" w:hAnsi="Arial" w:cs="Arial"/>
          <w:sz w:val="22"/>
          <w:szCs w:val="22"/>
        </w:rPr>
        <w:t> </w:t>
      </w:r>
      <w:r w:rsidRPr="00EE5313">
        <w:rPr>
          <w:rStyle w:val="Emphasis"/>
          <w:rFonts w:ascii="Arial" w:hAnsi="Arial" w:cs="Arial"/>
          <w:sz w:val="22"/>
          <w:szCs w:val="22"/>
        </w:rPr>
        <w:t>1999</w:t>
      </w:r>
      <w:r w:rsidRPr="00EE5313">
        <w:rPr>
          <w:rStyle w:val="Emphasis"/>
          <w:rFonts w:ascii="Arial" w:hAnsi="Arial" w:cs="Arial"/>
          <w:i w:val="0"/>
          <w:sz w:val="22"/>
          <w:szCs w:val="22"/>
        </w:rPr>
        <w:t xml:space="preserve"> (EPBC Act)</w:t>
      </w:r>
      <w:r w:rsidRPr="00EE5313">
        <w:rPr>
          <w:rFonts w:ascii="Arial" w:hAnsi="Arial" w:cs="Arial"/>
          <w:sz w:val="22"/>
          <w:szCs w:val="22"/>
        </w:rPr>
        <w:t xml:space="preserve"> for the pu</w:t>
      </w:r>
      <w:r w:rsidR="00941B39" w:rsidRPr="00EE5313">
        <w:rPr>
          <w:rFonts w:ascii="Arial" w:hAnsi="Arial" w:cs="Arial"/>
          <w:sz w:val="22"/>
          <w:szCs w:val="22"/>
        </w:rPr>
        <w:t>rposes of Divisions 1, 2, 3 and 4 respectively of Part </w:t>
      </w:r>
      <w:r w:rsidRPr="00EE5313">
        <w:rPr>
          <w:rFonts w:ascii="Arial" w:hAnsi="Arial" w:cs="Arial"/>
          <w:sz w:val="22"/>
          <w:szCs w:val="22"/>
        </w:rPr>
        <w:t>13 of the EPBC</w:t>
      </w:r>
      <w:r w:rsidR="00941B39" w:rsidRPr="00EE5313">
        <w:rPr>
          <w:rFonts w:ascii="Arial" w:hAnsi="Arial" w:cs="Arial"/>
          <w:sz w:val="22"/>
          <w:szCs w:val="22"/>
        </w:rPr>
        <w:t> </w:t>
      </w:r>
      <w:r w:rsidRPr="00EE5313">
        <w:rPr>
          <w:rFonts w:ascii="Arial" w:hAnsi="Arial" w:cs="Arial"/>
          <w:sz w:val="22"/>
          <w:szCs w:val="22"/>
        </w:rPr>
        <w:t>Act</w:t>
      </w:r>
      <w:r w:rsidRPr="00EE5313">
        <w:rPr>
          <w:rFonts w:ascii="Arial" w:hAnsi="Arial" w:cs="Arial"/>
          <w:snapToGrid w:val="0"/>
          <w:sz w:val="22"/>
          <w:szCs w:val="22"/>
        </w:rPr>
        <w:t>.</w:t>
      </w:r>
    </w:p>
    <w:p w14:paraId="0C2FED3C" w14:textId="77777777" w:rsidR="00E321E1" w:rsidRPr="00EE5313" w:rsidRDefault="00E321E1" w:rsidP="004A4E70">
      <w:pPr>
        <w:rPr>
          <w:rFonts w:ascii="Arial" w:hAnsi="Arial" w:cs="Arial"/>
          <w:sz w:val="22"/>
          <w:szCs w:val="22"/>
        </w:rPr>
      </w:pPr>
    </w:p>
    <w:p w14:paraId="1D745AFF" w14:textId="7932631E" w:rsidR="007C7EF7" w:rsidRPr="00EE5313" w:rsidRDefault="007C7EF7" w:rsidP="004A4E70">
      <w:pPr>
        <w:rPr>
          <w:rFonts w:ascii="Arial" w:hAnsi="Arial" w:cs="Arial"/>
          <w:sz w:val="22"/>
          <w:szCs w:val="22"/>
        </w:rPr>
      </w:pPr>
      <w:r w:rsidRPr="00EE5313">
        <w:rPr>
          <w:rFonts w:ascii="Arial" w:hAnsi="Arial" w:cs="Arial"/>
          <w:sz w:val="22"/>
          <w:szCs w:val="22"/>
        </w:rPr>
        <w:t>Unless amended or revoked, this accreditation is subject to the following condition applied under section 303AA:</w:t>
      </w:r>
    </w:p>
    <w:p w14:paraId="58ACD348" w14:textId="77777777" w:rsidR="007C7EF7" w:rsidRPr="00EE5313" w:rsidRDefault="007C7EF7" w:rsidP="004A4E70">
      <w:pPr>
        <w:rPr>
          <w:rFonts w:ascii="Arial" w:hAnsi="Arial" w:cs="Arial"/>
          <w:sz w:val="22"/>
          <w:szCs w:val="22"/>
        </w:rPr>
      </w:pPr>
    </w:p>
    <w:p w14:paraId="6DD5E1E9" w14:textId="77777777" w:rsidR="00D54A15" w:rsidRPr="00EE5313" w:rsidRDefault="00D54A15" w:rsidP="004A4E70">
      <w:pPr>
        <w:rPr>
          <w:rFonts w:ascii="Arial" w:hAnsi="Arial" w:cs="Arial"/>
          <w:sz w:val="22"/>
          <w:szCs w:val="22"/>
        </w:rPr>
      </w:pPr>
      <w:r w:rsidRPr="00EE5313">
        <w:rPr>
          <w:rFonts w:ascii="Arial" w:hAnsi="Arial" w:cs="Arial"/>
          <w:sz w:val="22"/>
          <w:szCs w:val="22"/>
        </w:rPr>
        <w:t>The Australian Fisheries Management Authority to:</w:t>
      </w:r>
    </w:p>
    <w:p w14:paraId="41489903" w14:textId="77777777" w:rsidR="00D54A15" w:rsidRPr="00EE5313" w:rsidRDefault="00D54A15" w:rsidP="004A4E70">
      <w:pPr>
        <w:rPr>
          <w:rFonts w:ascii="Arial" w:hAnsi="Arial" w:cs="Arial"/>
          <w:sz w:val="22"/>
          <w:szCs w:val="22"/>
        </w:rPr>
      </w:pPr>
    </w:p>
    <w:p w14:paraId="1922DB30" w14:textId="5A1D0371" w:rsidR="00D54A15" w:rsidRPr="00EE5313" w:rsidRDefault="00EE5313" w:rsidP="004A4E70">
      <w:pPr>
        <w:pStyle w:val="ListParagraph"/>
      </w:pPr>
      <w:r w:rsidRPr="00EE5313">
        <w:t>ensure there is sufficient ongoing monitoring (electronic or human) to evaluate the nature and level of impacts of fishing on EPBC Act protected species</w:t>
      </w:r>
      <w:r w:rsidR="00D54A15" w:rsidRPr="00EE5313">
        <w:t>.</w:t>
      </w:r>
    </w:p>
    <w:p w14:paraId="693F84C5" w14:textId="77777777" w:rsidR="00D54A15" w:rsidRPr="00EE5313" w:rsidRDefault="00D54A15" w:rsidP="004A4E70">
      <w:pPr>
        <w:pStyle w:val="ListNumber"/>
        <w:numPr>
          <w:ilvl w:val="0"/>
          <w:numId w:val="0"/>
        </w:numPr>
        <w:spacing w:after="0" w:line="240" w:lineRule="auto"/>
        <w:ind w:left="369"/>
        <w:rPr>
          <w:rFonts w:cs="Arial"/>
          <w:highlight w:val="yellow"/>
        </w:rPr>
      </w:pPr>
    </w:p>
    <w:p w14:paraId="44D56C95" w14:textId="21871F93" w:rsidR="00D54A15" w:rsidRPr="00EE5313" w:rsidRDefault="00EE5313" w:rsidP="004A4E70">
      <w:pPr>
        <w:pStyle w:val="ListParagraph"/>
      </w:pPr>
      <w:r w:rsidRPr="00EE5313">
        <w:t xml:space="preserve">ensure that interactions with species of sawfish and sea snakes are minimised by facilitating research and monitoring programs that contribute </w:t>
      </w:r>
      <w:r w:rsidR="004A4E70" w:rsidRPr="00EE5313">
        <w:t>to</w:t>
      </w:r>
      <w:r w:rsidR="00D54A15" w:rsidRPr="00EE5313">
        <w:t>:</w:t>
      </w:r>
    </w:p>
    <w:p w14:paraId="4AB36300" w14:textId="69D49C13" w:rsidR="00D54A15" w:rsidRPr="00EE5313" w:rsidRDefault="004A4E70" w:rsidP="004A4E70">
      <w:pPr>
        <w:pStyle w:val="ListContinue"/>
      </w:pPr>
      <w:r w:rsidRPr="00EE5313">
        <w:t xml:space="preserve">understanding </w:t>
      </w:r>
      <w:r w:rsidR="00EE5313" w:rsidRPr="00EE5313">
        <w:t>the unique characteristics of sawfish and sea snake interactions with the fishing gear</w:t>
      </w:r>
      <w:r w:rsidR="00D54A15" w:rsidRPr="00EE5313">
        <w:t>,</w:t>
      </w:r>
    </w:p>
    <w:p w14:paraId="5EE9CCCB" w14:textId="528F3E5F" w:rsidR="00D54A15" w:rsidRPr="00EE5313" w:rsidRDefault="004A4E70" w:rsidP="004A4E70">
      <w:pPr>
        <w:pStyle w:val="ListContinue"/>
      </w:pPr>
      <w:r w:rsidRPr="00EE5313">
        <w:t xml:space="preserve">understanding </w:t>
      </w:r>
      <w:r w:rsidR="00EE5313" w:rsidRPr="00EE5313">
        <w:t>the population dynamics, including size and structure of sawfish species populations that occur within the fishing area</w:t>
      </w:r>
      <w:r w:rsidR="00D54A15" w:rsidRPr="00EE5313">
        <w:t>, and</w:t>
      </w:r>
    </w:p>
    <w:p w14:paraId="4A6260C3" w14:textId="647EBEEB" w:rsidR="00D54A15" w:rsidRPr="00EE5313" w:rsidRDefault="00D54A15" w:rsidP="004A4E70">
      <w:pPr>
        <w:pStyle w:val="ListContinue"/>
      </w:pPr>
      <w:r w:rsidRPr="00EE5313">
        <w:lastRenderedPageBreak/>
        <w:t>implement</w:t>
      </w:r>
      <w:r w:rsidR="00EE5313" w:rsidRPr="00EE5313">
        <w:t>ing</w:t>
      </w:r>
      <w:r w:rsidRPr="00EE5313">
        <w:t xml:space="preserve"> </w:t>
      </w:r>
      <w:r w:rsidR="00EE5313" w:rsidRPr="00EE5313">
        <w:t>appropriate mitigation measures that aim to increase the survival of sawfish and sea snake species</w:t>
      </w:r>
      <w:r w:rsidRPr="00EE5313">
        <w:t>.</w:t>
      </w:r>
    </w:p>
    <w:p w14:paraId="3B26EA96" w14:textId="77777777" w:rsidR="00D54A15" w:rsidRPr="00EE5313" w:rsidRDefault="00D54A15" w:rsidP="004A4E70">
      <w:pPr>
        <w:pStyle w:val="ListNumber"/>
        <w:numPr>
          <w:ilvl w:val="0"/>
          <w:numId w:val="0"/>
        </w:numPr>
        <w:spacing w:after="0" w:line="240" w:lineRule="auto"/>
        <w:ind w:left="369"/>
        <w:rPr>
          <w:rFonts w:cs="Arial"/>
          <w:highlight w:val="yellow"/>
        </w:rPr>
      </w:pPr>
    </w:p>
    <w:p w14:paraId="5F025CD9" w14:textId="380CA3C0" w:rsidR="00D54A15" w:rsidRPr="00EE5313" w:rsidRDefault="00EE5313" w:rsidP="004A4E70">
      <w:pPr>
        <w:pStyle w:val="ListParagraph"/>
      </w:pPr>
      <w:r w:rsidRPr="00EE5313">
        <w:t>develop an education program or materials that improve the accurate identification of sawfish and sea snake species</w:t>
      </w:r>
      <w:r w:rsidR="00D54A15" w:rsidRPr="00EE5313">
        <w:t>.</w:t>
      </w:r>
    </w:p>
    <w:p w14:paraId="78B0E14C" w14:textId="77777777" w:rsidR="00D54A15" w:rsidRPr="00EE5313" w:rsidRDefault="00D54A15" w:rsidP="004A4E70">
      <w:pPr>
        <w:pStyle w:val="ListNumber"/>
        <w:numPr>
          <w:ilvl w:val="0"/>
          <w:numId w:val="0"/>
        </w:numPr>
        <w:spacing w:after="0" w:line="240" w:lineRule="auto"/>
        <w:ind w:left="369"/>
        <w:rPr>
          <w:rFonts w:cs="Arial"/>
          <w:highlight w:val="yellow"/>
        </w:rPr>
      </w:pPr>
    </w:p>
    <w:p w14:paraId="34C0131A" w14:textId="77777777" w:rsidR="00D54A15" w:rsidRPr="00D54A15" w:rsidRDefault="00D54A15" w:rsidP="004A4E70">
      <w:pPr>
        <w:rPr>
          <w:rFonts w:ascii="Arial" w:hAnsi="Arial" w:cs="Arial"/>
          <w:sz w:val="22"/>
          <w:szCs w:val="22"/>
          <w:highlight w:val="yellow"/>
        </w:rPr>
      </w:pPr>
    </w:p>
    <w:p w14:paraId="29C3BEE4" w14:textId="77777777" w:rsidR="00BF3B54" w:rsidRPr="00D54A15" w:rsidRDefault="00BF3B54" w:rsidP="004A4E70">
      <w:pPr>
        <w:rPr>
          <w:rFonts w:ascii="Arial" w:hAnsi="Arial" w:cs="Arial"/>
          <w:sz w:val="22"/>
          <w:szCs w:val="22"/>
        </w:rPr>
      </w:pPr>
    </w:p>
    <w:p w14:paraId="51493E42" w14:textId="77777777" w:rsidR="00BF3B54" w:rsidRPr="00D54A15" w:rsidRDefault="00BF3B54" w:rsidP="004A4E70">
      <w:pPr>
        <w:pStyle w:val="ListContinue"/>
        <w:numPr>
          <w:ilvl w:val="0"/>
          <w:numId w:val="0"/>
        </w:numPr>
        <w:ind w:left="714" w:hanging="357"/>
      </w:pPr>
    </w:p>
    <w:p w14:paraId="1B3FAEA9" w14:textId="77777777" w:rsidR="007C7EF7" w:rsidRPr="00D54A15" w:rsidRDefault="007C7EF7" w:rsidP="004A4E70">
      <w:pPr>
        <w:pStyle w:val="ListNumber"/>
        <w:numPr>
          <w:ilvl w:val="0"/>
          <w:numId w:val="0"/>
        </w:numPr>
        <w:spacing w:after="0" w:line="240" w:lineRule="auto"/>
        <w:ind w:left="369"/>
        <w:rPr>
          <w:rFonts w:cs="Arial"/>
          <w:highlight w:val="yellow"/>
        </w:rPr>
      </w:pPr>
    </w:p>
    <w:p w14:paraId="6C3F06B2" w14:textId="77777777" w:rsidR="007C7EF7" w:rsidRPr="00D54A15" w:rsidRDefault="007C7EF7" w:rsidP="004A4E70">
      <w:pPr>
        <w:rPr>
          <w:rFonts w:ascii="Arial" w:hAnsi="Arial" w:cs="Arial"/>
          <w:sz w:val="22"/>
          <w:szCs w:val="22"/>
        </w:rPr>
      </w:pPr>
    </w:p>
    <w:p w14:paraId="0C2FED3D" w14:textId="77777777" w:rsidR="00E321E1" w:rsidRPr="00D54A15" w:rsidRDefault="00E321E1" w:rsidP="004A4E70">
      <w:pPr>
        <w:rPr>
          <w:rFonts w:ascii="Arial" w:hAnsi="Arial" w:cs="Arial"/>
          <w:sz w:val="22"/>
          <w:szCs w:val="22"/>
        </w:rPr>
      </w:pPr>
    </w:p>
    <w:p w14:paraId="0C2FED3E" w14:textId="1CC7C4BE" w:rsidR="00E321E1" w:rsidRPr="00D54A15" w:rsidRDefault="00FB1480" w:rsidP="00FB796D">
      <w:pPr>
        <w:pStyle w:val="Heading1"/>
        <w:jc w:val="both"/>
        <w:rPr>
          <w:rFonts w:ascii="Arial" w:hAnsi="Arial" w:cs="Arial"/>
          <w:iCs/>
          <w:sz w:val="22"/>
          <w:szCs w:val="22"/>
        </w:rPr>
      </w:pPr>
      <w:r w:rsidRPr="00D54A15">
        <w:rPr>
          <w:rFonts w:ascii="Arial" w:hAnsi="Arial" w:cs="Arial"/>
          <w:iCs/>
          <w:sz w:val="22"/>
          <w:szCs w:val="22"/>
        </w:rPr>
        <w:t xml:space="preserve">Dated this </w:t>
      </w:r>
      <w:r w:rsidRPr="00D54A15">
        <w:rPr>
          <w:rFonts w:ascii="Arial" w:hAnsi="Arial" w:cs="Arial"/>
          <w:iCs/>
          <w:sz w:val="22"/>
          <w:szCs w:val="22"/>
        </w:rPr>
        <w:tab/>
      </w:r>
      <w:r w:rsidR="00FB796D">
        <w:rPr>
          <w:rFonts w:ascii="Arial" w:hAnsi="Arial" w:cs="Arial"/>
          <w:iCs/>
          <w:sz w:val="22"/>
          <w:szCs w:val="22"/>
        </w:rPr>
        <w:t>9</w:t>
      </w:r>
      <w:r w:rsidR="00C91B0F" w:rsidRPr="00D54A15">
        <w:rPr>
          <w:rFonts w:ascii="Arial" w:hAnsi="Arial" w:cs="Arial"/>
          <w:iCs/>
          <w:sz w:val="22"/>
          <w:szCs w:val="22"/>
        </w:rPr>
        <w:tab/>
      </w:r>
      <w:r w:rsidR="005E68D9" w:rsidRPr="00D54A15">
        <w:rPr>
          <w:rFonts w:ascii="Arial" w:hAnsi="Arial" w:cs="Arial"/>
          <w:iCs/>
          <w:sz w:val="22"/>
          <w:szCs w:val="22"/>
        </w:rPr>
        <w:tab/>
        <w:t>day of</w:t>
      </w:r>
      <w:r w:rsidR="005E68D9" w:rsidRPr="00D54A15">
        <w:rPr>
          <w:rFonts w:ascii="Arial" w:hAnsi="Arial" w:cs="Arial"/>
          <w:iCs/>
          <w:sz w:val="22"/>
          <w:szCs w:val="22"/>
        </w:rPr>
        <w:tab/>
      </w:r>
      <w:r w:rsidR="00C91B0F" w:rsidRPr="00D54A15">
        <w:rPr>
          <w:rFonts w:ascii="Arial" w:hAnsi="Arial" w:cs="Arial"/>
          <w:iCs/>
          <w:sz w:val="22"/>
          <w:szCs w:val="22"/>
        </w:rPr>
        <w:tab/>
      </w:r>
      <w:r w:rsidR="00FB796D">
        <w:rPr>
          <w:rFonts w:ascii="Arial" w:hAnsi="Arial" w:cs="Arial"/>
          <w:iCs/>
          <w:sz w:val="22"/>
          <w:szCs w:val="22"/>
        </w:rPr>
        <w:t>January</w:t>
      </w:r>
      <w:r w:rsidR="003933A8" w:rsidRPr="00D54A15">
        <w:rPr>
          <w:rFonts w:ascii="Arial" w:hAnsi="Arial" w:cs="Arial"/>
          <w:iCs/>
          <w:sz w:val="22"/>
          <w:szCs w:val="22"/>
        </w:rPr>
        <w:tab/>
      </w:r>
      <w:r w:rsidR="003933A8" w:rsidRPr="00D54A15">
        <w:rPr>
          <w:rFonts w:ascii="Arial" w:hAnsi="Arial" w:cs="Arial"/>
          <w:iCs/>
          <w:sz w:val="22"/>
          <w:szCs w:val="22"/>
        </w:rPr>
        <w:tab/>
      </w:r>
      <w:r w:rsidR="00417558" w:rsidRPr="00D54A15">
        <w:rPr>
          <w:rFonts w:ascii="Arial" w:hAnsi="Arial" w:cs="Arial"/>
          <w:iCs/>
          <w:sz w:val="22"/>
          <w:szCs w:val="22"/>
        </w:rPr>
        <w:t>201</w:t>
      </w:r>
      <w:r w:rsidR="00C159D2">
        <w:rPr>
          <w:rFonts w:ascii="Arial" w:hAnsi="Arial" w:cs="Arial"/>
          <w:iCs/>
          <w:sz w:val="22"/>
          <w:szCs w:val="22"/>
        </w:rPr>
        <w:t>9</w:t>
      </w:r>
    </w:p>
    <w:p w14:paraId="0C2FED3F" w14:textId="77777777" w:rsidR="00E321E1" w:rsidRPr="00D54A15" w:rsidRDefault="00E321E1" w:rsidP="004A4E70">
      <w:pPr>
        <w:rPr>
          <w:rFonts w:ascii="Arial" w:hAnsi="Arial" w:cs="Arial"/>
          <w:sz w:val="22"/>
          <w:szCs w:val="22"/>
        </w:rPr>
      </w:pPr>
    </w:p>
    <w:p w14:paraId="0C2FED43" w14:textId="67159591" w:rsidR="00E321E1" w:rsidRPr="00D54A15" w:rsidRDefault="00FB796D" w:rsidP="004A4E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AU" w:eastAsia="en-AU"/>
        </w:rPr>
        <w:drawing>
          <wp:inline distT="0" distB="0" distL="0" distR="0" wp14:anchorId="4217BC69" wp14:editId="5E3E9374">
            <wp:extent cx="3304762" cy="15142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zely Veronica-signature-23_01_201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4762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62342" w14:textId="7C03B2B0" w:rsidR="00972AC2" w:rsidRPr="004B6C56" w:rsidRDefault="00972AC2" w:rsidP="00972AC2">
      <w:pPr>
        <w:jc w:val="center"/>
        <w:rPr>
          <w:sz w:val="22"/>
          <w:szCs w:val="22"/>
        </w:rPr>
      </w:pPr>
      <w:r w:rsidRPr="004B6C56">
        <w:rPr>
          <w:sz w:val="22"/>
          <w:szCs w:val="22"/>
        </w:rPr>
        <w:t>..……………………….……....……………………….……..</w:t>
      </w:r>
    </w:p>
    <w:p w14:paraId="6E537809" w14:textId="6948B516" w:rsidR="00972AC2" w:rsidRPr="004B6C56" w:rsidRDefault="00972AC2" w:rsidP="00972AC2">
      <w:pPr>
        <w:pStyle w:val="NormalWeb"/>
        <w:tabs>
          <w:tab w:val="left" w:pos="9026"/>
        </w:tabs>
        <w:spacing w:before="0" w:beforeAutospacing="0" w:after="0" w:afterAutospacing="0"/>
        <w:jc w:val="center"/>
        <w:rPr>
          <w:rFonts w:ascii="Times New Roman" w:hAnsi="Times New Roman" w:cs="Times New Roman"/>
          <w:snapToGrid w:val="0"/>
          <w:sz w:val="22"/>
          <w:szCs w:val="22"/>
          <w:lang w:val="en-AU"/>
        </w:rPr>
      </w:pPr>
    </w:p>
    <w:p w14:paraId="0C2FED46" w14:textId="7B6A5A0A" w:rsidR="00B134B6" w:rsidRPr="00BF3B54" w:rsidRDefault="00FB1480" w:rsidP="004A4E70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jc w:val="center"/>
        <w:rPr>
          <w:rFonts w:ascii="Arial" w:hAnsi="Arial" w:cs="Arial"/>
          <w:snapToGrid w:val="0"/>
          <w:sz w:val="22"/>
          <w:szCs w:val="22"/>
          <w:lang w:val="en-AU"/>
        </w:rPr>
      </w:pPr>
      <w:r w:rsidRPr="00BF3B54">
        <w:rPr>
          <w:rFonts w:ascii="Arial" w:hAnsi="Arial" w:cs="Arial"/>
          <w:snapToGrid w:val="0"/>
          <w:sz w:val="22"/>
          <w:szCs w:val="22"/>
          <w:lang w:val="en-AU"/>
        </w:rPr>
        <w:t xml:space="preserve">Delegate of the </w:t>
      </w:r>
      <w:r w:rsidRPr="00BF3B54">
        <w:rPr>
          <w:rFonts w:ascii="Arial" w:hAnsi="Arial" w:cs="Arial"/>
          <w:sz w:val="22"/>
          <w:szCs w:val="22"/>
        </w:rPr>
        <w:t xml:space="preserve">Minister for </w:t>
      </w:r>
      <w:r w:rsidR="00A6198D" w:rsidRPr="00BF3B54">
        <w:rPr>
          <w:rFonts w:ascii="Arial" w:hAnsi="Arial" w:cs="Arial"/>
          <w:sz w:val="22"/>
          <w:szCs w:val="22"/>
        </w:rPr>
        <w:t>the</w:t>
      </w:r>
      <w:r w:rsidR="00442816" w:rsidRPr="00BF3B54">
        <w:rPr>
          <w:rFonts w:ascii="Arial" w:hAnsi="Arial" w:cs="Arial"/>
          <w:sz w:val="22"/>
          <w:szCs w:val="22"/>
        </w:rPr>
        <w:t xml:space="preserve"> Environment</w:t>
      </w:r>
      <w:r w:rsidR="003933A8" w:rsidRPr="00BF3B54">
        <w:rPr>
          <w:rFonts w:ascii="Arial" w:hAnsi="Arial" w:cs="Arial"/>
          <w:sz w:val="22"/>
          <w:szCs w:val="22"/>
        </w:rPr>
        <w:t xml:space="preserve"> </w:t>
      </w:r>
    </w:p>
    <w:sectPr w:rsidR="00B134B6" w:rsidRPr="00BF3B54" w:rsidSect="002844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FED4C" w14:textId="77777777" w:rsidR="0028447B" w:rsidRDefault="0028447B">
      <w:r>
        <w:separator/>
      </w:r>
    </w:p>
  </w:endnote>
  <w:endnote w:type="continuationSeparator" w:id="0">
    <w:p w14:paraId="0C2FED4D" w14:textId="77777777" w:rsidR="0028447B" w:rsidRDefault="0028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DEC70" w14:textId="77777777" w:rsidR="004C2553" w:rsidRDefault="004C25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A2AF" w14:textId="77777777" w:rsidR="004C2553" w:rsidRDefault="004C25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86562" w14:textId="77777777" w:rsidR="004C2553" w:rsidRDefault="004C25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FED4A" w14:textId="77777777" w:rsidR="0028447B" w:rsidRDefault="0028447B">
      <w:r>
        <w:separator/>
      </w:r>
    </w:p>
  </w:footnote>
  <w:footnote w:type="continuationSeparator" w:id="0">
    <w:p w14:paraId="0C2FED4B" w14:textId="77777777" w:rsidR="0028447B" w:rsidRDefault="00284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37EAD" w14:textId="77777777" w:rsidR="004C2553" w:rsidRDefault="004C25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616EC" w14:textId="77777777" w:rsidR="004C2553" w:rsidRDefault="004C25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FED4E" w14:textId="77777777" w:rsidR="0028447B" w:rsidRDefault="0028447B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14:paraId="0C2FED4F" w14:textId="77777777" w:rsidR="0028447B" w:rsidRDefault="0028447B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39CFB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516054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6608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C0E85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BDA8C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43B52"/>
    <w:multiLevelType w:val="hybridMultilevel"/>
    <w:tmpl w:val="FE10490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E1D252B"/>
    <w:multiLevelType w:val="hybridMultilevel"/>
    <w:tmpl w:val="D4CE5E9E"/>
    <w:lvl w:ilvl="0" w:tplc="38F43350">
      <w:start w:val="1"/>
      <w:numFmt w:val="lowerRoman"/>
      <w:pStyle w:val="ListContinue"/>
      <w:lvlText w:val="%1."/>
      <w:lvlJc w:val="righ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723" w:hanging="360"/>
      </w:pPr>
    </w:lvl>
    <w:lvl w:ilvl="2" w:tplc="0C09001B" w:tentative="1">
      <w:start w:val="1"/>
      <w:numFmt w:val="lowerRoman"/>
      <w:lvlText w:val="%3."/>
      <w:lvlJc w:val="right"/>
      <w:pPr>
        <w:ind w:left="2443" w:hanging="180"/>
      </w:pPr>
    </w:lvl>
    <w:lvl w:ilvl="3" w:tplc="0C09000F" w:tentative="1">
      <w:start w:val="1"/>
      <w:numFmt w:val="decimal"/>
      <w:lvlText w:val="%4."/>
      <w:lvlJc w:val="left"/>
      <w:pPr>
        <w:ind w:left="3163" w:hanging="360"/>
      </w:pPr>
    </w:lvl>
    <w:lvl w:ilvl="4" w:tplc="0C090019" w:tentative="1">
      <w:start w:val="1"/>
      <w:numFmt w:val="lowerLetter"/>
      <w:lvlText w:val="%5."/>
      <w:lvlJc w:val="left"/>
      <w:pPr>
        <w:ind w:left="3883" w:hanging="360"/>
      </w:pPr>
    </w:lvl>
    <w:lvl w:ilvl="5" w:tplc="0C09001B" w:tentative="1">
      <w:start w:val="1"/>
      <w:numFmt w:val="lowerRoman"/>
      <w:lvlText w:val="%6."/>
      <w:lvlJc w:val="right"/>
      <w:pPr>
        <w:ind w:left="4603" w:hanging="180"/>
      </w:pPr>
    </w:lvl>
    <w:lvl w:ilvl="6" w:tplc="0C09000F" w:tentative="1">
      <w:start w:val="1"/>
      <w:numFmt w:val="decimal"/>
      <w:lvlText w:val="%7."/>
      <w:lvlJc w:val="left"/>
      <w:pPr>
        <w:ind w:left="5323" w:hanging="360"/>
      </w:pPr>
    </w:lvl>
    <w:lvl w:ilvl="7" w:tplc="0C090019" w:tentative="1">
      <w:start w:val="1"/>
      <w:numFmt w:val="lowerLetter"/>
      <w:lvlText w:val="%8."/>
      <w:lvlJc w:val="left"/>
      <w:pPr>
        <w:ind w:left="6043" w:hanging="360"/>
      </w:pPr>
    </w:lvl>
    <w:lvl w:ilvl="8" w:tplc="0C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38F853CA"/>
    <w:multiLevelType w:val="hybridMultilevel"/>
    <w:tmpl w:val="0A629A9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93EA1376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C342F"/>
    <w:multiLevelType w:val="hybridMultilevel"/>
    <w:tmpl w:val="4118B7C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EE2820"/>
    <w:multiLevelType w:val="hybridMultilevel"/>
    <w:tmpl w:val="FFB8D71E"/>
    <w:lvl w:ilvl="0" w:tplc="5742D134">
      <w:start w:val="1"/>
      <w:numFmt w:val="upperLetter"/>
      <w:pStyle w:val="ListParagraph"/>
      <w:lvlText w:val="%1."/>
      <w:lvlJc w:val="left"/>
      <w:pPr>
        <w:ind w:left="1077" w:hanging="360"/>
      </w:p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20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 w15:restartNumberingAfterBreak="0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10"/>
  </w:num>
  <w:num w:numId="5">
    <w:abstractNumId w:val="21"/>
  </w:num>
  <w:num w:numId="6">
    <w:abstractNumId w:val="9"/>
  </w:num>
  <w:num w:numId="7">
    <w:abstractNumId w:val="13"/>
  </w:num>
  <w:num w:numId="8">
    <w:abstractNumId w:val="12"/>
  </w:num>
  <w:num w:numId="9">
    <w:abstractNumId w:val="22"/>
  </w:num>
  <w:num w:numId="10">
    <w:abstractNumId w:val="17"/>
  </w:num>
  <w:num w:numId="11">
    <w:abstractNumId w:val="8"/>
  </w:num>
  <w:num w:numId="12">
    <w:abstractNumId w:val="16"/>
  </w:num>
  <w:num w:numId="13">
    <w:abstractNumId w:val="15"/>
  </w:num>
  <w:num w:numId="14">
    <w:abstractNumId w:val="14"/>
  </w:num>
  <w:num w:numId="15">
    <w:abstractNumId w:val="5"/>
  </w:num>
  <w:num w:numId="16">
    <w:abstractNumId w:val="19"/>
  </w:num>
  <w:num w:numId="17">
    <w:abstractNumId w:val="7"/>
  </w:num>
  <w:num w:numId="18">
    <w:abstractNumId w:val="18"/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BE"/>
    <w:rsid w:val="00022807"/>
    <w:rsid w:val="00035DC3"/>
    <w:rsid w:val="00075416"/>
    <w:rsid w:val="000928E7"/>
    <w:rsid w:val="000D53C1"/>
    <w:rsid w:val="000E4742"/>
    <w:rsid w:val="00131745"/>
    <w:rsid w:val="00141DC4"/>
    <w:rsid w:val="00154539"/>
    <w:rsid w:val="001572F9"/>
    <w:rsid w:val="00157A07"/>
    <w:rsid w:val="00191A78"/>
    <w:rsid w:val="002272C5"/>
    <w:rsid w:val="002476C0"/>
    <w:rsid w:val="002516A4"/>
    <w:rsid w:val="0028447B"/>
    <w:rsid w:val="002A2D3C"/>
    <w:rsid w:val="002C7512"/>
    <w:rsid w:val="002D56AA"/>
    <w:rsid w:val="00300E20"/>
    <w:rsid w:val="00313CDC"/>
    <w:rsid w:val="00330C65"/>
    <w:rsid w:val="003732DA"/>
    <w:rsid w:val="003779EB"/>
    <w:rsid w:val="00390BAD"/>
    <w:rsid w:val="003933A8"/>
    <w:rsid w:val="003A3E63"/>
    <w:rsid w:val="003F0B0A"/>
    <w:rsid w:val="003F79A0"/>
    <w:rsid w:val="00406255"/>
    <w:rsid w:val="00417558"/>
    <w:rsid w:val="00433409"/>
    <w:rsid w:val="00442816"/>
    <w:rsid w:val="00476795"/>
    <w:rsid w:val="004A2909"/>
    <w:rsid w:val="004A4E70"/>
    <w:rsid w:val="004B6C56"/>
    <w:rsid w:val="004C0D63"/>
    <w:rsid w:val="004C2553"/>
    <w:rsid w:val="004E4888"/>
    <w:rsid w:val="00565A6C"/>
    <w:rsid w:val="00571349"/>
    <w:rsid w:val="005739BE"/>
    <w:rsid w:val="005D4908"/>
    <w:rsid w:val="005E68D9"/>
    <w:rsid w:val="005E6DE2"/>
    <w:rsid w:val="005F34BD"/>
    <w:rsid w:val="00641DA0"/>
    <w:rsid w:val="006631C9"/>
    <w:rsid w:val="006852D4"/>
    <w:rsid w:val="006F1DB8"/>
    <w:rsid w:val="007A3126"/>
    <w:rsid w:val="007A796F"/>
    <w:rsid w:val="007C176F"/>
    <w:rsid w:val="007C5DB1"/>
    <w:rsid w:val="007C7EF7"/>
    <w:rsid w:val="0080484A"/>
    <w:rsid w:val="00807FA4"/>
    <w:rsid w:val="00823CCF"/>
    <w:rsid w:val="00863B42"/>
    <w:rsid w:val="00877B21"/>
    <w:rsid w:val="00882570"/>
    <w:rsid w:val="008972F9"/>
    <w:rsid w:val="008A7845"/>
    <w:rsid w:val="00941B39"/>
    <w:rsid w:val="00972AC2"/>
    <w:rsid w:val="009F0448"/>
    <w:rsid w:val="00A157AF"/>
    <w:rsid w:val="00A22CBB"/>
    <w:rsid w:val="00A34121"/>
    <w:rsid w:val="00A6198D"/>
    <w:rsid w:val="00A65DF9"/>
    <w:rsid w:val="00AA004D"/>
    <w:rsid w:val="00B134B6"/>
    <w:rsid w:val="00BA5A3E"/>
    <w:rsid w:val="00BE4C00"/>
    <w:rsid w:val="00BF3B54"/>
    <w:rsid w:val="00C03370"/>
    <w:rsid w:val="00C159D2"/>
    <w:rsid w:val="00C4202F"/>
    <w:rsid w:val="00C64506"/>
    <w:rsid w:val="00C77716"/>
    <w:rsid w:val="00C91B0F"/>
    <w:rsid w:val="00CB0588"/>
    <w:rsid w:val="00CC100A"/>
    <w:rsid w:val="00CE3DA1"/>
    <w:rsid w:val="00D0634F"/>
    <w:rsid w:val="00D12080"/>
    <w:rsid w:val="00D41A9F"/>
    <w:rsid w:val="00D54A15"/>
    <w:rsid w:val="00D8167A"/>
    <w:rsid w:val="00DA4775"/>
    <w:rsid w:val="00DA5695"/>
    <w:rsid w:val="00DF487E"/>
    <w:rsid w:val="00DF543C"/>
    <w:rsid w:val="00E25805"/>
    <w:rsid w:val="00E321E1"/>
    <w:rsid w:val="00E661FE"/>
    <w:rsid w:val="00E92FA8"/>
    <w:rsid w:val="00EE3E5C"/>
    <w:rsid w:val="00EE5313"/>
    <w:rsid w:val="00F24BBC"/>
    <w:rsid w:val="00F24E2F"/>
    <w:rsid w:val="00F41316"/>
    <w:rsid w:val="00F755FB"/>
    <w:rsid w:val="00FB1480"/>
    <w:rsid w:val="00FB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FED29"/>
  <w15:docId w15:val="{7C35E932-6385-4E82-976A-524027F1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EF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F3B54"/>
    <w:pPr>
      <w:numPr>
        <w:numId w:val="18"/>
      </w:numPr>
      <w:ind w:left="357" w:hanging="357"/>
    </w:pPr>
    <w:rPr>
      <w:rFonts w:ascii="Arial" w:hAnsi="Arial" w:cs="Arial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semiHidden/>
    <w:rsid w:val="00C03370"/>
    <w:rPr>
      <w:lang w:val="en-US" w:eastAsia="en-US"/>
    </w:rPr>
  </w:style>
  <w:style w:type="paragraph" w:styleId="ListNumber">
    <w:name w:val="List Number"/>
    <w:basedOn w:val="Normal"/>
    <w:uiPriority w:val="99"/>
    <w:qFormat/>
    <w:rsid w:val="007C7EF7"/>
    <w:pPr>
      <w:numPr>
        <w:numId w:val="16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  <w:style w:type="paragraph" w:styleId="ListNumber2">
    <w:name w:val="List Number 2"/>
    <w:basedOn w:val="Normal"/>
    <w:uiPriority w:val="99"/>
    <w:rsid w:val="007C7EF7"/>
    <w:pPr>
      <w:numPr>
        <w:ilvl w:val="1"/>
        <w:numId w:val="16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  <w:style w:type="paragraph" w:styleId="ListNumber3">
    <w:name w:val="List Number 3"/>
    <w:basedOn w:val="Normal"/>
    <w:uiPriority w:val="99"/>
    <w:rsid w:val="007C7EF7"/>
    <w:pPr>
      <w:numPr>
        <w:ilvl w:val="2"/>
        <w:numId w:val="16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  <w:style w:type="paragraph" w:styleId="ListNumber4">
    <w:name w:val="List Number 4"/>
    <w:basedOn w:val="Normal"/>
    <w:uiPriority w:val="99"/>
    <w:rsid w:val="007C7EF7"/>
    <w:pPr>
      <w:numPr>
        <w:ilvl w:val="3"/>
        <w:numId w:val="16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  <w:style w:type="paragraph" w:styleId="ListNumber5">
    <w:name w:val="List Number 5"/>
    <w:basedOn w:val="Normal"/>
    <w:uiPriority w:val="99"/>
    <w:rsid w:val="007C7EF7"/>
    <w:pPr>
      <w:numPr>
        <w:ilvl w:val="4"/>
        <w:numId w:val="16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  <w:style w:type="paragraph" w:styleId="ListContinue">
    <w:name w:val="List Continue"/>
    <w:basedOn w:val="Normal"/>
    <w:uiPriority w:val="99"/>
    <w:rsid w:val="00BF3B54"/>
    <w:pPr>
      <w:numPr>
        <w:numId w:val="17"/>
      </w:numPr>
      <w:ind w:left="714" w:hanging="357"/>
    </w:pPr>
    <w:rPr>
      <w:rFonts w:ascii="Arial" w:eastAsia="Calibri" w:hAnsi="Arial" w:cs="Arial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7C0B83DC.dotm</Template>
  <TotalTime>1</TotalTime>
  <Pages>2</Pages>
  <Words>415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Revocation of Accreditation of a Plan, Regime or Policy for the purposes of Part 13 Accreditation of a Plan, Regime or Policy for the purposes of Part 13 Commonwealth Northern Prawn Fishery, January 2019</dc:title>
  <dc:creator>Department of the Environment and Energy</dc:creator>
  <cp:lastModifiedBy>Bec Durack</cp:lastModifiedBy>
  <cp:revision>2</cp:revision>
  <dcterms:created xsi:type="dcterms:W3CDTF">2019-01-09T04:18:00Z</dcterms:created>
  <dcterms:modified xsi:type="dcterms:W3CDTF">2019-01-09T04:18:00Z</dcterms:modified>
</cp:coreProperties>
</file>