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6C68CE9C" w:rsidR="00CF5CAE" w:rsidRPr="00B0197B" w:rsidRDefault="00CF5CAE" w:rsidP="00CF5CAE">
      <w:pPr>
        <w:jc w:val="right"/>
      </w:pPr>
      <w:bookmarkStart w:id="0" w:name="_GoBack"/>
      <w:bookmarkEnd w:id="0"/>
      <w:r w:rsidRPr="0012744F">
        <w:t xml:space="preserve">Ref: </w:t>
      </w:r>
      <w:r w:rsidR="0094496A">
        <w:t>002068366</w:t>
      </w:r>
    </w:p>
    <w:p w14:paraId="0FD184CB" w14:textId="77777777" w:rsidR="00CF5CAE" w:rsidRDefault="00CF5CAE" w:rsidP="00CF5CAE">
      <w:pPr>
        <w:contextualSpacing/>
      </w:pPr>
    </w:p>
    <w:p w14:paraId="0FD184CC" w14:textId="77777777" w:rsidR="00CF5CAE" w:rsidRDefault="00CF5CAE" w:rsidP="00CF5CAE">
      <w:pPr>
        <w:contextualSpacing/>
      </w:pPr>
    </w:p>
    <w:p w14:paraId="33DA8911" w14:textId="77777777" w:rsidR="0063731E" w:rsidRPr="00650076" w:rsidRDefault="00E46FC5" w:rsidP="00250919">
      <w:pPr>
        <w:contextualSpacing/>
      </w:pPr>
      <w:r w:rsidRPr="00650076">
        <w:t>Mr Ian</w:t>
      </w:r>
      <w:r w:rsidR="0063731E" w:rsidRPr="00650076">
        <w:t xml:space="preserve"> Curnow</w:t>
      </w:r>
    </w:p>
    <w:p w14:paraId="44AB4199" w14:textId="012D9783" w:rsidR="00250919" w:rsidRPr="00650076" w:rsidRDefault="001704ED" w:rsidP="00250919">
      <w:pPr>
        <w:contextualSpacing/>
      </w:pPr>
      <w:r w:rsidRPr="00650076">
        <w:t>Executive Director</w:t>
      </w:r>
      <w:r w:rsidR="00250919" w:rsidRPr="00650076">
        <w:br/>
      </w:r>
      <w:r w:rsidR="00E31F53" w:rsidRPr="00650076">
        <w:t>Norther</w:t>
      </w:r>
      <w:r w:rsidR="00E46FC5" w:rsidRPr="00650076">
        <w:t>n</w:t>
      </w:r>
      <w:r w:rsidR="00E31F53" w:rsidRPr="00650076">
        <w:t xml:space="preserve"> Territory Department of Primary Industry and Resources </w:t>
      </w:r>
      <w:r w:rsidR="00250919" w:rsidRPr="00650076">
        <w:br/>
      </w:r>
      <w:r w:rsidR="00E31F53" w:rsidRPr="00650076">
        <w:t>PO Box 41104</w:t>
      </w:r>
      <w:r w:rsidR="00250919" w:rsidRPr="00650076">
        <w:br/>
      </w:r>
      <w:r w:rsidR="00E31F53" w:rsidRPr="00650076">
        <w:rPr>
          <w:caps/>
        </w:rPr>
        <w:t>Casuarina</w:t>
      </w:r>
      <w:r w:rsidR="00E31F53" w:rsidRPr="00650076">
        <w:t xml:space="preserve">  NT  0811</w:t>
      </w:r>
    </w:p>
    <w:p w14:paraId="0FD184D0" w14:textId="0B3DE432" w:rsidR="00CF5CAE" w:rsidRPr="00650076" w:rsidRDefault="00F87E17" w:rsidP="00CF5CAE">
      <w:r w:rsidRPr="00F87E17">
        <w:rPr>
          <w:rFonts w:ascii="Times New Roman" w:hAnsi="Times New Roman"/>
          <w:noProof/>
          <w:sz w:val="24"/>
          <w:szCs w:val="24"/>
          <w:lang w:eastAsia="en-AU"/>
        </w:rPr>
        <mc:AlternateContent>
          <mc:Choice Requires="wps">
            <w:drawing>
              <wp:anchor distT="45720" distB="45720" distL="114300" distR="114300" simplePos="0" relativeHeight="251663360" behindDoc="1" locked="0" layoutInCell="1" allowOverlap="1" wp14:anchorId="37F806AA" wp14:editId="27EA6CDD">
                <wp:simplePos x="0" y="0"/>
                <wp:positionH relativeFrom="column">
                  <wp:posOffset>1148080</wp:posOffset>
                </wp:positionH>
                <wp:positionV relativeFrom="paragraph">
                  <wp:posOffset>61331</wp:posOffset>
                </wp:positionV>
                <wp:extent cx="993775" cy="285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70C3DED2" w14:textId="2AF9A993" w:rsidR="00F87E17" w:rsidRPr="0077096B" w:rsidRDefault="00F87E17" w:rsidP="00F87E17">
                            <w:pPr>
                              <w:rPr>
                                <w:rFonts w:ascii="Lucida Handwriting" w:hAnsi="Lucida Handwriting"/>
                                <w:color w:val="1F497D" w:themeColor="text2"/>
                                <w:sz w:val="24"/>
                                <w:szCs w:val="24"/>
                              </w:rPr>
                            </w:pPr>
                            <w:r>
                              <w:rPr>
                                <w:rFonts w:ascii="Lucida Handwriting" w:hAnsi="Lucida Handwriting"/>
                                <w:color w:val="1F497D" w:themeColor="text2"/>
                                <w:sz w:val="24"/>
                                <w:szCs w:val="24"/>
                              </w:rPr>
                              <w:t>Ian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F806AA" id="_x0000_t202" coordsize="21600,21600" o:spt="202" path="m,l,21600r21600,l21600,xe">
                <v:stroke joinstyle="miter"/>
                <v:path gradientshapeok="t" o:connecttype="rect"/>
              </v:shapetype>
              <v:shape id="Text Box 1" o:spid="_x0000_s1026" type="#_x0000_t202" style="position:absolute;margin-left:90.4pt;margin-top:4.85pt;width:78.25pt;height:22.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" stroked="f">
                <v:textbox>
                  <w:txbxContent>
                    <w:p w14:paraId="70C3DED2" w14:textId="2AF9A993" w:rsidR="00F87E17" w:rsidRPr="0077096B" w:rsidRDefault="00F87E17" w:rsidP="00F87E17">
                      <w:pPr>
                        <w:rPr>
                          <w:rFonts w:ascii="Lucida Handwriting" w:hAnsi="Lucida Handwriting"/>
                          <w:color w:val="1F497D" w:themeColor="text2"/>
                          <w:sz w:val="24"/>
                          <w:szCs w:val="24"/>
                        </w:rPr>
                      </w:pPr>
                      <w:r>
                        <w:rPr>
                          <w:rFonts w:ascii="Lucida Handwriting" w:hAnsi="Lucida Handwriting"/>
                          <w:color w:val="1F497D" w:themeColor="text2"/>
                          <w:sz w:val="24"/>
                          <w:szCs w:val="24"/>
                        </w:rPr>
                        <w:t>Ian</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61312" behindDoc="0" locked="0" layoutInCell="1" allowOverlap="1" wp14:anchorId="2810F18B" wp14:editId="6067FC92">
                <wp:simplePos x="0" y="0"/>
                <wp:positionH relativeFrom="column">
                  <wp:posOffset>540181</wp:posOffset>
                </wp:positionH>
                <wp:positionV relativeFrom="paragraph">
                  <wp:posOffset>219243</wp:posOffset>
                </wp:positionV>
                <wp:extent cx="672861" cy="259870"/>
                <wp:effectExtent l="0" t="0" r="32385" b="26035"/>
                <wp:wrapNone/>
                <wp:docPr id="3" name="Straight Connector 3"/>
                <wp:cNvGraphicFramePr/>
                <a:graphic xmlns:a="http://schemas.openxmlformats.org/drawingml/2006/main">
                  <a:graphicData uri="http://schemas.microsoft.com/office/word/2010/wordprocessingShape">
                    <wps:wsp>
                      <wps:cNvCnPr/>
                      <wps:spPr>
                        <a:xfrm flipV="1">
                          <a:off x="0" y="0"/>
                          <a:ext cx="672861" cy="25987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B3BBB4"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5pt,17.25pt" to="95.5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" strokecolor="#4a7ebb" strokeweight="1pt"/>
            </w:pict>
          </mc:Fallback>
        </mc:AlternateContent>
      </w:r>
    </w:p>
    <w:p w14:paraId="70F53099" w14:textId="19402BFF" w:rsidR="00874D88" w:rsidRPr="00A02835" w:rsidRDefault="00874D88" w:rsidP="00874D88">
      <w:r w:rsidRPr="00650076">
        <w:t xml:space="preserve">Dear </w:t>
      </w:r>
      <w:r w:rsidR="00E46FC5" w:rsidRPr="00650076">
        <w:t xml:space="preserve">Mr </w:t>
      </w:r>
      <w:r w:rsidR="0063731E" w:rsidRPr="00650076">
        <w:t>Curnow</w:t>
      </w:r>
    </w:p>
    <w:p w14:paraId="1317B857" w14:textId="51F37843" w:rsidR="00874D88" w:rsidRPr="00B5228C" w:rsidRDefault="00CF5CAE" w:rsidP="0063731E">
      <w:pPr>
        <w:widowControl w:val="0"/>
        <w:rPr>
          <w:rFonts w:cs="Arial"/>
        </w:rPr>
      </w:pPr>
      <w:r w:rsidRPr="00A02835">
        <w:rPr>
          <w:rFonts w:cs="Arial"/>
          <w:lang w:val="en-US"/>
        </w:rPr>
        <w:t xml:space="preserve">I am writing to you as Delegate of the Minister for the Environment in relation to the </w:t>
      </w:r>
      <w:r w:rsidR="00DC4837" w:rsidRPr="00A02835">
        <w:rPr>
          <w:rFonts w:cs="Arial"/>
          <w:lang w:val="en-US"/>
        </w:rPr>
        <w:t>assessment</w:t>
      </w:r>
      <w:r w:rsidR="004B1820" w:rsidRPr="00A02835">
        <w:rPr>
          <w:rFonts w:cs="Arial"/>
          <w:lang w:val="en-US"/>
        </w:rPr>
        <w:t xml:space="preserve"> </w:t>
      </w:r>
      <w:r w:rsidRPr="00A02835">
        <w:rPr>
          <w:rFonts w:cs="Arial"/>
          <w:lang w:val="en-US"/>
        </w:rPr>
        <w:t xml:space="preserve">of the </w:t>
      </w:r>
      <w:r w:rsidR="00DC4837" w:rsidRPr="00A02835">
        <w:rPr>
          <w:rFonts w:cs="Arial"/>
          <w:lang w:val="en-US"/>
        </w:rPr>
        <w:t>Northern Territory</w:t>
      </w:r>
      <w:r w:rsidR="00DC4837" w:rsidRPr="00DC4837">
        <w:rPr>
          <w:rFonts w:cs="Arial"/>
          <w:lang w:val="en-US"/>
        </w:rPr>
        <w:t xml:space="preserve"> Coastal Line Fishery </w:t>
      </w:r>
      <w:r w:rsidR="00B82C24" w:rsidRPr="00B5228C">
        <w:rPr>
          <w:rFonts w:cs="Arial"/>
        </w:rPr>
        <w:t xml:space="preserve"> </w:t>
      </w:r>
      <w:r w:rsidRPr="00B5228C">
        <w:rPr>
          <w:rFonts w:cs="Arial"/>
        </w:rPr>
        <w:t xml:space="preserve">under </w:t>
      </w:r>
      <w:r w:rsidR="002260D2">
        <w:rPr>
          <w:rFonts w:cs="Arial"/>
        </w:rPr>
        <w:t xml:space="preserve">Part 13 and Part 13A of </w:t>
      </w:r>
      <w:r w:rsidRPr="00B5228C">
        <w:rPr>
          <w:rFonts w:cs="Arial"/>
        </w:rPr>
        <w:t>the</w:t>
      </w:r>
      <w:r w:rsidR="00731B42" w:rsidRPr="00B5228C">
        <w:rPr>
          <w:rFonts w:cs="Arial"/>
        </w:rPr>
        <w:t xml:space="preserve"> </w:t>
      </w:r>
      <w:r w:rsidRPr="00B5228C">
        <w:rPr>
          <w:rFonts w:cs="Arial"/>
          <w:i/>
        </w:rPr>
        <w:t>Environment</w:t>
      </w:r>
      <w:r w:rsidR="00731B42" w:rsidRPr="00B5228C">
        <w:rPr>
          <w:rFonts w:cs="Arial"/>
          <w:i/>
        </w:rPr>
        <w:t xml:space="preserve"> </w:t>
      </w:r>
      <w:r w:rsidRPr="00B5228C">
        <w:rPr>
          <w:rFonts w:cs="Arial"/>
          <w:i/>
        </w:rPr>
        <w:t xml:space="preserve">Protection and Biodiversity Conservation Act 1999 </w:t>
      </w:r>
      <w:r w:rsidRPr="00B5228C">
        <w:rPr>
          <w:rFonts w:cs="Arial"/>
        </w:rPr>
        <w:t>(EPBC Act).</w:t>
      </w:r>
      <w:r w:rsidR="0063731E">
        <w:rPr>
          <w:rFonts w:cs="Arial"/>
        </w:rPr>
        <w:t xml:space="preserve"> </w:t>
      </w:r>
      <w:r w:rsidR="00874D88" w:rsidRPr="00B5228C">
        <w:rPr>
          <w:rFonts w:cs="Arial"/>
        </w:rPr>
        <w:t xml:space="preserve">In </w:t>
      </w:r>
      <w:r w:rsidR="00DC4837">
        <w:t>March 2018</w:t>
      </w:r>
      <w:r w:rsidR="0063731E">
        <w:t>,</w:t>
      </w:r>
      <w:r w:rsidR="00874D88" w:rsidRPr="00B5228C">
        <w:rPr>
          <w:rFonts w:cs="Arial"/>
        </w:rPr>
        <w:t xml:space="preserve"> </w:t>
      </w:r>
      <w:r w:rsidR="00DC4837" w:rsidRPr="00DC4837">
        <w:rPr>
          <w:rFonts w:cs="Arial"/>
          <w:bCs/>
        </w:rPr>
        <w:t>Mr Camp</w:t>
      </w:r>
      <w:r w:rsidR="00F87E17">
        <w:rPr>
          <w:rFonts w:cs="Arial"/>
          <w:bCs/>
        </w:rPr>
        <w:t>bell G. Druitt (l</w:t>
      </w:r>
      <w:r w:rsidR="00DC4837">
        <w:rPr>
          <w:rFonts w:cs="Arial"/>
          <w:bCs/>
        </w:rPr>
        <w:t xml:space="preserve">icence holder) </w:t>
      </w:r>
      <w:r w:rsidR="00B82C24" w:rsidRPr="00B5228C">
        <w:rPr>
          <w:rFonts w:cs="Arial"/>
        </w:rPr>
        <w:t xml:space="preserve">applied for </w:t>
      </w:r>
      <w:r w:rsidR="00874D88" w:rsidRPr="00B5228C">
        <w:rPr>
          <w:rFonts w:cs="Arial"/>
        </w:rPr>
        <w:t>export approval for the fishery</w:t>
      </w:r>
      <w:r w:rsidR="00B82C24" w:rsidRPr="00B5228C">
        <w:rPr>
          <w:rFonts w:cs="Arial"/>
        </w:rPr>
        <w:t xml:space="preserve"> under the EPBC Act</w:t>
      </w:r>
      <w:r w:rsidR="00874D88" w:rsidRPr="00B5228C">
        <w:rPr>
          <w:rFonts w:cs="Arial"/>
        </w:rPr>
        <w:t>.</w:t>
      </w:r>
    </w:p>
    <w:p w14:paraId="0FD184D3" w14:textId="241C788A" w:rsidR="00CF5CAE" w:rsidRPr="00F87E17" w:rsidRDefault="00874D88" w:rsidP="00CF5CAE">
      <w:pPr>
        <w:rPr>
          <w:rFonts w:cs="Arial"/>
        </w:rPr>
      </w:pPr>
      <w:r w:rsidRPr="00B5228C">
        <w:rPr>
          <w:rFonts w:cs="Arial"/>
        </w:rPr>
        <w:t xml:space="preserve">The application has been assessed </w:t>
      </w:r>
      <w:r w:rsidR="00DB2566" w:rsidRPr="00B5228C">
        <w:rPr>
          <w:rFonts w:cs="Arial"/>
        </w:rPr>
        <w:t xml:space="preserve">and I have declared the </w:t>
      </w:r>
      <w:r w:rsidR="00DD1580" w:rsidRPr="00B5228C">
        <w:rPr>
          <w:rFonts w:cs="Arial"/>
          <w:lang w:val="en-US"/>
        </w:rPr>
        <w:t>fishery</w:t>
      </w:r>
      <w:r w:rsidR="00DD1580" w:rsidRPr="00B5228C" w:rsidDel="00DD1580">
        <w:rPr>
          <w:rFonts w:cs="Arial"/>
        </w:rPr>
        <w:t xml:space="preserve"> </w:t>
      </w:r>
      <w:r w:rsidR="00CF5CAE" w:rsidRPr="00B5228C">
        <w:t xml:space="preserve">an approved wildlife trade operation </w:t>
      </w:r>
      <w:r w:rsidR="00DD1580" w:rsidRPr="00B5228C">
        <w:t xml:space="preserve">under Part 13A of the EPBC Act </w:t>
      </w:r>
      <w:r w:rsidR="00CF5CAE" w:rsidRPr="00B5228C">
        <w:t xml:space="preserve">until </w:t>
      </w:r>
      <w:r w:rsidR="00DC4837">
        <w:t>23 January 20</w:t>
      </w:r>
      <w:r w:rsidR="0063731E">
        <w:t>22</w:t>
      </w:r>
      <w:r w:rsidR="00CF5CAE" w:rsidRPr="00B5228C">
        <w:t xml:space="preserve">. </w:t>
      </w:r>
      <w:r w:rsidR="001E0328" w:rsidRPr="00B5228C">
        <w:rPr>
          <w:rFonts w:cs="Arial"/>
          <w:color w:val="000000"/>
          <w:lang w:val="en-US"/>
        </w:rPr>
        <w:t>The</w:t>
      </w:r>
      <w:r w:rsidR="001E0328" w:rsidRPr="00B5228C">
        <w:rPr>
          <w:rFonts w:cs="Arial"/>
        </w:rPr>
        <w:t xml:space="preserve"> list of exempt native specimens has also been amended </w:t>
      </w:r>
      <w:r w:rsidR="00220CFF" w:rsidRPr="00B5228C">
        <w:rPr>
          <w:rFonts w:cs="Arial"/>
        </w:rPr>
        <w:t xml:space="preserve">to allow export of product from the </w:t>
      </w:r>
      <w:r w:rsidR="00DD1580" w:rsidRPr="00B5228C">
        <w:rPr>
          <w:rFonts w:cs="Arial"/>
          <w:lang w:val="en-US"/>
        </w:rPr>
        <w:t>fishery</w:t>
      </w:r>
      <w:r w:rsidR="00DD1580" w:rsidRPr="00B5228C" w:rsidDel="00DD1580">
        <w:rPr>
          <w:rFonts w:cs="Arial"/>
        </w:rPr>
        <w:t xml:space="preserve"> </w:t>
      </w:r>
      <w:r w:rsidR="00220CFF" w:rsidRPr="00B5228C">
        <w:t xml:space="preserve">while the specimens are covered by the declaration </w:t>
      </w:r>
      <w:r w:rsidR="00DD1580" w:rsidRPr="00B5228C">
        <w:t xml:space="preserve">as an </w:t>
      </w:r>
      <w:r w:rsidR="00220CFF" w:rsidRPr="00B5228C">
        <w:t>approved wildlife trade operation</w:t>
      </w:r>
      <w:r w:rsidR="001E0328" w:rsidRPr="00B5228C">
        <w:rPr>
          <w:rFonts w:cs="Arial"/>
        </w:rPr>
        <w:t xml:space="preserve">. </w:t>
      </w:r>
      <w:r w:rsidR="00DB2566" w:rsidRPr="00B5228C">
        <w:rPr>
          <w:rFonts w:cs="Arial"/>
        </w:rPr>
        <w:t xml:space="preserve">The </w:t>
      </w:r>
      <w:r w:rsidR="00DD1580" w:rsidRPr="00B5228C">
        <w:rPr>
          <w:rFonts w:cs="Arial"/>
        </w:rPr>
        <w:t>Part 13A declaration includes conditions that were agreed by officials from both departments as areas requiring ongoing attention</w:t>
      </w:r>
      <w:r w:rsidR="00DB2566" w:rsidRPr="00B5228C">
        <w:rPr>
          <w:rFonts w:cs="Arial"/>
        </w:rPr>
        <w:t xml:space="preserve">. These are set out at </w:t>
      </w:r>
      <w:r w:rsidR="00DB2566" w:rsidRPr="001704ED">
        <w:rPr>
          <w:rFonts w:cs="Arial"/>
          <w:b/>
          <w:u w:val="single"/>
        </w:rPr>
        <w:t>Attachment 1</w:t>
      </w:r>
      <w:r w:rsidR="00DB2566" w:rsidRPr="00B5228C">
        <w:rPr>
          <w:rFonts w:cs="Arial"/>
        </w:rPr>
        <w:t>.</w:t>
      </w:r>
      <w:r w:rsidR="00D558DD" w:rsidRPr="00B5228C">
        <w:rPr>
          <w:rFonts w:cs="Arial"/>
          <w:lang w:eastAsia="zh-CN" w:bidi="th-TH"/>
        </w:rPr>
        <w:t xml:space="preserve"> </w:t>
      </w:r>
    </w:p>
    <w:p w14:paraId="7371A7A9" w14:textId="07FC2AA2" w:rsidR="00DB2566" w:rsidRPr="00B5228C" w:rsidRDefault="0063731E" w:rsidP="00DB2566">
      <w:pPr>
        <w:rPr>
          <w:rFonts w:cs="Arial"/>
        </w:rPr>
      </w:pPr>
      <w:r>
        <w:rPr>
          <w:rFonts w:cs="Arial"/>
        </w:rPr>
        <w:t xml:space="preserve">I </w:t>
      </w:r>
      <w:r w:rsidR="002260D2">
        <w:rPr>
          <w:rFonts w:cs="Arial"/>
        </w:rPr>
        <w:t>am also satisfied the management arrangements for the fishery meet the requirements under Part 13 of the Act and I propose to accredit the management arrangements accordingly.</w:t>
      </w:r>
    </w:p>
    <w:p w14:paraId="0FD184E3" w14:textId="087A9393" w:rsidR="00CF5CAE" w:rsidRDefault="00CF5CAE" w:rsidP="00CF5CAE">
      <w:pPr>
        <w:rPr>
          <w:rFonts w:cs="Arial"/>
        </w:rPr>
      </w:pPr>
      <w:r w:rsidRPr="00E13703">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E13703">
        <w:rPr>
          <w:rFonts w:cs="Arial"/>
        </w:rPr>
        <w:t xml:space="preserve"> at </w:t>
      </w:r>
      <w:r w:rsidR="00D558DD" w:rsidRPr="001704ED">
        <w:rPr>
          <w:rFonts w:cs="Arial"/>
          <w:b/>
          <w:u w:val="single"/>
        </w:rPr>
        <w:t xml:space="preserve">Attachment </w:t>
      </w:r>
      <w:r w:rsidR="0063731E" w:rsidRPr="001704ED">
        <w:rPr>
          <w:rFonts w:cs="Arial"/>
          <w:b/>
          <w:u w:val="single"/>
        </w:rPr>
        <w:t>2</w:t>
      </w:r>
      <w:r w:rsidRPr="00E13703">
        <w:rPr>
          <w:rFonts w:cs="Arial"/>
        </w:rPr>
        <w:t>.</w:t>
      </w:r>
    </w:p>
    <w:p w14:paraId="0FD184E5" w14:textId="77777777" w:rsidR="00CF5CAE" w:rsidRPr="00B5228C" w:rsidRDefault="00CF5CAE" w:rsidP="00CF5CAE">
      <w:pPr>
        <w:rPr>
          <w:rFonts w:cs="Arial"/>
        </w:rPr>
      </w:pPr>
      <w:bookmarkStart w:id="1" w:name="bkStart"/>
      <w:bookmarkEnd w:id="1"/>
      <w:r w:rsidRPr="00B5228C">
        <w:rPr>
          <w:rFonts w:cs="Arial"/>
        </w:rPr>
        <w:t>Yours sincerely</w:t>
      </w:r>
    </w:p>
    <w:p w14:paraId="0FD184E6" w14:textId="6613B0CE" w:rsidR="00CF5CAE" w:rsidRDefault="00F87E17" w:rsidP="00CF5CAE">
      <w:r w:rsidRPr="00D65CE0">
        <w:rPr>
          <w:noProof/>
          <w:lang w:eastAsia="en-AU"/>
        </w:rPr>
        <w:drawing>
          <wp:anchor distT="0" distB="0" distL="114300" distR="114300" simplePos="0" relativeHeight="251659264" behindDoc="1" locked="0" layoutInCell="1" allowOverlap="1" wp14:anchorId="4CC97DD2" wp14:editId="26F73417">
            <wp:simplePos x="0" y="0"/>
            <wp:positionH relativeFrom="column">
              <wp:posOffset>-46415</wp:posOffset>
            </wp:positionH>
            <wp:positionV relativeFrom="paragraph">
              <wp:posOffset>134536</wp:posOffset>
            </wp:positionV>
            <wp:extent cx="934003" cy="491706"/>
            <wp:effectExtent l="0" t="0" r="0" b="381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3147" cy="4965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D184E7" w14:textId="2112B76E" w:rsidR="00CF5CAE" w:rsidRDefault="00CF5CAE" w:rsidP="00CF5CAE"/>
    <w:p w14:paraId="0FD184E8" w14:textId="3B1F0D6D" w:rsidR="00CF5CAE" w:rsidRDefault="00CF5CAE" w:rsidP="00CF5CAE">
      <w:pPr>
        <w:tabs>
          <w:tab w:val="left" w:pos="284"/>
        </w:tabs>
      </w:pPr>
      <w:r w:rsidRPr="00E31F53">
        <w:t>Paul Murphy</w:t>
      </w:r>
      <w:r w:rsidRPr="00E31F53">
        <w:br/>
      </w:r>
      <w:r w:rsidRPr="00E31F53">
        <w:rPr>
          <w:rFonts w:cs="Arial"/>
        </w:rPr>
        <w:t>Delegate of the Minister for the Environment</w:t>
      </w:r>
      <w:r w:rsidR="00EA61DD">
        <w:rPr>
          <w:rFonts w:cs="Arial"/>
        </w:rPr>
        <w:t xml:space="preserve"> </w:t>
      </w:r>
      <w:r w:rsidR="00F87E17">
        <w:br/>
      </w:r>
      <w:r w:rsidR="00F87E17" w:rsidRPr="00F87E17">
        <w:rPr>
          <w:rFonts w:ascii="Lucida Handwriting" w:hAnsi="Lucida Handwriting"/>
          <w:color w:val="4F81BD" w:themeColor="accent1"/>
        </w:rPr>
        <w:t>31</w:t>
      </w:r>
      <w:r w:rsidR="00F87E17" w:rsidRPr="00F87E17">
        <w:rPr>
          <w:color w:val="4F81BD" w:themeColor="accent1"/>
        </w:rPr>
        <w:t xml:space="preserve"> </w:t>
      </w:r>
      <w:r w:rsidR="00DC4837">
        <w:t>January 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sectPr w:rsidR="00B5228C"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p>
    <w:p w14:paraId="0FD184ED" w14:textId="66B8C726" w:rsidR="00CF5CAE" w:rsidRPr="00E14857" w:rsidRDefault="00CF5CAE" w:rsidP="00CF5CAE">
      <w:pPr>
        <w:jc w:val="center"/>
        <w:rPr>
          <w:rFonts w:cs="Arial"/>
        </w:rPr>
      </w:pPr>
      <w:r w:rsidRPr="00E14857">
        <w:rPr>
          <w:rFonts w:cs="Arial"/>
          <w:b/>
          <w:bCs/>
        </w:rPr>
        <w:lastRenderedPageBreak/>
        <w:t xml:space="preserve">Conditions on the approved wildlife trade operation declaration for the </w:t>
      </w:r>
      <w:r w:rsidR="00DC4837" w:rsidRPr="00DC4837">
        <w:rPr>
          <w:rFonts w:cs="Arial"/>
          <w:b/>
          <w:bCs/>
        </w:rPr>
        <w:t>Northern Territory Coastal Line Fishery, January</w:t>
      </w:r>
      <w:r w:rsidR="00DC4837" w:rsidRPr="00DC4837">
        <w:rPr>
          <w:rFonts w:cs="Arial"/>
          <w:b/>
          <w:bCs/>
          <w:caps/>
        </w:rPr>
        <w:t xml:space="preserve"> 2019</w:t>
      </w:r>
    </w:p>
    <w:p w14:paraId="0FD184EE" w14:textId="77777777" w:rsidR="00CF5CAE" w:rsidRPr="00E14857" w:rsidRDefault="00CF5CAE" w:rsidP="00CF5CAE">
      <w:pPr>
        <w:rPr>
          <w:rFonts w:cs="Arial"/>
        </w:rPr>
      </w:pPr>
    </w:p>
    <w:p w14:paraId="6048AB0B" w14:textId="26A6D88D" w:rsidR="00DC4837" w:rsidRPr="00DC4837" w:rsidRDefault="00DC4837" w:rsidP="00DC4837">
      <w:pPr>
        <w:numPr>
          <w:ilvl w:val="0"/>
          <w:numId w:val="37"/>
        </w:numPr>
        <w:spacing w:after="0" w:line="240" w:lineRule="auto"/>
        <w:rPr>
          <w:rFonts w:ascii="Times New Roman" w:eastAsia="Times New Roman" w:hAnsi="Times New Roman"/>
          <w:lang w:val="en-US"/>
        </w:rPr>
      </w:pPr>
      <w:r w:rsidRPr="00DC4837">
        <w:rPr>
          <w:rFonts w:ascii="Times New Roman" w:eastAsia="Times New Roman" w:hAnsi="Times New Roman"/>
          <w:lang w:val="en-US"/>
        </w:rPr>
        <w:t xml:space="preserve">Operation of the Northern Territory Coastal Line Fishery will be carried out in accordance with the Northern Territory Department of Primary Industry and Resources fisheries management </w:t>
      </w:r>
      <w:r w:rsidR="001704ED">
        <w:rPr>
          <w:rFonts w:ascii="Times New Roman" w:eastAsia="Times New Roman" w:hAnsi="Times New Roman"/>
          <w:lang w:val="en-US"/>
        </w:rPr>
        <w:t xml:space="preserve">regime </w:t>
      </w:r>
      <w:r w:rsidRPr="00DC4837">
        <w:rPr>
          <w:rFonts w:ascii="Times New Roman" w:eastAsia="Times New Roman" w:hAnsi="Times New Roman"/>
          <w:lang w:val="en-US"/>
        </w:rPr>
        <w:t xml:space="preserve">in force under the </w:t>
      </w:r>
      <w:r w:rsidRPr="00DC4837">
        <w:rPr>
          <w:rFonts w:ascii="Times New Roman" w:eastAsia="Times New Roman" w:hAnsi="Times New Roman"/>
          <w:i/>
          <w:lang w:val="en-US"/>
        </w:rPr>
        <w:t>Northern Territory of Australia Fisheries Act 1988</w:t>
      </w:r>
      <w:r w:rsidRPr="00DC4837">
        <w:rPr>
          <w:rFonts w:ascii="Times New Roman" w:eastAsia="Times New Roman" w:hAnsi="Times New Roman"/>
          <w:lang w:val="en-US"/>
        </w:rPr>
        <w:t xml:space="preserve"> and </w:t>
      </w:r>
      <w:r w:rsidRPr="00DC4837">
        <w:rPr>
          <w:rFonts w:ascii="Times New Roman" w:eastAsia="Times New Roman" w:hAnsi="Times New Roman"/>
          <w:iCs/>
        </w:rPr>
        <w:t>Northern Territory of Australia Fisheries Regulations 1993</w:t>
      </w:r>
      <w:r w:rsidRPr="00DC4837">
        <w:rPr>
          <w:rFonts w:ascii="Times New Roman" w:eastAsia="Times New Roman" w:hAnsi="Times New Roman"/>
          <w:lang w:val="en-US"/>
        </w:rPr>
        <w:t>.</w:t>
      </w:r>
    </w:p>
    <w:p w14:paraId="5ED6AF3E" w14:textId="77777777" w:rsidR="00DC4837" w:rsidRPr="00DC4837" w:rsidRDefault="00DC4837" w:rsidP="00DC4837">
      <w:pPr>
        <w:spacing w:after="0" w:line="240" w:lineRule="auto"/>
        <w:rPr>
          <w:rFonts w:ascii="Times New Roman" w:eastAsia="Times New Roman" w:hAnsi="Times New Roman"/>
          <w:highlight w:val="yellow"/>
        </w:rPr>
      </w:pPr>
      <w:r w:rsidRPr="00DC4837">
        <w:rPr>
          <w:rFonts w:ascii="Times New Roman" w:eastAsia="Times New Roman" w:hAnsi="Times New Roman"/>
          <w:highlight w:val="yellow"/>
        </w:rPr>
        <w:t xml:space="preserve"> </w:t>
      </w:r>
    </w:p>
    <w:p w14:paraId="6D0DCD17" w14:textId="77777777" w:rsidR="00DC4837" w:rsidRPr="00DC4837" w:rsidRDefault="00DC4837" w:rsidP="00DC4837">
      <w:pPr>
        <w:numPr>
          <w:ilvl w:val="0"/>
          <w:numId w:val="37"/>
        </w:numPr>
        <w:spacing w:after="0" w:line="240" w:lineRule="auto"/>
        <w:rPr>
          <w:rFonts w:ascii="Times New Roman" w:eastAsia="Times New Roman" w:hAnsi="Times New Roman"/>
          <w:lang w:val="en-US"/>
        </w:rPr>
      </w:pPr>
      <w:r w:rsidRPr="00DC4837">
        <w:rPr>
          <w:rFonts w:ascii="Times New Roman" w:eastAsia="Times New Roman" w:hAnsi="Times New Roman"/>
          <w:lang w:val="en-US"/>
        </w:rPr>
        <w:t xml:space="preserve">The Northern Territory Department of Primary Industry and Resources to inform the Department of any intended material changes to the Northern Territory Coastal Line Fishery management arrangements that may affect the assessment against which </w:t>
      </w:r>
      <w:r w:rsidRPr="00DC4837">
        <w:rPr>
          <w:rFonts w:ascii="Times New Roman" w:eastAsia="Times New Roman" w:hAnsi="Times New Roman"/>
          <w:i/>
          <w:lang w:val="en-US"/>
        </w:rPr>
        <w:t>Environment Protection and Biodiversity Conservation Act 1999</w:t>
      </w:r>
      <w:r w:rsidRPr="00DC4837">
        <w:rPr>
          <w:rFonts w:ascii="Times New Roman" w:eastAsia="Times New Roman" w:hAnsi="Times New Roman"/>
          <w:lang w:val="en-US"/>
        </w:rPr>
        <w:t xml:space="preserve"> (EPBC Act) decisions are made.</w:t>
      </w:r>
    </w:p>
    <w:p w14:paraId="4581D6F4" w14:textId="77777777" w:rsidR="00DC4837" w:rsidRPr="00DC4837" w:rsidRDefault="00DC4837" w:rsidP="00DC4837">
      <w:pPr>
        <w:spacing w:after="0" w:line="240" w:lineRule="auto"/>
        <w:rPr>
          <w:rFonts w:ascii="Times New Roman" w:eastAsia="Times New Roman" w:hAnsi="Times New Roman"/>
          <w:lang w:val="en-US"/>
        </w:rPr>
      </w:pPr>
    </w:p>
    <w:p w14:paraId="21202230" w14:textId="77777777" w:rsidR="00DC4837" w:rsidRPr="00DC4837" w:rsidRDefault="00DC4837" w:rsidP="00DC4837">
      <w:pPr>
        <w:numPr>
          <w:ilvl w:val="0"/>
          <w:numId w:val="37"/>
        </w:numPr>
        <w:spacing w:after="0" w:line="240" w:lineRule="auto"/>
        <w:rPr>
          <w:rFonts w:ascii="Times New Roman" w:eastAsia="Times New Roman" w:hAnsi="Times New Roman"/>
          <w:lang w:val="en-US"/>
        </w:rPr>
      </w:pPr>
      <w:r w:rsidRPr="00DC4837">
        <w:rPr>
          <w:rFonts w:ascii="Times New Roman" w:eastAsia="Times New Roman" w:hAnsi="Times New Roman"/>
          <w:lang w:val="en-US"/>
        </w:rPr>
        <w:t xml:space="preserve">The Northern Territory Department of Primary Industry and Resources to produce and present reports to the Department annually as per Appendix B of the </w:t>
      </w:r>
      <w:r w:rsidRPr="00410C2F">
        <w:rPr>
          <w:rFonts w:ascii="Times New Roman" w:eastAsia="Times New Roman" w:hAnsi="Times New Roman"/>
          <w:i/>
          <w:lang w:val="en-US"/>
        </w:rPr>
        <w:t>Guidelines for the Ecologically Sustainable Management of Fisheries - 2nd Edition</w:t>
      </w:r>
      <w:r w:rsidRPr="00DC4837">
        <w:rPr>
          <w:rFonts w:ascii="Times New Roman" w:eastAsia="Times New Roman" w:hAnsi="Times New Roman"/>
          <w:lang w:val="en-US"/>
        </w:rPr>
        <w:t>.</w:t>
      </w:r>
    </w:p>
    <w:p w14:paraId="68CC5337" w14:textId="77777777" w:rsidR="00DC4837" w:rsidRPr="00DC4837" w:rsidRDefault="00DC4837" w:rsidP="00DC4837">
      <w:pPr>
        <w:spacing w:after="0" w:line="240" w:lineRule="auto"/>
        <w:rPr>
          <w:rFonts w:ascii="Times New Roman" w:eastAsia="Times New Roman" w:hAnsi="Times New Roman"/>
          <w:lang w:val="en-US"/>
        </w:rPr>
      </w:pPr>
    </w:p>
    <w:p w14:paraId="1478B48A" w14:textId="77777777" w:rsidR="003E3E8B" w:rsidRPr="001733B2" w:rsidRDefault="003E3E8B" w:rsidP="003E3E8B">
      <w:pPr>
        <w:numPr>
          <w:ilvl w:val="0"/>
          <w:numId w:val="37"/>
        </w:numPr>
        <w:spacing w:after="0" w:line="240" w:lineRule="auto"/>
        <w:rPr>
          <w:rFonts w:ascii="Times New Roman" w:eastAsia="Times New Roman" w:hAnsi="Times New Roman"/>
          <w:lang w:val="en-US"/>
        </w:rPr>
      </w:pPr>
      <w:r w:rsidRPr="001733B2">
        <w:rPr>
          <w:rFonts w:ascii="Times New Roman" w:eastAsia="Times New Roman" w:hAnsi="Times New Roman"/>
          <w:lang w:val="en-US"/>
        </w:rPr>
        <w:t>The Northern Territory Department of Primary Industry and Resources to:</w:t>
      </w:r>
    </w:p>
    <w:p w14:paraId="75B2BCD7" w14:textId="77777777" w:rsidR="003E3E8B" w:rsidRPr="001733B2" w:rsidRDefault="003E3E8B" w:rsidP="003E3E8B">
      <w:pPr>
        <w:numPr>
          <w:ilvl w:val="0"/>
          <w:numId w:val="40"/>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continue data collection, stock assessments, management, and monitoring of target species</w:t>
      </w:r>
      <w:r>
        <w:rPr>
          <w:rFonts w:ascii="Times New Roman" w:eastAsia="Times New Roman" w:hAnsi="Times New Roman"/>
          <w:lang w:val="en-US"/>
        </w:rPr>
        <w:t xml:space="preserve"> in the fishery</w:t>
      </w:r>
      <w:r w:rsidRPr="001733B2">
        <w:rPr>
          <w:rFonts w:ascii="Times New Roman" w:eastAsia="Times New Roman" w:hAnsi="Times New Roman"/>
          <w:lang w:val="en-US"/>
        </w:rPr>
        <w:t>.</w:t>
      </w:r>
    </w:p>
    <w:p w14:paraId="65037279" w14:textId="77777777" w:rsidR="003E3E8B" w:rsidRPr="001733B2" w:rsidRDefault="003E3E8B" w:rsidP="003E3E8B">
      <w:pPr>
        <w:numPr>
          <w:ilvl w:val="0"/>
          <w:numId w:val="40"/>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ensure there are effective controls in all zones</w:t>
      </w:r>
      <w:r>
        <w:rPr>
          <w:rFonts w:ascii="Times New Roman" w:eastAsia="Times New Roman" w:hAnsi="Times New Roman"/>
          <w:lang w:val="en-US"/>
        </w:rPr>
        <w:t xml:space="preserve"> of the fishery </w:t>
      </w:r>
      <w:r w:rsidRPr="00C814CE">
        <w:rPr>
          <w:rFonts w:ascii="Times New Roman" w:eastAsia="Times New Roman" w:hAnsi="Times New Roman"/>
        </w:rPr>
        <w:t xml:space="preserve">which should include decision rules and reference points that trigger management actions that seek to </w:t>
      </w:r>
      <w:r w:rsidRPr="001733B2">
        <w:rPr>
          <w:rFonts w:ascii="Times New Roman" w:eastAsia="Times New Roman" w:hAnsi="Times New Roman"/>
          <w:lang w:val="en-US"/>
        </w:rPr>
        <w:t>avoid overfishing and support the recovery of overfished stocks.</w:t>
      </w:r>
    </w:p>
    <w:p w14:paraId="504B7B3A" w14:textId="77777777" w:rsidR="003E3E8B" w:rsidRPr="00C814CE" w:rsidRDefault="003E3E8B" w:rsidP="003E3E8B">
      <w:pPr>
        <w:numPr>
          <w:ilvl w:val="0"/>
          <w:numId w:val="40"/>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ensure catch composition is sufficiently monitored and understood to inform whether stocks impacted by the fishery are being sustainably managed and not overfished or subject to overfishing.</w:t>
      </w:r>
      <w:r w:rsidRPr="00C814CE">
        <w:rPr>
          <w:rFonts w:ascii="Times New Roman" w:eastAsia="Times New Roman" w:hAnsi="Times New Roman"/>
        </w:rPr>
        <w:t xml:space="preserve"> </w:t>
      </w:r>
      <w:r w:rsidRPr="001733B2">
        <w:rPr>
          <w:rFonts w:ascii="Times New Roman" w:eastAsia="Times New Roman" w:hAnsi="Times New Roman"/>
        </w:rPr>
        <w:t xml:space="preserve">Performance against this </w:t>
      </w:r>
      <w:r>
        <w:rPr>
          <w:rFonts w:ascii="Times New Roman" w:eastAsia="Times New Roman" w:hAnsi="Times New Roman"/>
        </w:rPr>
        <w:t>condition</w:t>
      </w:r>
      <w:r w:rsidRPr="001733B2">
        <w:rPr>
          <w:rFonts w:ascii="Times New Roman" w:eastAsia="Times New Roman" w:hAnsi="Times New Roman"/>
        </w:rPr>
        <w:t xml:space="preserve"> must be included in annual reports specified at Condition 3</w:t>
      </w:r>
      <w:r>
        <w:rPr>
          <w:rFonts w:ascii="Times New Roman" w:eastAsia="Times New Roman" w:hAnsi="Times New Roman"/>
          <w:lang w:val="en-US"/>
        </w:rPr>
        <w:t>.</w:t>
      </w:r>
    </w:p>
    <w:p w14:paraId="0FD184F1" w14:textId="77777777" w:rsidR="00545F4F" w:rsidRPr="00CB0489" w:rsidRDefault="00545F4F" w:rsidP="00545F4F">
      <w:pPr>
        <w:pStyle w:val="ListNumber"/>
        <w:numPr>
          <w:ilvl w:val="0"/>
          <w:numId w:val="0"/>
        </w:numPr>
        <w:ind w:left="369" w:hanging="369"/>
        <w:rPr>
          <w:highlight w:val="yellow"/>
        </w:rPr>
      </w:pPr>
    </w:p>
    <w:p w14:paraId="0FD184F2" w14:textId="77777777" w:rsidR="00CF5CAE" w:rsidRDefault="00CF5CAE" w:rsidP="00CF5CAE">
      <w:pPr>
        <w:pStyle w:val="ListNumber"/>
        <w:spacing w:after="120"/>
        <w:rPr>
          <w:rFonts w:cs="Arial"/>
          <w:b/>
          <w:bCs/>
        </w:rPr>
        <w:sectPr w:rsidR="00CF5CAE" w:rsidSect="00C325B9">
          <w:headerReference w:type="first" r:id="rId14"/>
          <w:pgSz w:w="11906" w:h="16838"/>
          <w:pgMar w:top="1134" w:right="1418" w:bottom="1134" w:left="1418" w:header="425" w:footer="425" w:gutter="0"/>
          <w:pgNumType w:start="1"/>
          <w:cols w:space="708"/>
          <w:titlePg/>
          <w:docGrid w:linePitch="360"/>
        </w:sectPr>
      </w:pPr>
    </w:p>
    <w:p w14:paraId="0FD184F3" w14:textId="77777777" w:rsidR="00CF5CAE" w:rsidRDefault="00CF5CAE" w:rsidP="00CF5CAE">
      <w:pPr>
        <w:pStyle w:val="ListNumber"/>
        <w:numPr>
          <w:ilvl w:val="0"/>
          <w:numId w:val="0"/>
        </w:numPr>
        <w:spacing w:after="120"/>
        <w:jc w:val="center"/>
        <w:rPr>
          <w:rFonts w:cs="Arial"/>
          <w:b/>
          <w:bCs/>
        </w:rPr>
        <w:sectPr w:rsidR="00CF5CAE" w:rsidSect="00C325B9">
          <w:headerReference w:type="first" r:id="rId15"/>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F46F46">
      <w:pPr>
        <w:spacing w:before="60" w:after="6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150FB427" w14:textId="77777777" w:rsidR="00F46F46" w:rsidRPr="005D2F53" w:rsidRDefault="00F46F46" w:rsidP="00F46F46">
      <w:pPr>
        <w:spacing w:before="60" w:after="60"/>
        <w:jc w:val="both"/>
        <w:rPr>
          <w:rFonts w:cs="Arial"/>
        </w:rPr>
      </w:pPr>
      <w:r w:rsidRPr="005D2F53">
        <w:rPr>
          <w:rFonts w:cs="Arial"/>
        </w:rPr>
        <w:t xml:space="preserve">There is a right of review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67EE947" w14:textId="77777777" w:rsidR="00F46F46" w:rsidRDefault="00F46F46" w:rsidP="00F46F46">
      <w:pPr>
        <w:spacing w:before="6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DC8099C" w14:textId="77777777" w:rsidR="00F46F46" w:rsidRPr="00112175" w:rsidRDefault="00F46F46" w:rsidP="00F46F46">
      <w:pPr>
        <w:spacing w:before="60" w:after="60"/>
        <w:ind w:left="720"/>
        <w:jc w:val="both"/>
        <w:rPr>
          <w:rFonts w:cs="Arial"/>
        </w:rPr>
      </w:pPr>
      <w:r w:rsidRPr="00112175">
        <w:rPr>
          <w:rFonts w:cs="Arial"/>
        </w:rPr>
        <w:t xml:space="preserve">(a) to issue or refuse a permit; or </w:t>
      </w:r>
    </w:p>
    <w:p w14:paraId="1E255DB8" w14:textId="77777777" w:rsidR="00F46F46" w:rsidRPr="00112175" w:rsidRDefault="00F46F46" w:rsidP="00F46F46">
      <w:pPr>
        <w:spacing w:before="60" w:after="60"/>
        <w:ind w:left="720"/>
        <w:jc w:val="both"/>
        <w:rPr>
          <w:rFonts w:cs="Arial"/>
        </w:rPr>
      </w:pPr>
      <w:r w:rsidRPr="00112175">
        <w:rPr>
          <w:rFonts w:cs="Arial"/>
        </w:rPr>
        <w:t xml:space="preserve">(b) to specify, vary or revoke a condition of a permit; or </w:t>
      </w:r>
    </w:p>
    <w:p w14:paraId="1A893097" w14:textId="77777777" w:rsidR="00F46F46" w:rsidRPr="00112175" w:rsidRDefault="00F46F46" w:rsidP="00F46F46">
      <w:pPr>
        <w:spacing w:before="60" w:after="60"/>
        <w:ind w:left="720"/>
        <w:jc w:val="both"/>
        <w:rPr>
          <w:rFonts w:cs="Arial"/>
        </w:rPr>
      </w:pPr>
      <w:r w:rsidRPr="00112175">
        <w:rPr>
          <w:rFonts w:cs="Arial"/>
        </w:rPr>
        <w:t xml:space="preserve">(c) to impose a further condition of a permit; or </w:t>
      </w:r>
    </w:p>
    <w:p w14:paraId="1C19D50B" w14:textId="77777777" w:rsidR="00F46F46" w:rsidRPr="00112175" w:rsidRDefault="00F46F46" w:rsidP="00F46F46">
      <w:pPr>
        <w:spacing w:before="60" w:after="60"/>
        <w:ind w:left="720"/>
        <w:jc w:val="both"/>
        <w:rPr>
          <w:rFonts w:cs="Arial"/>
        </w:rPr>
      </w:pPr>
      <w:r w:rsidRPr="00112175">
        <w:rPr>
          <w:rFonts w:cs="Arial"/>
        </w:rPr>
        <w:t xml:space="preserve">(d) to transfer or refuse to transfer a permit; or </w:t>
      </w:r>
    </w:p>
    <w:p w14:paraId="260EC5B7" w14:textId="77777777" w:rsidR="00F46F46" w:rsidRPr="00112175" w:rsidRDefault="00F46F46" w:rsidP="00F46F46">
      <w:pPr>
        <w:spacing w:before="60" w:after="60"/>
        <w:ind w:left="720"/>
        <w:jc w:val="both"/>
        <w:rPr>
          <w:rFonts w:cs="Arial"/>
        </w:rPr>
      </w:pPr>
      <w:r w:rsidRPr="00112175">
        <w:rPr>
          <w:rFonts w:cs="Arial"/>
        </w:rPr>
        <w:t xml:space="preserve">(e) to suspend or cancel a permit; or </w:t>
      </w:r>
    </w:p>
    <w:p w14:paraId="1FC3B23B" w14:textId="77777777" w:rsidR="00F46F46" w:rsidRPr="00112175" w:rsidRDefault="00F46F46" w:rsidP="00F46F46">
      <w:pPr>
        <w:spacing w:before="60" w:after="60"/>
        <w:ind w:left="720"/>
        <w:jc w:val="both"/>
        <w:rPr>
          <w:rFonts w:cs="Arial"/>
        </w:rPr>
      </w:pPr>
      <w:r w:rsidRPr="00112175">
        <w:rPr>
          <w:rFonts w:cs="Arial"/>
        </w:rPr>
        <w:t xml:space="preserve">(f) to issue or refuse a certificate under subsection 303CC(5); or </w:t>
      </w:r>
    </w:p>
    <w:p w14:paraId="3199567A" w14:textId="77777777" w:rsidR="00F46F46" w:rsidRPr="00112175" w:rsidRDefault="00F46F46" w:rsidP="00F46F46">
      <w:pPr>
        <w:spacing w:before="60" w:after="60"/>
        <w:ind w:left="720"/>
        <w:jc w:val="both"/>
        <w:rPr>
          <w:rFonts w:cs="Arial"/>
        </w:rPr>
      </w:pPr>
      <w:r w:rsidRPr="00112175">
        <w:rPr>
          <w:rFonts w:cs="Arial"/>
        </w:rPr>
        <w:t xml:space="preserve">(g) of the Secretary under a determination in force under section 303EU; or </w:t>
      </w:r>
    </w:p>
    <w:p w14:paraId="62976660" w14:textId="77777777" w:rsidR="00F46F46" w:rsidRDefault="00F46F46" w:rsidP="00F46F46">
      <w:pPr>
        <w:spacing w:before="60" w:after="60"/>
        <w:ind w:left="720"/>
        <w:jc w:val="both"/>
        <w:rPr>
          <w:rFonts w:cs="Arial"/>
        </w:rPr>
      </w:pPr>
      <w:r w:rsidRPr="00112175">
        <w:rPr>
          <w:rFonts w:cs="Arial"/>
        </w:rPr>
        <w:t>(h) to make or refuse a declaration under section 303FN, 303FO or 303FP; or</w:t>
      </w:r>
    </w:p>
    <w:p w14:paraId="653F6BD5" w14:textId="77777777" w:rsidR="00F46F46" w:rsidRDefault="00F46F46" w:rsidP="00F46F46">
      <w:pPr>
        <w:spacing w:before="60" w:after="60"/>
        <w:ind w:left="720"/>
        <w:jc w:val="both"/>
        <w:rPr>
          <w:rFonts w:cs="Arial"/>
        </w:rPr>
      </w:pPr>
      <w:r w:rsidRPr="00112175">
        <w:rPr>
          <w:rFonts w:cs="Arial"/>
        </w:rPr>
        <w:t>(i) to vary or revoke a declaration under section 303FN, 303FO or 303FP.</w:t>
      </w:r>
    </w:p>
    <w:p w14:paraId="4D18A6FD"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45CB253B" w14:textId="77777777" w:rsidR="00F46F46" w:rsidRDefault="00F46F46" w:rsidP="00F46F46">
      <w:pPr>
        <w:pStyle w:val="ListBullet"/>
        <w:spacing w:before="60"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D6022CD" w14:textId="77777777" w:rsidR="00F46F46" w:rsidRDefault="00F46F46" w:rsidP="00F46F46">
      <w:pPr>
        <w:pStyle w:val="ListBullet"/>
        <w:spacing w:before="60" w:after="6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16"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53C40912"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229CC864"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7" w:history="1">
        <w:r w:rsidRPr="00504C08">
          <w:rPr>
            <w:rStyle w:val="Hyperlink"/>
            <w:rFonts w:cs="Arial"/>
          </w:rPr>
          <w:t>http://www.aat.gov.au/</w:t>
        </w:r>
      </w:hyperlink>
      <w:r>
        <w:rPr>
          <w:rFonts w:cs="Arial"/>
        </w:rPr>
        <w:t xml:space="preserve">. </w:t>
      </w:r>
    </w:p>
    <w:p w14:paraId="73C0576D"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6AEAE85" w14:textId="77777777" w:rsidR="00F46F46" w:rsidRDefault="00F46F46" w:rsidP="00F46F46">
      <w:pPr>
        <w:spacing w:before="60" w:after="60"/>
        <w:rPr>
          <w:rFonts w:cs="Arial"/>
        </w:rPr>
      </w:pPr>
    </w:p>
    <w:p w14:paraId="566A0DD0" w14:textId="77777777" w:rsidR="00F46F46" w:rsidRDefault="00F46F46" w:rsidP="00F46F46">
      <w:pPr>
        <w:spacing w:before="60" w:after="60"/>
        <w:rPr>
          <w:rFonts w:cs="Arial"/>
        </w:rPr>
      </w:pPr>
    </w:p>
    <w:p w14:paraId="34E6EC28" w14:textId="77777777" w:rsidR="00F46F46" w:rsidRDefault="00F46F46" w:rsidP="00F46F46">
      <w:pPr>
        <w:spacing w:before="60" w:after="60"/>
        <w:rPr>
          <w:rFonts w:cs="Arial"/>
        </w:rPr>
      </w:pPr>
      <w:r>
        <w:rPr>
          <w:rFonts w:cs="Arial"/>
        </w:rPr>
        <w:t>T</w:t>
      </w:r>
      <w:r w:rsidRPr="00504C08">
        <w:rPr>
          <w:rFonts w:cs="Arial"/>
        </w:rPr>
        <w:t>he cost of lodging</w:t>
      </w:r>
      <w:r>
        <w:rPr>
          <w:rFonts w:cs="Arial"/>
        </w:rPr>
        <w:t xml:space="preserve"> an application for review is is $920 (as of 1 July 2018) (GST inclusive). You may be eligible to pay a reduced fee of $100.00 if </w:t>
      </w:r>
    </w:p>
    <w:p w14:paraId="19FE823E" w14:textId="77777777" w:rsidR="00F46F46" w:rsidRDefault="00F46F46" w:rsidP="00F46F46">
      <w:pPr>
        <w:pStyle w:val="ListBullet"/>
        <w:spacing w:before="60" w:after="60"/>
      </w:pPr>
      <w:r>
        <w:t>you are receiving legal aid for your application;</w:t>
      </w:r>
    </w:p>
    <w:p w14:paraId="53D7317B"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Default="00F46F46" w:rsidP="00F46F46">
      <w:pPr>
        <w:pStyle w:val="ListBullet"/>
        <w:spacing w:before="60" w:after="60"/>
      </w:pPr>
      <w:r>
        <w:t>you are in prison or lawfully detained in a public institution;</w:t>
      </w:r>
    </w:p>
    <w:p w14:paraId="5C398862" w14:textId="77777777" w:rsidR="00F46F46" w:rsidRDefault="00F46F46" w:rsidP="00F46F46">
      <w:pPr>
        <w:pStyle w:val="ListBullet"/>
        <w:spacing w:before="60" w:after="60"/>
      </w:pPr>
      <w:r>
        <w:t xml:space="preserve">you are under 18 years of age; or </w:t>
      </w:r>
    </w:p>
    <w:p w14:paraId="263211F6" w14:textId="77777777" w:rsidR="00F46F46" w:rsidRDefault="00F46F46" w:rsidP="00F46F46">
      <w:pPr>
        <w:pStyle w:val="ListBullet"/>
        <w:spacing w:before="60" w:after="60"/>
      </w:pPr>
      <w:r>
        <w:t xml:space="preserve">you are receiving youth allowance, Austudy or ABSTUDY. </w:t>
      </w:r>
    </w:p>
    <w:p w14:paraId="69E7E10F"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8"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FB1DC5B"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Default="00F46F46" w:rsidP="00F46F46">
      <w:pPr>
        <w:spacing w:before="60" w:after="60"/>
        <w:rPr>
          <w:rFonts w:cs="Arial"/>
          <w:b/>
        </w:rPr>
      </w:pPr>
      <w:r w:rsidRPr="00504C08">
        <w:rPr>
          <w:rFonts w:cs="Arial"/>
          <w:b/>
        </w:rPr>
        <w:t>Contact Details</w:t>
      </w:r>
    </w:p>
    <w:p w14:paraId="1B27F032"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6367B57"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532695E4"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A512B24"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9"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0" w:history="1">
        <w:r w:rsidRPr="00991C46">
          <w:rPr>
            <w:rStyle w:val="Hyperlink"/>
            <w:rFonts w:cs="Arial"/>
          </w:rPr>
          <w:t>http://www.aat.gov.au</w:t>
        </w:r>
      </w:hyperlink>
      <w:r>
        <w:rPr>
          <w:rFonts w:cs="Arial"/>
        </w:rPr>
        <w:t xml:space="preserve"> </w:t>
      </w:r>
    </w:p>
    <w:p w14:paraId="66F0B95A" w14:textId="77777777" w:rsidR="00F46F46" w:rsidRDefault="00F46F46" w:rsidP="00F46F46">
      <w:pPr>
        <w:spacing w:before="60" w:after="60"/>
        <w:rPr>
          <w:rFonts w:cs="Arial"/>
          <w:b/>
        </w:rPr>
      </w:pPr>
      <w:r w:rsidRPr="00504C08">
        <w:rPr>
          <w:rFonts w:cs="Arial"/>
          <w:b/>
        </w:rPr>
        <w:t>Freedom of Information Request</w:t>
      </w:r>
    </w:p>
    <w:p w14:paraId="3C039128"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1"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2"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F46F46">
      <w:pPr>
        <w:spacing w:before="60" w:after="60"/>
      </w:pPr>
    </w:p>
    <w:sectPr w:rsidR="0050646D" w:rsidRPr="00CF5CAE" w:rsidSect="00C325B9">
      <w:headerReference w:type="first" r:id="rId23"/>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DB3D7" w14:textId="77777777" w:rsidR="000C5DB5" w:rsidRDefault="000C5D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E10E5" w14:textId="77777777" w:rsidR="000C5DB5" w:rsidRDefault="000C5D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C40F9" w14:textId="77777777" w:rsidR="000C5DB5" w:rsidRDefault="000C5D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FEC2B" w14:textId="77777777" w:rsidR="000C5DB5" w:rsidRDefault="000C5D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E0860" w14:textId="77777777" w:rsidR="000C5DB5" w:rsidRDefault="000C5D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77777777" w:rsidR="00F8686F" w:rsidRDefault="00F8686F"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6" w14:textId="77777777" w:rsidR="00F8686F" w:rsidRPr="00BB418A" w:rsidRDefault="00F8686F"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237207E4" w:rsidR="00F8686F" w:rsidRDefault="00832F0F" w:rsidP="00C6319E">
    <w:pPr>
      <w:pStyle w:val="Header"/>
    </w:pPr>
    <w:r>
      <w:rPr>
        <w:noProof/>
        <w:lang w:eastAsia="en-AU"/>
      </w:rPr>
      <w:drawing>
        <wp:inline distT="0" distB="0" distL="0" distR="0" wp14:anchorId="3D2483AB" wp14:editId="4014BED6">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8"/>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B5"/>
    <w:rsid w:val="000C5DFC"/>
    <w:rsid w:val="000C63ED"/>
    <w:rsid w:val="000C706A"/>
    <w:rsid w:val="000D2887"/>
    <w:rsid w:val="000D309E"/>
    <w:rsid w:val="000D5528"/>
    <w:rsid w:val="000D61D0"/>
    <w:rsid w:val="000D6D63"/>
    <w:rsid w:val="000E0081"/>
    <w:rsid w:val="000E07CF"/>
    <w:rsid w:val="000E0B31"/>
    <w:rsid w:val="000E24B6"/>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04ED"/>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60D2"/>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3E8B"/>
    <w:rsid w:val="003E7511"/>
    <w:rsid w:val="003F6F5B"/>
    <w:rsid w:val="00402F24"/>
    <w:rsid w:val="0040342D"/>
    <w:rsid w:val="00410C2F"/>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0842"/>
    <w:rsid w:val="0055773A"/>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12B7"/>
    <w:rsid w:val="0061374A"/>
    <w:rsid w:val="00621170"/>
    <w:rsid w:val="00622FE1"/>
    <w:rsid w:val="0062521C"/>
    <w:rsid w:val="00630A2B"/>
    <w:rsid w:val="00631D4A"/>
    <w:rsid w:val="00632DC7"/>
    <w:rsid w:val="006357FB"/>
    <w:rsid w:val="00635C5E"/>
    <w:rsid w:val="0063731E"/>
    <w:rsid w:val="006406FC"/>
    <w:rsid w:val="00643B47"/>
    <w:rsid w:val="00645CB8"/>
    <w:rsid w:val="00650076"/>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B747D"/>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496A"/>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2835"/>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1F53"/>
    <w:rsid w:val="00E356E5"/>
    <w:rsid w:val="00E35762"/>
    <w:rsid w:val="00E36F81"/>
    <w:rsid w:val="00E44648"/>
    <w:rsid w:val="00E452FA"/>
    <w:rsid w:val="00E45765"/>
    <w:rsid w:val="00E45C14"/>
    <w:rsid w:val="00E45E10"/>
    <w:rsid w:val="00E46FC5"/>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E17"/>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FD184CA"/>
  <w15:docId w15:val="{1AA244D4-8161-4DAB-8D96-78FD6DB4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g.gov.au/LegalSystem/Legalaidprogrammes/Commonwealthlegalfinancialassistance/Documents/LegalFinancialAssistanceInformationSheet.pdf" TargetMode="External"/><Relationship Id="rId3" Type="http://schemas.openxmlformats.org/officeDocument/2006/relationships/settings" Target="settings.xml"/><Relationship Id="rId21" Type="http://schemas.openxmlformats.org/officeDocument/2006/relationships/hyperlink" Target="http://www.environment.gov.au/foi/index.html"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mailto:generalreviews@aa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72DD8D34.dotm</Template>
  <TotalTime>1</TotalTime>
  <Pages>5</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Northern Territory Department of Primary Industries and Resources</dc:title>
  <dc:creator>Department of the Environment and Energy</dc:creator>
  <cp:lastModifiedBy>Bec Durack</cp:lastModifiedBy>
  <cp:revision>2</cp:revision>
  <dcterms:created xsi:type="dcterms:W3CDTF">2019-02-04T23:45:00Z</dcterms:created>
  <dcterms:modified xsi:type="dcterms:W3CDTF">2019-02-04T23:45:00Z</dcterms:modified>
</cp:coreProperties>
</file>