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246A0" w14:textId="77777777" w:rsidR="00C47D76" w:rsidRDefault="00174B10" w:rsidP="00F37222">
      <w:pPr>
        <w:pStyle w:val="Heading1"/>
      </w:pPr>
      <w:r>
        <w:t>N</w:t>
      </w:r>
      <w:r w:rsidR="00C47D76" w:rsidRPr="00687156">
        <w:t xml:space="preserve">ational and state ecological communities </w:t>
      </w:r>
      <w:r w:rsidR="00E234CB">
        <w:t xml:space="preserve">(terrestrial) </w:t>
      </w:r>
      <w:r w:rsidR="00C47D76" w:rsidRPr="00687156">
        <w:t>that were substantially fire affected in the 2019-2020 bushfires</w:t>
      </w:r>
      <w:r w:rsidR="00C47D76">
        <w:t xml:space="preserve"> </w:t>
      </w:r>
      <w:r w:rsidR="00E234CB">
        <w:t>(as at September 2020)</w:t>
      </w:r>
    </w:p>
    <w:p w14:paraId="1259781A" w14:textId="77777777" w:rsidR="0086396C" w:rsidRDefault="00174B10" w:rsidP="00174B10">
      <w:r w:rsidRPr="00174B10">
        <w:t>Ecological communities are assemblages of native species that inhabit a particular area in nature. Extensive bushfires across temperate Australia in 2019</w:t>
      </w:r>
      <w:r>
        <w:noBreakHyphen/>
      </w:r>
      <w:r w:rsidRPr="00174B10">
        <w:t xml:space="preserve">2020 </w:t>
      </w:r>
      <w:r w:rsidR="00815C56">
        <w:t>impacted on</w:t>
      </w:r>
      <w:r w:rsidR="00815C56" w:rsidRPr="00174B10">
        <w:t xml:space="preserve"> </w:t>
      </w:r>
      <w:r w:rsidRPr="00174B10">
        <w:t xml:space="preserve">a diverse range of Threatened Ecological Communities (TECs) listed under the </w:t>
      </w:r>
      <w:r w:rsidRPr="00174B10">
        <w:rPr>
          <w:i/>
          <w:iCs/>
        </w:rPr>
        <w:t>Environment Protection and Biodiversity Conservation Act 1999</w:t>
      </w:r>
      <w:r w:rsidR="0086396C">
        <w:t xml:space="preserve"> (EPBC Act)</w:t>
      </w:r>
      <w:r w:rsidR="00815C56">
        <w:t xml:space="preserve">, as well as </w:t>
      </w:r>
      <w:r w:rsidR="00815C56" w:rsidRPr="00174B10">
        <w:t>other ecological communities</w:t>
      </w:r>
      <w:r w:rsidR="00815C56">
        <w:t xml:space="preserve"> (or equivalent entities)</w:t>
      </w:r>
      <w:r w:rsidR="00815C56" w:rsidRPr="00174B10">
        <w:t xml:space="preserve"> </w:t>
      </w:r>
      <w:r w:rsidR="00815C56">
        <w:t xml:space="preserve">recognised at the state/territory or regional level. As well as direct impacts from burning, the fires </w:t>
      </w:r>
      <w:r w:rsidRPr="00174B10">
        <w:t xml:space="preserve">exposed </w:t>
      </w:r>
      <w:r w:rsidR="00815C56">
        <w:t xml:space="preserve">these </w:t>
      </w:r>
      <w:r w:rsidRPr="00174B10">
        <w:t>ecological communities</w:t>
      </w:r>
      <w:r w:rsidR="00815C56">
        <w:t xml:space="preserve"> </w:t>
      </w:r>
      <w:r w:rsidRPr="00174B10">
        <w:t xml:space="preserve">to </w:t>
      </w:r>
      <w:r w:rsidR="00815C56">
        <w:t>other</w:t>
      </w:r>
      <w:r w:rsidR="0086396C">
        <w:t xml:space="preserve"> fire-related</w:t>
      </w:r>
      <w:r w:rsidR="00815C56">
        <w:t xml:space="preserve"> threats</w:t>
      </w:r>
      <w:r w:rsidRPr="00174B10">
        <w:t xml:space="preserve">. </w:t>
      </w:r>
    </w:p>
    <w:p w14:paraId="3747205A" w14:textId="6357B75E" w:rsidR="00BB0B7F" w:rsidRDefault="00174B10" w:rsidP="00174B10">
      <w:r w:rsidRPr="00174B10">
        <w:t>The Wildlife and Habitat Bushfire Expert Panel</w:t>
      </w:r>
      <w:r w:rsidR="00BB0B7F">
        <w:t xml:space="preserve"> (Panel)</w:t>
      </w:r>
      <w:r w:rsidRPr="00174B10">
        <w:t xml:space="preserve"> and the Australian </w:t>
      </w:r>
      <w:r w:rsidR="0086396C">
        <w:t xml:space="preserve">Government </w:t>
      </w:r>
      <w:r w:rsidRPr="00174B10">
        <w:t xml:space="preserve">Department of Agriculture, Water and </w:t>
      </w:r>
      <w:r w:rsidR="0086396C">
        <w:t xml:space="preserve">the </w:t>
      </w:r>
      <w:r w:rsidRPr="00174B10">
        <w:t xml:space="preserve">Environment (DAWE) requested an </w:t>
      </w:r>
      <w:r w:rsidR="00BB0B7F">
        <w:t xml:space="preserve">independent </w:t>
      </w:r>
      <w:r w:rsidRPr="00174B10">
        <w:t xml:space="preserve">assessment </w:t>
      </w:r>
      <w:r w:rsidR="00BB0B7F">
        <w:t>from ecological community experts</w:t>
      </w:r>
      <w:r w:rsidR="00BB0B7F" w:rsidRPr="00174B10">
        <w:t xml:space="preserve"> </w:t>
      </w:r>
      <w:r w:rsidRPr="00174B10">
        <w:t xml:space="preserve">of </w:t>
      </w:r>
      <w:r w:rsidR="00815C56">
        <w:t xml:space="preserve">threats, </w:t>
      </w:r>
      <w:r w:rsidRPr="00174B10">
        <w:t>impacts and priorities for responses to the 2019</w:t>
      </w:r>
      <w:r>
        <w:noBreakHyphen/>
      </w:r>
      <w:r w:rsidRPr="00174B10">
        <w:t>20 bushfires</w:t>
      </w:r>
      <w:r w:rsidR="00E86EE0">
        <w:t xml:space="preserve">. This resulted in a report to the Department and Panel led by Professor David Keith from the </w:t>
      </w:r>
      <w:r w:rsidR="00E86EE0" w:rsidRPr="00736878">
        <w:t>Centre for Ecosystem Science</w:t>
      </w:r>
      <w:r w:rsidR="00E86EE0">
        <w:t xml:space="preserve"> at the </w:t>
      </w:r>
      <w:r w:rsidR="00E86EE0" w:rsidRPr="00736878">
        <w:t>University of NSW</w:t>
      </w:r>
      <w:r w:rsidR="00E86EE0">
        <w:t>, in collaboration with other ecological community experts from across the country</w:t>
      </w:r>
      <w:r w:rsidR="00BB0B7F">
        <w:t>:</w:t>
      </w:r>
    </w:p>
    <w:p w14:paraId="2C0E5808" w14:textId="00292CCC" w:rsidR="00174B10" w:rsidRPr="00736878" w:rsidRDefault="00174B10" w:rsidP="005868CF">
      <w:pPr>
        <w:pStyle w:val="Default"/>
        <w:spacing w:after="160"/>
        <w:ind w:left="720" w:right="919"/>
        <w:rPr>
          <w:sz w:val="22"/>
          <w:szCs w:val="22"/>
        </w:rPr>
      </w:pPr>
      <w:r w:rsidRPr="00736878">
        <w:rPr>
          <w:sz w:val="22"/>
          <w:szCs w:val="22"/>
        </w:rPr>
        <w:t xml:space="preserve">Keith DA, Auld TD, Barrett S, English V, Gallagher R, Gray R, van </w:t>
      </w:r>
      <w:r w:rsidR="003B6662">
        <w:rPr>
          <w:sz w:val="22"/>
          <w:szCs w:val="22"/>
        </w:rPr>
        <w:t>Leeuwen</w:t>
      </w:r>
      <w:r w:rsidR="003B6662" w:rsidRPr="00736878">
        <w:rPr>
          <w:sz w:val="22"/>
          <w:szCs w:val="22"/>
        </w:rPr>
        <w:t xml:space="preserve"> </w:t>
      </w:r>
      <w:r w:rsidRPr="00736878">
        <w:rPr>
          <w:sz w:val="22"/>
          <w:szCs w:val="22"/>
        </w:rPr>
        <w:t xml:space="preserve">S, </w:t>
      </w:r>
      <w:proofErr w:type="spellStart"/>
      <w:r w:rsidRPr="00736878">
        <w:rPr>
          <w:sz w:val="22"/>
          <w:szCs w:val="22"/>
        </w:rPr>
        <w:t>McIlwee</w:t>
      </w:r>
      <w:proofErr w:type="spellEnd"/>
      <w:r w:rsidRPr="00736878">
        <w:rPr>
          <w:sz w:val="22"/>
          <w:szCs w:val="22"/>
        </w:rPr>
        <w:t xml:space="preserve"> A, Mitchell D, Tozer MG, Williams RJ, Yates CJ, </w:t>
      </w:r>
      <w:proofErr w:type="spellStart"/>
      <w:r w:rsidRPr="00736878">
        <w:rPr>
          <w:sz w:val="22"/>
          <w:szCs w:val="22"/>
        </w:rPr>
        <w:t>Neldner</w:t>
      </w:r>
      <w:proofErr w:type="spellEnd"/>
      <w:r w:rsidRPr="00736878">
        <w:rPr>
          <w:sz w:val="22"/>
          <w:szCs w:val="22"/>
        </w:rPr>
        <w:t xml:space="preserve"> J, Buchan A, White MD, Rogers D, West A, Seddon J, Simpson CC (in prep)</w:t>
      </w:r>
      <w:r w:rsidRPr="00736878">
        <w:rPr>
          <w:i/>
          <w:iCs/>
          <w:sz w:val="22"/>
          <w:szCs w:val="22"/>
        </w:rPr>
        <w:t xml:space="preserve"> Terrestrial Ecological Communities in Australia: initial assessment and management after the 2019-20 bushfires. </w:t>
      </w:r>
      <w:r w:rsidRPr="00736878">
        <w:rPr>
          <w:sz w:val="22"/>
          <w:szCs w:val="22"/>
        </w:rPr>
        <w:t>Report to the Wildlife and Habitat Bushfire Expert Panel and the Australian Department of Agriculture, W</w:t>
      </w:r>
      <w:bookmarkStart w:id="0" w:name="_GoBack"/>
      <w:bookmarkEnd w:id="0"/>
      <w:r w:rsidRPr="00736878">
        <w:rPr>
          <w:sz w:val="22"/>
          <w:szCs w:val="22"/>
        </w:rPr>
        <w:t xml:space="preserve">ater and </w:t>
      </w:r>
      <w:r>
        <w:rPr>
          <w:sz w:val="22"/>
          <w:szCs w:val="22"/>
        </w:rPr>
        <w:t xml:space="preserve">the </w:t>
      </w:r>
      <w:r w:rsidRPr="00736878">
        <w:rPr>
          <w:sz w:val="22"/>
          <w:szCs w:val="22"/>
        </w:rPr>
        <w:t>Environment. Centre for Ecosystem Science, University of NSW, Sydney.</w:t>
      </w:r>
    </w:p>
    <w:p w14:paraId="2600ADDB" w14:textId="77777777" w:rsidR="005868CF" w:rsidRDefault="00BB0B7F" w:rsidP="00BB0B7F">
      <w:r>
        <w:t xml:space="preserve">Key findings of the report as endorsed by the Panel on 25 September 2020 are summarised below. </w:t>
      </w:r>
    </w:p>
    <w:p w14:paraId="6D297223" w14:textId="66A7421C" w:rsidR="005868CF" w:rsidRDefault="00BB0B7F" w:rsidP="005868CF">
      <w:pPr>
        <w:pStyle w:val="ListParagraph"/>
        <w:numPr>
          <w:ilvl w:val="0"/>
          <w:numId w:val="5"/>
        </w:numPr>
      </w:pPr>
      <w:r>
        <w:t xml:space="preserve">Firstly, Table 1 describes the </w:t>
      </w:r>
      <w:r w:rsidR="005868CF">
        <w:t xml:space="preserve">fire-related </w:t>
      </w:r>
      <w:r>
        <w:t xml:space="preserve">threats and candidate management actions for the nationally-listed ecological communities that </w:t>
      </w:r>
      <w:r w:rsidR="005868CF">
        <w:t>were</w:t>
      </w:r>
      <w:r>
        <w:t xml:space="preserve"> </w:t>
      </w:r>
      <w:r w:rsidR="005868CF">
        <w:t xml:space="preserve">initially </w:t>
      </w:r>
      <w:r>
        <w:t xml:space="preserve">identified by the Department and Panel as being of </w:t>
      </w:r>
      <w:r w:rsidR="005868CF">
        <w:t xml:space="preserve">potential </w:t>
      </w:r>
      <w:r>
        <w:t xml:space="preserve">concern, plus </w:t>
      </w:r>
      <w:r w:rsidR="00E86EE0">
        <w:t xml:space="preserve">several </w:t>
      </w:r>
      <w:r>
        <w:t xml:space="preserve">others that were </w:t>
      </w:r>
      <w:r w:rsidR="005868CF">
        <w:t>later identified as regional priorities through more detailed analysis</w:t>
      </w:r>
      <w:r>
        <w:t xml:space="preserve">. </w:t>
      </w:r>
    </w:p>
    <w:p w14:paraId="79D41417" w14:textId="70391D78" w:rsidR="00BB0B7F" w:rsidRDefault="00BB0B7F" w:rsidP="005868CF">
      <w:pPr>
        <w:pStyle w:val="ListParagraph"/>
        <w:numPr>
          <w:ilvl w:val="0"/>
          <w:numId w:val="5"/>
        </w:numPr>
      </w:pPr>
      <w:r>
        <w:t>Secondly, the state/territory recognised ecological communities</w:t>
      </w:r>
      <w:r w:rsidR="005868CF">
        <w:t xml:space="preserve"> </w:t>
      </w:r>
      <w:r w:rsidR="0086396C">
        <w:t>(</w:t>
      </w:r>
      <w:r w:rsidR="005868CF">
        <w:t>or equivalent entities</w:t>
      </w:r>
      <w:r w:rsidR="0086396C">
        <w:t>)</w:t>
      </w:r>
      <w:r>
        <w:t xml:space="preserve"> that </w:t>
      </w:r>
      <w:r w:rsidR="00E86EE0">
        <w:t>a</w:t>
      </w:r>
      <w:r>
        <w:t>re likely to have been most affected are identified at Table 2</w:t>
      </w:r>
      <w:r w:rsidRPr="00174B10">
        <w:t>.</w:t>
      </w:r>
      <w:r>
        <w:t xml:space="preserve"> </w:t>
      </w:r>
      <w:r w:rsidR="0086396C">
        <w:t>Candidate m</w:t>
      </w:r>
      <w:r>
        <w:t xml:space="preserve">anagement actions for the Table 2 ecological communities are </w:t>
      </w:r>
      <w:r w:rsidR="00E86EE0">
        <w:t xml:space="preserve">currently </w:t>
      </w:r>
      <w:r>
        <w:t>in preparation</w:t>
      </w:r>
      <w:r w:rsidR="00E86EE0">
        <w:t xml:space="preserve"> and will be </w:t>
      </w:r>
      <w:r w:rsidR="0086396C">
        <w:t>released when available</w:t>
      </w:r>
      <w:r w:rsidR="00E86EE0">
        <w:t>.</w:t>
      </w:r>
    </w:p>
    <w:p w14:paraId="5744B33A" w14:textId="77777777" w:rsidR="008F266B" w:rsidRDefault="008F266B" w:rsidP="008F266B">
      <w:pPr>
        <w:pStyle w:val="Heading2"/>
      </w:pPr>
      <w:r>
        <w:lastRenderedPageBreak/>
        <w:t>Identification of Fire-related Threats</w:t>
      </w:r>
    </w:p>
    <w:p w14:paraId="019C9EE0" w14:textId="41690435" w:rsidR="008F266B" w:rsidRDefault="008F266B" w:rsidP="0086396C">
      <w:pPr>
        <w:keepNext/>
        <w:keepLines/>
        <w:rPr>
          <w:rFonts w:ascii="Calibri" w:hAnsi="Calibri" w:cs="Calibri"/>
          <w:color w:val="000000"/>
        </w:rPr>
      </w:pPr>
      <w:r w:rsidRPr="00C47D76">
        <w:rPr>
          <w:rFonts w:ascii="Calibri" w:hAnsi="Calibri" w:cs="Calibri"/>
          <w:color w:val="000000"/>
        </w:rPr>
        <w:t xml:space="preserve">Ten criteria were </w:t>
      </w:r>
      <w:r>
        <w:rPr>
          <w:rFonts w:ascii="Calibri" w:hAnsi="Calibri" w:cs="Calibri"/>
          <w:color w:val="000000"/>
        </w:rPr>
        <w:t>used</w:t>
      </w:r>
      <w:r w:rsidR="00815C56">
        <w:rPr>
          <w:rFonts w:ascii="Calibri" w:hAnsi="Calibri" w:cs="Calibri"/>
          <w:color w:val="000000"/>
        </w:rPr>
        <w:t xml:space="preserve"> by Keith et al.</w:t>
      </w:r>
      <w:r w:rsidRPr="00C47D76">
        <w:rPr>
          <w:rFonts w:ascii="Calibri" w:hAnsi="Calibri" w:cs="Calibri"/>
          <w:color w:val="000000"/>
        </w:rPr>
        <w:t xml:space="preserve"> to assess the susceptibility and exposure of </w:t>
      </w:r>
      <w:r w:rsidR="00024296">
        <w:rPr>
          <w:rFonts w:ascii="Calibri" w:hAnsi="Calibri" w:cs="Calibri"/>
          <w:color w:val="000000"/>
        </w:rPr>
        <w:t xml:space="preserve">nationally listed </w:t>
      </w:r>
      <w:r w:rsidRPr="00C47D76">
        <w:rPr>
          <w:rFonts w:ascii="Calibri" w:hAnsi="Calibri" w:cs="Calibri"/>
          <w:color w:val="000000"/>
        </w:rPr>
        <w:t xml:space="preserve">ecological communities to </w:t>
      </w:r>
      <w:r>
        <w:rPr>
          <w:rFonts w:ascii="Calibri" w:hAnsi="Calibri" w:cs="Calibri"/>
          <w:color w:val="000000"/>
        </w:rPr>
        <w:t>fire threats.</w:t>
      </w:r>
      <w:r w:rsidRPr="00C47D76">
        <w:rPr>
          <w:rFonts w:ascii="Calibri" w:hAnsi="Calibri" w:cs="Calibri"/>
          <w:color w:val="000000"/>
        </w:rPr>
        <w:t xml:space="preserve"> Assessments were based on available spatial data on TEC distribution, fire extent, fire frequency and severity, pre-fire drought and erosion susceptibility, as well as expert-based appraisal of the impact assessment criteria. Each TEC was assessed against each criterion</w:t>
      </w:r>
      <w:r>
        <w:rPr>
          <w:rFonts w:ascii="Calibri" w:hAnsi="Calibri" w:cs="Calibri"/>
          <w:color w:val="000000"/>
        </w:rPr>
        <w:t xml:space="preserve"> </w:t>
      </w:r>
      <w:r w:rsidRPr="00C47D76">
        <w:rPr>
          <w:rFonts w:ascii="Calibri" w:hAnsi="Calibri" w:cs="Calibri"/>
          <w:color w:val="000000"/>
        </w:rPr>
        <w:t xml:space="preserve">and assigned an impact category (major, moderate, negligible or not assessed) based on exposure and susceptibility to the mechanism of threat identified in respective criteria. </w:t>
      </w:r>
    </w:p>
    <w:p w14:paraId="7087B2F1" w14:textId="77777777" w:rsidR="008F266B" w:rsidRPr="00295041" w:rsidRDefault="008F266B" w:rsidP="0086396C">
      <w:pPr>
        <w:pStyle w:val="ListParagraph"/>
        <w:numPr>
          <w:ilvl w:val="0"/>
          <w:numId w:val="1"/>
        </w:numPr>
        <w:ind w:left="426"/>
        <w:rPr>
          <w:rFonts w:ascii="Calibri" w:hAnsi="Calibri" w:cs="Calibri"/>
          <w:color w:val="000000"/>
        </w:rPr>
      </w:pPr>
      <w:r w:rsidRPr="00295041">
        <w:rPr>
          <w:rFonts w:ascii="Calibri" w:hAnsi="Calibri" w:cs="Calibri"/>
          <w:b/>
          <w:bCs/>
          <w:color w:val="000000"/>
        </w:rPr>
        <w:t>Fire – drought interactions -</w:t>
      </w:r>
      <w:r w:rsidRPr="00295041">
        <w:rPr>
          <w:rFonts w:ascii="Calibri" w:hAnsi="Calibri" w:cs="Calibri"/>
          <w:color w:val="000000"/>
        </w:rPr>
        <w:t xml:space="preserve"> Pre-fire drought can reduce population size and/or resilience of plant and animal populations within an EC, impacting on its capacity for regeneration after fire. Post-fire drought can negatively impact post-fire survival, reproduction and recruitment processes in plants and animals within an EC by limiting supply of essential resources such as water, food and shelter. Risks to component biota may be large if drought occurs in the first autumn-winter after fire or the following spring-summer. </w:t>
      </w:r>
    </w:p>
    <w:p w14:paraId="20E8B0E7" w14:textId="77777777" w:rsidR="008F266B" w:rsidRPr="00295041" w:rsidRDefault="008F266B" w:rsidP="0086396C">
      <w:pPr>
        <w:pStyle w:val="ListParagraph"/>
        <w:numPr>
          <w:ilvl w:val="0"/>
          <w:numId w:val="1"/>
        </w:numPr>
        <w:ind w:left="426"/>
        <w:rPr>
          <w:rFonts w:ascii="Calibri" w:hAnsi="Calibri" w:cs="Calibri"/>
          <w:color w:val="000000"/>
        </w:rPr>
      </w:pPr>
      <w:r w:rsidRPr="00295041">
        <w:rPr>
          <w:rFonts w:ascii="Calibri" w:hAnsi="Calibri" w:cs="Calibri"/>
          <w:b/>
          <w:bCs/>
          <w:color w:val="000000"/>
        </w:rPr>
        <w:t>High fire frequency -</w:t>
      </w:r>
      <w:r w:rsidRPr="00295041">
        <w:rPr>
          <w:rFonts w:ascii="Calibri" w:hAnsi="Calibri" w:cs="Calibri"/>
          <w:color w:val="000000"/>
        </w:rPr>
        <w:t xml:space="preserve"> Exposure to short temporal intervals between successive fires can disrupt plant life cycle processes (e.g. recruitment, replenishment of seed banks) or change structural components of animal habitats which are essential to post-fire recruitment and population persistence. ECs that are potentially sensitive to this mechanism include those with large numbers of obligate-seeding plants, structurally dominant or keystone plants that suffer elevated mortality from successive fires, or with animal assemblages dependent on vegetation for food or shelter. The time required for these critical elements to recover post-fire varies between ECs. For fire-prone sclerophyll ECs (heathlands, dry forests) and some wetlands, up to 15 years may be needed between successive fires to ensure recovery of function and persistence of biota. Wet forests (including rainforests) and alpine ECs may require multi-decadal or century-scale fire-free periods for recovery and persistence. </w:t>
      </w:r>
    </w:p>
    <w:p w14:paraId="19D75BC5" w14:textId="77777777" w:rsidR="008F266B" w:rsidRPr="00295041" w:rsidRDefault="008F266B" w:rsidP="0086396C">
      <w:pPr>
        <w:pStyle w:val="ListParagraph"/>
        <w:numPr>
          <w:ilvl w:val="0"/>
          <w:numId w:val="1"/>
        </w:numPr>
        <w:ind w:left="426"/>
        <w:rPr>
          <w:rFonts w:ascii="Calibri" w:hAnsi="Calibri" w:cs="Calibri"/>
          <w:color w:val="000000"/>
        </w:rPr>
      </w:pPr>
      <w:r w:rsidRPr="00295041">
        <w:rPr>
          <w:rFonts w:ascii="Calibri" w:hAnsi="Calibri" w:cs="Calibri"/>
          <w:b/>
          <w:bCs/>
          <w:color w:val="000000"/>
        </w:rPr>
        <w:t>Post-fire interactions with invasive predators and herbivores</w:t>
      </w:r>
      <w:r w:rsidRPr="00295041">
        <w:rPr>
          <w:rFonts w:ascii="Calibri" w:hAnsi="Calibri" w:cs="Calibri"/>
          <w:color w:val="000000"/>
        </w:rPr>
        <w:t xml:space="preserve"> - Plants are often at their most palatable and least resilient to herbivore activity (e.g. leaf and shoot removal, trampling and substrate degradation) in the post-fire environment where herbivores (both native and introduced) have enhanced foraging efficiency and converge on regenerating burnt areas to exploit fresh growth. Similarly, certain vertebrate and invertebrate animals are most exposed to predation in the post-fire period when shelter is </w:t>
      </w:r>
      <w:proofErr w:type="gramStart"/>
      <w:r w:rsidRPr="00295041">
        <w:rPr>
          <w:rFonts w:ascii="Calibri" w:hAnsi="Calibri" w:cs="Calibri"/>
          <w:color w:val="000000"/>
        </w:rPr>
        <w:t>reduced</w:t>
      </w:r>
      <w:proofErr w:type="gramEnd"/>
      <w:r w:rsidRPr="00295041">
        <w:rPr>
          <w:rFonts w:ascii="Calibri" w:hAnsi="Calibri" w:cs="Calibri"/>
          <w:color w:val="000000"/>
        </w:rPr>
        <w:t xml:space="preserve"> and foraging efficiency of introduced and native predators is enhanced. Concentrations of herbivores and predators within and in the vicinity of the fire footprint may therefore increase mortality of component plants and animals within ECs recovering from fire. Effects may be exacerbated when burnt patches are small or have high perimeter to area ratios which promote herbivore incursions in high densities. The most sensitive ECs to this mechanism are those with in areas with high abundance of herbivores or predators, high sensitivity to herbivory, trampling and predation, and patchy fire patterns. </w:t>
      </w:r>
    </w:p>
    <w:p w14:paraId="75E863D6" w14:textId="77777777" w:rsidR="008F266B" w:rsidRPr="00295041" w:rsidRDefault="008F266B" w:rsidP="0086396C">
      <w:pPr>
        <w:pStyle w:val="ListParagraph"/>
        <w:numPr>
          <w:ilvl w:val="0"/>
          <w:numId w:val="1"/>
        </w:numPr>
        <w:ind w:left="426"/>
        <w:rPr>
          <w:rFonts w:ascii="Calibri" w:hAnsi="Calibri" w:cs="Calibri"/>
          <w:color w:val="000000"/>
        </w:rPr>
      </w:pPr>
      <w:r w:rsidRPr="00295041">
        <w:rPr>
          <w:rFonts w:ascii="Calibri" w:hAnsi="Calibri" w:cs="Calibri"/>
          <w:b/>
          <w:bCs/>
          <w:color w:val="000000"/>
        </w:rPr>
        <w:t>Fire-disease interactions -</w:t>
      </w:r>
      <w:r w:rsidRPr="00295041">
        <w:rPr>
          <w:rFonts w:ascii="Calibri" w:hAnsi="Calibri" w:cs="Calibri"/>
          <w:color w:val="000000"/>
        </w:rPr>
        <w:t xml:space="preserve"> Plant species from </w:t>
      </w:r>
      <w:proofErr w:type="gramStart"/>
      <w:r w:rsidRPr="00295041">
        <w:rPr>
          <w:rFonts w:ascii="Calibri" w:hAnsi="Calibri" w:cs="Calibri"/>
          <w:color w:val="000000"/>
        </w:rPr>
        <w:t>particular genera</w:t>
      </w:r>
      <w:proofErr w:type="gramEnd"/>
      <w:r w:rsidRPr="00295041">
        <w:rPr>
          <w:rFonts w:ascii="Calibri" w:hAnsi="Calibri" w:cs="Calibri"/>
          <w:color w:val="000000"/>
        </w:rPr>
        <w:t xml:space="preserve"> and families are susceptible to diseases such as Phytophthora spp., Armillaria spp., Myrtle Rust, psyllid outbreaks, Canker fungi and other pathogens. Fires may amplify the impact of such diseases and elevated mortality or tissue dieback of structurally or functionally important plant taxa may affect animal habitat or food resources and induce declines in diversity and function of the EC. Implications of animal diseases (e.g. Chytrid fungus) for community diversity and function are less understood, but potentially significant in some cases. Disease effects may also be exacerbated by drought. </w:t>
      </w:r>
    </w:p>
    <w:p w14:paraId="6F4B0FAF" w14:textId="77777777" w:rsidR="008F266B" w:rsidRPr="00295041" w:rsidRDefault="008F266B" w:rsidP="0086396C">
      <w:pPr>
        <w:pStyle w:val="ListParagraph"/>
        <w:numPr>
          <w:ilvl w:val="0"/>
          <w:numId w:val="1"/>
        </w:numPr>
        <w:ind w:left="426"/>
        <w:rPr>
          <w:rFonts w:ascii="Calibri" w:hAnsi="Calibri" w:cs="Calibri"/>
          <w:color w:val="000000"/>
        </w:rPr>
      </w:pPr>
      <w:r w:rsidRPr="00295041">
        <w:rPr>
          <w:rFonts w:ascii="Calibri" w:hAnsi="Calibri" w:cs="Calibri"/>
          <w:b/>
          <w:bCs/>
          <w:color w:val="000000"/>
        </w:rPr>
        <w:t>Sensitivity to fire severity</w:t>
      </w:r>
      <w:r w:rsidRPr="00295041">
        <w:rPr>
          <w:rFonts w:ascii="Calibri" w:hAnsi="Calibri" w:cs="Calibri"/>
          <w:color w:val="000000"/>
        </w:rPr>
        <w:t xml:space="preserve"> - In some ECs, persistence of important biotic components </w:t>
      </w:r>
      <w:proofErr w:type="gramStart"/>
      <w:r w:rsidRPr="00295041">
        <w:rPr>
          <w:rFonts w:ascii="Calibri" w:hAnsi="Calibri" w:cs="Calibri"/>
          <w:color w:val="000000"/>
        </w:rPr>
        <w:t>are</w:t>
      </w:r>
      <w:proofErr w:type="gramEnd"/>
      <w:r w:rsidRPr="00295041">
        <w:rPr>
          <w:rFonts w:ascii="Calibri" w:hAnsi="Calibri" w:cs="Calibri"/>
          <w:color w:val="000000"/>
        </w:rPr>
        <w:t xml:space="preserve"> sensitive to extremely high fire severity. Examples include reduced survival of canopy fauna, plant regenerative organs and seed banks, changed abundance and configuration of woody debris, and consumption of peaty substrates. ECs exposed to this mechanism include those with abundant or diverse representation of species groups with those traits. In such cases, fire </w:t>
      </w:r>
      <w:r w:rsidRPr="00295041">
        <w:rPr>
          <w:rFonts w:ascii="Calibri" w:hAnsi="Calibri" w:cs="Calibri"/>
          <w:color w:val="000000"/>
        </w:rPr>
        <w:lastRenderedPageBreak/>
        <w:t xml:space="preserve">severity impacts may be influenced by prolonged smouldering rather than canopy consumption (as commonly reflected in fire severity maps). Effects are amplified by recurrence of consistently low or high severity fires and may be exacerbated by drought or disease. Although low severity fires may result in reduced seedling emergence, that process was not addressed in the context of 2019-2020 fires. In heathlands and some dry sclerophyll forests, vertebrate and invertebrate pollinators, and in some </w:t>
      </w:r>
      <w:proofErr w:type="gramStart"/>
      <w:r w:rsidRPr="00295041">
        <w:rPr>
          <w:rFonts w:ascii="Calibri" w:hAnsi="Calibri" w:cs="Calibri"/>
          <w:color w:val="000000"/>
        </w:rPr>
        <w:t>rainforests</w:t>
      </w:r>
      <w:proofErr w:type="gramEnd"/>
      <w:r w:rsidRPr="00295041">
        <w:rPr>
          <w:rFonts w:ascii="Calibri" w:hAnsi="Calibri" w:cs="Calibri"/>
          <w:color w:val="000000"/>
        </w:rPr>
        <w:t xml:space="preserve"> vertebrate dispersal vectors, play important roles in ecosystem recovery. While abundances of at least some of these taxa are reduced in the immediate post-fire seasons, many of these are highly mobile and much is still to be learnt about their post-fire recovery response, its dependence on flowering responses, and the subsequent implications for fruit set. Due to these uncertainties, none of the assessment outcomes rely entirely on assumptions about pollinator responses to fire severity. </w:t>
      </w:r>
    </w:p>
    <w:p w14:paraId="2DA5B206" w14:textId="77777777" w:rsidR="008F266B" w:rsidRPr="00295041" w:rsidRDefault="008F266B" w:rsidP="0086396C">
      <w:pPr>
        <w:pStyle w:val="ListParagraph"/>
        <w:numPr>
          <w:ilvl w:val="0"/>
          <w:numId w:val="1"/>
        </w:numPr>
        <w:ind w:left="426"/>
        <w:rPr>
          <w:rFonts w:ascii="Calibri" w:hAnsi="Calibri" w:cs="Calibri"/>
          <w:color w:val="000000"/>
        </w:rPr>
      </w:pPr>
      <w:r w:rsidRPr="00295041">
        <w:rPr>
          <w:rFonts w:ascii="Calibri" w:hAnsi="Calibri" w:cs="Calibri"/>
          <w:b/>
          <w:bCs/>
          <w:color w:val="000000"/>
        </w:rPr>
        <w:t>Weed invasion -</w:t>
      </w:r>
      <w:r w:rsidRPr="00295041">
        <w:rPr>
          <w:rFonts w:ascii="Calibri" w:hAnsi="Calibri" w:cs="Calibri"/>
          <w:color w:val="000000"/>
        </w:rPr>
        <w:t xml:space="preserve"> Some sites are predisposed to invasion by exotic plants that transform the structure, function and composition of ECs. Fire may provide opportunities for accelerated growth and recruitment of existing exotics or invasion of these species into the EC (especially where weed sources are within or proximal to burnt areas) and subsequent elimination of native plant and animal species through competition or habitat modification. Ecological Communities that occur mainly in areas where bushland has been fragmented, disturbed by forestry practice, extractive industries or clearing, or affected by runoff from nutrient sources (e.g. urban infrastructure, improved pasture, runoff of nutrient-enriched, polluted wastewater or stormwater, etc.) are most susceptible to this mechanism, and these factors should be considered in assessing the likelihood of weed impacts below. </w:t>
      </w:r>
    </w:p>
    <w:p w14:paraId="48AB56FD" w14:textId="77777777" w:rsidR="008F266B" w:rsidRPr="00295041" w:rsidRDefault="008F266B" w:rsidP="0086396C">
      <w:pPr>
        <w:pStyle w:val="ListParagraph"/>
        <w:numPr>
          <w:ilvl w:val="0"/>
          <w:numId w:val="1"/>
        </w:numPr>
        <w:ind w:left="426"/>
        <w:rPr>
          <w:rFonts w:ascii="Calibri" w:hAnsi="Calibri" w:cs="Calibri"/>
          <w:color w:val="000000"/>
        </w:rPr>
      </w:pPr>
      <w:r w:rsidRPr="00295041">
        <w:rPr>
          <w:rFonts w:ascii="Calibri" w:hAnsi="Calibri" w:cs="Calibri"/>
          <w:b/>
          <w:bCs/>
          <w:color w:val="000000"/>
        </w:rPr>
        <w:t>Fire sensitivity of key components -</w:t>
      </w:r>
      <w:r w:rsidRPr="00295041">
        <w:rPr>
          <w:rFonts w:ascii="Calibri" w:hAnsi="Calibri" w:cs="Calibri"/>
          <w:color w:val="000000"/>
        </w:rPr>
        <w:t xml:space="preserve"> Some ECs include functionally important components that have no means of in situ persistence through fire events or recolonization after such events because they lack regenerative organs, stored propagules or dispersal traits (i.e. ECs where short-range endemic invertebrates (e.g. trapdoor spiders, land snails) are an important component of the communities). A single fire may eliminate such components or substantially diminish their role in the community, an effect that persists until they slowly disperse and re-establish from unburnt patches in the area. </w:t>
      </w:r>
    </w:p>
    <w:p w14:paraId="7034F456" w14:textId="77777777" w:rsidR="008F266B" w:rsidRPr="00295041" w:rsidRDefault="008F266B" w:rsidP="0086396C">
      <w:pPr>
        <w:pStyle w:val="ListParagraph"/>
        <w:numPr>
          <w:ilvl w:val="0"/>
          <w:numId w:val="1"/>
        </w:numPr>
        <w:ind w:left="426"/>
        <w:rPr>
          <w:rFonts w:ascii="Calibri" w:hAnsi="Calibri" w:cs="Calibri"/>
          <w:color w:val="000000"/>
        </w:rPr>
      </w:pPr>
      <w:r w:rsidRPr="00295041">
        <w:rPr>
          <w:rFonts w:ascii="Calibri" w:hAnsi="Calibri" w:cs="Calibri"/>
          <w:b/>
          <w:bCs/>
          <w:color w:val="000000"/>
        </w:rPr>
        <w:t>Fire interactions with hydrological change -</w:t>
      </w:r>
      <w:r w:rsidRPr="00295041">
        <w:rPr>
          <w:rFonts w:ascii="Calibri" w:hAnsi="Calibri" w:cs="Calibri"/>
          <w:color w:val="000000"/>
        </w:rPr>
        <w:t xml:space="preserve"> </w:t>
      </w:r>
      <w:proofErr w:type="gramStart"/>
      <w:r w:rsidRPr="00295041">
        <w:rPr>
          <w:rFonts w:ascii="Calibri" w:hAnsi="Calibri" w:cs="Calibri"/>
          <w:color w:val="000000"/>
        </w:rPr>
        <w:t>A number of</w:t>
      </w:r>
      <w:proofErr w:type="gramEnd"/>
      <w:r w:rsidRPr="00295041">
        <w:rPr>
          <w:rFonts w:ascii="Calibri" w:hAnsi="Calibri" w:cs="Calibri"/>
          <w:color w:val="000000"/>
        </w:rPr>
        <w:t xml:space="preserve"> ECs associated with streams, lakes and wetlands have sensitive dependencies on hydrological regimes. Fires may interact with changes in hydrology by accelerating or exacerbating impacts or by causing ‘ecological shocks’ that would not otherwise occur if the two processes did not interact with one another. Examples include post-fire pulses of ash and nutrient inflows that reduce dissolved oxygen content and cause high mortality of aquatic biota, reduced resilience to fire caused by reduced flows or groundwater, and enhanced flammability (i.e. peat swamps) caused by reduced flows, flooding or groundwater. </w:t>
      </w:r>
    </w:p>
    <w:p w14:paraId="3A8E6B92" w14:textId="77777777" w:rsidR="008F266B" w:rsidRPr="00295041" w:rsidRDefault="008F266B" w:rsidP="0086396C">
      <w:pPr>
        <w:pStyle w:val="ListParagraph"/>
        <w:numPr>
          <w:ilvl w:val="0"/>
          <w:numId w:val="1"/>
        </w:numPr>
        <w:ind w:left="426"/>
        <w:rPr>
          <w:rFonts w:ascii="Calibri" w:hAnsi="Calibri" w:cs="Calibri"/>
          <w:color w:val="000000"/>
        </w:rPr>
      </w:pPr>
      <w:r w:rsidRPr="00295041">
        <w:rPr>
          <w:rFonts w:ascii="Calibri" w:hAnsi="Calibri" w:cs="Calibri"/>
          <w:b/>
          <w:bCs/>
          <w:color w:val="000000"/>
        </w:rPr>
        <w:t>Sensitivity and exposure to post-fire disturbance, erosion or pollution -</w:t>
      </w:r>
      <w:r w:rsidRPr="00295041">
        <w:rPr>
          <w:rFonts w:ascii="Calibri" w:hAnsi="Calibri" w:cs="Calibri"/>
          <w:color w:val="000000"/>
        </w:rPr>
        <w:t xml:space="preserve"> Intense rainfall events after fires may lead to extensive localised erosion and/or sedimentation that transforms habitat structure (rocks, soils, landforms), destroys structural biomass and depletes component species populations. Ecological Communities in climates prone to high intensity rainfall events, and in steep terrain, riparian landforms or on unconsolidated substrates are the communities that are most exposed to this mechanism. Importantly, this mechanism may include ECs outside the fire footprint but affected by processes in burnt areas. </w:t>
      </w:r>
    </w:p>
    <w:p w14:paraId="04C1A246" w14:textId="77777777" w:rsidR="008F266B" w:rsidRDefault="008F266B" w:rsidP="0086396C">
      <w:pPr>
        <w:pStyle w:val="ListParagraph"/>
        <w:numPr>
          <w:ilvl w:val="0"/>
          <w:numId w:val="1"/>
        </w:numPr>
        <w:ind w:left="426"/>
        <w:rPr>
          <w:rFonts w:ascii="Calibri" w:hAnsi="Calibri" w:cs="Calibri"/>
          <w:color w:val="000000"/>
        </w:rPr>
      </w:pPr>
      <w:r w:rsidRPr="00295041">
        <w:rPr>
          <w:rFonts w:ascii="Calibri" w:hAnsi="Calibri" w:cs="Calibri"/>
          <w:b/>
          <w:bCs/>
          <w:color w:val="000000"/>
        </w:rPr>
        <w:t>Cumulative exposure to high risks -</w:t>
      </w:r>
      <w:r w:rsidRPr="00295041">
        <w:rPr>
          <w:rFonts w:ascii="Calibri" w:hAnsi="Calibri" w:cs="Calibri"/>
          <w:color w:val="000000"/>
        </w:rPr>
        <w:t xml:space="preserve"> This criterion addresses ECs that may be at risk from interactions of two or more mechanisms described above, but not from any single mechanism as a consequence of the 2019-2020 fires or where lags in expression of impacts may be mediated or released by the fires. This mechanism may also include ECs outside the fire footprint but affected by processes in burnt areas. </w:t>
      </w:r>
    </w:p>
    <w:p w14:paraId="137B0FEE" w14:textId="77777777" w:rsidR="008F266B" w:rsidRDefault="008F266B" w:rsidP="008F266B">
      <w:pPr>
        <w:pStyle w:val="Heading2"/>
      </w:pPr>
      <w:r>
        <w:lastRenderedPageBreak/>
        <w:t>Identification of Candidate Management Actions</w:t>
      </w:r>
    </w:p>
    <w:p w14:paraId="731ECF49" w14:textId="77777777" w:rsidR="008F266B" w:rsidRDefault="008F266B" w:rsidP="008F266B">
      <w:r w:rsidRPr="00F37222">
        <w:t>For each threat type, candidate management actions were identified to mitigate immediate impacts, abate ongoing threats and/or build resilience in respective TECs.</w:t>
      </w:r>
      <w:r>
        <w:t xml:space="preserve"> The candidate management actions are generic by nature, in part to allow for local nuancing. In each case, specific applications of an action should be considered. For example, to reduce risks from fire-drought interactions and frequent fire, more specific actions may include:</w:t>
      </w:r>
    </w:p>
    <w:p w14:paraId="00031BB5" w14:textId="77777777" w:rsidR="008F266B" w:rsidRDefault="008F266B" w:rsidP="008F266B">
      <w:pPr>
        <w:pStyle w:val="ListParagraph"/>
        <w:numPr>
          <w:ilvl w:val="0"/>
          <w:numId w:val="3"/>
        </w:numPr>
      </w:pPr>
      <w:r>
        <w:t>Avoid implementing fires including hazard reduction burns in all recently burnt habitat (including but not limited to habitat burnt in</w:t>
      </w:r>
      <w:r w:rsidRPr="00F37222">
        <w:rPr>
          <w:spacing w:val="-5"/>
        </w:rPr>
        <w:t xml:space="preserve"> </w:t>
      </w:r>
      <w:r>
        <w:t>2019/2020).</w:t>
      </w:r>
    </w:p>
    <w:p w14:paraId="124AAFB8" w14:textId="77777777" w:rsidR="008F266B" w:rsidRDefault="008F266B" w:rsidP="008F266B">
      <w:pPr>
        <w:pStyle w:val="ListParagraph"/>
        <w:numPr>
          <w:ilvl w:val="0"/>
          <w:numId w:val="3"/>
        </w:numPr>
      </w:pPr>
      <w:r>
        <w:t>Protect unburnt parts of TEC distributions that function as refuges (i.e. avoid burning, clearing or logging in that habitat) in order to avoid putting all the species at risk at</w:t>
      </w:r>
      <w:r w:rsidRPr="00F37222">
        <w:rPr>
          <w:spacing w:val="-15"/>
        </w:rPr>
        <w:t xml:space="preserve"> </w:t>
      </w:r>
      <w:r>
        <w:t>once.</w:t>
      </w:r>
    </w:p>
    <w:p w14:paraId="5643EBD4" w14:textId="77777777" w:rsidR="008F266B" w:rsidRDefault="008F266B" w:rsidP="008F266B">
      <w:pPr>
        <w:pStyle w:val="ListParagraph"/>
        <w:numPr>
          <w:ilvl w:val="0"/>
          <w:numId w:val="3"/>
        </w:numPr>
      </w:pPr>
      <w:r>
        <w:t>Develop fire management plans to ensure that any future wildfires that threaten to burn over recovering sites are rapidly extinguished and to avoid or minimise risks from hazard reduction burning in adjacent areas (i.e. by escaping containment</w:t>
      </w:r>
      <w:r w:rsidRPr="00F37222">
        <w:rPr>
          <w:spacing w:val="-6"/>
        </w:rPr>
        <w:t xml:space="preserve"> </w:t>
      </w:r>
      <w:r>
        <w:t>lines).</w:t>
      </w:r>
    </w:p>
    <w:p w14:paraId="06BAFE58" w14:textId="77777777" w:rsidR="008F266B" w:rsidRDefault="008F266B" w:rsidP="008F266B">
      <w:pPr>
        <w:pStyle w:val="ListParagraph"/>
        <w:numPr>
          <w:ilvl w:val="0"/>
          <w:numId w:val="3"/>
        </w:numPr>
      </w:pPr>
      <w:r>
        <w:t>Monitor recovery of key TEC components to determine the time required to re-establish</w:t>
      </w:r>
      <w:r w:rsidRPr="00F37222">
        <w:rPr>
          <w:spacing w:val="-13"/>
        </w:rPr>
        <w:t xml:space="preserve"> </w:t>
      </w:r>
      <w:r>
        <w:t>habitat</w:t>
      </w:r>
    </w:p>
    <w:p w14:paraId="263DCD2E" w14:textId="57A31D5E" w:rsidR="00174B10" w:rsidRPr="00174B10" w:rsidRDefault="00174B10" w:rsidP="00174B10">
      <w:pPr>
        <w:pStyle w:val="Caption"/>
        <w:keepNext/>
        <w:rPr>
          <w:b/>
          <w:bCs/>
          <w:color w:val="auto"/>
          <w:sz w:val="22"/>
          <w:szCs w:val="22"/>
        </w:rPr>
      </w:pPr>
      <w:r w:rsidRPr="00174B10">
        <w:rPr>
          <w:b/>
          <w:bCs/>
          <w:color w:val="auto"/>
          <w:sz w:val="22"/>
          <w:szCs w:val="22"/>
        </w:rPr>
        <w:t xml:space="preserve">Table </w:t>
      </w:r>
      <w:r w:rsidRPr="00174B10">
        <w:rPr>
          <w:b/>
          <w:bCs/>
          <w:color w:val="auto"/>
          <w:sz w:val="22"/>
          <w:szCs w:val="22"/>
        </w:rPr>
        <w:fldChar w:fldCharType="begin"/>
      </w:r>
      <w:r w:rsidRPr="00174B10">
        <w:rPr>
          <w:b/>
          <w:bCs/>
          <w:color w:val="auto"/>
          <w:sz w:val="22"/>
          <w:szCs w:val="22"/>
        </w:rPr>
        <w:instrText xml:space="preserve"> SEQ Table \* ARABIC </w:instrText>
      </w:r>
      <w:r w:rsidRPr="00174B10">
        <w:rPr>
          <w:b/>
          <w:bCs/>
          <w:color w:val="auto"/>
          <w:sz w:val="22"/>
          <w:szCs w:val="22"/>
        </w:rPr>
        <w:fldChar w:fldCharType="separate"/>
      </w:r>
      <w:r w:rsidR="003D5182">
        <w:rPr>
          <w:b/>
          <w:bCs/>
          <w:noProof/>
          <w:color w:val="auto"/>
          <w:sz w:val="22"/>
          <w:szCs w:val="22"/>
        </w:rPr>
        <w:t>1</w:t>
      </w:r>
      <w:r w:rsidRPr="00174B10">
        <w:rPr>
          <w:b/>
          <w:bCs/>
          <w:color w:val="auto"/>
          <w:sz w:val="22"/>
          <w:szCs w:val="22"/>
        </w:rPr>
        <w:fldChar w:fldCharType="end"/>
      </w:r>
      <w:r w:rsidRPr="00174B10">
        <w:rPr>
          <w:b/>
          <w:bCs/>
          <w:color w:val="auto"/>
          <w:sz w:val="22"/>
          <w:szCs w:val="22"/>
        </w:rPr>
        <w:t xml:space="preserve">: </w:t>
      </w:r>
      <w:r w:rsidR="008F266B">
        <w:rPr>
          <w:b/>
          <w:bCs/>
          <w:color w:val="auto"/>
          <w:sz w:val="22"/>
          <w:szCs w:val="22"/>
        </w:rPr>
        <w:t xml:space="preserve">Fire-related threats and recommended </w:t>
      </w:r>
      <w:r w:rsidR="00024296">
        <w:rPr>
          <w:b/>
          <w:bCs/>
          <w:color w:val="auto"/>
          <w:sz w:val="22"/>
          <w:szCs w:val="22"/>
        </w:rPr>
        <w:t xml:space="preserve">candidate </w:t>
      </w:r>
      <w:r w:rsidR="008F266B">
        <w:rPr>
          <w:b/>
          <w:bCs/>
          <w:color w:val="auto"/>
          <w:sz w:val="22"/>
          <w:szCs w:val="22"/>
        </w:rPr>
        <w:t>management actions for f</w:t>
      </w:r>
      <w:r>
        <w:rPr>
          <w:b/>
          <w:bCs/>
          <w:color w:val="auto"/>
          <w:sz w:val="22"/>
          <w:szCs w:val="22"/>
        </w:rPr>
        <w:t xml:space="preserve">ire-affected </w:t>
      </w:r>
      <w:r w:rsidR="00C16879">
        <w:rPr>
          <w:b/>
          <w:bCs/>
          <w:color w:val="auto"/>
          <w:sz w:val="22"/>
          <w:szCs w:val="22"/>
        </w:rPr>
        <w:t>EPBC</w:t>
      </w:r>
      <w:r w:rsidR="0086396C">
        <w:rPr>
          <w:b/>
          <w:bCs/>
          <w:color w:val="auto"/>
          <w:sz w:val="22"/>
          <w:szCs w:val="22"/>
        </w:rPr>
        <w:t>-</w:t>
      </w:r>
      <w:r w:rsidR="00C16879">
        <w:rPr>
          <w:b/>
          <w:bCs/>
          <w:color w:val="auto"/>
          <w:sz w:val="22"/>
          <w:szCs w:val="22"/>
        </w:rPr>
        <w:t>listed</w:t>
      </w:r>
      <w:r w:rsidRPr="00174B10">
        <w:rPr>
          <w:b/>
          <w:bCs/>
          <w:color w:val="auto"/>
          <w:sz w:val="22"/>
          <w:szCs w:val="22"/>
        </w:rPr>
        <w:t xml:space="preserve"> ecological communities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1194"/>
        <w:gridCol w:w="731"/>
        <w:gridCol w:w="2784"/>
        <w:gridCol w:w="8186"/>
      </w:tblGrid>
      <w:tr w:rsidR="008F266B" w:rsidRPr="00C47D76" w14:paraId="4B590629" w14:textId="77777777" w:rsidTr="0086396C">
        <w:trPr>
          <w:cantSplit/>
          <w:trHeight w:val="648"/>
          <w:tblHeader/>
        </w:trPr>
        <w:tc>
          <w:tcPr>
            <w:tcW w:w="572" w:type="pct"/>
            <w:shd w:val="clear" w:color="000000" w:fill="D9D9D9"/>
            <w:hideMark/>
          </w:tcPr>
          <w:p w14:paraId="2BF51D40" w14:textId="77777777" w:rsidR="008F266B" w:rsidRPr="00C47D76" w:rsidRDefault="008F266B" w:rsidP="008F266B">
            <w:pPr>
              <w:spacing w:after="0" w:line="240" w:lineRule="auto"/>
              <w:rPr>
                <w:rFonts w:eastAsia="Times New Roman" w:cstheme="minorHAnsi"/>
                <w:b/>
                <w:bCs/>
                <w:color w:val="000000"/>
                <w:sz w:val="20"/>
                <w:szCs w:val="20"/>
                <w:lang w:eastAsia="en-AU"/>
              </w:rPr>
            </w:pPr>
            <w:r w:rsidRPr="00C47D76">
              <w:rPr>
                <w:rFonts w:eastAsia="Times New Roman" w:cstheme="minorHAnsi"/>
                <w:b/>
                <w:bCs/>
                <w:color w:val="000000"/>
                <w:sz w:val="20"/>
                <w:szCs w:val="20"/>
                <w:lang w:eastAsia="en-AU"/>
              </w:rPr>
              <w:t>Ecological Community</w:t>
            </w:r>
          </w:p>
        </w:tc>
        <w:tc>
          <w:tcPr>
            <w:tcW w:w="410" w:type="pct"/>
            <w:shd w:val="clear" w:color="000000" w:fill="D9D9D9"/>
            <w:hideMark/>
          </w:tcPr>
          <w:p w14:paraId="756FFB49" w14:textId="77777777" w:rsidR="008F266B" w:rsidRPr="00C47D76" w:rsidRDefault="008F266B" w:rsidP="008F266B">
            <w:pPr>
              <w:spacing w:after="0" w:line="240" w:lineRule="auto"/>
              <w:rPr>
                <w:rFonts w:eastAsia="Times New Roman" w:cstheme="minorHAnsi"/>
                <w:b/>
                <w:bCs/>
                <w:color w:val="000000"/>
                <w:sz w:val="20"/>
                <w:szCs w:val="20"/>
                <w:lang w:eastAsia="en-AU"/>
              </w:rPr>
            </w:pPr>
            <w:r w:rsidRPr="00C47D76">
              <w:rPr>
                <w:rFonts w:eastAsia="Times New Roman" w:cstheme="minorHAnsi"/>
                <w:b/>
                <w:bCs/>
                <w:color w:val="000000"/>
                <w:sz w:val="20"/>
                <w:szCs w:val="20"/>
                <w:lang w:eastAsia="en-AU"/>
              </w:rPr>
              <w:t>Status</w:t>
            </w:r>
          </w:p>
        </w:tc>
        <w:tc>
          <w:tcPr>
            <w:tcW w:w="251" w:type="pct"/>
            <w:shd w:val="clear" w:color="000000" w:fill="D9D9D9"/>
            <w:hideMark/>
          </w:tcPr>
          <w:p w14:paraId="640813F5" w14:textId="77777777" w:rsidR="008F266B" w:rsidRPr="00C47D76" w:rsidRDefault="008F266B" w:rsidP="008F266B">
            <w:pPr>
              <w:spacing w:after="0" w:line="240" w:lineRule="auto"/>
              <w:rPr>
                <w:rFonts w:eastAsia="Times New Roman" w:cstheme="minorHAnsi"/>
                <w:b/>
                <w:bCs/>
                <w:color w:val="000000"/>
                <w:sz w:val="20"/>
                <w:szCs w:val="20"/>
                <w:lang w:eastAsia="en-AU"/>
              </w:rPr>
            </w:pPr>
            <w:r w:rsidRPr="00C47D76">
              <w:rPr>
                <w:rFonts w:eastAsia="Times New Roman" w:cstheme="minorHAnsi"/>
                <w:b/>
                <w:bCs/>
                <w:color w:val="000000"/>
                <w:sz w:val="20"/>
                <w:szCs w:val="20"/>
                <w:lang w:eastAsia="en-AU"/>
              </w:rPr>
              <w:t>Range states</w:t>
            </w:r>
          </w:p>
        </w:tc>
        <w:tc>
          <w:tcPr>
            <w:tcW w:w="956" w:type="pct"/>
            <w:shd w:val="clear" w:color="000000" w:fill="D9D9D9"/>
            <w:hideMark/>
          </w:tcPr>
          <w:p w14:paraId="24F28256" w14:textId="2C92ABAB" w:rsidR="008F266B" w:rsidRPr="00C47D76" w:rsidRDefault="008F266B" w:rsidP="008F266B">
            <w:pPr>
              <w:spacing w:after="0" w:line="240" w:lineRule="auto"/>
              <w:rPr>
                <w:rFonts w:eastAsia="Times New Roman" w:cstheme="minorHAnsi"/>
                <w:b/>
                <w:bCs/>
                <w:color w:val="000000"/>
                <w:sz w:val="20"/>
                <w:szCs w:val="20"/>
                <w:lang w:eastAsia="en-AU"/>
              </w:rPr>
            </w:pPr>
            <w:r w:rsidRPr="00C47D76">
              <w:rPr>
                <w:rFonts w:eastAsia="Times New Roman" w:cstheme="minorHAnsi"/>
                <w:b/>
                <w:bCs/>
                <w:color w:val="000000"/>
                <w:sz w:val="20"/>
                <w:szCs w:val="20"/>
                <w:lang w:eastAsia="en-AU"/>
              </w:rPr>
              <w:t xml:space="preserve">Major or moderate fire-related </w:t>
            </w:r>
            <w:r>
              <w:rPr>
                <w:rFonts w:eastAsia="Times New Roman" w:cstheme="minorHAnsi"/>
                <w:b/>
                <w:bCs/>
                <w:color w:val="000000"/>
                <w:sz w:val="20"/>
                <w:szCs w:val="20"/>
                <w:lang w:eastAsia="en-AU"/>
              </w:rPr>
              <w:t>threats</w:t>
            </w:r>
          </w:p>
        </w:tc>
        <w:tc>
          <w:tcPr>
            <w:tcW w:w="2811" w:type="pct"/>
            <w:shd w:val="clear" w:color="000000" w:fill="D9D9D9"/>
          </w:tcPr>
          <w:p w14:paraId="067ED90A" w14:textId="6D5DDCB7" w:rsidR="008F266B" w:rsidRPr="00C47D76" w:rsidRDefault="008F266B" w:rsidP="008F266B">
            <w:pPr>
              <w:spacing w:after="0" w:line="240" w:lineRule="auto"/>
              <w:rPr>
                <w:rFonts w:eastAsia="Times New Roman" w:cstheme="minorHAnsi"/>
                <w:b/>
                <w:bCs/>
                <w:color w:val="000000"/>
                <w:sz w:val="20"/>
                <w:szCs w:val="20"/>
                <w:lang w:eastAsia="en-AU"/>
              </w:rPr>
            </w:pPr>
            <w:r>
              <w:rPr>
                <w:rFonts w:eastAsia="Times New Roman" w:cstheme="minorHAnsi"/>
                <w:b/>
                <w:bCs/>
                <w:color w:val="000000"/>
                <w:sz w:val="20"/>
                <w:szCs w:val="20"/>
                <w:lang w:eastAsia="en-AU"/>
              </w:rPr>
              <w:t>Candidate management actions</w:t>
            </w:r>
          </w:p>
        </w:tc>
      </w:tr>
      <w:tr w:rsidR="008F266B" w:rsidRPr="00C47D76" w14:paraId="2831EEC9" w14:textId="77777777" w:rsidTr="0086396C">
        <w:trPr>
          <w:cantSplit/>
          <w:trHeight w:val="1200"/>
        </w:trPr>
        <w:tc>
          <w:tcPr>
            <w:tcW w:w="572" w:type="pct"/>
            <w:shd w:val="clear" w:color="auto" w:fill="auto"/>
            <w:hideMark/>
          </w:tcPr>
          <w:p w14:paraId="314E2F35"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Alpine Sphagnum Bogs and Associated Fens</w:t>
            </w:r>
          </w:p>
        </w:tc>
        <w:tc>
          <w:tcPr>
            <w:tcW w:w="410" w:type="pct"/>
            <w:shd w:val="clear" w:color="auto" w:fill="auto"/>
            <w:hideMark/>
          </w:tcPr>
          <w:p w14:paraId="1F75D5B4"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Endangered</w:t>
            </w:r>
          </w:p>
        </w:tc>
        <w:tc>
          <w:tcPr>
            <w:tcW w:w="251" w:type="pct"/>
            <w:shd w:val="clear" w:color="auto" w:fill="auto"/>
            <w:hideMark/>
          </w:tcPr>
          <w:p w14:paraId="06941EE1"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ACT, NSW, TAS, VIC</w:t>
            </w:r>
          </w:p>
        </w:tc>
        <w:tc>
          <w:tcPr>
            <w:tcW w:w="956" w:type="pct"/>
            <w:shd w:val="clear" w:color="auto" w:fill="auto"/>
            <w:hideMark/>
          </w:tcPr>
          <w:p w14:paraId="7B7151F6" w14:textId="4D07DCD7" w:rsidR="008F266B" w:rsidRPr="008F266B"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sidR="0086396C">
              <w:rPr>
                <w:sz w:val="20"/>
                <w:szCs w:val="20"/>
                <w:shd w:val="clear" w:color="auto" w:fill="FFFFFF"/>
              </w:rPr>
              <w:t xml:space="preserve"> – fire interactions</w:t>
            </w:r>
          </w:p>
          <w:p w14:paraId="45623B5C" w14:textId="77777777" w:rsidR="008F266B" w:rsidRPr="008F266B"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High fire frequency</w:t>
            </w:r>
          </w:p>
          <w:p w14:paraId="648C0EF6" w14:textId="7D7EDD3B" w:rsidR="008F266B" w:rsidRPr="008F266B"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6C26EBB3" w14:textId="77777777" w:rsidR="008F266B" w:rsidRPr="008F266B"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High fire severity</w:t>
            </w:r>
          </w:p>
          <w:p w14:paraId="2C2D274B" w14:textId="77777777" w:rsidR="008F266B" w:rsidRPr="008F266B"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Post-fire weeds</w:t>
            </w:r>
          </w:p>
          <w:p w14:paraId="5B492610" w14:textId="77777777" w:rsidR="008F266B" w:rsidRPr="008F266B"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Sensitivity of key components</w:t>
            </w:r>
          </w:p>
          <w:p w14:paraId="20460809" w14:textId="77777777" w:rsidR="008F266B" w:rsidRPr="008F266B"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Interaction with hydrological change</w:t>
            </w:r>
          </w:p>
          <w:p w14:paraId="39AEFB0A" w14:textId="77777777" w:rsidR="008F266B" w:rsidRPr="00C47D76"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Cumulative risks</w:t>
            </w:r>
          </w:p>
        </w:tc>
        <w:tc>
          <w:tcPr>
            <w:tcW w:w="2811" w:type="pct"/>
          </w:tcPr>
          <w:p w14:paraId="08E18A3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4F7F78A7"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68448C5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unburnt fire refuges from future fires.</w:t>
            </w:r>
          </w:p>
          <w:p w14:paraId="28C9A2A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5A70C1F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32CE2BE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pigs, horses, deer and hares/rabbits.</w:t>
            </w:r>
          </w:p>
          <w:p w14:paraId="2A75EF9E"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09763F9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187155E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strategic translocations to restore functional components.</w:t>
            </w:r>
          </w:p>
          <w:p w14:paraId="4EF82EB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structural components of sites and undertake habitat supplementation.</w:t>
            </w:r>
          </w:p>
          <w:p w14:paraId="22241E9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5EB7062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Restore/manage groundwater or surface water.</w:t>
            </w:r>
          </w:p>
          <w:p w14:paraId="2E7340C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planning to accommodate co-dependency of management actions.</w:t>
            </w:r>
          </w:p>
          <w:p w14:paraId="16893138"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71C23F9A" w14:textId="77777777" w:rsidTr="0086396C">
        <w:trPr>
          <w:cantSplit/>
          <w:trHeight w:val="600"/>
        </w:trPr>
        <w:tc>
          <w:tcPr>
            <w:tcW w:w="572" w:type="pct"/>
            <w:shd w:val="clear" w:color="auto" w:fill="auto"/>
            <w:hideMark/>
          </w:tcPr>
          <w:p w14:paraId="1EA26CC3"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lastRenderedPageBreak/>
              <w:t>Aquatic Root Mat Community in Caves of the Swan Coastal Plain</w:t>
            </w:r>
          </w:p>
        </w:tc>
        <w:tc>
          <w:tcPr>
            <w:tcW w:w="410" w:type="pct"/>
            <w:shd w:val="clear" w:color="auto" w:fill="auto"/>
            <w:hideMark/>
          </w:tcPr>
          <w:p w14:paraId="58334337"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Endangered</w:t>
            </w:r>
          </w:p>
        </w:tc>
        <w:tc>
          <w:tcPr>
            <w:tcW w:w="251" w:type="pct"/>
            <w:shd w:val="clear" w:color="auto" w:fill="auto"/>
            <w:hideMark/>
          </w:tcPr>
          <w:p w14:paraId="41A66EAB"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WA</w:t>
            </w:r>
          </w:p>
        </w:tc>
        <w:tc>
          <w:tcPr>
            <w:tcW w:w="956" w:type="pct"/>
            <w:shd w:val="clear" w:color="auto" w:fill="auto"/>
            <w:hideMark/>
          </w:tcPr>
          <w:p w14:paraId="28F08039"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Interaction with hydrological change</w:t>
            </w:r>
          </w:p>
        </w:tc>
        <w:tc>
          <w:tcPr>
            <w:tcW w:w="2811" w:type="pct"/>
          </w:tcPr>
          <w:p w14:paraId="2D73C5FA" w14:textId="43AAF5D5"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w:t>
            </w:r>
            <w:r w:rsidR="003B6662">
              <w:rPr>
                <w:sz w:val="20"/>
                <w:szCs w:val="20"/>
                <w:shd w:val="clear" w:color="auto" w:fill="FFFFFF"/>
              </w:rPr>
              <w:t xml:space="preserve"> </w:t>
            </w:r>
            <w:r w:rsidRPr="009D663F">
              <w:rPr>
                <w:sz w:val="20"/>
                <w:szCs w:val="20"/>
                <w:shd w:val="clear" w:color="auto" w:fill="FFFFFF"/>
              </w:rPr>
              <w:t>to quantify impacts, management needs and monitor recovery.</w:t>
            </w:r>
          </w:p>
          <w:p w14:paraId="4D7ED54C" w14:textId="42DA6235"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Restore/manage groundwater or surface water.</w:t>
            </w:r>
          </w:p>
          <w:p w14:paraId="15C99768"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4B377493" w14:textId="77777777" w:rsidTr="0086396C">
        <w:trPr>
          <w:cantSplit/>
          <w:trHeight w:val="600"/>
        </w:trPr>
        <w:tc>
          <w:tcPr>
            <w:tcW w:w="572" w:type="pct"/>
            <w:shd w:val="clear" w:color="auto" w:fill="auto"/>
            <w:hideMark/>
          </w:tcPr>
          <w:p w14:paraId="440EFA72"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Broad leaf tea-tree (</w:t>
            </w:r>
            <w:r w:rsidRPr="00174B10">
              <w:rPr>
                <w:rFonts w:eastAsia="Times New Roman" w:cstheme="minorHAnsi"/>
                <w:i/>
                <w:iCs/>
                <w:sz w:val="20"/>
                <w:szCs w:val="20"/>
                <w:lang w:eastAsia="en-AU"/>
              </w:rPr>
              <w:t>Melaleuca viridiflora</w:t>
            </w:r>
            <w:r w:rsidRPr="00C47D76">
              <w:rPr>
                <w:rFonts w:eastAsia="Times New Roman" w:cstheme="minorHAnsi"/>
                <w:sz w:val="20"/>
                <w:szCs w:val="20"/>
                <w:lang w:eastAsia="en-AU"/>
              </w:rPr>
              <w:t>) woodlands in high rainfall coastal north Queensland</w:t>
            </w:r>
          </w:p>
        </w:tc>
        <w:tc>
          <w:tcPr>
            <w:tcW w:w="410" w:type="pct"/>
            <w:shd w:val="clear" w:color="auto" w:fill="auto"/>
            <w:hideMark/>
          </w:tcPr>
          <w:p w14:paraId="0DAAB8DD"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Endangered</w:t>
            </w:r>
          </w:p>
        </w:tc>
        <w:tc>
          <w:tcPr>
            <w:tcW w:w="251" w:type="pct"/>
            <w:shd w:val="clear" w:color="auto" w:fill="auto"/>
            <w:hideMark/>
          </w:tcPr>
          <w:p w14:paraId="6982BAC4"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QLD</w:t>
            </w:r>
          </w:p>
        </w:tc>
        <w:tc>
          <w:tcPr>
            <w:tcW w:w="956" w:type="pct"/>
            <w:shd w:val="clear" w:color="auto" w:fill="auto"/>
            <w:hideMark/>
          </w:tcPr>
          <w:p w14:paraId="5743F227" w14:textId="06FA20F0"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64ADB328"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tc>
        <w:tc>
          <w:tcPr>
            <w:tcW w:w="2811" w:type="pct"/>
          </w:tcPr>
          <w:p w14:paraId="76BF026F"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18CD54A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1835A67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5D3F2F17"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prevent and treat myrtle rust and exclude fire from affected areas.</w:t>
            </w:r>
          </w:p>
          <w:p w14:paraId="5BFE70BA"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22CFEE39" w14:textId="77777777" w:rsidTr="0086396C">
        <w:trPr>
          <w:cantSplit/>
          <w:trHeight w:val="600"/>
        </w:trPr>
        <w:tc>
          <w:tcPr>
            <w:tcW w:w="572" w:type="pct"/>
            <w:shd w:val="clear" w:color="auto" w:fill="auto"/>
            <w:hideMark/>
          </w:tcPr>
          <w:p w14:paraId="297FFF8C"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Castlereagh Scribbly Gum and Agnes Banks Woodlands of the Sydney Basin Bioregion</w:t>
            </w:r>
          </w:p>
        </w:tc>
        <w:tc>
          <w:tcPr>
            <w:tcW w:w="410" w:type="pct"/>
            <w:shd w:val="clear" w:color="auto" w:fill="auto"/>
            <w:hideMark/>
          </w:tcPr>
          <w:p w14:paraId="2E7B7707"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Endangered</w:t>
            </w:r>
          </w:p>
        </w:tc>
        <w:tc>
          <w:tcPr>
            <w:tcW w:w="251" w:type="pct"/>
            <w:shd w:val="clear" w:color="auto" w:fill="auto"/>
            <w:hideMark/>
          </w:tcPr>
          <w:p w14:paraId="519200DD"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w:t>
            </w:r>
          </w:p>
        </w:tc>
        <w:tc>
          <w:tcPr>
            <w:tcW w:w="956" w:type="pct"/>
            <w:shd w:val="clear" w:color="auto" w:fill="auto"/>
            <w:hideMark/>
          </w:tcPr>
          <w:p w14:paraId="6937F666"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22F49846" w14:textId="44CE5E72"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1C827A84"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p w14:paraId="54A2DF90"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severity</w:t>
            </w:r>
          </w:p>
          <w:p w14:paraId="07676757"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24F427C9"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Cumulative risks</w:t>
            </w:r>
          </w:p>
        </w:tc>
        <w:tc>
          <w:tcPr>
            <w:tcW w:w="2811" w:type="pct"/>
          </w:tcPr>
          <w:p w14:paraId="45A6FFD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32B0DECD"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46602B3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72661D5D"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prevent and treat Phytophthora and exclude fire from affected areas.</w:t>
            </w:r>
          </w:p>
          <w:p w14:paraId="528170D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4AD201D4"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759CFE2D"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29B0D82A" w14:textId="77777777" w:rsidTr="0086396C">
        <w:trPr>
          <w:cantSplit/>
          <w:trHeight w:val="600"/>
        </w:trPr>
        <w:tc>
          <w:tcPr>
            <w:tcW w:w="572" w:type="pct"/>
            <w:shd w:val="clear" w:color="auto" w:fill="auto"/>
            <w:hideMark/>
          </w:tcPr>
          <w:p w14:paraId="1DF2CD83"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Coastal Swamp Oak (</w:t>
            </w:r>
            <w:r w:rsidRPr="00174B10">
              <w:rPr>
                <w:rFonts w:eastAsia="Times New Roman" w:cstheme="minorHAnsi"/>
                <w:i/>
                <w:iCs/>
                <w:sz w:val="20"/>
                <w:szCs w:val="20"/>
                <w:lang w:eastAsia="en-AU"/>
              </w:rPr>
              <w:t>Casuarina glauca</w:t>
            </w:r>
            <w:r w:rsidRPr="00C47D76">
              <w:rPr>
                <w:rFonts w:eastAsia="Times New Roman" w:cstheme="minorHAnsi"/>
                <w:sz w:val="20"/>
                <w:szCs w:val="20"/>
                <w:lang w:eastAsia="en-AU"/>
              </w:rPr>
              <w:t>) Forest of New South Wales and South East Queensland ecological community</w:t>
            </w:r>
          </w:p>
        </w:tc>
        <w:tc>
          <w:tcPr>
            <w:tcW w:w="410" w:type="pct"/>
            <w:shd w:val="clear" w:color="auto" w:fill="auto"/>
            <w:hideMark/>
          </w:tcPr>
          <w:p w14:paraId="06C2D50A"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Endangered</w:t>
            </w:r>
          </w:p>
        </w:tc>
        <w:tc>
          <w:tcPr>
            <w:tcW w:w="251" w:type="pct"/>
            <w:shd w:val="clear" w:color="auto" w:fill="auto"/>
            <w:hideMark/>
          </w:tcPr>
          <w:p w14:paraId="7B7387D1"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QLD, NSW</w:t>
            </w:r>
          </w:p>
        </w:tc>
        <w:tc>
          <w:tcPr>
            <w:tcW w:w="956" w:type="pct"/>
            <w:shd w:val="clear" w:color="auto" w:fill="auto"/>
            <w:hideMark/>
          </w:tcPr>
          <w:p w14:paraId="1A2E5D0E" w14:textId="3C0A0B4A"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7FB4ACF0"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severity</w:t>
            </w:r>
          </w:p>
          <w:p w14:paraId="515B5EA2"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394A58F9"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Sensitivity of key components</w:t>
            </w:r>
          </w:p>
          <w:p w14:paraId="7444266A"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Interaction with hydrological change</w:t>
            </w:r>
          </w:p>
        </w:tc>
        <w:tc>
          <w:tcPr>
            <w:tcW w:w="2811" w:type="pct"/>
          </w:tcPr>
          <w:p w14:paraId="7582A82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307A569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6059622E"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601871CD"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pigs</w:t>
            </w:r>
            <w:r>
              <w:rPr>
                <w:sz w:val="20"/>
                <w:szCs w:val="20"/>
                <w:shd w:val="clear" w:color="auto" w:fill="FFFFFF"/>
              </w:rPr>
              <w:t xml:space="preserve"> and </w:t>
            </w:r>
            <w:r w:rsidRPr="009D663F">
              <w:rPr>
                <w:sz w:val="20"/>
                <w:szCs w:val="20"/>
                <w:shd w:val="clear" w:color="auto" w:fill="FFFFFF"/>
              </w:rPr>
              <w:t>deer.</w:t>
            </w:r>
          </w:p>
          <w:p w14:paraId="24D29F5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3F3691B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2B81B2B0"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7107D629" w14:textId="77777777" w:rsidTr="0086396C">
        <w:trPr>
          <w:cantSplit/>
          <w:trHeight w:val="900"/>
        </w:trPr>
        <w:tc>
          <w:tcPr>
            <w:tcW w:w="572" w:type="pct"/>
            <w:shd w:val="clear" w:color="auto" w:fill="auto"/>
            <w:hideMark/>
          </w:tcPr>
          <w:p w14:paraId="00618F04"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Cooks River/Castlereagh Ironbark Forest of the Sydney Basin Bioregion</w:t>
            </w:r>
          </w:p>
        </w:tc>
        <w:tc>
          <w:tcPr>
            <w:tcW w:w="410" w:type="pct"/>
            <w:shd w:val="clear" w:color="auto" w:fill="auto"/>
            <w:hideMark/>
          </w:tcPr>
          <w:p w14:paraId="39B83211"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6A65970F"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w:t>
            </w:r>
          </w:p>
        </w:tc>
        <w:tc>
          <w:tcPr>
            <w:tcW w:w="956" w:type="pct"/>
            <w:shd w:val="clear" w:color="auto" w:fill="auto"/>
            <w:hideMark/>
          </w:tcPr>
          <w:p w14:paraId="5660FD5B"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61E45CE8" w14:textId="685FE17C"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tc>
        <w:tc>
          <w:tcPr>
            <w:tcW w:w="2811" w:type="pct"/>
          </w:tcPr>
          <w:p w14:paraId="10CD09C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24FBB995"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680B50C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15261532"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788E1EBF" w14:textId="77777777" w:rsidTr="0086396C">
        <w:trPr>
          <w:cantSplit/>
          <w:trHeight w:val="600"/>
        </w:trPr>
        <w:tc>
          <w:tcPr>
            <w:tcW w:w="572" w:type="pct"/>
            <w:shd w:val="clear" w:color="auto" w:fill="auto"/>
            <w:hideMark/>
          </w:tcPr>
          <w:p w14:paraId="54AFC92C"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lastRenderedPageBreak/>
              <w:t>Eastern Stirling Range Montane Heath and Thicket</w:t>
            </w:r>
          </w:p>
        </w:tc>
        <w:tc>
          <w:tcPr>
            <w:tcW w:w="410" w:type="pct"/>
            <w:shd w:val="clear" w:color="auto" w:fill="auto"/>
            <w:hideMark/>
          </w:tcPr>
          <w:p w14:paraId="76C57493"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Endangered</w:t>
            </w:r>
          </w:p>
        </w:tc>
        <w:tc>
          <w:tcPr>
            <w:tcW w:w="251" w:type="pct"/>
            <w:shd w:val="clear" w:color="auto" w:fill="auto"/>
            <w:hideMark/>
          </w:tcPr>
          <w:p w14:paraId="10161235"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WA</w:t>
            </w:r>
          </w:p>
        </w:tc>
        <w:tc>
          <w:tcPr>
            <w:tcW w:w="956" w:type="pct"/>
            <w:shd w:val="clear" w:color="auto" w:fill="auto"/>
            <w:hideMark/>
          </w:tcPr>
          <w:p w14:paraId="266DC297"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5DD4FFA3"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4F5FF8E4" w14:textId="415A3673"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2FDC1327"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p w14:paraId="28D78E38"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severity</w:t>
            </w:r>
          </w:p>
          <w:p w14:paraId="7077C605"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Interaction with hydrological change</w:t>
            </w:r>
          </w:p>
          <w:p w14:paraId="3DF49930"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Cumulative risks</w:t>
            </w:r>
          </w:p>
        </w:tc>
        <w:tc>
          <w:tcPr>
            <w:tcW w:w="2811" w:type="pct"/>
          </w:tcPr>
          <w:p w14:paraId="6BA5AB8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4DB1C21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376EDB3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32DCD367" w14:textId="7C1C177A"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5CA6EB0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prevent and treat Phytophthora and exclude fire from affected areas.</w:t>
            </w:r>
          </w:p>
          <w:p w14:paraId="0A92AEB4"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3844F65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planning to accommodate co-dependency of management actions.</w:t>
            </w:r>
          </w:p>
          <w:p w14:paraId="48AB8EB2"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5DCF2594" w14:textId="77777777" w:rsidTr="0086396C">
        <w:trPr>
          <w:cantSplit/>
          <w:trHeight w:val="900"/>
        </w:trPr>
        <w:tc>
          <w:tcPr>
            <w:tcW w:w="572" w:type="pct"/>
            <w:shd w:val="clear" w:color="auto" w:fill="auto"/>
            <w:hideMark/>
          </w:tcPr>
          <w:p w14:paraId="7F3E8EA7"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Illawarra and south coast lowland forest and woodland ecological community</w:t>
            </w:r>
          </w:p>
        </w:tc>
        <w:tc>
          <w:tcPr>
            <w:tcW w:w="410" w:type="pct"/>
            <w:shd w:val="clear" w:color="auto" w:fill="auto"/>
            <w:hideMark/>
          </w:tcPr>
          <w:p w14:paraId="1DF393E2"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247CF848"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w:t>
            </w:r>
          </w:p>
        </w:tc>
        <w:tc>
          <w:tcPr>
            <w:tcW w:w="956" w:type="pct"/>
            <w:shd w:val="clear" w:color="auto" w:fill="auto"/>
            <w:hideMark/>
          </w:tcPr>
          <w:p w14:paraId="5BCEE28F"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60CB5583"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739C75AD" w14:textId="3CE7C2E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545B6E0D"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severity</w:t>
            </w:r>
          </w:p>
          <w:p w14:paraId="5299BA78"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tc>
        <w:tc>
          <w:tcPr>
            <w:tcW w:w="2811" w:type="pct"/>
          </w:tcPr>
          <w:p w14:paraId="6E936DF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28EDF3BF"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4BACB297"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3B4C1A4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7199044F"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pigs</w:t>
            </w:r>
            <w:r>
              <w:rPr>
                <w:sz w:val="20"/>
                <w:szCs w:val="20"/>
                <w:shd w:val="clear" w:color="auto" w:fill="FFFFFF"/>
              </w:rPr>
              <w:t xml:space="preserve"> and </w:t>
            </w:r>
            <w:r w:rsidRPr="009D663F">
              <w:rPr>
                <w:sz w:val="20"/>
                <w:szCs w:val="20"/>
                <w:shd w:val="clear" w:color="auto" w:fill="FFFFFF"/>
              </w:rPr>
              <w:t>deer.</w:t>
            </w:r>
          </w:p>
          <w:p w14:paraId="164747D5"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479B770B"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3232B178"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6658F914" w14:textId="77777777" w:rsidTr="0086396C">
        <w:trPr>
          <w:cantSplit/>
          <w:trHeight w:val="900"/>
        </w:trPr>
        <w:tc>
          <w:tcPr>
            <w:tcW w:w="572" w:type="pct"/>
            <w:shd w:val="clear" w:color="auto" w:fill="auto"/>
            <w:hideMark/>
          </w:tcPr>
          <w:p w14:paraId="6EE18890"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lastRenderedPageBreak/>
              <w:t>Illawarra-Shoalhaven Subtropical Rainforest of the Sydney Basin Bioregion</w:t>
            </w:r>
          </w:p>
        </w:tc>
        <w:tc>
          <w:tcPr>
            <w:tcW w:w="410" w:type="pct"/>
            <w:shd w:val="clear" w:color="auto" w:fill="auto"/>
            <w:hideMark/>
          </w:tcPr>
          <w:p w14:paraId="5D40E86F"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1E21C85D"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w:t>
            </w:r>
          </w:p>
        </w:tc>
        <w:tc>
          <w:tcPr>
            <w:tcW w:w="956" w:type="pct"/>
            <w:shd w:val="clear" w:color="auto" w:fill="auto"/>
            <w:hideMark/>
          </w:tcPr>
          <w:p w14:paraId="2AD681A2"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38E7BDBA"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2D666BC7" w14:textId="222CEBB1"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4D4177A6"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63980AA5"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Sensitivity of key components</w:t>
            </w:r>
          </w:p>
          <w:p w14:paraId="5ADD58FF"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Interaction with hydrological change</w:t>
            </w:r>
          </w:p>
        </w:tc>
        <w:tc>
          <w:tcPr>
            <w:tcW w:w="2811" w:type="pct"/>
          </w:tcPr>
          <w:p w14:paraId="78AC0E8B"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7BB6D78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3076C7E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unburnt fire refuges from future fires.</w:t>
            </w:r>
          </w:p>
          <w:p w14:paraId="57DEF65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1F9DBEF4"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01B34B7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pigs</w:t>
            </w:r>
            <w:r>
              <w:rPr>
                <w:sz w:val="20"/>
                <w:szCs w:val="20"/>
                <w:shd w:val="clear" w:color="auto" w:fill="FFFFFF"/>
              </w:rPr>
              <w:t xml:space="preserve"> and </w:t>
            </w:r>
            <w:r w:rsidRPr="009D663F">
              <w:rPr>
                <w:sz w:val="20"/>
                <w:szCs w:val="20"/>
                <w:shd w:val="clear" w:color="auto" w:fill="FFFFFF"/>
              </w:rPr>
              <w:t>deer.</w:t>
            </w:r>
          </w:p>
          <w:p w14:paraId="5662F03E"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2CA75677"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prevent and treat myrtle rust and exclude fire from affected areas.</w:t>
            </w:r>
          </w:p>
          <w:p w14:paraId="2AACD8D7"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4407802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strategic translocations to restore functional components.</w:t>
            </w:r>
          </w:p>
          <w:p w14:paraId="6ECB4B86"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structural components of sites and undertake habitat supplementation.</w:t>
            </w:r>
          </w:p>
          <w:p w14:paraId="081D5635"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6880F2E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erosion/sedimentation mitigation works.</w:t>
            </w:r>
          </w:p>
          <w:p w14:paraId="35F3D5AC"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6BFFC516" w14:textId="77777777" w:rsidTr="0086396C">
        <w:trPr>
          <w:cantSplit/>
          <w:trHeight w:val="900"/>
        </w:trPr>
        <w:tc>
          <w:tcPr>
            <w:tcW w:w="572" w:type="pct"/>
            <w:shd w:val="clear" w:color="auto" w:fill="auto"/>
            <w:hideMark/>
          </w:tcPr>
          <w:p w14:paraId="7E586D0C"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Littoral Rainforest and Coastal Vine Thickets of Eastern Australia</w:t>
            </w:r>
          </w:p>
        </w:tc>
        <w:tc>
          <w:tcPr>
            <w:tcW w:w="410" w:type="pct"/>
            <w:shd w:val="clear" w:color="auto" w:fill="auto"/>
            <w:hideMark/>
          </w:tcPr>
          <w:p w14:paraId="215C5E12"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6F91A3FD"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QLD, NSW, VIC</w:t>
            </w:r>
          </w:p>
        </w:tc>
        <w:tc>
          <w:tcPr>
            <w:tcW w:w="956" w:type="pct"/>
            <w:shd w:val="clear" w:color="auto" w:fill="auto"/>
            <w:hideMark/>
          </w:tcPr>
          <w:p w14:paraId="0237FD18"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467ACD2D"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701E184D" w14:textId="305A9BA0"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4D9743D3"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p w14:paraId="3F11C740"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severity</w:t>
            </w:r>
          </w:p>
          <w:p w14:paraId="2815B4AC"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63C0FCD4"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Sensitivity of key components</w:t>
            </w:r>
          </w:p>
          <w:p w14:paraId="7DB042C1"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Interaction with hydrological change</w:t>
            </w:r>
          </w:p>
          <w:p w14:paraId="6DFDDBF9" w14:textId="1F11170E"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Disturbance/erosion/</w:t>
            </w:r>
            <w:r w:rsidR="0086396C">
              <w:rPr>
                <w:sz w:val="20"/>
                <w:szCs w:val="20"/>
                <w:shd w:val="clear" w:color="auto" w:fill="FFFFFF"/>
              </w:rPr>
              <w:t xml:space="preserve"> </w:t>
            </w:r>
            <w:r w:rsidRPr="008F266B">
              <w:rPr>
                <w:sz w:val="20"/>
                <w:szCs w:val="20"/>
                <w:shd w:val="clear" w:color="auto" w:fill="FFFFFF"/>
              </w:rPr>
              <w:t>pollution</w:t>
            </w:r>
          </w:p>
          <w:p w14:paraId="3EECD505"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Cumulative risks</w:t>
            </w:r>
          </w:p>
        </w:tc>
        <w:tc>
          <w:tcPr>
            <w:tcW w:w="2811" w:type="pct"/>
          </w:tcPr>
          <w:p w14:paraId="1EB4FA8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1FFB10F7"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7DC68EFF"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unburnt fire refuges from future fires.</w:t>
            </w:r>
          </w:p>
          <w:p w14:paraId="4568C07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5EACDB44"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28649C77"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pigs</w:t>
            </w:r>
            <w:r>
              <w:rPr>
                <w:sz w:val="20"/>
                <w:szCs w:val="20"/>
                <w:shd w:val="clear" w:color="auto" w:fill="FFFFFF"/>
              </w:rPr>
              <w:t xml:space="preserve"> and</w:t>
            </w:r>
            <w:r w:rsidRPr="009D663F">
              <w:rPr>
                <w:sz w:val="20"/>
                <w:szCs w:val="20"/>
                <w:shd w:val="clear" w:color="auto" w:fill="FFFFFF"/>
              </w:rPr>
              <w:t xml:space="preserve"> deer.</w:t>
            </w:r>
          </w:p>
          <w:p w14:paraId="36D3562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649BDBBF"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prevent and treat myrtle rust and exclude fire from affected areas.</w:t>
            </w:r>
          </w:p>
          <w:p w14:paraId="4A4A0B3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159D659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strategic translocations to restore functional components.</w:t>
            </w:r>
          </w:p>
          <w:p w14:paraId="524E600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structural components of sites and undertake habitat supplementation.</w:t>
            </w:r>
          </w:p>
          <w:p w14:paraId="23C73CD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2D7602D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erosion/sedimentation mitigation works.</w:t>
            </w:r>
          </w:p>
          <w:p w14:paraId="23569EF6"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planning to accommodate co-dependency of management actions.</w:t>
            </w:r>
          </w:p>
          <w:p w14:paraId="4D1CFC16"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2482DC92" w14:textId="77777777" w:rsidTr="0086396C">
        <w:trPr>
          <w:cantSplit/>
          <w:trHeight w:val="900"/>
        </w:trPr>
        <w:tc>
          <w:tcPr>
            <w:tcW w:w="572" w:type="pct"/>
            <w:shd w:val="clear" w:color="auto" w:fill="auto"/>
            <w:hideMark/>
          </w:tcPr>
          <w:p w14:paraId="4E38C8D0"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lastRenderedPageBreak/>
              <w:t>Lowland Grassy Woodland in the South East Corner Bioregion</w:t>
            </w:r>
          </w:p>
        </w:tc>
        <w:tc>
          <w:tcPr>
            <w:tcW w:w="410" w:type="pct"/>
            <w:shd w:val="clear" w:color="auto" w:fill="auto"/>
            <w:hideMark/>
          </w:tcPr>
          <w:p w14:paraId="737CBC16"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134880BF"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 VIC</w:t>
            </w:r>
          </w:p>
        </w:tc>
        <w:tc>
          <w:tcPr>
            <w:tcW w:w="956" w:type="pct"/>
            <w:shd w:val="clear" w:color="auto" w:fill="auto"/>
            <w:hideMark/>
          </w:tcPr>
          <w:p w14:paraId="38F54202"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456D3E18" w14:textId="6DAE23F6"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0AF408E5"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p w14:paraId="4F05FB6D"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338B7451"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Cumulative risks</w:t>
            </w:r>
          </w:p>
        </w:tc>
        <w:tc>
          <w:tcPr>
            <w:tcW w:w="2811" w:type="pct"/>
          </w:tcPr>
          <w:p w14:paraId="07FA1A9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20DB2AE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13090F0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5D911FE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pigs</w:t>
            </w:r>
            <w:r>
              <w:rPr>
                <w:sz w:val="20"/>
                <w:szCs w:val="20"/>
                <w:shd w:val="clear" w:color="auto" w:fill="FFFFFF"/>
              </w:rPr>
              <w:t xml:space="preserve"> and</w:t>
            </w:r>
            <w:r w:rsidRPr="009D663F">
              <w:rPr>
                <w:sz w:val="20"/>
                <w:szCs w:val="20"/>
                <w:shd w:val="clear" w:color="auto" w:fill="FFFFFF"/>
              </w:rPr>
              <w:t xml:space="preserve"> deer</w:t>
            </w:r>
            <w:r>
              <w:rPr>
                <w:sz w:val="20"/>
                <w:szCs w:val="20"/>
                <w:shd w:val="clear" w:color="auto" w:fill="FFFFFF"/>
              </w:rPr>
              <w:t>.</w:t>
            </w:r>
          </w:p>
          <w:p w14:paraId="2380F36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25056E4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tree heath and psyllid/carabid outbreaks, minimise nutrient influx, exclude fire, control outbreaks and re-plant trees if required.</w:t>
            </w:r>
          </w:p>
          <w:p w14:paraId="5C64BA2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1F45C5D5"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erosion/sedimentation mitigation works.</w:t>
            </w:r>
          </w:p>
          <w:p w14:paraId="52C32C2F"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78A0F9CA" w14:textId="77777777" w:rsidTr="0086396C">
        <w:trPr>
          <w:cantSplit/>
          <w:trHeight w:val="900"/>
        </w:trPr>
        <w:tc>
          <w:tcPr>
            <w:tcW w:w="572" w:type="pct"/>
            <w:shd w:val="clear" w:color="auto" w:fill="auto"/>
            <w:hideMark/>
          </w:tcPr>
          <w:p w14:paraId="4B548A2E"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Lowland Rainforest of Subtropical Australia</w:t>
            </w:r>
          </w:p>
        </w:tc>
        <w:tc>
          <w:tcPr>
            <w:tcW w:w="410" w:type="pct"/>
            <w:shd w:val="clear" w:color="auto" w:fill="auto"/>
            <w:hideMark/>
          </w:tcPr>
          <w:p w14:paraId="0545E8F2"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66064468"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 QLD</w:t>
            </w:r>
          </w:p>
        </w:tc>
        <w:tc>
          <w:tcPr>
            <w:tcW w:w="956" w:type="pct"/>
            <w:shd w:val="clear" w:color="auto" w:fill="auto"/>
            <w:hideMark/>
          </w:tcPr>
          <w:p w14:paraId="197B4856"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2992DD11" w14:textId="4CA69731"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02379625"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p w14:paraId="2987A910"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severity</w:t>
            </w:r>
          </w:p>
          <w:p w14:paraId="546D9751"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0B52DA5E"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Sensitivity of key components</w:t>
            </w:r>
          </w:p>
          <w:p w14:paraId="048FF6C2"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Interaction with hydrological change</w:t>
            </w:r>
          </w:p>
          <w:p w14:paraId="21FA2335"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Cumulative risks</w:t>
            </w:r>
          </w:p>
        </w:tc>
        <w:tc>
          <w:tcPr>
            <w:tcW w:w="2811" w:type="pct"/>
          </w:tcPr>
          <w:p w14:paraId="14255A9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7811C88B"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unburnt fire refuges from future fires.</w:t>
            </w:r>
          </w:p>
          <w:p w14:paraId="5D476D56"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183A6B5D"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1435909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pigs</w:t>
            </w:r>
            <w:r>
              <w:rPr>
                <w:sz w:val="20"/>
                <w:szCs w:val="20"/>
                <w:shd w:val="clear" w:color="auto" w:fill="FFFFFF"/>
              </w:rPr>
              <w:t xml:space="preserve"> and</w:t>
            </w:r>
            <w:r w:rsidRPr="009D663F">
              <w:rPr>
                <w:sz w:val="20"/>
                <w:szCs w:val="20"/>
                <w:shd w:val="clear" w:color="auto" w:fill="FFFFFF"/>
              </w:rPr>
              <w:t xml:space="preserve"> deer.</w:t>
            </w:r>
          </w:p>
          <w:p w14:paraId="65F81D4F"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7A894B9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prevent and treat myrtle rust and exclude fire from affected areas.</w:t>
            </w:r>
          </w:p>
          <w:p w14:paraId="0025F5A4"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4B4D4BF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strategic translocations to restore functional components.</w:t>
            </w:r>
          </w:p>
          <w:p w14:paraId="6F678C0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structural components of sites and undertake habitat supplementation.</w:t>
            </w:r>
          </w:p>
          <w:p w14:paraId="7274069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682CC5A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planning to accommodate co-dependency of management actions.</w:t>
            </w:r>
          </w:p>
          <w:p w14:paraId="18A7CE45"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5FAA8E1C" w14:textId="77777777" w:rsidTr="0086396C">
        <w:trPr>
          <w:cantSplit/>
          <w:trHeight w:val="900"/>
        </w:trPr>
        <w:tc>
          <w:tcPr>
            <w:tcW w:w="572" w:type="pct"/>
            <w:shd w:val="clear" w:color="auto" w:fill="auto"/>
            <w:hideMark/>
          </w:tcPr>
          <w:p w14:paraId="529BBA96"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Natural grasslands on basalt and fine-textured alluvial plains of northern New South Wales and southern Queensland</w:t>
            </w:r>
          </w:p>
        </w:tc>
        <w:tc>
          <w:tcPr>
            <w:tcW w:w="410" w:type="pct"/>
            <w:shd w:val="clear" w:color="auto" w:fill="auto"/>
            <w:hideMark/>
          </w:tcPr>
          <w:p w14:paraId="3B51DE3D"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4EC7AA84"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 QLD</w:t>
            </w:r>
          </w:p>
        </w:tc>
        <w:tc>
          <w:tcPr>
            <w:tcW w:w="956" w:type="pct"/>
            <w:shd w:val="clear" w:color="auto" w:fill="auto"/>
            <w:hideMark/>
          </w:tcPr>
          <w:p w14:paraId="5CE57A6B" w14:textId="2E031256"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6A964D5C"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tc>
        <w:tc>
          <w:tcPr>
            <w:tcW w:w="2811" w:type="pct"/>
          </w:tcPr>
          <w:p w14:paraId="2322B13E"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04F663CE"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7B5F85DD"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hares/rabbits.</w:t>
            </w:r>
          </w:p>
          <w:p w14:paraId="1A9F59B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6E4065B7"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378B00D6"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6AABE62F"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0511C190" w14:textId="77777777" w:rsidTr="0086396C">
        <w:trPr>
          <w:cantSplit/>
          <w:trHeight w:val="900"/>
        </w:trPr>
        <w:tc>
          <w:tcPr>
            <w:tcW w:w="572" w:type="pct"/>
            <w:shd w:val="clear" w:color="auto" w:fill="auto"/>
            <w:hideMark/>
          </w:tcPr>
          <w:p w14:paraId="2D1ABDBC"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lastRenderedPageBreak/>
              <w:t>Natural Temperate Grassland of the South Eastern Highlands</w:t>
            </w:r>
          </w:p>
        </w:tc>
        <w:tc>
          <w:tcPr>
            <w:tcW w:w="410" w:type="pct"/>
            <w:shd w:val="clear" w:color="auto" w:fill="auto"/>
            <w:hideMark/>
          </w:tcPr>
          <w:p w14:paraId="75EDAEE8"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3A5C03C6"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ACT, NSW</w:t>
            </w:r>
          </w:p>
        </w:tc>
        <w:tc>
          <w:tcPr>
            <w:tcW w:w="956" w:type="pct"/>
            <w:shd w:val="clear" w:color="auto" w:fill="auto"/>
            <w:hideMark/>
          </w:tcPr>
          <w:p w14:paraId="7709A8C1"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489BEE8C"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Cumulative risks</w:t>
            </w:r>
          </w:p>
        </w:tc>
        <w:tc>
          <w:tcPr>
            <w:tcW w:w="2811" w:type="pct"/>
          </w:tcPr>
          <w:p w14:paraId="211B4335"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2DEE13A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2173FD5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79CB34D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pigs</w:t>
            </w:r>
            <w:r>
              <w:rPr>
                <w:sz w:val="20"/>
                <w:szCs w:val="20"/>
                <w:shd w:val="clear" w:color="auto" w:fill="FFFFFF"/>
              </w:rPr>
              <w:t xml:space="preserve"> and</w:t>
            </w:r>
            <w:r w:rsidRPr="009D663F">
              <w:rPr>
                <w:sz w:val="20"/>
                <w:szCs w:val="20"/>
                <w:shd w:val="clear" w:color="auto" w:fill="FFFFFF"/>
              </w:rPr>
              <w:t xml:space="preserve"> horses.</w:t>
            </w:r>
          </w:p>
          <w:p w14:paraId="03B62EF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7F336E26"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strategic translocations to restore functional components.</w:t>
            </w:r>
          </w:p>
          <w:p w14:paraId="73159426"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1DE168D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planning to accommodate co-dependency of management actions.</w:t>
            </w:r>
          </w:p>
          <w:p w14:paraId="6B7F133B"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4DEF5FBB" w14:textId="77777777" w:rsidTr="0086396C">
        <w:trPr>
          <w:cantSplit/>
          <w:trHeight w:val="900"/>
        </w:trPr>
        <w:tc>
          <w:tcPr>
            <w:tcW w:w="572" w:type="pct"/>
            <w:shd w:val="clear" w:color="auto" w:fill="auto"/>
            <w:hideMark/>
          </w:tcPr>
          <w:p w14:paraId="153B5FFF"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New England Peppermint (</w:t>
            </w:r>
            <w:r w:rsidRPr="00174B10">
              <w:rPr>
                <w:rFonts w:eastAsia="Times New Roman" w:cstheme="minorHAnsi"/>
                <w:i/>
                <w:iCs/>
                <w:sz w:val="20"/>
                <w:szCs w:val="20"/>
                <w:lang w:eastAsia="en-AU"/>
              </w:rPr>
              <w:t>Eucalyptus nova-</w:t>
            </w:r>
            <w:proofErr w:type="spellStart"/>
            <w:r w:rsidRPr="00174B10">
              <w:rPr>
                <w:rFonts w:eastAsia="Times New Roman" w:cstheme="minorHAnsi"/>
                <w:i/>
                <w:iCs/>
                <w:sz w:val="20"/>
                <w:szCs w:val="20"/>
                <w:lang w:eastAsia="en-AU"/>
              </w:rPr>
              <w:t>anglica</w:t>
            </w:r>
            <w:proofErr w:type="spellEnd"/>
            <w:r w:rsidRPr="00C47D76">
              <w:rPr>
                <w:rFonts w:eastAsia="Times New Roman" w:cstheme="minorHAnsi"/>
                <w:sz w:val="20"/>
                <w:szCs w:val="20"/>
                <w:lang w:eastAsia="en-AU"/>
              </w:rPr>
              <w:t>) Grassy Woodlands</w:t>
            </w:r>
          </w:p>
        </w:tc>
        <w:tc>
          <w:tcPr>
            <w:tcW w:w="410" w:type="pct"/>
            <w:shd w:val="clear" w:color="auto" w:fill="auto"/>
            <w:hideMark/>
          </w:tcPr>
          <w:p w14:paraId="21DE7355"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6DFB5878"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 QLD</w:t>
            </w:r>
          </w:p>
        </w:tc>
        <w:tc>
          <w:tcPr>
            <w:tcW w:w="956" w:type="pct"/>
            <w:shd w:val="clear" w:color="auto" w:fill="auto"/>
            <w:hideMark/>
          </w:tcPr>
          <w:p w14:paraId="33F21AB9"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21690600"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5517E200" w14:textId="46E3376C"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1045F617"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p w14:paraId="66FE8CE5"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severity</w:t>
            </w:r>
          </w:p>
          <w:p w14:paraId="4E702467"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3F315CE2"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Cumulative risks</w:t>
            </w:r>
          </w:p>
        </w:tc>
        <w:tc>
          <w:tcPr>
            <w:tcW w:w="2811" w:type="pct"/>
          </w:tcPr>
          <w:p w14:paraId="63C51F4B"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1C4E6E3E"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07E80CE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pigs, horses</w:t>
            </w:r>
            <w:r>
              <w:rPr>
                <w:sz w:val="20"/>
                <w:szCs w:val="20"/>
                <w:shd w:val="clear" w:color="auto" w:fill="FFFFFF"/>
              </w:rPr>
              <w:t xml:space="preserve"> and</w:t>
            </w:r>
            <w:r w:rsidRPr="009D663F">
              <w:rPr>
                <w:sz w:val="20"/>
                <w:szCs w:val="20"/>
                <w:shd w:val="clear" w:color="auto" w:fill="FFFFFF"/>
              </w:rPr>
              <w:t xml:space="preserve"> deer.</w:t>
            </w:r>
          </w:p>
          <w:p w14:paraId="6C42CAB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5968749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tree heath and psyllid/carabid outbreaks, minimise nutrient influx, exclude fire, control outbreaks and re-plant trees if required.</w:t>
            </w:r>
          </w:p>
          <w:p w14:paraId="174D02FF"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0078B114"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planning to accommodate co-dependency of management actions.</w:t>
            </w:r>
          </w:p>
          <w:p w14:paraId="312E07D6"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69CD35F9" w14:textId="77777777" w:rsidTr="0086396C">
        <w:trPr>
          <w:cantSplit/>
          <w:trHeight w:val="600"/>
        </w:trPr>
        <w:tc>
          <w:tcPr>
            <w:tcW w:w="572" w:type="pct"/>
            <w:shd w:val="clear" w:color="auto" w:fill="auto"/>
            <w:hideMark/>
          </w:tcPr>
          <w:p w14:paraId="733856BE" w14:textId="77777777" w:rsidR="008F266B" w:rsidRPr="00C47D76" w:rsidRDefault="008F266B" w:rsidP="008F266B">
            <w:pPr>
              <w:spacing w:after="0" w:line="240" w:lineRule="auto"/>
              <w:rPr>
                <w:rFonts w:eastAsia="Times New Roman" w:cstheme="minorHAnsi"/>
                <w:sz w:val="20"/>
                <w:szCs w:val="20"/>
                <w:lang w:eastAsia="en-AU"/>
              </w:rPr>
            </w:pPr>
            <w:proofErr w:type="spellStart"/>
            <w:r w:rsidRPr="00C47D76">
              <w:rPr>
                <w:rFonts w:eastAsia="Times New Roman" w:cstheme="minorHAnsi"/>
                <w:sz w:val="20"/>
                <w:szCs w:val="20"/>
                <w:lang w:eastAsia="en-AU"/>
              </w:rPr>
              <w:t>Proteaceae</w:t>
            </w:r>
            <w:proofErr w:type="spellEnd"/>
            <w:r w:rsidRPr="00C47D76">
              <w:rPr>
                <w:rFonts w:eastAsia="Times New Roman" w:cstheme="minorHAnsi"/>
                <w:sz w:val="20"/>
                <w:szCs w:val="20"/>
                <w:lang w:eastAsia="en-AU"/>
              </w:rPr>
              <w:t xml:space="preserve"> Dominated </w:t>
            </w:r>
            <w:proofErr w:type="spellStart"/>
            <w:r w:rsidRPr="00C47D76">
              <w:rPr>
                <w:rFonts w:eastAsia="Times New Roman" w:cstheme="minorHAnsi"/>
                <w:sz w:val="20"/>
                <w:szCs w:val="20"/>
                <w:lang w:eastAsia="en-AU"/>
              </w:rPr>
              <w:t>Kwongkan</w:t>
            </w:r>
            <w:proofErr w:type="spellEnd"/>
            <w:r w:rsidRPr="00C47D76">
              <w:rPr>
                <w:rFonts w:eastAsia="Times New Roman" w:cstheme="minorHAnsi"/>
                <w:sz w:val="20"/>
                <w:szCs w:val="20"/>
                <w:lang w:eastAsia="en-AU"/>
              </w:rPr>
              <w:t xml:space="preserve"> Shrublands of the Southeast Coastal Floristic Province of Western Australia</w:t>
            </w:r>
          </w:p>
        </w:tc>
        <w:tc>
          <w:tcPr>
            <w:tcW w:w="410" w:type="pct"/>
            <w:shd w:val="clear" w:color="auto" w:fill="auto"/>
            <w:hideMark/>
          </w:tcPr>
          <w:p w14:paraId="5364BC65"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Endangered</w:t>
            </w:r>
          </w:p>
        </w:tc>
        <w:tc>
          <w:tcPr>
            <w:tcW w:w="251" w:type="pct"/>
            <w:shd w:val="clear" w:color="auto" w:fill="auto"/>
            <w:hideMark/>
          </w:tcPr>
          <w:p w14:paraId="5A9C54D1"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WA</w:t>
            </w:r>
          </w:p>
        </w:tc>
        <w:tc>
          <w:tcPr>
            <w:tcW w:w="956" w:type="pct"/>
            <w:shd w:val="clear" w:color="auto" w:fill="auto"/>
            <w:hideMark/>
          </w:tcPr>
          <w:p w14:paraId="3A6EC5DF"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46A9BDB9" w14:textId="15D1FD55"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78E04782"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p w14:paraId="4F24363E"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Cumulative risks</w:t>
            </w:r>
          </w:p>
        </w:tc>
        <w:tc>
          <w:tcPr>
            <w:tcW w:w="2811" w:type="pct"/>
          </w:tcPr>
          <w:p w14:paraId="3B41D7A5"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67FA96B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unburnt fire refuges from future fires.</w:t>
            </w:r>
          </w:p>
          <w:p w14:paraId="137549D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159EA90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02C6546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hares/rabbits.</w:t>
            </w:r>
          </w:p>
          <w:p w14:paraId="0DA16A8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0480BF3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prevent and treat Phytophthora and exclude fire from affected areas.</w:t>
            </w:r>
          </w:p>
          <w:p w14:paraId="5A33BF3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0E3ADFC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planning to accommodate co-dependency of management actions.</w:t>
            </w:r>
          </w:p>
          <w:p w14:paraId="03A8478A"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402AE058" w14:textId="77777777" w:rsidTr="0086396C">
        <w:trPr>
          <w:cantSplit/>
          <w:trHeight w:val="900"/>
        </w:trPr>
        <w:tc>
          <w:tcPr>
            <w:tcW w:w="572" w:type="pct"/>
            <w:shd w:val="clear" w:color="auto" w:fill="auto"/>
            <w:hideMark/>
          </w:tcPr>
          <w:p w14:paraId="009C7E2F"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lastRenderedPageBreak/>
              <w:t>Robertson Rainforest in the Sydney Basin Bioregion</w:t>
            </w:r>
          </w:p>
        </w:tc>
        <w:tc>
          <w:tcPr>
            <w:tcW w:w="410" w:type="pct"/>
            <w:shd w:val="clear" w:color="auto" w:fill="auto"/>
            <w:hideMark/>
          </w:tcPr>
          <w:p w14:paraId="0EA173B2"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62E023FE"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w:t>
            </w:r>
          </w:p>
        </w:tc>
        <w:tc>
          <w:tcPr>
            <w:tcW w:w="956" w:type="pct"/>
            <w:shd w:val="clear" w:color="auto" w:fill="auto"/>
            <w:hideMark/>
          </w:tcPr>
          <w:p w14:paraId="4BD1B2AF" w14:textId="33F06A3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46C0B8D8"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p w14:paraId="6A800511"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Sensitivity of key components</w:t>
            </w:r>
          </w:p>
          <w:p w14:paraId="4C4F4BC5"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Interaction with hydrological change</w:t>
            </w:r>
          </w:p>
        </w:tc>
        <w:tc>
          <w:tcPr>
            <w:tcW w:w="2811" w:type="pct"/>
          </w:tcPr>
          <w:p w14:paraId="191AA24E"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2DD146BB"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unburnt fire refuges from future fires.</w:t>
            </w:r>
          </w:p>
          <w:p w14:paraId="509336D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3AABDE2D"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pigs</w:t>
            </w:r>
            <w:r>
              <w:rPr>
                <w:sz w:val="20"/>
                <w:szCs w:val="20"/>
                <w:shd w:val="clear" w:color="auto" w:fill="FFFFFF"/>
              </w:rPr>
              <w:t xml:space="preserve"> and</w:t>
            </w:r>
            <w:r w:rsidRPr="009D663F">
              <w:rPr>
                <w:sz w:val="20"/>
                <w:szCs w:val="20"/>
                <w:shd w:val="clear" w:color="auto" w:fill="FFFFFF"/>
              </w:rPr>
              <w:t xml:space="preserve"> deer.</w:t>
            </w:r>
          </w:p>
          <w:p w14:paraId="6E7738C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6ECA926B"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prevent and treat myrtle rust and exclude fire from affected areas.</w:t>
            </w:r>
          </w:p>
          <w:p w14:paraId="6C600895"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3B3623C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2706850C"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24B4B5D5" w14:textId="77777777" w:rsidTr="0086396C">
        <w:trPr>
          <w:cantSplit/>
          <w:trHeight w:val="600"/>
        </w:trPr>
        <w:tc>
          <w:tcPr>
            <w:tcW w:w="572" w:type="pct"/>
            <w:shd w:val="clear" w:color="auto" w:fill="auto"/>
            <w:hideMark/>
          </w:tcPr>
          <w:p w14:paraId="47ED78A5"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Sedgelands in Holocene dune swales of the southern Swan Coastal Plain</w:t>
            </w:r>
          </w:p>
        </w:tc>
        <w:tc>
          <w:tcPr>
            <w:tcW w:w="410" w:type="pct"/>
            <w:shd w:val="clear" w:color="auto" w:fill="auto"/>
            <w:hideMark/>
          </w:tcPr>
          <w:p w14:paraId="7C3A2243"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Endangered</w:t>
            </w:r>
          </w:p>
        </w:tc>
        <w:tc>
          <w:tcPr>
            <w:tcW w:w="251" w:type="pct"/>
            <w:shd w:val="clear" w:color="auto" w:fill="auto"/>
            <w:hideMark/>
          </w:tcPr>
          <w:p w14:paraId="5D4159C0"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WA</w:t>
            </w:r>
          </w:p>
        </w:tc>
        <w:tc>
          <w:tcPr>
            <w:tcW w:w="956" w:type="pct"/>
            <w:shd w:val="clear" w:color="auto" w:fill="auto"/>
            <w:hideMark/>
          </w:tcPr>
          <w:p w14:paraId="2F1D0CDE" w14:textId="3C5CE502" w:rsidR="008F266B" w:rsidRPr="008F266B" w:rsidRDefault="0057286A" w:rsidP="008F266B">
            <w:pPr>
              <w:pStyle w:val="ListParagraph"/>
              <w:numPr>
                <w:ilvl w:val="0"/>
                <w:numId w:val="4"/>
              </w:numPr>
              <w:spacing w:after="0" w:line="240" w:lineRule="auto"/>
              <w:ind w:left="340" w:hanging="170"/>
              <w:contextualSpacing w:val="0"/>
              <w:rPr>
                <w:sz w:val="20"/>
                <w:szCs w:val="20"/>
                <w:shd w:val="clear" w:color="auto" w:fill="FFFFFF"/>
              </w:rPr>
            </w:pPr>
            <w:r>
              <w:rPr>
                <w:sz w:val="20"/>
                <w:szCs w:val="20"/>
                <w:shd w:val="clear" w:color="auto" w:fill="FFFFFF"/>
              </w:rPr>
              <w:t>N</w:t>
            </w:r>
            <w:r w:rsidR="008F266B" w:rsidRPr="008F266B">
              <w:rPr>
                <w:sz w:val="20"/>
                <w:szCs w:val="20"/>
                <w:shd w:val="clear" w:color="auto" w:fill="FFFFFF"/>
              </w:rPr>
              <w:t>egligible</w:t>
            </w:r>
            <w:r w:rsidR="005868CF">
              <w:rPr>
                <w:sz w:val="20"/>
                <w:szCs w:val="20"/>
                <w:shd w:val="clear" w:color="auto" w:fill="FFFFFF"/>
              </w:rPr>
              <w:t xml:space="preserve"> – initial fire mapping indicated this ecological community may have been impacted but later investigation revealed it does not occur within the fire extent</w:t>
            </w:r>
          </w:p>
        </w:tc>
        <w:tc>
          <w:tcPr>
            <w:tcW w:w="2811" w:type="pct"/>
          </w:tcPr>
          <w:p w14:paraId="2121B1F5" w14:textId="42A402DF" w:rsidR="008F266B" w:rsidRPr="009D663F" w:rsidRDefault="008F266B" w:rsidP="0086396C">
            <w:pPr>
              <w:pStyle w:val="ListParagraph"/>
              <w:spacing w:after="0" w:line="240" w:lineRule="auto"/>
              <w:ind w:left="340"/>
              <w:contextualSpacing w:val="0"/>
              <w:rPr>
                <w:rFonts w:eastAsia="Times New Roman" w:cstheme="minorHAnsi"/>
                <w:color w:val="000000"/>
                <w:sz w:val="20"/>
                <w:szCs w:val="20"/>
                <w:lang w:eastAsia="en-AU"/>
              </w:rPr>
            </w:pPr>
          </w:p>
        </w:tc>
      </w:tr>
      <w:tr w:rsidR="008F266B" w:rsidRPr="00C47D76" w14:paraId="06DBEB53" w14:textId="77777777" w:rsidTr="0086396C">
        <w:trPr>
          <w:cantSplit/>
          <w:trHeight w:val="900"/>
        </w:trPr>
        <w:tc>
          <w:tcPr>
            <w:tcW w:w="572" w:type="pct"/>
            <w:shd w:val="clear" w:color="auto" w:fill="auto"/>
            <w:hideMark/>
          </w:tcPr>
          <w:p w14:paraId="43B07E33"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Shale Sandstone Transition Forest of the Sydney Basin Bioregion</w:t>
            </w:r>
          </w:p>
        </w:tc>
        <w:tc>
          <w:tcPr>
            <w:tcW w:w="410" w:type="pct"/>
            <w:shd w:val="clear" w:color="auto" w:fill="auto"/>
            <w:hideMark/>
          </w:tcPr>
          <w:p w14:paraId="64E651DA"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72DF048A"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w:t>
            </w:r>
          </w:p>
        </w:tc>
        <w:tc>
          <w:tcPr>
            <w:tcW w:w="956" w:type="pct"/>
            <w:shd w:val="clear" w:color="auto" w:fill="auto"/>
            <w:hideMark/>
          </w:tcPr>
          <w:p w14:paraId="70BE14FF"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tc>
        <w:tc>
          <w:tcPr>
            <w:tcW w:w="2811" w:type="pct"/>
          </w:tcPr>
          <w:p w14:paraId="4738660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59AE3FCE"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0CD29CF4"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3F0D1A36" w14:textId="77777777" w:rsidTr="0086396C">
        <w:trPr>
          <w:cantSplit/>
          <w:trHeight w:val="900"/>
        </w:trPr>
        <w:tc>
          <w:tcPr>
            <w:tcW w:w="572" w:type="pct"/>
            <w:shd w:val="clear" w:color="auto" w:fill="auto"/>
            <w:hideMark/>
          </w:tcPr>
          <w:p w14:paraId="3DDF88D9"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Southern Highlands Shale Forest and Woodland in the Sydney Basin Bioregion</w:t>
            </w:r>
          </w:p>
        </w:tc>
        <w:tc>
          <w:tcPr>
            <w:tcW w:w="410" w:type="pct"/>
            <w:shd w:val="clear" w:color="auto" w:fill="auto"/>
            <w:hideMark/>
          </w:tcPr>
          <w:p w14:paraId="4391C16D"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49B64F35"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w:t>
            </w:r>
          </w:p>
        </w:tc>
        <w:tc>
          <w:tcPr>
            <w:tcW w:w="956" w:type="pct"/>
            <w:shd w:val="clear" w:color="auto" w:fill="auto"/>
            <w:hideMark/>
          </w:tcPr>
          <w:p w14:paraId="69F80D70"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74228EC3"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6CCBD170" w14:textId="29278CA2"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622EA69A"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p w14:paraId="32BA57F5"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severity</w:t>
            </w:r>
          </w:p>
          <w:p w14:paraId="31CD2F11"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tc>
        <w:tc>
          <w:tcPr>
            <w:tcW w:w="2811" w:type="pct"/>
          </w:tcPr>
          <w:p w14:paraId="27936995"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5D463AC4"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6A494F8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197D2EE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727D68F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pigs</w:t>
            </w:r>
            <w:r>
              <w:rPr>
                <w:sz w:val="20"/>
                <w:szCs w:val="20"/>
                <w:shd w:val="clear" w:color="auto" w:fill="FFFFFF"/>
              </w:rPr>
              <w:t xml:space="preserve"> and</w:t>
            </w:r>
            <w:r w:rsidRPr="009D663F">
              <w:rPr>
                <w:sz w:val="20"/>
                <w:szCs w:val="20"/>
                <w:shd w:val="clear" w:color="auto" w:fill="FFFFFF"/>
              </w:rPr>
              <w:t xml:space="preserve"> deer.</w:t>
            </w:r>
          </w:p>
          <w:p w14:paraId="503016FB"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5FEE79D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tree heath and psyllid/carabid outbreaks, minimise nutrient influx, exclude fire, control outbreaks and re-plant trees if required.</w:t>
            </w:r>
          </w:p>
          <w:p w14:paraId="5AC4309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structural components of sites and undertake habitat supplementation.</w:t>
            </w:r>
          </w:p>
          <w:p w14:paraId="33885597"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104841B3"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3EEE3D5C" w14:textId="77777777" w:rsidTr="0052383C">
        <w:trPr>
          <w:cantSplit/>
          <w:trHeight w:val="1489"/>
        </w:trPr>
        <w:tc>
          <w:tcPr>
            <w:tcW w:w="572" w:type="pct"/>
            <w:shd w:val="clear" w:color="auto" w:fill="auto"/>
            <w:hideMark/>
          </w:tcPr>
          <w:p w14:paraId="74B36D92"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lastRenderedPageBreak/>
              <w:t>Subtropical and Temperate Coastal Saltmarsh</w:t>
            </w:r>
          </w:p>
        </w:tc>
        <w:tc>
          <w:tcPr>
            <w:tcW w:w="410" w:type="pct"/>
            <w:shd w:val="clear" w:color="auto" w:fill="auto"/>
            <w:hideMark/>
          </w:tcPr>
          <w:p w14:paraId="227F5FB8"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Vulnerable</w:t>
            </w:r>
          </w:p>
        </w:tc>
        <w:tc>
          <w:tcPr>
            <w:tcW w:w="251" w:type="pct"/>
            <w:shd w:val="clear" w:color="auto" w:fill="auto"/>
            <w:hideMark/>
          </w:tcPr>
          <w:p w14:paraId="0B87DC0E"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QLD, NSW, VIC, TAS, SA, WA</w:t>
            </w:r>
          </w:p>
        </w:tc>
        <w:tc>
          <w:tcPr>
            <w:tcW w:w="956" w:type="pct"/>
            <w:shd w:val="clear" w:color="auto" w:fill="auto"/>
            <w:hideMark/>
          </w:tcPr>
          <w:p w14:paraId="7611C020"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Sensitivity of key components</w:t>
            </w:r>
          </w:p>
          <w:p w14:paraId="220490ED" w14:textId="6D4AF5B8"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Disturbance/erosion/</w:t>
            </w:r>
            <w:r w:rsidR="0086396C">
              <w:rPr>
                <w:sz w:val="20"/>
                <w:szCs w:val="20"/>
                <w:shd w:val="clear" w:color="auto" w:fill="FFFFFF"/>
              </w:rPr>
              <w:t xml:space="preserve"> </w:t>
            </w:r>
            <w:r w:rsidRPr="008F266B">
              <w:rPr>
                <w:sz w:val="20"/>
                <w:szCs w:val="20"/>
                <w:shd w:val="clear" w:color="auto" w:fill="FFFFFF"/>
              </w:rPr>
              <w:t>pollution</w:t>
            </w:r>
          </w:p>
        </w:tc>
        <w:tc>
          <w:tcPr>
            <w:tcW w:w="2811" w:type="pct"/>
          </w:tcPr>
          <w:p w14:paraId="24388CF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2884DAC4"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0BC94E6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structural components of sites and undertake habitat supplementation.</w:t>
            </w:r>
          </w:p>
          <w:p w14:paraId="44D2481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erosion/sedimentation mitigation works.</w:t>
            </w:r>
          </w:p>
          <w:p w14:paraId="5223B547"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245119E5" w14:textId="77777777" w:rsidTr="0086396C">
        <w:trPr>
          <w:cantSplit/>
          <w:trHeight w:val="330"/>
        </w:trPr>
        <w:tc>
          <w:tcPr>
            <w:tcW w:w="572" w:type="pct"/>
            <w:shd w:val="clear" w:color="auto" w:fill="auto"/>
            <w:hideMark/>
          </w:tcPr>
          <w:p w14:paraId="54B4C0B9"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Temperate Highland Peat Swamps on Sandstone</w:t>
            </w:r>
          </w:p>
        </w:tc>
        <w:tc>
          <w:tcPr>
            <w:tcW w:w="410" w:type="pct"/>
            <w:shd w:val="clear" w:color="auto" w:fill="auto"/>
            <w:hideMark/>
          </w:tcPr>
          <w:p w14:paraId="35524BEE"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Endangered</w:t>
            </w:r>
          </w:p>
        </w:tc>
        <w:tc>
          <w:tcPr>
            <w:tcW w:w="251" w:type="pct"/>
            <w:shd w:val="clear" w:color="auto" w:fill="auto"/>
            <w:hideMark/>
          </w:tcPr>
          <w:p w14:paraId="3137B152"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w:t>
            </w:r>
          </w:p>
        </w:tc>
        <w:tc>
          <w:tcPr>
            <w:tcW w:w="956" w:type="pct"/>
            <w:shd w:val="clear" w:color="auto" w:fill="auto"/>
            <w:hideMark/>
          </w:tcPr>
          <w:p w14:paraId="6C28608B"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7B3C7792"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59C40370" w14:textId="6FC18FFF"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4FC4D300"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p w14:paraId="4CDF95BE"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severity</w:t>
            </w:r>
          </w:p>
          <w:p w14:paraId="388085B2"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Sensitivity of key components</w:t>
            </w:r>
          </w:p>
          <w:p w14:paraId="3595D82E"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Interaction with hydrological change</w:t>
            </w:r>
          </w:p>
          <w:p w14:paraId="5093205F" w14:textId="6FBE2916"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Disturbance/erosion/</w:t>
            </w:r>
            <w:r w:rsidR="0086396C">
              <w:rPr>
                <w:sz w:val="20"/>
                <w:szCs w:val="20"/>
                <w:shd w:val="clear" w:color="auto" w:fill="FFFFFF"/>
              </w:rPr>
              <w:t xml:space="preserve"> </w:t>
            </w:r>
            <w:r w:rsidRPr="008F266B">
              <w:rPr>
                <w:sz w:val="20"/>
                <w:szCs w:val="20"/>
                <w:shd w:val="clear" w:color="auto" w:fill="FFFFFF"/>
              </w:rPr>
              <w:t>pollution</w:t>
            </w:r>
          </w:p>
          <w:p w14:paraId="374DB72D"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Cumulative risks</w:t>
            </w:r>
          </w:p>
        </w:tc>
        <w:tc>
          <w:tcPr>
            <w:tcW w:w="2811" w:type="pct"/>
          </w:tcPr>
          <w:p w14:paraId="3B790AF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2DA5B856"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499D8D97"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unburnt fire refuges from future fires.</w:t>
            </w:r>
          </w:p>
          <w:p w14:paraId="3C4DA53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09C8BE4D"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753938BB"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2F4256F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strategic translocations to restore functional components.</w:t>
            </w:r>
          </w:p>
          <w:p w14:paraId="1F0E42E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structural components of sites and undertake habitat supplementation.</w:t>
            </w:r>
          </w:p>
          <w:p w14:paraId="012877B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Restore/manage groundwater or surface water.</w:t>
            </w:r>
          </w:p>
          <w:p w14:paraId="0885C0B6"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erosion/sedimentation mitigation works.</w:t>
            </w:r>
          </w:p>
          <w:p w14:paraId="0E3ECB0E"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planning to accommodate co-dependency of management actions.</w:t>
            </w:r>
          </w:p>
          <w:p w14:paraId="1A009B43"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4790BDAD" w14:textId="77777777" w:rsidTr="0086396C">
        <w:trPr>
          <w:cantSplit/>
          <w:trHeight w:val="900"/>
        </w:trPr>
        <w:tc>
          <w:tcPr>
            <w:tcW w:w="572" w:type="pct"/>
            <w:shd w:val="clear" w:color="auto" w:fill="auto"/>
            <w:hideMark/>
          </w:tcPr>
          <w:p w14:paraId="565B1907"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Tuart (</w:t>
            </w:r>
            <w:r w:rsidRPr="00174B10">
              <w:rPr>
                <w:rFonts w:eastAsia="Times New Roman" w:cstheme="minorHAnsi"/>
                <w:i/>
                <w:iCs/>
                <w:sz w:val="20"/>
                <w:szCs w:val="20"/>
                <w:lang w:eastAsia="en-AU"/>
              </w:rPr>
              <w:t>Eucalyptus gomphocephala</w:t>
            </w:r>
            <w:r w:rsidRPr="00C47D76">
              <w:rPr>
                <w:rFonts w:eastAsia="Times New Roman" w:cstheme="minorHAnsi"/>
                <w:sz w:val="20"/>
                <w:szCs w:val="20"/>
                <w:lang w:eastAsia="en-AU"/>
              </w:rPr>
              <w:t>) Woodlands and Forests of the Swan Coastal Plain ecological community</w:t>
            </w:r>
          </w:p>
        </w:tc>
        <w:tc>
          <w:tcPr>
            <w:tcW w:w="410" w:type="pct"/>
            <w:shd w:val="clear" w:color="auto" w:fill="auto"/>
            <w:hideMark/>
          </w:tcPr>
          <w:p w14:paraId="7FDC17E3"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398D6F07"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WA</w:t>
            </w:r>
          </w:p>
        </w:tc>
        <w:tc>
          <w:tcPr>
            <w:tcW w:w="956" w:type="pct"/>
            <w:shd w:val="clear" w:color="auto" w:fill="auto"/>
            <w:hideMark/>
          </w:tcPr>
          <w:p w14:paraId="01E93A49" w14:textId="6D3B3025"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6B6DB4B8"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6ABAEB82"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Interaction with hydrological change</w:t>
            </w:r>
          </w:p>
          <w:p w14:paraId="1FE9C3F4" w14:textId="12B2DEB9"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Disturbance/erosion/</w:t>
            </w:r>
            <w:r w:rsidR="0086396C">
              <w:rPr>
                <w:sz w:val="20"/>
                <w:szCs w:val="20"/>
                <w:shd w:val="clear" w:color="auto" w:fill="FFFFFF"/>
              </w:rPr>
              <w:t xml:space="preserve"> </w:t>
            </w:r>
            <w:r w:rsidRPr="008F266B">
              <w:rPr>
                <w:sz w:val="20"/>
                <w:szCs w:val="20"/>
                <w:shd w:val="clear" w:color="auto" w:fill="FFFFFF"/>
              </w:rPr>
              <w:t>pollution</w:t>
            </w:r>
          </w:p>
          <w:p w14:paraId="660F266E"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Cumulative risks</w:t>
            </w:r>
          </w:p>
        </w:tc>
        <w:tc>
          <w:tcPr>
            <w:tcW w:w="2811" w:type="pct"/>
          </w:tcPr>
          <w:p w14:paraId="6E422C0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7BA072E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556581CE"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32318CF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tree heath and psyllid/carabid outbreaks, minimise nutrient influx, exclude fire, control outbreaks and re-plant trees if required.</w:t>
            </w:r>
          </w:p>
          <w:p w14:paraId="31FA6E86"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6F6ECF6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strategic translocations to restore functional components.</w:t>
            </w:r>
          </w:p>
          <w:p w14:paraId="0916F876"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5146852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Restore/manage groundwater or surface water.</w:t>
            </w:r>
          </w:p>
          <w:p w14:paraId="196E4105"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erosion/sedimentation mitigation works.</w:t>
            </w:r>
          </w:p>
          <w:p w14:paraId="35C1243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planning to accommodate co-dependency of management actions.</w:t>
            </w:r>
          </w:p>
          <w:p w14:paraId="4D977C84"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5436FD8F" w14:textId="77777777" w:rsidTr="0086396C">
        <w:trPr>
          <w:cantSplit/>
          <w:trHeight w:val="900"/>
        </w:trPr>
        <w:tc>
          <w:tcPr>
            <w:tcW w:w="572" w:type="pct"/>
            <w:shd w:val="clear" w:color="auto" w:fill="auto"/>
            <w:hideMark/>
          </w:tcPr>
          <w:p w14:paraId="16C97B01"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lastRenderedPageBreak/>
              <w:t>Turpentine-Ironbark Forest of the Sydney Basin Bioregion</w:t>
            </w:r>
          </w:p>
        </w:tc>
        <w:tc>
          <w:tcPr>
            <w:tcW w:w="410" w:type="pct"/>
            <w:shd w:val="clear" w:color="auto" w:fill="auto"/>
            <w:hideMark/>
          </w:tcPr>
          <w:p w14:paraId="4A809115"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414AA38D"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w:t>
            </w:r>
          </w:p>
        </w:tc>
        <w:tc>
          <w:tcPr>
            <w:tcW w:w="956" w:type="pct"/>
            <w:shd w:val="clear" w:color="auto" w:fill="auto"/>
            <w:hideMark/>
          </w:tcPr>
          <w:p w14:paraId="640CB30C"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7D97561A"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31CF11D1" w14:textId="73172C9B"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6FEB47D4"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severity</w:t>
            </w:r>
          </w:p>
          <w:p w14:paraId="302F861B"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2A38777A"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Sensitivity of key components</w:t>
            </w:r>
          </w:p>
        </w:tc>
        <w:tc>
          <w:tcPr>
            <w:tcW w:w="2811" w:type="pct"/>
          </w:tcPr>
          <w:p w14:paraId="534C499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30B0815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7E5E019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unburnt fire refuges from future fires.</w:t>
            </w:r>
          </w:p>
          <w:p w14:paraId="7770507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2ACC48F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7A16F95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 xml:space="preserve">Control feral pigs, </w:t>
            </w:r>
            <w:r w:rsidRPr="00C16879">
              <w:rPr>
                <w:sz w:val="20"/>
                <w:szCs w:val="20"/>
                <w:shd w:val="clear" w:color="auto" w:fill="FFFFFF"/>
              </w:rPr>
              <w:t>deer and hares</w:t>
            </w:r>
            <w:r w:rsidRPr="009D663F">
              <w:rPr>
                <w:sz w:val="20"/>
                <w:szCs w:val="20"/>
                <w:shd w:val="clear" w:color="auto" w:fill="FFFFFF"/>
              </w:rPr>
              <w:t>/rabbits.</w:t>
            </w:r>
          </w:p>
          <w:p w14:paraId="5E67D2B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500AE615"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4D29914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structural components of sites and undertake habitat supplementation.</w:t>
            </w:r>
          </w:p>
          <w:p w14:paraId="4EB79FAB"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7575508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erosion/sedimentation mitigation works.</w:t>
            </w:r>
          </w:p>
          <w:p w14:paraId="309EB949"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0812ACF0" w14:textId="77777777" w:rsidTr="0086396C">
        <w:trPr>
          <w:cantSplit/>
          <w:trHeight w:val="600"/>
        </w:trPr>
        <w:tc>
          <w:tcPr>
            <w:tcW w:w="572" w:type="pct"/>
            <w:shd w:val="clear" w:color="auto" w:fill="auto"/>
            <w:hideMark/>
          </w:tcPr>
          <w:p w14:paraId="5CAA4132"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Upland Basalt Eucalypt Forests of the Sydney Basin Bioregion</w:t>
            </w:r>
          </w:p>
        </w:tc>
        <w:tc>
          <w:tcPr>
            <w:tcW w:w="410" w:type="pct"/>
            <w:shd w:val="clear" w:color="auto" w:fill="auto"/>
            <w:hideMark/>
          </w:tcPr>
          <w:p w14:paraId="0A940ABC"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Endangered</w:t>
            </w:r>
          </w:p>
        </w:tc>
        <w:tc>
          <w:tcPr>
            <w:tcW w:w="251" w:type="pct"/>
            <w:shd w:val="clear" w:color="auto" w:fill="auto"/>
            <w:hideMark/>
          </w:tcPr>
          <w:p w14:paraId="6C6C9387"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NSW</w:t>
            </w:r>
          </w:p>
        </w:tc>
        <w:tc>
          <w:tcPr>
            <w:tcW w:w="956" w:type="pct"/>
            <w:shd w:val="clear" w:color="auto" w:fill="auto"/>
            <w:hideMark/>
          </w:tcPr>
          <w:p w14:paraId="563DCB9E"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5ABFA77F"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frequency</w:t>
            </w:r>
          </w:p>
          <w:p w14:paraId="05899466" w14:textId="5B17287F"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0A0EB7B1"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High fire severity</w:t>
            </w:r>
          </w:p>
          <w:p w14:paraId="71A9C256"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1891508F"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Sensitivity of key components</w:t>
            </w:r>
          </w:p>
          <w:p w14:paraId="19CC4668"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Interaction with hydrological change</w:t>
            </w:r>
          </w:p>
          <w:p w14:paraId="4CB5D00F" w14:textId="22798973"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Disturbance/erosion/</w:t>
            </w:r>
            <w:r w:rsidR="0086396C">
              <w:rPr>
                <w:sz w:val="20"/>
                <w:szCs w:val="20"/>
                <w:shd w:val="clear" w:color="auto" w:fill="FFFFFF"/>
              </w:rPr>
              <w:t xml:space="preserve"> </w:t>
            </w:r>
            <w:r w:rsidRPr="008F266B">
              <w:rPr>
                <w:sz w:val="20"/>
                <w:szCs w:val="20"/>
                <w:shd w:val="clear" w:color="auto" w:fill="FFFFFF"/>
              </w:rPr>
              <w:t>pollution</w:t>
            </w:r>
          </w:p>
        </w:tc>
        <w:tc>
          <w:tcPr>
            <w:tcW w:w="2811" w:type="pct"/>
          </w:tcPr>
          <w:p w14:paraId="75FBA5D7"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5216138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33F71302"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unburnt fire refuges from future fires.</w:t>
            </w:r>
          </w:p>
          <w:p w14:paraId="28A0F0B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Protect burnt areas from future fires.</w:t>
            </w:r>
          </w:p>
          <w:p w14:paraId="413F9723"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hares/rabbits.</w:t>
            </w:r>
          </w:p>
          <w:p w14:paraId="3F9600D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78AA295D"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3301D404"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structural components of sites and undertake habitat supplementation.</w:t>
            </w:r>
          </w:p>
          <w:p w14:paraId="682F6169"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7CB8EFAD"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erosion/sedimentation mitigation works.</w:t>
            </w:r>
          </w:p>
          <w:p w14:paraId="5DCFCDAF"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8F266B" w:rsidRPr="00C47D76" w14:paraId="4F19B900" w14:textId="77777777" w:rsidTr="0086396C">
        <w:trPr>
          <w:cantSplit/>
          <w:trHeight w:val="935"/>
        </w:trPr>
        <w:tc>
          <w:tcPr>
            <w:tcW w:w="572" w:type="pct"/>
            <w:shd w:val="clear" w:color="auto" w:fill="auto"/>
            <w:hideMark/>
          </w:tcPr>
          <w:p w14:paraId="4F81180D"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lastRenderedPageBreak/>
              <w:t>White Box-Yellow Box-Blakely's Red Gum Grassy Woodland and Derived Native Grassland</w:t>
            </w:r>
          </w:p>
        </w:tc>
        <w:tc>
          <w:tcPr>
            <w:tcW w:w="410" w:type="pct"/>
            <w:shd w:val="clear" w:color="auto" w:fill="auto"/>
            <w:hideMark/>
          </w:tcPr>
          <w:p w14:paraId="268492A6" w14:textId="77777777" w:rsidR="008F266B" w:rsidRPr="00C47D76" w:rsidRDefault="008F266B" w:rsidP="008F266B">
            <w:pPr>
              <w:spacing w:after="0" w:line="240" w:lineRule="auto"/>
              <w:rPr>
                <w:rFonts w:eastAsia="Times New Roman" w:cstheme="minorHAnsi"/>
                <w:sz w:val="20"/>
                <w:szCs w:val="20"/>
                <w:lang w:eastAsia="en-AU"/>
              </w:rPr>
            </w:pPr>
            <w:r w:rsidRPr="00C47D76">
              <w:rPr>
                <w:rFonts w:eastAsia="Times New Roman" w:cstheme="minorHAnsi"/>
                <w:sz w:val="20"/>
                <w:szCs w:val="20"/>
                <w:lang w:eastAsia="en-AU"/>
              </w:rPr>
              <w:t>Critically Endangered</w:t>
            </w:r>
          </w:p>
        </w:tc>
        <w:tc>
          <w:tcPr>
            <w:tcW w:w="251" w:type="pct"/>
            <w:shd w:val="clear" w:color="auto" w:fill="auto"/>
            <w:hideMark/>
          </w:tcPr>
          <w:p w14:paraId="46FAC1AC" w14:textId="77777777" w:rsidR="008F266B" w:rsidRPr="00C47D76" w:rsidRDefault="008F266B" w:rsidP="008F266B">
            <w:pPr>
              <w:spacing w:after="0" w:line="240" w:lineRule="auto"/>
              <w:rPr>
                <w:rFonts w:eastAsia="Times New Roman" w:cstheme="minorHAnsi"/>
                <w:color w:val="000000"/>
                <w:sz w:val="20"/>
                <w:szCs w:val="20"/>
                <w:lang w:eastAsia="en-AU"/>
              </w:rPr>
            </w:pPr>
            <w:r w:rsidRPr="00C47D76">
              <w:rPr>
                <w:rFonts w:eastAsia="Times New Roman" w:cstheme="minorHAnsi"/>
                <w:color w:val="000000"/>
                <w:sz w:val="20"/>
                <w:szCs w:val="20"/>
                <w:lang w:eastAsia="en-AU"/>
              </w:rPr>
              <w:t>QLD, NSW, VIC, ACT</w:t>
            </w:r>
          </w:p>
        </w:tc>
        <w:tc>
          <w:tcPr>
            <w:tcW w:w="956" w:type="pct"/>
            <w:shd w:val="clear" w:color="auto" w:fill="auto"/>
            <w:hideMark/>
          </w:tcPr>
          <w:p w14:paraId="1BB95AB2"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0D0F3889" w14:textId="2B9AB72D"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predation/</w:t>
            </w:r>
            <w:r w:rsidR="0086396C">
              <w:rPr>
                <w:sz w:val="20"/>
                <w:szCs w:val="20"/>
                <w:shd w:val="clear" w:color="auto" w:fill="FFFFFF"/>
              </w:rPr>
              <w:t xml:space="preserve"> </w:t>
            </w:r>
            <w:r w:rsidRPr="008F266B">
              <w:rPr>
                <w:sz w:val="20"/>
                <w:szCs w:val="20"/>
                <w:shd w:val="clear" w:color="auto" w:fill="FFFFFF"/>
              </w:rPr>
              <w:t>herbivory</w:t>
            </w:r>
          </w:p>
          <w:p w14:paraId="1BF8A1A2"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 fire disease</w:t>
            </w:r>
          </w:p>
          <w:p w14:paraId="2C5D90BB" w14:textId="77777777"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Post-fire weeds</w:t>
            </w:r>
          </w:p>
          <w:p w14:paraId="1C861759" w14:textId="69720E3D" w:rsid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Disturbance/erosion/</w:t>
            </w:r>
            <w:r w:rsidR="0086396C">
              <w:rPr>
                <w:sz w:val="20"/>
                <w:szCs w:val="20"/>
                <w:shd w:val="clear" w:color="auto" w:fill="FFFFFF"/>
              </w:rPr>
              <w:t xml:space="preserve"> </w:t>
            </w:r>
            <w:r w:rsidRPr="008F266B">
              <w:rPr>
                <w:sz w:val="20"/>
                <w:szCs w:val="20"/>
                <w:shd w:val="clear" w:color="auto" w:fill="FFFFFF"/>
              </w:rPr>
              <w:t>pollution</w:t>
            </w:r>
          </w:p>
          <w:p w14:paraId="5F3A7AC3" w14:textId="77777777" w:rsidR="008F266B" w:rsidRPr="008F266B"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8F266B">
              <w:rPr>
                <w:sz w:val="20"/>
                <w:szCs w:val="20"/>
                <w:shd w:val="clear" w:color="auto" w:fill="FFFFFF"/>
              </w:rPr>
              <w:t>Cumulative risks</w:t>
            </w:r>
          </w:p>
        </w:tc>
        <w:tc>
          <w:tcPr>
            <w:tcW w:w="2811" w:type="pct"/>
          </w:tcPr>
          <w:p w14:paraId="618464F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post-fire on-ground surveys to quantify impacts, management needs and monitor recovery.</w:t>
            </w:r>
          </w:p>
          <w:p w14:paraId="2F22B85E"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Minimise drought impacts, exclude fire, minimise disturbance to soil and vegetation, and minimise grazing.</w:t>
            </w:r>
          </w:p>
          <w:p w14:paraId="6207B70D"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Install targeted fencing to exclude livestock, feral grazers, or overabundant native herbivores.</w:t>
            </w:r>
          </w:p>
          <w:p w14:paraId="5D0663CF"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hares/rabbits.</w:t>
            </w:r>
          </w:p>
          <w:p w14:paraId="592FE03A"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Control feral predators.</w:t>
            </w:r>
          </w:p>
          <w:p w14:paraId="1CB9FDB8"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Monitor tree heath and psyllid/carabid outbreaks, minimise nutrient influx, exclude fire, control outbreaks and re-plant trees if required.</w:t>
            </w:r>
          </w:p>
          <w:p w14:paraId="26473DDC"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Manage access to enable recovery.</w:t>
            </w:r>
          </w:p>
          <w:p w14:paraId="161CD560"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strategic translocations to restore functional components.</w:t>
            </w:r>
          </w:p>
          <w:p w14:paraId="6B327D0B"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weed surveys, treatment and removal.</w:t>
            </w:r>
          </w:p>
          <w:p w14:paraId="0AF3FF8B"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erosion/sedimentation mitigation works.</w:t>
            </w:r>
          </w:p>
          <w:p w14:paraId="4D9F2461" w14:textId="77777777" w:rsidR="008F266B" w:rsidRPr="009D663F" w:rsidRDefault="008F266B" w:rsidP="008F266B">
            <w:pPr>
              <w:pStyle w:val="ListParagraph"/>
              <w:numPr>
                <w:ilvl w:val="0"/>
                <w:numId w:val="4"/>
              </w:numPr>
              <w:spacing w:after="0" w:line="240" w:lineRule="auto"/>
              <w:ind w:left="340" w:hanging="170"/>
              <w:contextualSpacing w:val="0"/>
              <w:rPr>
                <w:sz w:val="20"/>
                <w:szCs w:val="20"/>
                <w:shd w:val="clear" w:color="auto" w:fill="FFFFFF"/>
              </w:rPr>
            </w:pPr>
            <w:r w:rsidRPr="009D663F">
              <w:rPr>
                <w:sz w:val="20"/>
                <w:szCs w:val="20"/>
                <w:shd w:val="clear" w:color="auto" w:fill="FFFFFF"/>
              </w:rPr>
              <w:t>Undertake planning to accommodate co-dependency of management actions.</w:t>
            </w:r>
          </w:p>
          <w:p w14:paraId="6D436F82" w14:textId="77777777" w:rsidR="008F266B" w:rsidRPr="009D663F" w:rsidRDefault="008F266B" w:rsidP="008F266B">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9D663F">
              <w:rPr>
                <w:sz w:val="20"/>
                <w:szCs w:val="20"/>
                <w:shd w:val="clear" w:color="auto" w:fill="FFFFFF"/>
              </w:rPr>
              <w:t>Undertake strategic research to develop or assess management options.</w:t>
            </w:r>
          </w:p>
        </w:tc>
      </w:tr>
      <w:tr w:rsidR="00024296" w:rsidRPr="00C47D76" w14:paraId="54C4C803" w14:textId="77777777" w:rsidTr="0086396C">
        <w:trPr>
          <w:cantSplit/>
          <w:trHeight w:val="935"/>
        </w:trPr>
        <w:tc>
          <w:tcPr>
            <w:tcW w:w="572" w:type="pct"/>
            <w:shd w:val="clear" w:color="auto" w:fill="auto"/>
          </w:tcPr>
          <w:p w14:paraId="28DB08B2" w14:textId="77777777" w:rsidR="00024296" w:rsidRDefault="00024296" w:rsidP="00024296">
            <w:pPr>
              <w:spacing w:after="0" w:line="240" w:lineRule="auto"/>
              <w:rPr>
                <w:rFonts w:eastAsia="Times New Roman" w:cstheme="minorHAnsi"/>
                <w:sz w:val="20"/>
                <w:szCs w:val="20"/>
                <w:lang w:eastAsia="en-AU"/>
              </w:rPr>
            </w:pPr>
            <w:r>
              <w:rPr>
                <w:rFonts w:eastAsia="Times New Roman" w:cstheme="minorHAnsi"/>
                <w:sz w:val="20"/>
                <w:szCs w:val="20"/>
                <w:lang w:eastAsia="en-AU"/>
              </w:rPr>
              <w:t>Swamp Sclerophyll Forests on Coastal Floodplains of Eastern Australia</w:t>
            </w:r>
          </w:p>
        </w:tc>
        <w:tc>
          <w:tcPr>
            <w:tcW w:w="410" w:type="pct"/>
            <w:shd w:val="clear" w:color="auto" w:fill="auto"/>
          </w:tcPr>
          <w:p w14:paraId="75E96A61" w14:textId="77777777" w:rsidR="00024296" w:rsidRDefault="00024296" w:rsidP="00024296">
            <w:pPr>
              <w:spacing w:after="0" w:line="240" w:lineRule="auto"/>
              <w:rPr>
                <w:rFonts w:eastAsia="Times New Roman" w:cstheme="minorHAnsi"/>
                <w:sz w:val="20"/>
                <w:szCs w:val="20"/>
                <w:lang w:eastAsia="en-AU"/>
              </w:rPr>
            </w:pPr>
            <w:r>
              <w:rPr>
                <w:rFonts w:eastAsia="Times New Roman" w:cstheme="minorHAnsi"/>
                <w:sz w:val="20"/>
                <w:szCs w:val="20"/>
                <w:lang w:eastAsia="en-AU"/>
              </w:rPr>
              <w:t>Under assessment</w:t>
            </w:r>
          </w:p>
        </w:tc>
        <w:tc>
          <w:tcPr>
            <w:tcW w:w="251" w:type="pct"/>
            <w:shd w:val="clear" w:color="auto" w:fill="auto"/>
          </w:tcPr>
          <w:p w14:paraId="16A303A7" w14:textId="77777777" w:rsidR="00024296" w:rsidRDefault="00024296" w:rsidP="00024296">
            <w:pPr>
              <w:spacing w:after="0" w:line="240" w:lineRule="auto"/>
              <w:rPr>
                <w:rFonts w:eastAsia="Times New Roman" w:cstheme="minorHAnsi"/>
                <w:sz w:val="20"/>
                <w:szCs w:val="20"/>
                <w:lang w:eastAsia="en-AU"/>
              </w:rPr>
            </w:pPr>
            <w:r>
              <w:rPr>
                <w:rFonts w:eastAsia="Times New Roman" w:cstheme="minorHAnsi"/>
                <w:sz w:val="20"/>
                <w:szCs w:val="20"/>
                <w:lang w:eastAsia="en-AU"/>
              </w:rPr>
              <w:t>NSW, QLD, TAS, VIC</w:t>
            </w:r>
          </w:p>
        </w:tc>
        <w:tc>
          <w:tcPr>
            <w:tcW w:w="956" w:type="pct"/>
            <w:shd w:val="clear" w:color="auto" w:fill="auto"/>
          </w:tcPr>
          <w:p w14:paraId="06CFCD40" w14:textId="77777777" w:rsidR="00024296" w:rsidRPr="00024296" w:rsidRDefault="00024296" w:rsidP="00024296">
            <w:pPr>
              <w:spacing w:after="0" w:line="240" w:lineRule="auto"/>
              <w:ind w:left="170"/>
              <w:rPr>
                <w:sz w:val="20"/>
                <w:szCs w:val="20"/>
                <w:shd w:val="clear" w:color="auto" w:fill="FFFFFF"/>
              </w:rPr>
            </w:pPr>
            <w:r w:rsidRPr="00024296">
              <w:rPr>
                <w:sz w:val="20"/>
                <w:szCs w:val="20"/>
                <w:shd w:val="clear" w:color="auto" w:fill="FFFFFF"/>
              </w:rPr>
              <w:t>TBD</w:t>
            </w:r>
            <w:r>
              <w:rPr>
                <w:sz w:val="20"/>
                <w:szCs w:val="20"/>
                <w:shd w:val="clear" w:color="auto" w:fill="FFFFFF"/>
              </w:rPr>
              <w:t xml:space="preserve">, </w:t>
            </w:r>
            <w:r w:rsidRPr="00024296">
              <w:rPr>
                <w:sz w:val="20"/>
                <w:szCs w:val="20"/>
                <w:shd w:val="clear" w:color="auto" w:fill="FFFFFF"/>
              </w:rPr>
              <w:t>likely:</w:t>
            </w:r>
          </w:p>
          <w:p w14:paraId="6D01D0D6" w14:textId="579932A5" w:rsid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Post-fire predation/</w:t>
            </w:r>
            <w:r w:rsidR="0086396C">
              <w:rPr>
                <w:sz w:val="20"/>
                <w:szCs w:val="20"/>
                <w:shd w:val="clear" w:color="auto" w:fill="FFFFFF"/>
              </w:rPr>
              <w:t xml:space="preserve"> </w:t>
            </w:r>
            <w:r w:rsidRPr="00024296">
              <w:rPr>
                <w:sz w:val="20"/>
                <w:szCs w:val="20"/>
                <w:shd w:val="clear" w:color="auto" w:fill="FFFFFF"/>
              </w:rPr>
              <w:t>herbivory</w:t>
            </w:r>
          </w:p>
          <w:p w14:paraId="79B5919B" w14:textId="77777777" w:rsid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High fire severity</w:t>
            </w:r>
          </w:p>
          <w:p w14:paraId="459FEEDB" w14:textId="77777777" w:rsid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Post-fire weed</w:t>
            </w:r>
          </w:p>
          <w:p w14:paraId="239B11AA" w14:textId="77777777" w:rsid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Sensitivity of key components</w:t>
            </w:r>
          </w:p>
          <w:p w14:paraId="0F0172E3" w14:textId="77777777" w:rsidR="00024296" w:rsidRP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Interaction with hydrological change</w:t>
            </w:r>
          </w:p>
        </w:tc>
        <w:tc>
          <w:tcPr>
            <w:tcW w:w="2811" w:type="pct"/>
          </w:tcPr>
          <w:p w14:paraId="45A136EC" w14:textId="77777777" w:rsidR="00024296" w:rsidRDefault="00024296" w:rsidP="00024296">
            <w:pPr>
              <w:spacing w:after="0" w:line="240" w:lineRule="auto"/>
              <w:rPr>
                <w:rFonts w:eastAsia="Times New Roman" w:cstheme="minorHAnsi"/>
                <w:sz w:val="20"/>
                <w:szCs w:val="20"/>
                <w:lang w:eastAsia="en-AU"/>
              </w:rPr>
            </w:pPr>
          </w:p>
        </w:tc>
      </w:tr>
      <w:tr w:rsidR="00024296" w:rsidRPr="00C47D76" w14:paraId="54E2E77B" w14:textId="77777777" w:rsidTr="0086396C">
        <w:trPr>
          <w:cantSplit/>
          <w:trHeight w:val="935"/>
        </w:trPr>
        <w:tc>
          <w:tcPr>
            <w:tcW w:w="572" w:type="pct"/>
            <w:shd w:val="clear" w:color="auto" w:fill="auto"/>
          </w:tcPr>
          <w:p w14:paraId="1C39F17C" w14:textId="77777777" w:rsidR="00024296" w:rsidRDefault="00024296" w:rsidP="00024296">
            <w:pPr>
              <w:spacing w:after="0" w:line="240" w:lineRule="auto"/>
              <w:rPr>
                <w:rFonts w:eastAsia="Times New Roman" w:cstheme="minorHAnsi"/>
                <w:sz w:val="20"/>
                <w:szCs w:val="20"/>
                <w:lang w:eastAsia="en-AU"/>
              </w:rPr>
            </w:pPr>
            <w:r>
              <w:rPr>
                <w:rFonts w:eastAsia="Times New Roman" w:cstheme="minorHAnsi"/>
                <w:sz w:val="20"/>
                <w:szCs w:val="20"/>
                <w:lang w:eastAsia="en-AU"/>
              </w:rPr>
              <w:lastRenderedPageBreak/>
              <w:t>River-flat eucalypt forest on coastal floodplains of southern New South Wales and eastern Victoria</w:t>
            </w:r>
          </w:p>
        </w:tc>
        <w:tc>
          <w:tcPr>
            <w:tcW w:w="410" w:type="pct"/>
            <w:shd w:val="clear" w:color="auto" w:fill="auto"/>
          </w:tcPr>
          <w:p w14:paraId="75F1E614" w14:textId="77777777" w:rsidR="00024296" w:rsidRDefault="00024296" w:rsidP="00024296">
            <w:pPr>
              <w:spacing w:after="0" w:line="240" w:lineRule="auto"/>
              <w:rPr>
                <w:rFonts w:eastAsia="Times New Roman" w:cstheme="minorHAnsi"/>
                <w:sz w:val="20"/>
                <w:szCs w:val="20"/>
                <w:lang w:eastAsia="en-AU"/>
              </w:rPr>
            </w:pPr>
            <w:r>
              <w:rPr>
                <w:rFonts w:eastAsia="Times New Roman" w:cstheme="minorHAnsi"/>
                <w:sz w:val="20"/>
                <w:szCs w:val="20"/>
                <w:lang w:eastAsia="en-AU"/>
              </w:rPr>
              <w:t>Under assessment</w:t>
            </w:r>
          </w:p>
        </w:tc>
        <w:tc>
          <w:tcPr>
            <w:tcW w:w="251" w:type="pct"/>
            <w:shd w:val="clear" w:color="auto" w:fill="auto"/>
          </w:tcPr>
          <w:p w14:paraId="5C148AC5" w14:textId="77777777" w:rsidR="00024296" w:rsidRDefault="00024296" w:rsidP="00024296">
            <w:pPr>
              <w:spacing w:after="0" w:line="240" w:lineRule="auto"/>
              <w:rPr>
                <w:rFonts w:eastAsia="Times New Roman" w:cstheme="minorHAnsi"/>
                <w:sz w:val="20"/>
                <w:szCs w:val="20"/>
                <w:lang w:eastAsia="en-AU"/>
              </w:rPr>
            </w:pPr>
            <w:r>
              <w:rPr>
                <w:rFonts w:eastAsia="Times New Roman" w:cstheme="minorHAnsi"/>
                <w:sz w:val="20"/>
                <w:szCs w:val="20"/>
                <w:lang w:eastAsia="en-AU"/>
              </w:rPr>
              <w:t>NSW, VIC</w:t>
            </w:r>
          </w:p>
        </w:tc>
        <w:tc>
          <w:tcPr>
            <w:tcW w:w="956" w:type="pct"/>
            <w:shd w:val="clear" w:color="auto" w:fill="auto"/>
          </w:tcPr>
          <w:p w14:paraId="1B1C8B00" w14:textId="77777777" w:rsidR="00024296" w:rsidRPr="00024296" w:rsidRDefault="00024296" w:rsidP="00024296">
            <w:pPr>
              <w:spacing w:after="0" w:line="240" w:lineRule="auto"/>
              <w:ind w:left="170"/>
              <w:rPr>
                <w:sz w:val="20"/>
                <w:szCs w:val="20"/>
                <w:shd w:val="clear" w:color="auto" w:fill="FFFFFF"/>
              </w:rPr>
            </w:pPr>
            <w:r w:rsidRPr="00024296">
              <w:rPr>
                <w:sz w:val="20"/>
                <w:szCs w:val="20"/>
                <w:shd w:val="clear" w:color="auto" w:fill="FFFFFF"/>
              </w:rPr>
              <w:t>TBD, likely:</w:t>
            </w:r>
          </w:p>
          <w:p w14:paraId="30D92087" w14:textId="77777777" w:rsidR="0086396C" w:rsidRPr="008F266B" w:rsidRDefault="0086396C" w:rsidP="0086396C">
            <w:pPr>
              <w:pStyle w:val="ListParagraph"/>
              <w:numPr>
                <w:ilvl w:val="0"/>
                <w:numId w:val="4"/>
              </w:numPr>
              <w:spacing w:after="0" w:line="240" w:lineRule="auto"/>
              <w:ind w:left="340" w:hanging="170"/>
              <w:contextualSpacing w:val="0"/>
              <w:rPr>
                <w:rFonts w:eastAsia="Times New Roman" w:cstheme="minorHAnsi"/>
                <w:color w:val="000000"/>
                <w:sz w:val="20"/>
                <w:szCs w:val="20"/>
                <w:lang w:eastAsia="en-AU"/>
              </w:rPr>
            </w:pPr>
            <w:r w:rsidRPr="008F266B">
              <w:rPr>
                <w:sz w:val="20"/>
                <w:szCs w:val="20"/>
                <w:shd w:val="clear" w:color="auto" w:fill="FFFFFF"/>
              </w:rPr>
              <w:t>Drought</w:t>
            </w:r>
            <w:r>
              <w:rPr>
                <w:sz w:val="20"/>
                <w:szCs w:val="20"/>
                <w:shd w:val="clear" w:color="auto" w:fill="FFFFFF"/>
              </w:rPr>
              <w:t xml:space="preserve"> – fire interactions</w:t>
            </w:r>
          </w:p>
          <w:p w14:paraId="628CE188" w14:textId="77777777" w:rsid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High fire frequency</w:t>
            </w:r>
          </w:p>
          <w:p w14:paraId="51B51C96" w14:textId="2B38C0C7" w:rsid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Post-fire predation/</w:t>
            </w:r>
            <w:r w:rsidR="0086396C">
              <w:rPr>
                <w:sz w:val="20"/>
                <w:szCs w:val="20"/>
                <w:shd w:val="clear" w:color="auto" w:fill="FFFFFF"/>
              </w:rPr>
              <w:t xml:space="preserve"> </w:t>
            </w:r>
            <w:r w:rsidRPr="00024296">
              <w:rPr>
                <w:sz w:val="20"/>
                <w:szCs w:val="20"/>
                <w:shd w:val="clear" w:color="auto" w:fill="FFFFFF"/>
              </w:rPr>
              <w:t>herbivory</w:t>
            </w:r>
          </w:p>
          <w:p w14:paraId="2C167BD6" w14:textId="77777777" w:rsid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Post fire disease</w:t>
            </w:r>
          </w:p>
          <w:p w14:paraId="7599964F" w14:textId="77777777" w:rsid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High fire severity</w:t>
            </w:r>
          </w:p>
          <w:p w14:paraId="20283F2D" w14:textId="77777777" w:rsid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Post-fire weeds</w:t>
            </w:r>
          </w:p>
          <w:p w14:paraId="430C592B" w14:textId="77777777" w:rsid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Interaction with hydrological change</w:t>
            </w:r>
          </w:p>
          <w:p w14:paraId="4BC5ACD3" w14:textId="3B486E28" w:rsidR="00024296" w:rsidRPr="00024296" w:rsidRDefault="00024296" w:rsidP="00024296">
            <w:pPr>
              <w:pStyle w:val="ListParagraph"/>
              <w:numPr>
                <w:ilvl w:val="0"/>
                <w:numId w:val="4"/>
              </w:numPr>
              <w:spacing w:after="0" w:line="240" w:lineRule="auto"/>
              <w:ind w:left="340" w:hanging="170"/>
              <w:contextualSpacing w:val="0"/>
              <w:rPr>
                <w:sz w:val="20"/>
                <w:szCs w:val="20"/>
                <w:shd w:val="clear" w:color="auto" w:fill="FFFFFF"/>
              </w:rPr>
            </w:pPr>
            <w:r w:rsidRPr="00024296">
              <w:rPr>
                <w:sz w:val="20"/>
                <w:szCs w:val="20"/>
                <w:shd w:val="clear" w:color="auto" w:fill="FFFFFF"/>
              </w:rPr>
              <w:t>Disturbance/erosion/</w:t>
            </w:r>
            <w:r w:rsidR="0086396C">
              <w:rPr>
                <w:sz w:val="20"/>
                <w:szCs w:val="20"/>
                <w:shd w:val="clear" w:color="auto" w:fill="FFFFFF"/>
              </w:rPr>
              <w:t xml:space="preserve"> </w:t>
            </w:r>
            <w:r w:rsidRPr="00024296">
              <w:rPr>
                <w:sz w:val="20"/>
                <w:szCs w:val="20"/>
                <w:shd w:val="clear" w:color="auto" w:fill="FFFFFF"/>
              </w:rPr>
              <w:t>pollution</w:t>
            </w:r>
          </w:p>
        </w:tc>
        <w:tc>
          <w:tcPr>
            <w:tcW w:w="2811" w:type="pct"/>
          </w:tcPr>
          <w:p w14:paraId="7983EB32" w14:textId="77777777" w:rsidR="00024296" w:rsidRDefault="00024296" w:rsidP="00024296">
            <w:pPr>
              <w:spacing w:after="0" w:line="240" w:lineRule="auto"/>
              <w:rPr>
                <w:rFonts w:eastAsia="Times New Roman" w:cstheme="minorHAnsi"/>
                <w:sz w:val="20"/>
                <w:szCs w:val="20"/>
                <w:lang w:eastAsia="en-AU"/>
              </w:rPr>
            </w:pPr>
          </w:p>
        </w:tc>
      </w:tr>
    </w:tbl>
    <w:p w14:paraId="1FD73F83" w14:textId="77777777" w:rsidR="00F37222" w:rsidRDefault="00F37222" w:rsidP="008F266B">
      <w:pPr>
        <w:pStyle w:val="Heading2"/>
      </w:pPr>
    </w:p>
    <w:p w14:paraId="31D21D98" w14:textId="37B567C0" w:rsidR="003D5182" w:rsidRPr="003D5182" w:rsidRDefault="003D5182" w:rsidP="003D5182">
      <w:pPr>
        <w:pStyle w:val="Caption"/>
        <w:keepNext/>
        <w:rPr>
          <w:b/>
          <w:bCs/>
          <w:color w:val="auto"/>
          <w:sz w:val="22"/>
          <w:szCs w:val="22"/>
        </w:rPr>
      </w:pPr>
      <w:r w:rsidRPr="003D5182">
        <w:rPr>
          <w:b/>
          <w:bCs/>
          <w:color w:val="auto"/>
          <w:sz w:val="22"/>
          <w:szCs w:val="22"/>
        </w:rPr>
        <w:t xml:space="preserve">Table </w:t>
      </w:r>
      <w:r w:rsidRPr="003D5182">
        <w:rPr>
          <w:b/>
          <w:bCs/>
          <w:color w:val="auto"/>
          <w:sz w:val="22"/>
          <w:szCs w:val="22"/>
        </w:rPr>
        <w:fldChar w:fldCharType="begin"/>
      </w:r>
      <w:r w:rsidRPr="003D5182">
        <w:rPr>
          <w:b/>
          <w:bCs/>
          <w:color w:val="auto"/>
          <w:sz w:val="22"/>
          <w:szCs w:val="22"/>
        </w:rPr>
        <w:instrText xml:space="preserve"> SEQ Table \* ARABIC </w:instrText>
      </w:r>
      <w:r w:rsidRPr="003D5182">
        <w:rPr>
          <w:b/>
          <w:bCs/>
          <w:color w:val="auto"/>
          <w:sz w:val="22"/>
          <w:szCs w:val="22"/>
        </w:rPr>
        <w:fldChar w:fldCharType="separate"/>
      </w:r>
      <w:r w:rsidRPr="003D5182">
        <w:rPr>
          <w:b/>
          <w:bCs/>
          <w:color w:val="auto"/>
          <w:sz w:val="22"/>
          <w:szCs w:val="22"/>
        </w:rPr>
        <w:t>2</w:t>
      </w:r>
      <w:r w:rsidRPr="003D5182">
        <w:rPr>
          <w:b/>
          <w:bCs/>
          <w:color w:val="auto"/>
          <w:sz w:val="22"/>
          <w:szCs w:val="22"/>
        </w:rPr>
        <w:fldChar w:fldCharType="end"/>
      </w:r>
      <w:r w:rsidRPr="003D5182">
        <w:rPr>
          <w:b/>
          <w:bCs/>
          <w:color w:val="auto"/>
          <w:sz w:val="22"/>
          <w:szCs w:val="22"/>
        </w:rPr>
        <w:t>: State</w:t>
      </w:r>
      <w:r w:rsidR="00B83B05">
        <w:rPr>
          <w:b/>
          <w:bCs/>
          <w:color w:val="auto"/>
          <w:sz w:val="22"/>
          <w:szCs w:val="22"/>
        </w:rPr>
        <w:t>/territory</w:t>
      </w:r>
      <w:r w:rsidRPr="003D5182">
        <w:rPr>
          <w:b/>
          <w:bCs/>
          <w:color w:val="auto"/>
          <w:sz w:val="22"/>
          <w:szCs w:val="22"/>
        </w:rPr>
        <w:t xml:space="preserve"> recognised ecological communities or equivalent entities</w:t>
      </w:r>
      <w:r w:rsidR="00024296">
        <w:rPr>
          <w:b/>
          <w:bCs/>
          <w:color w:val="auto"/>
          <w:sz w:val="22"/>
          <w:szCs w:val="22"/>
        </w:rPr>
        <w:t xml:space="preserve"> that were substantially fire-affected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gridCol w:w="2554"/>
        <w:gridCol w:w="1805"/>
      </w:tblGrid>
      <w:tr w:rsidR="003D5182" w:rsidRPr="003D5182" w14:paraId="1B4A090C" w14:textId="77777777" w:rsidTr="00024296">
        <w:trPr>
          <w:cantSplit/>
          <w:tblHeader/>
        </w:trPr>
        <w:tc>
          <w:tcPr>
            <w:tcW w:w="35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C60DA8" w14:textId="77777777" w:rsidR="003D5182" w:rsidRPr="003D5182" w:rsidRDefault="003D5182" w:rsidP="003D5182">
            <w:pPr>
              <w:spacing w:after="0" w:line="240" w:lineRule="auto"/>
              <w:rPr>
                <w:rFonts w:eastAsia="Times New Roman" w:cstheme="minorHAnsi"/>
                <w:b/>
                <w:bCs/>
                <w:color w:val="000000"/>
                <w:sz w:val="20"/>
                <w:szCs w:val="20"/>
                <w:lang w:eastAsia="en-AU"/>
              </w:rPr>
            </w:pPr>
            <w:r w:rsidRPr="003D5182">
              <w:rPr>
                <w:rFonts w:eastAsia="Times New Roman" w:cstheme="minorHAnsi"/>
                <w:b/>
                <w:bCs/>
                <w:color w:val="000000"/>
                <w:sz w:val="20"/>
                <w:szCs w:val="20"/>
                <w:lang w:eastAsia="en-AU"/>
              </w:rPr>
              <w:t>Ecological Community</w:t>
            </w:r>
          </w:p>
        </w:tc>
        <w:tc>
          <w:tcPr>
            <w:tcW w:w="87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06E423" w14:textId="37D7CFB0" w:rsidR="003D5182" w:rsidRPr="003D5182" w:rsidRDefault="00634541" w:rsidP="003D5182">
            <w:pPr>
              <w:spacing w:after="0" w:line="240" w:lineRule="auto"/>
              <w:rPr>
                <w:rFonts w:eastAsia="Times New Roman" w:cstheme="minorHAnsi"/>
                <w:b/>
                <w:bCs/>
                <w:color w:val="000000"/>
                <w:sz w:val="20"/>
                <w:szCs w:val="20"/>
                <w:lang w:eastAsia="en-AU"/>
              </w:rPr>
            </w:pPr>
            <w:r>
              <w:rPr>
                <w:rFonts w:eastAsia="Times New Roman" w:cstheme="minorHAnsi"/>
                <w:b/>
                <w:bCs/>
                <w:color w:val="000000"/>
                <w:sz w:val="20"/>
                <w:szCs w:val="20"/>
                <w:lang w:eastAsia="en-AU"/>
              </w:rPr>
              <w:t xml:space="preserve">Pre-fire </w:t>
            </w:r>
            <w:r w:rsidR="003D5182" w:rsidRPr="003D5182">
              <w:rPr>
                <w:rFonts w:eastAsia="Times New Roman" w:cstheme="minorHAnsi"/>
                <w:b/>
                <w:bCs/>
                <w:color w:val="000000"/>
                <w:sz w:val="20"/>
                <w:szCs w:val="20"/>
                <w:lang w:eastAsia="en-AU"/>
              </w:rPr>
              <w:t>Status</w:t>
            </w:r>
          </w:p>
        </w:tc>
        <w:tc>
          <w:tcPr>
            <w:tcW w:w="62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AE117" w14:textId="77777777" w:rsidR="003D5182" w:rsidRPr="003D5182" w:rsidRDefault="003D5182" w:rsidP="003D5182">
            <w:pPr>
              <w:spacing w:after="0" w:line="240" w:lineRule="auto"/>
              <w:rPr>
                <w:rFonts w:eastAsia="Times New Roman" w:cstheme="minorHAnsi"/>
                <w:b/>
                <w:bCs/>
                <w:color w:val="000000"/>
                <w:sz w:val="20"/>
                <w:szCs w:val="20"/>
                <w:lang w:eastAsia="en-AU"/>
              </w:rPr>
            </w:pPr>
            <w:r w:rsidRPr="003D5182">
              <w:rPr>
                <w:rFonts w:eastAsia="Times New Roman" w:cstheme="minorHAnsi"/>
                <w:b/>
                <w:bCs/>
                <w:color w:val="000000"/>
                <w:sz w:val="20"/>
                <w:szCs w:val="20"/>
                <w:lang w:eastAsia="en-AU"/>
              </w:rPr>
              <w:t>Range states</w:t>
            </w:r>
          </w:p>
        </w:tc>
      </w:tr>
      <w:tr w:rsidR="003D5182" w14:paraId="137756C9"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0249D519" w14:textId="14F3FD39" w:rsidR="003D5182" w:rsidRPr="00BB580D" w:rsidRDefault="003D5182" w:rsidP="003D5182">
            <w:pPr>
              <w:keepNext/>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 xml:space="preserve">Complex </w:t>
            </w:r>
            <w:proofErr w:type="spellStart"/>
            <w:r w:rsidRPr="00BB580D">
              <w:rPr>
                <w:rFonts w:eastAsia="Times New Roman" w:cstheme="minorHAnsi"/>
                <w:sz w:val="20"/>
                <w:szCs w:val="20"/>
                <w:lang w:eastAsia="en-AU"/>
              </w:rPr>
              <w:t>notophyll</w:t>
            </w:r>
            <w:proofErr w:type="spellEnd"/>
            <w:r w:rsidRPr="00BB580D">
              <w:rPr>
                <w:rFonts w:eastAsia="Times New Roman" w:cstheme="minorHAnsi"/>
                <w:sz w:val="20"/>
                <w:szCs w:val="20"/>
                <w:lang w:eastAsia="en-AU"/>
              </w:rPr>
              <w:t xml:space="preserve"> vine forest on Cainozoic igneous rocks</w:t>
            </w:r>
            <w:r w:rsidR="00B92AE4" w:rsidRPr="00BB580D">
              <w:rPr>
                <w:rFonts w:eastAsia="Times New Roman" w:cstheme="minorHAnsi"/>
                <w:sz w:val="20"/>
                <w:szCs w:val="20"/>
                <w:lang w:eastAsia="en-AU"/>
              </w:rPr>
              <w:t xml:space="preserve"> (RE 12.8.5)</w:t>
            </w:r>
          </w:p>
        </w:tc>
        <w:tc>
          <w:tcPr>
            <w:tcW w:w="877" w:type="pct"/>
            <w:tcBorders>
              <w:top w:val="single" w:sz="4" w:space="0" w:color="auto"/>
              <w:left w:val="single" w:sz="4" w:space="0" w:color="auto"/>
              <w:bottom w:val="single" w:sz="4" w:space="0" w:color="auto"/>
              <w:right w:val="single" w:sz="4" w:space="0" w:color="auto"/>
            </w:tcBorders>
          </w:tcPr>
          <w:p w14:paraId="6580DB59" w14:textId="77777777" w:rsidR="003D5182" w:rsidRDefault="003D5182" w:rsidP="003D5182">
            <w:pPr>
              <w:keepNext/>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QLD - Least Concern</w:t>
            </w:r>
          </w:p>
        </w:tc>
        <w:tc>
          <w:tcPr>
            <w:tcW w:w="620" w:type="pct"/>
            <w:tcBorders>
              <w:top w:val="single" w:sz="4" w:space="0" w:color="auto"/>
              <w:left w:val="single" w:sz="4" w:space="0" w:color="auto"/>
              <w:bottom w:val="single" w:sz="4" w:space="0" w:color="auto"/>
              <w:right w:val="single" w:sz="4" w:space="0" w:color="auto"/>
            </w:tcBorders>
          </w:tcPr>
          <w:p w14:paraId="1B6BD92D" w14:textId="77777777" w:rsidR="003D5182" w:rsidRDefault="003D5182" w:rsidP="003D5182">
            <w:pPr>
              <w:keepNext/>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QLD, likely NSW</w:t>
            </w:r>
          </w:p>
        </w:tc>
      </w:tr>
      <w:tr w:rsidR="003D5182" w14:paraId="11E7378F"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644922C7" w14:textId="255F290D"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 xml:space="preserve">Simple microphyll fern thicket with </w:t>
            </w:r>
            <w:proofErr w:type="spellStart"/>
            <w:r w:rsidRPr="00BB580D">
              <w:rPr>
                <w:rFonts w:eastAsia="Times New Roman" w:cstheme="minorHAnsi"/>
                <w:i/>
                <w:iCs/>
                <w:sz w:val="20"/>
                <w:szCs w:val="20"/>
                <w:lang w:eastAsia="en-AU"/>
              </w:rPr>
              <w:t>Acmena</w:t>
            </w:r>
            <w:proofErr w:type="spellEnd"/>
            <w:r w:rsidRPr="00BB580D">
              <w:rPr>
                <w:rFonts w:eastAsia="Times New Roman" w:cstheme="minorHAnsi"/>
                <w:i/>
                <w:iCs/>
                <w:sz w:val="20"/>
                <w:szCs w:val="20"/>
                <w:lang w:eastAsia="en-AU"/>
              </w:rPr>
              <w:t xml:space="preserve"> </w:t>
            </w:r>
            <w:proofErr w:type="spellStart"/>
            <w:r w:rsidRPr="00BB580D">
              <w:rPr>
                <w:rFonts w:eastAsia="Times New Roman" w:cstheme="minorHAnsi"/>
                <w:i/>
                <w:iCs/>
                <w:sz w:val="20"/>
                <w:szCs w:val="20"/>
                <w:lang w:eastAsia="en-AU"/>
              </w:rPr>
              <w:t>smithii</w:t>
            </w:r>
            <w:proofErr w:type="spellEnd"/>
            <w:r w:rsidRPr="00BB580D">
              <w:rPr>
                <w:rFonts w:eastAsia="Times New Roman" w:cstheme="minorHAnsi"/>
                <w:sz w:val="20"/>
                <w:szCs w:val="20"/>
                <w:lang w:eastAsia="en-AU"/>
              </w:rPr>
              <w:t xml:space="preserve"> on Cainozoic igneous rocks</w:t>
            </w:r>
            <w:r w:rsidR="00B92AE4" w:rsidRPr="00BB580D">
              <w:rPr>
                <w:rFonts w:eastAsia="Times New Roman" w:cstheme="minorHAnsi"/>
                <w:sz w:val="20"/>
                <w:szCs w:val="20"/>
                <w:lang w:eastAsia="en-AU"/>
              </w:rPr>
              <w:t xml:space="preserve"> (RE 12.8.7)</w:t>
            </w:r>
          </w:p>
        </w:tc>
        <w:tc>
          <w:tcPr>
            <w:tcW w:w="877" w:type="pct"/>
            <w:tcBorders>
              <w:top w:val="single" w:sz="4" w:space="0" w:color="auto"/>
              <w:left w:val="single" w:sz="4" w:space="0" w:color="auto"/>
              <w:bottom w:val="single" w:sz="4" w:space="0" w:color="auto"/>
              <w:right w:val="single" w:sz="4" w:space="0" w:color="auto"/>
            </w:tcBorders>
            <w:hideMark/>
          </w:tcPr>
          <w:p w14:paraId="64C80A40"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QLD - Of Concern</w:t>
            </w:r>
          </w:p>
        </w:tc>
        <w:tc>
          <w:tcPr>
            <w:tcW w:w="620" w:type="pct"/>
            <w:tcBorders>
              <w:top w:val="single" w:sz="4" w:space="0" w:color="auto"/>
              <w:left w:val="single" w:sz="4" w:space="0" w:color="auto"/>
              <w:bottom w:val="single" w:sz="4" w:space="0" w:color="auto"/>
              <w:right w:val="single" w:sz="4" w:space="0" w:color="auto"/>
            </w:tcBorders>
            <w:hideMark/>
          </w:tcPr>
          <w:p w14:paraId="693E30E9"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QLD, likely NSW</w:t>
            </w:r>
          </w:p>
        </w:tc>
      </w:tr>
      <w:tr w:rsidR="003D5182" w14:paraId="417C49CD"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6E4B256A" w14:textId="69C04E25"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 xml:space="preserve">Simple microphyll fern forest with </w:t>
            </w:r>
            <w:proofErr w:type="spellStart"/>
            <w:r w:rsidRPr="00BB580D">
              <w:rPr>
                <w:rFonts w:eastAsia="Times New Roman" w:cstheme="minorHAnsi"/>
                <w:i/>
                <w:iCs/>
                <w:sz w:val="20"/>
                <w:szCs w:val="20"/>
                <w:lang w:eastAsia="en-AU"/>
              </w:rPr>
              <w:t>Nothofagus</w:t>
            </w:r>
            <w:proofErr w:type="spellEnd"/>
            <w:r w:rsidRPr="00BB580D">
              <w:rPr>
                <w:rFonts w:eastAsia="Times New Roman" w:cstheme="minorHAnsi"/>
                <w:i/>
                <w:iCs/>
                <w:sz w:val="20"/>
                <w:szCs w:val="20"/>
                <w:lang w:eastAsia="en-AU"/>
              </w:rPr>
              <w:t xml:space="preserve"> </w:t>
            </w:r>
            <w:proofErr w:type="spellStart"/>
            <w:r w:rsidRPr="00BB580D">
              <w:rPr>
                <w:rFonts w:eastAsia="Times New Roman" w:cstheme="minorHAnsi"/>
                <w:i/>
                <w:iCs/>
                <w:sz w:val="20"/>
                <w:szCs w:val="20"/>
                <w:lang w:eastAsia="en-AU"/>
              </w:rPr>
              <w:t>moorei</w:t>
            </w:r>
            <w:proofErr w:type="spellEnd"/>
            <w:r w:rsidRPr="00BB580D">
              <w:rPr>
                <w:rFonts w:eastAsia="Times New Roman" w:cstheme="minorHAnsi"/>
                <w:sz w:val="20"/>
                <w:szCs w:val="20"/>
                <w:lang w:eastAsia="en-AU"/>
              </w:rPr>
              <w:t xml:space="preserve"> on Cainozoic igneous rocks at high altitudes</w:t>
            </w:r>
            <w:r w:rsidR="00B92AE4" w:rsidRPr="00BB580D">
              <w:rPr>
                <w:rFonts w:eastAsia="Times New Roman" w:cstheme="minorHAnsi"/>
                <w:sz w:val="20"/>
                <w:szCs w:val="20"/>
                <w:lang w:eastAsia="en-AU"/>
              </w:rPr>
              <w:t xml:space="preserve"> (RE 12.8.6) </w:t>
            </w:r>
            <w:r w:rsidR="006125D7" w:rsidRPr="00BB580D">
              <w:rPr>
                <w:rFonts w:eastAsia="Times New Roman" w:cstheme="minorHAnsi"/>
                <w:sz w:val="20"/>
                <w:szCs w:val="20"/>
                <w:lang w:eastAsia="en-AU"/>
              </w:rPr>
              <w:t>/</w:t>
            </w:r>
            <w:r w:rsidR="00B92AE4" w:rsidRPr="00BB580D">
              <w:rPr>
                <w:rFonts w:eastAsia="Times New Roman" w:cstheme="minorHAnsi"/>
                <w:sz w:val="20"/>
                <w:szCs w:val="20"/>
                <w:lang w:eastAsia="en-AU"/>
              </w:rPr>
              <w:t xml:space="preserve"> Northern Escarpment Antarctic Beech Forest (PCT 3052)</w:t>
            </w:r>
          </w:p>
        </w:tc>
        <w:tc>
          <w:tcPr>
            <w:tcW w:w="877" w:type="pct"/>
            <w:tcBorders>
              <w:top w:val="single" w:sz="4" w:space="0" w:color="auto"/>
              <w:left w:val="single" w:sz="4" w:space="0" w:color="auto"/>
              <w:bottom w:val="single" w:sz="4" w:space="0" w:color="auto"/>
              <w:right w:val="single" w:sz="4" w:space="0" w:color="auto"/>
            </w:tcBorders>
            <w:hideMark/>
          </w:tcPr>
          <w:p w14:paraId="53E743C0"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QLD - Of Concern</w:t>
            </w:r>
          </w:p>
        </w:tc>
        <w:tc>
          <w:tcPr>
            <w:tcW w:w="620" w:type="pct"/>
            <w:tcBorders>
              <w:top w:val="single" w:sz="4" w:space="0" w:color="auto"/>
              <w:left w:val="single" w:sz="4" w:space="0" w:color="auto"/>
              <w:bottom w:val="single" w:sz="4" w:space="0" w:color="auto"/>
              <w:right w:val="single" w:sz="4" w:space="0" w:color="auto"/>
            </w:tcBorders>
            <w:hideMark/>
          </w:tcPr>
          <w:p w14:paraId="6A1EFA7C"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QLD, likely NSW</w:t>
            </w:r>
          </w:p>
        </w:tc>
      </w:tr>
      <w:tr w:rsidR="003D5182" w14:paraId="7F84B9EE"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582826BF" w14:textId="5B59A3D8"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i/>
                <w:iCs/>
                <w:sz w:val="20"/>
                <w:szCs w:val="20"/>
                <w:lang w:eastAsia="en-AU"/>
              </w:rPr>
              <w:t xml:space="preserve">Eucalyptus </w:t>
            </w:r>
            <w:proofErr w:type="spellStart"/>
            <w:r w:rsidRPr="00BB580D">
              <w:rPr>
                <w:rFonts w:eastAsia="Times New Roman" w:cstheme="minorHAnsi"/>
                <w:i/>
                <w:iCs/>
                <w:sz w:val="20"/>
                <w:szCs w:val="20"/>
                <w:lang w:eastAsia="en-AU"/>
              </w:rPr>
              <w:t>oreades</w:t>
            </w:r>
            <w:proofErr w:type="spellEnd"/>
            <w:r w:rsidRPr="00BB580D">
              <w:rPr>
                <w:rFonts w:eastAsia="Times New Roman" w:cstheme="minorHAnsi"/>
                <w:i/>
                <w:iCs/>
                <w:sz w:val="20"/>
                <w:szCs w:val="20"/>
                <w:lang w:eastAsia="en-AU"/>
              </w:rPr>
              <w:t xml:space="preserve"> </w:t>
            </w:r>
            <w:r w:rsidRPr="00BB580D">
              <w:rPr>
                <w:rFonts w:eastAsia="Times New Roman" w:cstheme="minorHAnsi"/>
                <w:sz w:val="20"/>
                <w:szCs w:val="20"/>
                <w:lang w:eastAsia="en-AU"/>
              </w:rPr>
              <w:t>tall open forest on Cainozoic igneous rocks</w:t>
            </w:r>
            <w:r w:rsidR="00B92AE4" w:rsidRPr="00BB580D">
              <w:rPr>
                <w:rFonts w:eastAsia="Times New Roman" w:cstheme="minorHAnsi"/>
                <w:sz w:val="20"/>
                <w:szCs w:val="20"/>
                <w:lang w:eastAsia="en-AU"/>
              </w:rPr>
              <w:t xml:space="preserve"> (RE 12.8.2)</w:t>
            </w:r>
          </w:p>
        </w:tc>
        <w:tc>
          <w:tcPr>
            <w:tcW w:w="877" w:type="pct"/>
            <w:tcBorders>
              <w:top w:val="single" w:sz="4" w:space="0" w:color="auto"/>
              <w:left w:val="single" w:sz="4" w:space="0" w:color="auto"/>
              <w:bottom w:val="single" w:sz="4" w:space="0" w:color="auto"/>
              <w:right w:val="single" w:sz="4" w:space="0" w:color="auto"/>
            </w:tcBorders>
            <w:hideMark/>
          </w:tcPr>
          <w:p w14:paraId="17634F19"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QLD - Of Concern</w:t>
            </w:r>
          </w:p>
        </w:tc>
        <w:tc>
          <w:tcPr>
            <w:tcW w:w="620" w:type="pct"/>
            <w:tcBorders>
              <w:top w:val="single" w:sz="4" w:space="0" w:color="auto"/>
              <w:left w:val="single" w:sz="4" w:space="0" w:color="auto"/>
              <w:bottom w:val="single" w:sz="4" w:space="0" w:color="auto"/>
              <w:right w:val="single" w:sz="4" w:space="0" w:color="auto"/>
            </w:tcBorders>
            <w:hideMark/>
          </w:tcPr>
          <w:p w14:paraId="57DE2029"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QLD, likely NSW</w:t>
            </w:r>
          </w:p>
        </w:tc>
      </w:tr>
      <w:tr w:rsidR="003D5182" w14:paraId="414F5705"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21DDD507" w14:textId="2EB5941E"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i/>
                <w:iCs/>
                <w:sz w:val="20"/>
                <w:szCs w:val="20"/>
                <w:lang w:eastAsia="en-AU"/>
              </w:rPr>
              <w:t xml:space="preserve">Eucalyptus </w:t>
            </w:r>
            <w:proofErr w:type="spellStart"/>
            <w:r w:rsidRPr="00BB580D">
              <w:rPr>
                <w:rFonts w:eastAsia="Times New Roman" w:cstheme="minorHAnsi"/>
                <w:i/>
                <w:iCs/>
                <w:sz w:val="20"/>
                <w:szCs w:val="20"/>
                <w:lang w:eastAsia="en-AU"/>
              </w:rPr>
              <w:t>laevopinea</w:t>
            </w:r>
            <w:proofErr w:type="spellEnd"/>
            <w:r w:rsidRPr="00BB580D">
              <w:rPr>
                <w:rFonts w:eastAsia="Times New Roman" w:cstheme="minorHAnsi"/>
                <w:sz w:val="20"/>
                <w:szCs w:val="20"/>
                <w:lang w:eastAsia="en-AU"/>
              </w:rPr>
              <w:t xml:space="preserve"> tall open forest on Cainozoic igneous rocks</w:t>
            </w:r>
            <w:r w:rsidR="00B92AE4" w:rsidRPr="00BB580D">
              <w:rPr>
                <w:rFonts w:eastAsia="Times New Roman" w:cstheme="minorHAnsi"/>
                <w:sz w:val="20"/>
                <w:szCs w:val="20"/>
                <w:lang w:eastAsia="en-AU"/>
              </w:rPr>
              <w:t xml:space="preserve"> (RE 12.8.10)</w:t>
            </w:r>
          </w:p>
        </w:tc>
        <w:tc>
          <w:tcPr>
            <w:tcW w:w="877" w:type="pct"/>
            <w:tcBorders>
              <w:top w:val="single" w:sz="4" w:space="0" w:color="auto"/>
              <w:left w:val="single" w:sz="4" w:space="0" w:color="auto"/>
              <w:bottom w:val="single" w:sz="4" w:space="0" w:color="auto"/>
              <w:right w:val="single" w:sz="4" w:space="0" w:color="auto"/>
            </w:tcBorders>
            <w:hideMark/>
          </w:tcPr>
          <w:p w14:paraId="564220DE"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QLD - Of Concern</w:t>
            </w:r>
          </w:p>
        </w:tc>
        <w:tc>
          <w:tcPr>
            <w:tcW w:w="620" w:type="pct"/>
            <w:tcBorders>
              <w:top w:val="single" w:sz="4" w:space="0" w:color="auto"/>
              <w:left w:val="single" w:sz="4" w:space="0" w:color="auto"/>
              <w:bottom w:val="single" w:sz="4" w:space="0" w:color="auto"/>
              <w:right w:val="single" w:sz="4" w:space="0" w:color="auto"/>
            </w:tcBorders>
            <w:hideMark/>
          </w:tcPr>
          <w:p w14:paraId="41F3CEBF"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QLD, likely NSW</w:t>
            </w:r>
          </w:p>
        </w:tc>
      </w:tr>
      <w:tr w:rsidR="003D5182" w14:paraId="008BD16E"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1BCA284B" w14:textId="6076FDE5"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i/>
                <w:iCs/>
                <w:sz w:val="20"/>
                <w:szCs w:val="20"/>
                <w:lang w:eastAsia="en-AU"/>
              </w:rPr>
              <w:t>Eucalyptus dunnii</w:t>
            </w:r>
            <w:r w:rsidRPr="00BB580D">
              <w:rPr>
                <w:rFonts w:eastAsia="Times New Roman" w:cstheme="minorHAnsi"/>
                <w:sz w:val="20"/>
                <w:szCs w:val="20"/>
                <w:lang w:eastAsia="en-AU"/>
              </w:rPr>
              <w:t xml:space="preserve"> tall open forest on Cainozoic igneous rocks / White Gum Moist Forest in the NSW North Coast Bioregion</w:t>
            </w:r>
            <w:r w:rsidR="00B92AE4" w:rsidRPr="00BB580D">
              <w:rPr>
                <w:rFonts w:eastAsia="Times New Roman" w:cstheme="minorHAnsi"/>
                <w:sz w:val="20"/>
                <w:szCs w:val="20"/>
                <w:lang w:eastAsia="en-AU"/>
              </w:rPr>
              <w:t xml:space="preserve"> (RE 12.8.11)</w:t>
            </w:r>
            <w:r w:rsidR="006125D7" w:rsidRPr="00BB580D">
              <w:rPr>
                <w:rFonts w:eastAsia="Times New Roman" w:cstheme="minorHAnsi"/>
                <w:sz w:val="20"/>
                <w:szCs w:val="20"/>
                <w:lang w:eastAsia="en-AU"/>
              </w:rPr>
              <w:t xml:space="preserve"> / White Gum Moist Forest in the NSW North Coast Bioregion</w:t>
            </w:r>
          </w:p>
        </w:tc>
        <w:tc>
          <w:tcPr>
            <w:tcW w:w="877" w:type="pct"/>
            <w:tcBorders>
              <w:top w:val="single" w:sz="4" w:space="0" w:color="auto"/>
              <w:left w:val="single" w:sz="4" w:space="0" w:color="auto"/>
              <w:bottom w:val="single" w:sz="4" w:space="0" w:color="auto"/>
              <w:right w:val="single" w:sz="4" w:space="0" w:color="auto"/>
            </w:tcBorders>
            <w:hideMark/>
          </w:tcPr>
          <w:p w14:paraId="0D0457D3" w14:textId="77777777" w:rsidR="00634541"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 xml:space="preserve">QLD - Of Concern; </w:t>
            </w:r>
          </w:p>
          <w:p w14:paraId="3578980B" w14:textId="4BB8D65C"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Endangered</w:t>
            </w:r>
          </w:p>
        </w:tc>
        <w:tc>
          <w:tcPr>
            <w:tcW w:w="620" w:type="pct"/>
            <w:tcBorders>
              <w:top w:val="single" w:sz="4" w:space="0" w:color="auto"/>
              <w:left w:val="single" w:sz="4" w:space="0" w:color="auto"/>
              <w:bottom w:val="single" w:sz="4" w:space="0" w:color="auto"/>
              <w:right w:val="single" w:sz="4" w:space="0" w:color="auto"/>
            </w:tcBorders>
            <w:hideMark/>
          </w:tcPr>
          <w:p w14:paraId="6E6DACD1"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QLD, NSW</w:t>
            </w:r>
          </w:p>
        </w:tc>
      </w:tr>
      <w:tr w:rsidR="003D5182" w14:paraId="67B16F43"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0EEE140C"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Ben Halls Gap National Park Sphagnum Moss Cool Temperate Rainforest</w:t>
            </w:r>
          </w:p>
        </w:tc>
        <w:tc>
          <w:tcPr>
            <w:tcW w:w="877" w:type="pct"/>
            <w:tcBorders>
              <w:top w:val="single" w:sz="4" w:space="0" w:color="auto"/>
              <w:left w:val="single" w:sz="4" w:space="0" w:color="auto"/>
              <w:bottom w:val="single" w:sz="4" w:space="0" w:color="auto"/>
              <w:right w:val="single" w:sz="4" w:space="0" w:color="auto"/>
            </w:tcBorders>
            <w:hideMark/>
          </w:tcPr>
          <w:p w14:paraId="5E83D4D8"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Endangered</w:t>
            </w:r>
          </w:p>
        </w:tc>
        <w:tc>
          <w:tcPr>
            <w:tcW w:w="620" w:type="pct"/>
            <w:tcBorders>
              <w:top w:val="single" w:sz="4" w:space="0" w:color="auto"/>
              <w:left w:val="single" w:sz="4" w:space="0" w:color="auto"/>
              <w:bottom w:val="single" w:sz="4" w:space="0" w:color="auto"/>
              <w:right w:val="single" w:sz="4" w:space="0" w:color="auto"/>
            </w:tcBorders>
            <w:hideMark/>
          </w:tcPr>
          <w:p w14:paraId="02894890"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w:t>
            </w:r>
          </w:p>
        </w:tc>
      </w:tr>
      <w:tr w:rsidR="003D5182" w14:paraId="0A75F177"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1D064AF7"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Mount Kaputar high elevation and dry rainforest land snail and slug community in the Nandewar and Brigalow Belt South Bioregions</w:t>
            </w:r>
          </w:p>
        </w:tc>
        <w:tc>
          <w:tcPr>
            <w:tcW w:w="877" w:type="pct"/>
            <w:tcBorders>
              <w:top w:val="single" w:sz="4" w:space="0" w:color="auto"/>
              <w:left w:val="single" w:sz="4" w:space="0" w:color="auto"/>
              <w:bottom w:val="single" w:sz="4" w:space="0" w:color="auto"/>
              <w:right w:val="single" w:sz="4" w:space="0" w:color="auto"/>
            </w:tcBorders>
            <w:hideMark/>
          </w:tcPr>
          <w:p w14:paraId="1576A63F"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Endangered</w:t>
            </w:r>
          </w:p>
        </w:tc>
        <w:tc>
          <w:tcPr>
            <w:tcW w:w="620" w:type="pct"/>
            <w:tcBorders>
              <w:top w:val="single" w:sz="4" w:space="0" w:color="auto"/>
              <w:left w:val="single" w:sz="4" w:space="0" w:color="auto"/>
              <w:bottom w:val="single" w:sz="4" w:space="0" w:color="auto"/>
              <w:right w:val="single" w:sz="4" w:space="0" w:color="auto"/>
            </w:tcBorders>
            <w:hideMark/>
          </w:tcPr>
          <w:p w14:paraId="03D4816D"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w:t>
            </w:r>
          </w:p>
        </w:tc>
      </w:tr>
      <w:tr w:rsidR="003D5182" w14:paraId="1D86A94D"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69BD24EA"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Grey Box-Grey Gum Wet Sclerophyll Forest in the NSW North Coast Bioregion</w:t>
            </w:r>
          </w:p>
        </w:tc>
        <w:tc>
          <w:tcPr>
            <w:tcW w:w="877" w:type="pct"/>
            <w:tcBorders>
              <w:top w:val="single" w:sz="4" w:space="0" w:color="auto"/>
              <w:left w:val="single" w:sz="4" w:space="0" w:color="auto"/>
              <w:bottom w:val="single" w:sz="4" w:space="0" w:color="auto"/>
              <w:right w:val="single" w:sz="4" w:space="0" w:color="auto"/>
            </w:tcBorders>
            <w:hideMark/>
          </w:tcPr>
          <w:p w14:paraId="183E182D"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Endangered</w:t>
            </w:r>
          </w:p>
        </w:tc>
        <w:tc>
          <w:tcPr>
            <w:tcW w:w="620" w:type="pct"/>
            <w:tcBorders>
              <w:top w:val="single" w:sz="4" w:space="0" w:color="auto"/>
              <w:left w:val="single" w:sz="4" w:space="0" w:color="auto"/>
              <w:bottom w:val="single" w:sz="4" w:space="0" w:color="auto"/>
              <w:right w:val="single" w:sz="4" w:space="0" w:color="auto"/>
            </w:tcBorders>
            <w:hideMark/>
          </w:tcPr>
          <w:p w14:paraId="213230CB"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possibly QLD</w:t>
            </w:r>
          </w:p>
        </w:tc>
      </w:tr>
      <w:tr w:rsidR="003D5182" w14:paraId="589C50EA"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40DD5C37"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Brogo Wet Vine Forest in the South East Corner Bioregion</w:t>
            </w:r>
          </w:p>
        </w:tc>
        <w:tc>
          <w:tcPr>
            <w:tcW w:w="877" w:type="pct"/>
            <w:tcBorders>
              <w:top w:val="single" w:sz="4" w:space="0" w:color="auto"/>
              <w:left w:val="single" w:sz="4" w:space="0" w:color="auto"/>
              <w:bottom w:val="single" w:sz="4" w:space="0" w:color="auto"/>
              <w:right w:val="single" w:sz="4" w:space="0" w:color="auto"/>
            </w:tcBorders>
            <w:hideMark/>
          </w:tcPr>
          <w:p w14:paraId="07278A91"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Endangered</w:t>
            </w:r>
          </w:p>
        </w:tc>
        <w:tc>
          <w:tcPr>
            <w:tcW w:w="620" w:type="pct"/>
            <w:tcBorders>
              <w:top w:val="single" w:sz="4" w:space="0" w:color="auto"/>
              <w:left w:val="single" w:sz="4" w:space="0" w:color="auto"/>
              <w:bottom w:val="single" w:sz="4" w:space="0" w:color="auto"/>
              <w:right w:val="single" w:sz="4" w:space="0" w:color="auto"/>
            </w:tcBorders>
            <w:hideMark/>
          </w:tcPr>
          <w:p w14:paraId="12FB9553"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w:t>
            </w:r>
          </w:p>
        </w:tc>
      </w:tr>
      <w:tr w:rsidR="003D5182" w14:paraId="1331F587"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7FD910F2"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Araluen Scarp Grassy Forest in the South East Corner Bioregion</w:t>
            </w:r>
          </w:p>
        </w:tc>
        <w:tc>
          <w:tcPr>
            <w:tcW w:w="877" w:type="pct"/>
            <w:tcBorders>
              <w:top w:val="single" w:sz="4" w:space="0" w:color="auto"/>
              <w:left w:val="single" w:sz="4" w:space="0" w:color="auto"/>
              <w:bottom w:val="single" w:sz="4" w:space="0" w:color="auto"/>
              <w:right w:val="single" w:sz="4" w:space="0" w:color="auto"/>
            </w:tcBorders>
            <w:hideMark/>
          </w:tcPr>
          <w:p w14:paraId="456C225A"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Endangered</w:t>
            </w:r>
          </w:p>
        </w:tc>
        <w:tc>
          <w:tcPr>
            <w:tcW w:w="620" w:type="pct"/>
            <w:tcBorders>
              <w:top w:val="single" w:sz="4" w:space="0" w:color="auto"/>
              <w:left w:val="single" w:sz="4" w:space="0" w:color="auto"/>
              <w:bottom w:val="single" w:sz="4" w:space="0" w:color="auto"/>
              <w:right w:val="single" w:sz="4" w:space="0" w:color="auto"/>
            </w:tcBorders>
            <w:hideMark/>
          </w:tcPr>
          <w:p w14:paraId="606EBC12"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w:t>
            </w:r>
          </w:p>
        </w:tc>
      </w:tr>
      <w:tr w:rsidR="003D5182" w14:paraId="4121FF2C"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7EA50099"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Kurri Sand Swamp Woodland in the Sydney Basin Bioregion</w:t>
            </w:r>
          </w:p>
        </w:tc>
        <w:tc>
          <w:tcPr>
            <w:tcW w:w="877" w:type="pct"/>
            <w:tcBorders>
              <w:top w:val="single" w:sz="4" w:space="0" w:color="auto"/>
              <w:left w:val="single" w:sz="4" w:space="0" w:color="auto"/>
              <w:bottom w:val="single" w:sz="4" w:space="0" w:color="auto"/>
              <w:right w:val="single" w:sz="4" w:space="0" w:color="auto"/>
            </w:tcBorders>
            <w:hideMark/>
          </w:tcPr>
          <w:p w14:paraId="1B14F581"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Endangered</w:t>
            </w:r>
          </w:p>
        </w:tc>
        <w:tc>
          <w:tcPr>
            <w:tcW w:w="620" w:type="pct"/>
            <w:tcBorders>
              <w:top w:val="single" w:sz="4" w:space="0" w:color="auto"/>
              <w:left w:val="single" w:sz="4" w:space="0" w:color="auto"/>
              <w:bottom w:val="single" w:sz="4" w:space="0" w:color="auto"/>
              <w:right w:val="single" w:sz="4" w:space="0" w:color="auto"/>
            </w:tcBorders>
            <w:hideMark/>
          </w:tcPr>
          <w:p w14:paraId="0E1B1C86"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w:t>
            </w:r>
          </w:p>
        </w:tc>
      </w:tr>
      <w:tr w:rsidR="003D5182" w14:paraId="1DA46699"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50470131"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Upland Wetlands of the Drainage Divide of the New England Tableland Bioregion</w:t>
            </w:r>
          </w:p>
        </w:tc>
        <w:tc>
          <w:tcPr>
            <w:tcW w:w="877" w:type="pct"/>
            <w:tcBorders>
              <w:top w:val="single" w:sz="4" w:space="0" w:color="auto"/>
              <w:left w:val="single" w:sz="4" w:space="0" w:color="auto"/>
              <w:bottom w:val="single" w:sz="4" w:space="0" w:color="auto"/>
              <w:right w:val="single" w:sz="4" w:space="0" w:color="auto"/>
            </w:tcBorders>
            <w:hideMark/>
          </w:tcPr>
          <w:p w14:paraId="4F059635"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Endangered</w:t>
            </w:r>
          </w:p>
        </w:tc>
        <w:tc>
          <w:tcPr>
            <w:tcW w:w="620" w:type="pct"/>
            <w:tcBorders>
              <w:top w:val="single" w:sz="4" w:space="0" w:color="auto"/>
              <w:left w:val="single" w:sz="4" w:space="0" w:color="auto"/>
              <w:bottom w:val="single" w:sz="4" w:space="0" w:color="auto"/>
              <w:right w:val="single" w:sz="4" w:space="0" w:color="auto"/>
            </w:tcBorders>
            <w:hideMark/>
          </w:tcPr>
          <w:p w14:paraId="24604E31"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w:t>
            </w:r>
          </w:p>
        </w:tc>
      </w:tr>
      <w:tr w:rsidR="003D5182" w14:paraId="41A705DD"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4700C948"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Carex Sedgeland of the New England Tableland, Nandewar, Brigalow Belt South and NSW North Coast Bioregions</w:t>
            </w:r>
          </w:p>
        </w:tc>
        <w:tc>
          <w:tcPr>
            <w:tcW w:w="877" w:type="pct"/>
            <w:tcBorders>
              <w:top w:val="single" w:sz="4" w:space="0" w:color="auto"/>
              <w:left w:val="single" w:sz="4" w:space="0" w:color="auto"/>
              <w:bottom w:val="single" w:sz="4" w:space="0" w:color="auto"/>
              <w:right w:val="single" w:sz="4" w:space="0" w:color="auto"/>
            </w:tcBorders>
            <w:hideMark/>
          </w:tcPr>
          <w:p w14:paraId="0436B6DC"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Endangered</w:t>
            </w:r>
          </w:p>
        </w:tc>
        <w:tc>
          <w:tcPr>
            <w:tcW w:w="620" w:type="pct"/>
            <w:tcBorders>
              <w:top w:val="single" w:sz="4" w:space="0" w:color="auto"/>
              <w:left w:val="single" w:sz="4" w:space="0" w:color="auto"/>
              <w:bottom w:val="single" w:sz="4" w:space="0" w:color="auto"/>
              <w:right w:val="single" w:sz="4" w:space="0" w:color="auto"/>
            </w:tcBorders>
            <w:hideMark/>
          </w:tcPr>
          <w:p w14:paraId="4211D862"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w:t>
            </w:r>
          </w:p>
        </w:tc>
      </w:tr>
      <w:tr w:rsidR="003D5182" w14:paraId="70F295B8"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3F98B618" w14:textId="3309F5EC"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lastRenderedPageBreak/>
              <w:t xml:space="preserve">NSW Monaro Tableland Cool Temperate Grassy Woodland in the South Eastern Highlands Bioregion / ACT Black </w:t>
            </w:r>
            <w:proofErr w:type="spellStart"/>
            <w:r w:rsidRPr="00BB580D">
              <w:rPr>
                <w:rFonts w:eastAsia="Times New Roman" w:cstheme="minorHAnsi"/>
                <w:sz w:val="20"/>
                <w:szCs w:val="20"/>
                <w:lang w:eastAsia="en-AU"/>
              </w:rPr>
              <w:t>Sallee</w:t>
            </w:r>
            <w:proofErr w:type="spellEnd"/>
            <w:r w:rsidRPr="00BB580D">
              <w:rPr>
                <w:rFonts w:eastAsia="Times New Roman" w:cstheme="minorHAnsi"/>
                <w:sz w:val="20"/>
                <w:szCs w:val="20"/>
                <w:lang w:eastAsia="en-AU"/>
              </w:rPr>
              <w:t xml:space="preserve"> grass-herb woodland in drainage depression and moist valley flats</w:t>
            </w:r>
          </w:p>
        </w:tc>
        <w:tc>
          <w:tcPr>
            <w:tcW w:w="877" w:type="pct"/>
            <w:tcBorders>
              <w:top w:val="single" w:sz="4" w:space="0" w:color="auto"/>
              <w:left w:val="single" w:sz="4" w:space="0" w:color="auto"/>
              <w:bottom w:val="single" w:sz="4" w:space="0" w:color="auto"/>
              <w:right w:val="single" w:sz="4" w:space="0" w:color="auto"/>
            </w:tcBorders>
            <w:hideMark/>
          </w:tcPr>
          <w:p w14:paraId="63684341" w14:textId="77777777" w:rsidR="00634541"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Critically Endangered;</w:t>
            </w:r>
          </w:p>
          <w:p w14:paraId="608E8325" w14:textId="31E90070"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ACT - not listed</w:t>
            </w:r>
          </w:p>
        </w:tc>
        <w:tc>
          <w:tcPr>
            <w:tcW w:w="620" w:type="pct"/>
            <w:tcBorders>
              <w:top w:val="single" w:sz="4" w:space="0" w:color="auto"/>
              <w:left w:val="single" w:sz="4" w:space="0" w:color="auto"/>
              <w:bottom w:val="single" w:sz="4" w:space="0" w:color="auto"/>
              <w:right w:val="single" w:sz="4" w:space="0" w:color="auto"/>
            </w:tcBorders>
            <w:hideMark/>
          </w:tcPr>
          <w:p w14:paraId="564A06C5"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ACT</w:t>
            </w:r>
          </w:p>
        </w:tc>
      </w:tr>
      <w:tr w:rsidR="003D5182" w14:paraId="5C426474"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2566B21A" w14:textId="5C9FC445" w:rsidR="003D5182" w:rsidRPr="00BB580D" w:rsidRDefault="003D5182" w:rsidP="003D5182">
            <w:pPr>
              <w:spacing w:after="0" w:line="240" w:lineRule="auto"/>
              <w:rPr>
                <w:rFonts w:eastAsia="Times New Roman" w:cstheme="minorHAnsi"/>
                <w:sz w:val="20"/>
                <w:szCs w:val="20"/>
                <w:lang w:eastAsia="en-AU"/>
              </w:rPr>
            </w:pPr>
            <w:proofErr w:type="spellStart"/>
            <w:r w:rsidRPr="00BB580D">
              <w:rPr>
                <w:rFonts w:eastAsia="Times New Roman" w:cstheme="minorHAnsi"/>
                <w:sz w:val="20"/>
                <w:szCs w:val="20"/>
                <w:lang w:eastAsia="en-AU"/>
              </w:rPr>
              <w:t>Jounama</w:t>
            </w:r>
            <w:proofErr w:type="spellEnd"/>
            <w:r w:rsidRPr="00BB580D">
              <w:rPr>
                <w:rFonts w:eastAsia="Times New Roman" w:cstheme="minorHAnsi"/>
                <w:sz w:val="20"/>
                <w:szCs w:val="20"/>
                <w:lang w:eastAsia="en-AU"/>
              </w:rPr>
              <w:t xml:space="preserve"> Snow Gum Shrubby Woodland / </w:t>
            </w:r>
            <w:proofErr w:type="spellStart"/>
            <w:r w:rsidRPr="00BB580D">
              <w:rPr>
                <w:rFonts w:eastAsia="Times New Roman" w:cstheme="minorHAnsi"/>
                <w:sz w:val="20"/>
                <w:szCs w:val="20"/>
                <w:lang w:eastAsia="en-AU"/>
              </w:rPr>
              <w:t>Jounama</w:t>
            </w:r>
            <w:proofErr w:type="spellEnd"/>
            <w:r w:rsidRPr="00BB580D">
              <w:rPr>
                <w:rFonts w:eastAsia="Times New Roman" w:cstheme="minorHAnsi"/>
                <w:sz w:val="20"/>
                <w:szCs w:val="20"/>
                <w:lang w:eastAsia="en-AU"/>
              </w:rPr>
              <w:t xml:space="preserve"> Snow Gum </w:t>
            </w:r>
            <w:r w:rsidR="006125D7" w:rsidRPr="00BB580D">
              <w:rPr>
                <w:rFonts w:eastAsia="Times New Roman" w:cstheme="minorHAnsi"/>
                <w:sz w:val="20"/>
                <w:szCs w:val="20"/>
                <w:lang w:eastAsia="en-AU"/>
              </w:rPr>
              <w:t>shrub woodland (PCT 3380)</w:t>
            </w:r>
          </w:p>
        </w:tc>
        <w:tc>
          <w:tcPr>
            <w:tcW w:w="877" w:type="pct"/>
            <w:tcBorders>
              <w:top w:val="single" w:sz="4" w:space="0" w:color="auto"/>
              <w:left w:val="single" w:sz="4" w:space="0" w:color="auto"/>
              <w:bottom w:val="single" w:sz="4" w:space="0" w:color="auto"/>
              <w:right w:val="single" w:sz="4" w:space="0" w:color="auto"/>
            </w:tcBorders>
            <w:hideMark/>
          </w:tcPr>
          <w:p w14:paraId="0C52AFB7" w14:textId="77777777" w:rsidR="00634541"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 xml:space="preserve">NSW - not listed; </w:t>
            </w:r>
          </w:p>
          <w:p w14:paraId="6FCB4577" w14:textId="52C28AC6"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ACT - not listed</w:t>
            </w:r>
          </w:p>
        </w:tc>
        <w:tc>
          <w:tcPr>
            <w:tcW w:w="620" w:type="pct"/>
            <w:tcBorders>
              <w:top w:val="single" w:sz="4" w:space="0" w:color="auto"/>
              <w:left w:val="single" w:sz="4" w:space="0" w:color="auto"/>
              <w:bottom w:val="single" w:sz="4" w:space="0" w:color="auto"/>
              <w:right w:val="single" w:sz="4" w:space="0" w:color="auto"/>
            </w:tcBorders>
            <w:hideMark/>
          </w:tcPr>
          <w:p w14:paraId="6434E502"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ACT</w:t>
            </w:r>
          </w:p>
        </w:tc>
      </w:tr>
      <w:tr w:rsidR="003D5182" w14:paraId="6A6CB66A"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7A14911A"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Dry Rainforest of the South East Forests in the South East Corner Bioregion</w:t>
            </w:r>
          </w:p>
        </w:tc>
        <w:tc>
          <w:tcPr>
            <w:tcW w:w="877" w:type="pct"/>
            <w:tcBorders>
              <w:top w:val="single" w:sz="4" w:space="0" w:color="auto"/>
              <w:left w:val="single" w:sz="4" w:space="0" w:color="auto"/>
              <w:bottom w:val="single" w:sz="4" w:space="0" w:color="auto"/>
              <w:right w:val="single" w:sz="4" w:space="0" w:color="auto"/>
            </w:tcBorders>
            <w:hideMark/>
          </w:tcPr>
          <w:p w14:paraId="020F7FEB"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Endangered</w:t>
            </w:r>
          </w:p>
        </w:tc>
        <w:tc>
          <w:tcPr>
            <w:tcW w:w="620" w:type="pct"/>
            <w:tcBorders>
              <w:top w:val="single" w:sz="4" w:space="0" w:color="auto"/>
              <w:left w:val="single" w:sz="4" w:space="0" w:color="auto"/>
              <w:bottom w:val="single" w:sz="4" w:space="0" w:color="auto"/>
              <w:right w:val="single" w:sz="4" w:space="0" w:color="auto"/>
            </w:tcBorders>
            <w:hideMark/>
          </w:tcPr>
          <w:p w14:paraId="27AB1C62"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w:t>
            </w:r>
          </w:p>
        </w:tc>
      </w:tr>
      <w:tr w:rsidR="004C300F" w14:paraId="4843247B" w14:textId="77777777" w:rsidTr="003B6662">
        <w:trPr>
          <w:cantSplit/>
        </w:trPr>
        <w:tc>
          <w:tcPr>
            <w:tcW w:w="3503" w:type="pct"/>
            <w:tcBorders>
              <w:top w:val="single" w:sz="4" w:space="0" w:color="auto"/>
              <w:left w:val="single" w:sz="4" w:space="0" w:color="auto"/>
              <w:bottom w:val="single" w:sz="4" w:space="0" w:color="auto"/>
              <w:right w:val="single" w:sz="4" w:space="0" w:color="auto"/>
            </w:tcBorders>
            <w:hideMark/>
          </w:tcPr>
          <w:p w14:paraId="5051A1C8" w14:textId="505E6878" w:rsidR="004C300F" w:rsidRPr="00BB580D" w:rsidRDefault="004C300F" w:rsidP="003B666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Subtropical Coastal Floodplain Forest</w:t>
            </w:r>
          </w:p>
        </w:tc>
        <w:tc>
          <w:tcPr>
            <w:tcW w:w="877" w:type="pct"/>
            <w:tcBorders>
              <w:top w:val="single" w:sz="4" w:space="0" w:color="auto"/>
              <w:left w:val="single" w:sz="4" w:space="0" w:color="auto"/>
              <w:bottom w:val="single" w:sz="4" w:space="0" w:color="auto"/>
              <w:right w:val="single" w:sz="4" w:space="0" w:color="auto"/>
            </w:tcBorders>
            <w:hideMark/>
          </w:tcPr>
          <w:p w14:paraId="66B84F91" w14:textId="77777777" w:rsidR="004C300F" w:rsidRPr="004C300F" w:rsidRDefault="004C300F" w:rsidP="003B6662">
            <w:pPr>
              <w:spacing w:after="0" w:line="240" w:lineRule="auto"/>
              <w:rPr>
                <w:rFonts w:eastAsia="Times New Roman" w:cstheme="minorHAnsi"/>
                <w:sz w:val="20"/>
                <w:szCs w:val="20"/>
                <w:lang w:eastAsia="en-AU"/>
              </w:rPr>
            </w:pPr>
            <w:r w:rsidRPr="004C300F">
              <w:rPr>
                <w:rFonts w:eastAsia="Times New Roman" w:cstheme="minorHAnsi"/>
                <w:sz w:val="20"/>
                <w:szCs w:val="20"/>
                <w:lang w:eastAsia="en-AU"/>
              </w:rPr>
              <w:t>NSW - Endangered</w:t>
            </w:r>
          </w:p>
        </w:tc>
        <w:tc>
          <w:tcPr>
            <w:tcW w:w="620" w:type="pct"/>
            <w:tcBorders>
              <w:top w:val="single" w:sz="4" w:space="0" w:color="auto"/>
              <w:left w:val="single" w:sz="4" w:space="0" w:color="auto"/>
              <w:bottom w:val="single" w:sz="4" w:space="0" w:color="auto"/>
              <w:right w:val="single" w:sz="4" w:space="0" w:color="auto"/>
            </w:tcBorders>
            <w:hideMark/>
          </w:tcPr>
          <w:p w14:paraId="47D16CAE" w14:textId="77777777" w:rsidR="004C300F" w:rsidRDefault="004C300F" w:rsidP="003B6662">
            <w:pPr>
              <w:spacing w:after="0" w:line="240" w:lineRule="auto"/>
              <w:rPr>
                <w:rFonts w:eastAsia="Times New Roman" w:cstheme="minorHAnsi"/>
                <w:sz w:val="20"/>
                <w:szCs w:val="20"/>
                <w:lang w:eastAsia="en-AU"/>
              </w:rPr>
            </w:pPr>
            <w:r w:rsidRPr="004C300F">
              <w:rPr>
                <w:rFonts w:eastAsia="Times New Roman" w:cstheme="minorHAnsi"/>
                <w:sz w:val="20"/>
                <w:szCs w:val="20"/>
                <w:lang w:eastAsia="en-AU"/>
              </w:rPr>
              <w:t>NSW, QLD</w:t>
            </w:r>
          </w:p>
        </w:tc>
      </w:tr>
      <w:tr w:rsidR="003D5182" w14:paraId="09640500"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679EF70B" w14:textId="4EE9328B"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Vic Cool Temperate Rainforest Community / NSW Southeast Cool Temperate Rainforest</w:t>
            </w:r>
            <w:r w:rsidR="004C300F" w:rsidRPr="00BB580D">
              <w:rPr>
                <w:rFonts w:eastAsia="Times New Roman" w:cstheme="minorHAnsi"/>
                <w:sz w:val="20"/>
                <w:szCs w:val="20"/>
                <w:lang w:eastAsia="en-AU"/>
              </w:rPr>
              <w:t xml:space="preserve"> (PCT 3054)</w:t>
            </w:r>
          </w:p>
        </w:tc>
        <w:tc>
          <w:tcPr>
            <w:tcW w:w="877" w:type="pct"/>
            <w:tcBorders>
              <w:top w:val="single" w:sz="4" w:space="0" w:color="auto"/>
              <w:left w:val="single" w:sz="4" w:space="0" w:color="auto"/>
              <w:bottom w:val="single" w:sz="4" w:space="0" w:color="auto"/>
              <w:right w:val="single" w:sz="4" w:space="0" w:color="auto"/>
            </w:tcBorders>
            <w:hideMark/>
          </w:tcPr>
          <w:p w14:paraId="36B98FF6" w14:textId="77777777" w:rsidR="00634541"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 xml:space="preserve">Vic - Endangered; </w:t>
            </w:r>
          </w:p>
          <w:p w14:paraId="58784879" w14:textId="5B2BB48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hideMark/>
          </w:tcPr>
          <w:p w14:paraId="19811DE1"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VIC</w:t>
            </w:r>
          </w:p>
        </w:tc>
      </w:tr>
      <w:tr w:rsidR="003D5182" w14:paraId="194D4342"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5D2096AF" w14:textId="4AF0113A"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Vic Warm Temperate Rainforest (Coastal East Gippsland) / Warm Temperate Rainforest (Cool Temperate Overlap, Howe Range) / Warm Temperate Rainforest (East Gippsland Alluvial Terraces) / Warm Temperate Rainforest (Far East Gippsland) / NSW Southeast Warm Temperate Rainforest</w:t>
            </w:r>
            <w:r w:rsidR="004C300F" w:rsidRPr="00BB580D">
              <w:rPr>
                <w:rFonts w:eastAsia="Times New Roman" w:cstheme="minorHAnsi"/>
                <w:sz w:val="20"/>
                <w:szCs w:val="20"/>
                <w:lang w:eastAsia="en-AU"/>
              </w:rPr>
              <w:t xml:space="preserve"> (PCT 3046)</w:t>
            </w:r>
          </w:p>
        </w:tc>
        <w:tc>
          <w:tcPr>
            <w:tcW w:w="877" w:type="pct"/>
            <w:tcBorders>
              <w:top w:val="single" w:sz="4" w:space="0" w:color="auto"/>
              <w:left w:val="single" w:sz="4" w:space="0" w:color="auto"/>
              <w:bottom w:val="single" w:sz="4" w:space="0" w:color="auto"/>
              <w:right w:val="single" w:sz="4" w:space="0" w:color="auto"/>
            </w:tcBorders>
            <w:hideMark/>
          </w:tcPr>
          <w:p w14:paraId="46418E91"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Vic - Endangered (4 TECs); NSW - not listed</w:t>
            </w:r>
          </w:p>
        </w:tc>
        <w:tc>
          <w:tcPr>
            <w:tcW w:w="620" w:type="pct"/>
            <w:tcBorders>
              <w:top w:val="single" w:sz="4" w:space="0" w:color="auto"/>
              <w:left w:val="single" w:sz="4" w:space="0" w:color="auto"/>
              <w:bottom w:val="single" w:sz="4" w:space="0" w:color="auto"/>
              <w:right w:val="single" w:sz="4" w:space="0" w:color="auto"/>
            </w:tcBorders>
            <w:hideMark/>
          </w:tcPr>
          <w:p w14:paraId="5C072618"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NSW, VIC</w:t>
            </w:r>
          </w:p>
        </w:tc>
      </w:tr>
      <w:tr w:rsidR="003D5182" w14:paraId="0D5DD5BB"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4419FAF7"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Dry Rainforest (Limestone) Community</w:t>
            </w:r>
          </w:p>
        </w:tc>
        <w:tc>
          <w:tcPr>
            <w:tcW w:w="877" w:type="pct"/>
            <w:tcBorders>
              <w:top w:val="single" w:sz="4" w:space="0" w:color="auto"/>
              <w:left w:val="single" w:sz="4" w:space="0" w:color="auto"/>
              <w:bottom w:val="single" w:sz="4" w:space="0" w:color="auto"/>
              <w:right w:val="single" w:sz="4" w:space="0" w:color="auto"/>
            </w:tcBorders>
            <w:hideMark/>
          </w:tcPr>
          <w:p w14:paraId="33BDB437"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Vic - Endangered</w:t>
            </w:r>
          </w:p>
        </w:tc>
        <w:tc>
          <w:tcPr>
            <w:tcW w:w="620" w:type="pct"/>
            <w:tcBorders>
              <w:top w:val="single" w:sz="4" w:space="0" w:color="auto"/>
              <w:left w:val="single" w:sz="4" w:space="0" w:color="auto"/>
              <w:bottom w:val="single" w:sz="4" w:space="0" w:color="auto"/>
              <w:right w:val="single" w:sz="4" w:space="0" w:color="auto"/>
            </w:tcBorders>
            <w:hideMark/>
          </w:tcPr>
          <w:p w14:paraId="0FB77DB2"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VIC</w:t>
            </w:r>
          </w:p>
        </w:tc>
      </w:tr>
      <w:tr w:rsidR="003D5182" w14:paraId="35E05715"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63DD2605"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Cool Temperate Mixed Forest</w:t>
            </w:r>
          </w:p>
        </w:tc>
        <w:tc>
          <w:tcPr>
            <w:tcW w:w="877" w:type="pct"/>
            <w:tcBorders>
              <w:top w:val="single" w:sz="4" w:space="0" w:color="auto"/>
              <w:left w:val="single" w:sz="4" w:space="0" w:color="auto"/>
              <w:bottom w:val="single" w:sz="4" w:space="0" w:color="auto"/>
              <w:right w:val="single" w:sz="4" w:space="0" w:color="auto"/>
            </w:tcBorders>
            <w:hideMark/>
          </w:tcPr>
          <w:p w14:paraId="36088BC6"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Vic - Endangered</w:t>
            </w:r>
          </w:p>
        </w:tc>
        <w:tc>
          <w:tcPr>
            <w:tcW w:w="620" w:type="pct"/>
            <w:tcBorders>
              <w:top w:val="single" w:sz="4" w:space="0" w:color="auto"/>
              <w:left w:val="single" w:sz="4" w:space="0" w:color="auto"/>
              <w:bottom w:val="single" w:sz="4" w:space="0" w:color="auto"/>
              <w:right w:val="single" w:sz="4" w:space="0" w:color="auto"/>
            </w:tcBorders>
            <w:hideMark/>
          </w:tcPr>
          <w:p w14:paraId="00E6EB5F"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VIC, possibly NSW</w:t>
            </w:r>
          </w:p>
        </w:tc>
      </w:tr>
      <w:tr w:rsidR="003D5182" w14:paraId="26527B1D"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7A79839D"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Limestone Grassy Woodland</w:t>
            </w:r>
          </w:p>
        </w:tc>
        <w:tc>
          <w:tcPr>
            <w:tcW w:w="877" w:type="pct"/>
            <w:tcBorders>
              <w:top w:val="single" w:sz="4" w:space="0" w:color="auto"/>
              <w:left w:val="single" w:sz="4" w:space="0" w:color="auto"/>
              <w:bottom w:val="single" w:sz="4" w:space="0" w:color="auto"/>
              <w:right w:val="single" w:sz="4" w:space="0" w:color="auto"/>
            </w:tcBorders>
            <w:hideMark/>
          </w:tcPr>
          <w:p w14:paraId="22BB122D"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Vic - Endangered</w:t>
            </w:r>
          </w:p>
        </w:tc>
        <w:tc>
          <w:tcPr>
            <w:tcW w:w="620" w:type="pct"/>
            <w:tcBorders>
              <w:top w:val="single" w:sz="4" w:space="0" w:color="auto"/>
              <w:left w:val="single" w:sz="4" w:space="0" w:color="auto"/>
              <w:bottom w:val="single" w:sz="4" w:space="0" w:color="auto"/>
              <w:right w:val="single" w:sz="4" w:space="0" w:color="auto"/>
            </w:tcBorders>
            <w:hideMark/>
          </w:tcPr>
          <w:p w14:paraId="7DB510CD"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VIC</w:t>
            </w:r>
          </w:p>
        </w:tc>
      </w:tr>
      <w:tr w:rsidR="003D5182" w14:paraId="19B3D98E" w14:textId="77777777" w:rsidTr="007F1259">
        <w:trPr>
          <w:cantSplit/>
        </w:trPr>
        <w:tc>
          <w:tcPr>
            <w:tcW w:w="3503" w:type="pct"/>
            <w:tcBorders>
              <w:top w:val="single" w:sz="4" w:space="0" w:color="auto"/>
              <w:left w:val="single" w:sz="4" w:space="0" w:color="auto"/>
              <w:bottom w:val="single" w:sz="4" w:space="0" w:color="auto"/>
              <w:right w:val="single" w:sz="4" w:space="0" w:color="auto"/>
            </w:tcBorders>
            <w:hideMark/>
          </w:tcPr>
          <w:p w14:paraId="4549DE14" w14:textId="775F6842"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 xml:space="preserve">Kangaroo Island coastal heath communities: </w:t>
            </w:r>
            <w:r w:rsidRPr="00BB580D">
              <w:rPr>
                <w:rFonts w:eastAsia="Times New Roman" w:cstheme="minorHAnsi"/>
                <w:i/>
                <w:iCs/>
                <w:sz w:val="20"/>
                <w:szCs w:val="20"/>
                <w:lang w:eastAsia="en-AU"/>
              </w:rPr>
              <w:t>Banksia marginata</w:t>
            </w:r>
            <w:r w:rsidRPr="00BB580D">
              <w:rPr>
                <w:rFonts w:eastAsia="Times New Roman" w:cstheme="minorHAnsi"/>
                <w:sz w:val="20"/>
                <w:szCs w:val="20"/>
                <w:lang w:eastAsia="en-AU"/>
              </w:rPr>
              <w:t xml:space="preserve"> (mixed) shrubland</w:t>
            </w:r>
            <w:r w:rsidR="004C300F" w:rsidRPr="00BB580D">
              <w:rPr>
                <w:rFonts w:eastAsia="Times New Roman" w:cstheme="minorHAnsi"/>
                <w:sz w:val="20"/>
                <w:szCs w:val="20"/>
                <w:lang w:eastAsia="en-AU"/>
              </w:rPr>
              <w:t xml:space="preserve"> / </w:t>
            </w:r>
            <w:r w:rsidRPr="00BB580D">
              <w:rPr>
                <w:rFonts w:eastAsia="Times New Roman" w:cstheme="minorHAnsi"/>
                <w:i/>
                <w:iCs/>
                <w:sz w:val="20"/>
                <w:szCs w:val="20"/>
                <w:lang w:eastAsia="en-AU"/>
              </w:rPr>
              <w:t xml:space="preserve">Melaleuca lanceolata </w:t>
            </w:r>
            <w:r w:rsidRPr="00BB580D">
              <w:rPr>
                <w:rFonts w:eastAsia="Times New Roman" w:cstheme="minorHAnsi"/>
                <w:sz w:val="20"/>
                <w:szCs w:val="20"/>
                <w:lang w:eastAsia="en-AU"/>
              </w:rPr>
              <w:t>(mixed) shrubland</w:t>
            </w:r>
          </w:p>
        </w:tc>
        <w:tc>
          <w:tcPr>
            <w:tcW w:w="877" w:type="pct"/>
            <w:tcBorders>
              <w:top w:val="single" w:sz="4" w:space="0" w:color="auto"/>
              <w:left w:val="single" w:sz="4" w:space="0" w:color="auto"/>
              <w:bottom w:val="single" w:sz="4" w:space="0" w:color="auto"/>
              <w:right w:val="single" w:sz="4" w:space="0" w:color="auto"/>
            </w:tcBorders>
          </w:tcPr>
          <w:p w14:paraId="3DD9773D" w14:textId="729194A9" w:rsidR="003D5182" w:rsidRDefault="00634541"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 xml:space="preserve">SA - </w:t>
            </w:r>
            <w:r w:rsidR="007F1259">
              <w:rPr>
                <w:rFonts w:eastAsia="Times New Roman" w:cstheme="minorHAnsi"/>
                <w:color w:val="000000"/>
                <w:sz w:val="20"/>
                <w:szCs w:val="20"/>
                <w:lang w:eastAsia="en-AU"/>
              </w:rPr>
              <w:t>Not listed</w:t>
            </w:r>
          </w:p>
        </w:tc>
        <w:tc>
          <w:tcPr>
            <w:tcW w:w="620" w:type="pct"/>
            <w:tcBorders>
              <w:top w:val="single" w:sz="4" w:space="0" w:color="auto"/>
              <w:left w:val="single" w:sz="4" w:space="0" w:color="auto"/>
              <w:bottom w:val="single" w:sz="4" w:space="0" w:color="auto"/>
              <w:right w:val="single" w:sz="4" w:space="0" w:color="auto"/>
            </w:tcBorders>
            <w:hideMark/>
          </w:tcPr>
          <w:p w14:paraId="5AC02E0F"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SA</w:t>
            </w:r>
          </w:p>
        </w:tc>
      </w:tr>
      <w:tr w:rsidR="003D5182" w14:paraId="7EDA91A9" w14:textId="77777777" w:rsidTr="007F1259">
        <w:trPr>
          <w:cantSplit/>
        </w:trPr>
        <w:tc>
          <w:tcPr>
            <w:tcW w:w="3503" w:type="pct"/>
            <w:tcBorders>
              <w:top w:val="single" w:sz="4" w:space="0" w:color="auto"/>
              <w:left w:val="single" w:sz="4" w:space="0" w:color="auto"/>
              <w:bottom w:val="single" w:sz="4" w:space="0" w:color="auto"/>
              <w:right w:val="single" w:sz="4" w:space="0" w:color="auto"/>
            </w:tcBorders>
            <w:hideMark/>
          </w:tcPr>
          <w:p w14:paraId="23ADE9D7" w14:textId="68985F73"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 xml:space="preserve">Kangaroo Island Mallee ash communities: </w:t>
            </w:r>
            <w:r w:rsidRPr="00BB580D">
              <w:rPr>
                <w:rFonts w:eastAsia="Times New Roman" w:cstheme="minorHAnsi"/>
                <w:i/>
                <w:iCs/>
                <w:sz w:val="20"/>
                <w:szCs w:val="20"/>
                <w:lang w:eastAsia="en-AU"/>
              </w:rPr>
              <w:t xml:space="preserve">Eucalyptus diversifolia </w:t>
            </w:r>
            <w:r w:rsidRPr="00BB580D">
              <w:rPr>
                <w:rFonts w:eastAsia="Times New Roman" w:cstheme="minorHAnsi"/>
                <w:sz w:val="20"/>
                <w:szCs w:val="20"/>
                <w:lang w:eastAsia="en-AU"/>
              </w:rPr>
              <w:t xml:space="preserve">subsp. </w:t>
            </w:r>
            <w:r w:rsidRPr="00BB580D">
              <w:rPr>
                <w:rFonts w:eastAsia="Times New Roman" w:cstheme="minorHAnsi"/>
                <w:i/>
                <w:iCs/>
                <w:sz w:val="20"/>
                <w:szCs w:val="20"/>
                <w:lang w:eastAsia="en-AU"/>
              </w:rPr>
              <w:t>diversifolia</w:t>
            </w:r>
            <w:r w:rsidRPr="00BB580D">
              <w:rPr>
                <w:rFonts w:eastAsia="Times New Roman" w:cstheme="minorHAnsi"/>
                <w:sz w:val="20"/>
                <w:szCs w:val="20"/>
                <w:lang w:eastAsia="en-AU"/>
              </w:rPr>
              <w:t xml:space="preserve"> mallee woodland</w:t>
            </w:r>
            <w:r w:rsidR="004C300F" w:rsidRPr="00BB580D">
              <w:rPr>
                <w:rFonts w:eastAsia="Times New Roman" w:cstheme="minorHAnsi"/>
                <w:sz w:val="20"/>
                <w:szCs w:val="20"/>
                <w:lang w:eastAsia="en-AU"/>
              </w:rPr>
              <w:t xml:space="preserve"> / </w:t>
            </w:r>
            <w:r w:rsidRPr="00BB580D">
              <w:rPr>
                <w:rFonts w:eastAsia="Times New Roman" w:cstheme="minorHAnsi"/>
                <w:i/>
                <w:iCs/>
                <w:sz w:val="20"/>
                <w:szCs w:val="20"/>
                <w:lang w:eastAsia="en-AU"/>
              </w:rPr>
              <w:t>Eucalyptus diversifolia</w:t>
            </w:r>
            <w:r w:rsidRPr="00BB580D">
              <w:rPr>
                <w:rFonts w:eastAsia="Times New Roman" w:cstheme="minorHAnsi"/>
                <w:sz w:val="20"/>
                <w:szCs w:val="20"/>
                <w:lang w:eastAsia="en-AU"/>
              </w:rPr>
              <w:t xml:space="preserve"> subsp. </w:t>
            </w:r>
            <w:r w:rsidRPr="00BB580D">
              <w:rPr>
                <w:rFonts w:eastAsia="Times New Roman" w:cstheme="minorHAnsi"/>
                <w:i/>
                <w:iCs/>
                <w:sz w:val="20"/>
                <w:szCs w:val="20"/>
                <w:lang w:eastAsia="en-AU"/>
              </w:rPr>
              <w:t>diversifolia –Melaleuca lanceolata</w:t>
            </w:r>
            <w:r w:rsidRPr="00BB580D">
              <w:rPr>
                <w:rFonts w:eastAsia="Times New Roman" w:cstheme="minorHAnsi"/>
                <w:sz w:val="20"/>
                <w:szCs w:val="20"/>
                <w:lang w:eastAsia="en-AU"/>
              </w:rPr>
              <w:t xml:space="preserve"> mallee woodland</w:t>
            </w:r>
            <w:r w:rsidR="004C300F" w:rsidRPr="00BB580D">
              <w:rPr>
                <w:rFonts w:eastAsia="Times New Roman" w:cstheme="minorHAnsi"/>
                <w:sz w:val="20"/>
                <w:szCs w:val="20"/>
                <w:lang w:eastAsia="en-AU"/>
              </w:rPr>
              <w:t xml:space="preserve"> / </w:t>
            </w:r>
            <w:r w:rsidRPr="00BB580D">
              <w:rPr>
                <w:rFonts w:eastAsia="Times New Roman" w:cstheme="minorHAnsi"/>
                <w:i/>
                <w:iCs/>
                <w:sz w:val="20"/>
                <w:szCs w:val="20"/>
                <w:lang w:eastAsia="en-AU"/>
              </w:rPr>
              <w:t>Eucalyptus diversifolia</w:t>
            </w:r>
            <w:r w:rsidRPr="00BB580D">
              <w:rPr>
                <w:rFonts w:eastAsia="Times New Roman" w:cstheme="minorHAnsi"/>
                <w:sz w:val="20"/>
                <w:szCs w:val="20"/>
                <w:lang w:eastAsia="en-AU"/>
              </w:rPr>
              <w:t xml:space="preserve"> subsp. </w:t>
            </w:r>
            <w:r w:rsidRPr="00BB580D">
              <w:rPr>
                <w:rFonts w:eastAsia="Times New Roman" w:cstheme="minorHAnsi"/>
                <w:i/>
                <w:iCs/>
                <w:sz w:val="20"/>
                <w:szCs w:val="20"/>
                <w:lang w:eastAsia="en-AU"/>
              </w:rPr>
              <w:t>diversifolia</w:t>
            </w:r>
            <w:r w:rsidRPr="00BB580D">
              <w:rPr>
                <w:rFonts w:eastAsia="Times New Roman" w:cstheme="minorHAnsi"/>
                <w:sz w:val="20"/>
                <w:szCs w:val="20"/>
                <w:lang w:eastAsia="en-AU"/>
              </w:rPr>
              <w:t xml:space="preserve"> mallee forest</w:t>
            </w:r>
            <w:r w:rsidR="004C300F" w:rsidRPr="00BB580D">
              <w:rPr>
                <w:rFonts w:eastAsia="Times New Roman" w:cstheme="minorHAnsi"/>
                <w:sz w:val="20"/>
                <w:szCs w:val="20"/>
                <w:lang w:eastAsia="en-AU"/>
              </w:rPr>
              <w:t xml:space="preserve"> / </w:t>
            </w:r>
            <w:r w:rsidRPr="00BB580D">
              <w:rPr>
                <w:rFonts w:eastAsia="Times New Roman" w:cstheme="minorHAnsi"/>
                <w:i/>
                <w:iCs/>
                <w:sz w:val="20"/>
                <w:szCs w:val="20"/>
                <w:lang w:eastAsia="en-AU"/>
              </w:rPr>
              <w:t>Eucalyptus rugosa</w:t>
            </w:r>
            <w:r w:rsidRPr="00BB580D">
              <w:rPr>
                <w:rFonts w:eastAsia="Times New Roman" w:cstheme="minorHAnsi"/>
                <w:sz w:val="20"/>
                <w:szCs w:val="20"/>
                <w:lang w:eastAsia="en-AU"/>
              </w:rPr>
              <w:t xml:space="preserve"> mallee woodland</w:t>
            </w:r>
            <w:r w:rsidR="004C300F" w:rsidRPr="00BB580D">
              <w:rPr>
                <w:rFonts w:eastAsia="Times New Roman" w:cstheme="minorHAnsi"/>
                <w:sz w:val="20"/>
                <w:szCs w:val="20"/>
                <w:lang w:eastAsia="en-AU"/>
              </w:rPr>
              <w:t xml:space="preserve"> / </w:t>
            </w:r>
            <w:r w:rsidRPr="00BB580D">
              <w:rPr>
                <w:rFonts w:eastAsia="Times New Roman" w:cstheme="minorHAnsi"/>
                <w:i/>
                <w:iCs/>
                <w:sz w:val="20"/>
                <w:szCs w:val="20"/>
                <w:lang w:eastAsia="en-AU"/>
              </w:rPr>
              <w:t>Eucalyptus remota</w:t>
            </w:r>
            <w:r w:rsidRPr="00BB580D">
              <w:rPr>
                <w:rFonts w:eastAsia="Times New Roman" w:cstheme="minorHAnsi"/>
                <w:sz w:val="20"/>
                <w:szCs w:val="20"/>
                <w:lang w:eastAsia="en-AU"/>
              </w:rPr>
              <w:t xml:space="preserve"> mallee woodland</w:t>
            </w:r>
            <w:r w:rsidR="004C300F" w:rsidRPr="00BB580D">
              <w:rPr>
                <w:rFonts w:eastAsia="Times New Roman" w:cstheme="minorHAnsi"/>
                <w:sz w:val="20"/>
                <w:szCs w:val="20"/>
                <w:lang w:eastAsia="en-AU"/>
              </w:rPr>
              <w:t xml:space="preserve"> / </w:t>
            </w:r>
            <w:r w:rsidRPr="00BB580D">
              <w:rPr>
                <w:rFonts w:eastAsia="Times New Roman" w:cstheme="minorHAnsi"/>
                <w:i/>
                <w:iCs/>
                <w:sz w:val="20"/>
                <w:szCs w:val="20"/>
                <w:lang w:eastAsia="en-AU"/>
              </w:rPr>
              <w:t xml:space="preserve">Eucalyptus </w:t>
            </w:r>
            <w:proofErr w:type="spellStart"/>
            <w:r w:rsidRPr="00BB580D">
              <w:rPr>
                <w:rFonts w:eastAsia="Times New Roman" w:cstheme="minorHAnsi"/>
                <w:i/>
                <w:iCs/>
                <w:sz w:val="20"/>
                <w:szCs w:val="20"/>
                <w:lang w:eastAsia="en-AU"/>
              </w:rPr>
              <w:t>cosmophylla</w:t>
            </w:r>
            <w:proofErr w:type="spellEnd"/>
            <w:r w:rsidRPr="00BB580D">
              <w:rPr>
                <w:rFonts w:eastAsia="Times New Roman" w:cstheme="minorHAnsi"/>
                <w:i/>
                <w:iCs/>
                <w:sz w:val="20"/>
                <w:szCs w:val="20"/>
                <w:lang w:eastAsia="en-AU"/>
              </w:rPr>
              <w:t xml:space="preserve"> </w:t>
            </w:r>
            <w:proofErr w:type="spellStart"/>
            <w:r w:rsidRPr="00BB580D">
              <w:rPr>
                <w:rFonts w:eastAsia="Times New Roman" w:cstheme="minorHAnsi"/>
                <w:sz w:val="20"/>
                <w:szCs w:val="20"/>
                <w:lang w:eastAsia="en-AU"/>
              </w:rPr>
              <w:t>mallee</w:t>
            </w:r>
            <w:proofErr w:type="spellEnd"/>
            <w:r w:rsidRPr="00BB580D">
              <w:rPr>
                <w:rFonts w:eastAsia="Times New Roman" w:cstheme="minorHAnsi"/>
                <w:sz w:val="20"/>
                <w:szCs w:val="20"/>
                <w:lang w:eastAsia="en-AU"/>
              </w:rPr>
              <w:t xml:space="preserve"> woodland</w:t>
            </w:r>
          </w:p>
        </w:tc>
        <w:tc>
          <w:tcPr>
            <w:tcW w:w="877" w:type="pct"/>
            <w:tcBorders>
              <w:top w:val="single" w:sz="4" w:space="0" w:color="auto"/>
              <w:left w:val="single" w:sz="4" w:space="0" w:color="auto"/>
              <w:bottom w:val="single" w:sz="4" w:space="0" w:color="auto"/>
              <w:right w:val="single" w:sz="4" w:space="0" w:color="auto"/>
            </w:tcBorders>
          </w:tcPr>
          <w:p w14:paraId="61F09AFF" w14:textId="46BD5BE1" w:rsidR="003D5182" w:rsidRDefault="00634541"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 xml:space="preserve">SA - </w:t>
            </w:r>
            <w:r w:rsidR="007F1259">
              <w:rPr>
                <w:rFonts w:eastAsia="Times New Roman" w:cstheme="minorHAnsi"/>
                <w:color w:val="000000"/>
                <w:sz w:val="20"/>
                <w:szCs w:val="20"/>
                <w:lang w:eastAsia="en-AU"/>
              </w:rPr>
              <w:t>Not listed</w:t>
            </w:r>
          </w:p>
        </w:tc>
        <w:tc>
          <w:tcPr>
            <w:tcW w:w="620" w:type="pct"/>
            <w:tcBorders>
              <w:top w:val="single" w:sz="4" w:space="0" w:color="auto"/>
              <w:left w:val="single" w:sz="4" w:space="0" w:color="auto"/>
              <w:bottom w:val="single" w:sz="4" w:space="0" w:color="auto"/>
              <w:right w:val="single" w:sz="4" w:space="0" w:color="auto"/>
            </w:tcBorders>
            <w:hideMark/>
          </w:tcPr>
          <w:p w14:paraId="667703D3"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SA</w:t>
            </w:r>
          </w:p>
        </w:tc>
      </w:tr>
      <w:tr w:rsidR="003D5182" w14:paraId="4DBDF628" w14:textId="77777777" w:rsidTr="007F1259">
        <w:trPr>
          <w:cantSplit/>
        </w:trPr>
        <w:tc>
          <w:tcPr>
            <w:tcW w:w="3503" w:type="pct"/>
            <w:tcBorders>
              <w:top w:val="single" w:sz="4" w:space="0" w:color="auto"/>
              <w:left w:val="single" w:sz="4" w:space="0" w:color="auto"/>
              <w:bottom w:val="single" w:sz="4" w:space="0" w:color="auto"/>
              <w:right w:val="single" w:sz="4" w:space="0" w:color="auto"/>
            </w:tcBorders>
            <w:hideMark/>
          </w:tcPr>
          <w:p w14:paraId="221302B2" w14:textId="608DDB51"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Kangaroo Island riparian communities: Sugar Gum woodland</w:t>
            </w:r>
            <w:r w:rsidR="004C300F" w:rsidRPr="00BB580D">
              <w:rPr>
                <w:rFonts w:eastAsia="Times New Roman" w:cstheme="minorHAnsi"/>
                <w:sz w:val="20"/>
                <w:szCs w:val="20"/>
                <w:lang w:eastAsia="en-AU"/>
              </w:rPr>
              <w:t xml:space="preserve"> / </w:t>
            </w:r>
            <w:r w:rsidRPr="00BB580D">
              <w:rPr>
                <w:rFonts w:eastAsia="Times New Roman" w:cstheme="minorHAnsi"/>
                <w:i/>
                <w:iCs/>
                <w:sz w:val="20"/>
                <w:szCs w:val="20"/>
                <w:lang w:eastAsia="en-AU"/>
              </w:rPr>
              <w:t xml:space="preserve">Eucalyptus cladocalyx </w:t>
            </w:r>
            <w:r w:rsidRPr="00BB580D">
              <w:rPr>
                <w:rFonts w:eastAsia="Times New Roman" w:cstheme="minorHAnsi"/>
                <w:sz w:val="20"/>
                <w:szCs w:val="20"/>
                <w:lang w:eastAsia="en-AU"/>
              </w:rPr>
              <w:t>woodland</w:t>
            </w:r>
            <w:r w:rsidR="004C300F" w:rsidRPr="00BB580D">
              <w:rPr>
                <w:rFonts w:eastAsia="Times New Roman" w:cstheme="minorHAnsi"/>
                <w:sz w:val="20"/>
                <w:szCs w:val="20"/>
                <w:lang w:eastAsia="en-AU"/>
              </w:rPr>
              <w:t xml:space="preserve"> / </w:t>
            </w:r>
            <w:r w:rsidRPr="00BB580D">
              <w:rPr>
                <w:rFonts w:eastAsia="Times New Roman" w:cstheme="minorHAnsi"/>
                <w:i/>
                <w:iCs/>
                <w:sz w:val="20"/>
                <w:szCs w:val="20"/>
                <w:lang w:eastAsia="en-AU"/>
              </w:rPr>
              <w:t xml:space="preserve">Leptospermum </w:t>
            </w:r>
            <w:proofErr w:type="spellStart"/>
            <w:r w:rsidRPr="00BB580D">
              <w:rPr>
                <w:rFonts w:eastAsia="Times New Roman" w:cstheme="minorHAnsi"/>
                <w:i/>
                <w:iCs/>
                <w:sz w:val="20"/>
                <w:szCs w:val="20"/>
                <w:lang w:eastAsia="en-AU"/>
              </w:rPr>
              <w:t>continentale</w:t>
            </w:r>
            <w:proofErr w:type="spellEnd"/>
            <w:r w:rsidRPr="00BB580D">
              <w:rPr>
                <w:rFonts w:eastAsia="Times New Roman" w:cstheme="minorHAnsi"/>
                <w:sz w:val="20"/>
                <w:szCs w:val="20"/>
                <w:lang w:eastAsia="en-AU"/>
              </w:rPr>
              <w:t xml:space="preserve"> (mixed) shrubland</w:t>
            </w:r>
          </w:p>
        </w:tc>
        <w:tc>
          <w:tcPr>
            <w:tcW w:w="877" w:type="pct"/>
            <w:tcBorders>
              <w:top w:val="single" w:sz="4" w:space="0" w:color="auto"/>
              <w:left w:val="single" w:sz="4" w:space="0" w:color="auto"/>
              <w:bottom w:val="single" w:sz="4" w:space="0" w:color="auto"/>
              <w:right w:val="single" w:sz="4" w:space="0" w:color="auto"/>
            </w:tcBorders>
          </w:tcPr>
          <w:p w14:paraId="4E5B3BB5" w14:textId="1BF70421" w:rsidR="003D5182" w:rsidRDefault="00634541"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 xml:space="preserve">SA - </w:t>
            </w:r>
            <w:r w:rsidR="007F1259">
              <w:rPr>
                <w:rFonts w:eastAsia="Times New Roman" w:cstheme="minorHAnsi"/>
                <w:color w:val="000000"/>
                <w:sz w:val="20"/>
                <w:szCs w:val="20"/>
                <w:lang w:eastAsia="en-AU"/>
              </w:rPr>
              <w:t>Not listed</w:t>
            </w:r>
          </w:p>
        </w:tc>
        <w:tc>
          <w:tcPr>
            <w:tcW w:w="620" w:type="pct"/>
            <w:tcBorders>
              <w:top w:val="single" w:sz="4" w:space="0" w:color="auto"/>
              <w:left w:val="single" w:sz="4" w:space="0" w:color="auto"/>
              <w:bottom w:val="single" w:sz="4" w:space="0" w:color="auto"/>
              <w:right w:val="single" w:sz="4" w:space="0" w:color="auto"/>
            </w:tcBorders>
            <w:hideMark/>
          </w:tcPr>
          <w:p w14:paraId="1D0E6ED0"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SA</w:t>
            </w:r>
          </w:p>
        </w:tc>
      </w:tr>
      <w:tr w:rsidR="003D5182" w14:paraId="00FA1AF6" w14:textId="77777777" w:rsidTr="007F1259">
        <w:trPr>
          <w:cantSplit/>
        </w:trPr>
        <w:tc>
          <w:tcPr>
            <w:tcW w:w="3503" w:type="pct"/>
            <w:tcBorders>
              <w:top w:val="single" w:sz="4" w:space="0" w:color="auto"/>
              <w:left w:val="single" w:sz="4" w:space="0" w:color="auto"/>
              <w:bottom w:val="single" w:sz="4" w:space="0" w:color="auto"/>
              <w:right w:val="single" w:sz="4" w:space="0" w:color="auto"/>
            </w:tcBorders>
            <w:hideMark/>
          </w:tcPr>
          <w:p w14:paraId="0B993925"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i/>
                <w:iCs/>
                <w:sz w:val="20"/>
                <w:szCs w:val="20"/>
                <w:lang w:eastAsia="en-AU"/>
              </w:rPr>
              <w:t xml:space="preserve">Eucalyptus </w:t>
            </w:r>
            <w:proofErr w:type="spellStart"/>
            <w:r w:rsidRPr="00BB580D">
              <w:rPr>
                <w:rFonts w:eastAsia="Times New Roman" w:cstheme="minorHAnsi"/>
                <w:i/>
                <w:iCs/>
                <w:sz w:val="20"/>
                <w:szCs w:val="20"/>
                <w:lang w:eastAsia="en-AU"/>
              </w:rPr>
              <w:t>arenacea</w:t>
            </w:r>
            <w:proofErr w:type="spellEnd"/>
            <w:r w:rsidRPr="00BB580D">
              <w:rPr>
                <w:rFonts w:eastAsia="Times New Roman" w:cstheme="minorHAnsi"/>
                <w:i/>
                <w:iCs/>
                <w:sz w:val="20"/>
                <w:szCs w:val="20"/>
                <w:lang w:eastAsia="en-AU"/>
              </w:rPr>
              <w:t xml:space="preserve"> – Eucalyptus </w:t>
            </w:r>
            <w:proofErr w:type="spellStart"/>
            <w:r w:rsidRPr="00BB580D">
              <w:rPr>
                <w:rFonts w:eastAsia="Times New Roman" w:cstheme="minorHAnsi"/>
                <w:i/>
                <w:iCs/>
                <w:sz w:val="20"/>
                <w:szCs w:val="20"/>
                <w:lang w:eastAsia="en-AU"/>
              </w:rPr>
              <w:t>baxteri</w:t>
            </w:r>
            <w:proofErr w:type="spellEnd"/>
            <w:r w:rsidRPr="00BB580D">
              <w:rPr>
                <w:rFonts w:eastAsia="Times New Roman" w:cstheme="minorHAnsi"/>
                <w:sz w:val="20"/>
                <w:szCs w:val="20"/>
                <w:lang w:eastAsia="en-AU"/>
              </w:rPr>
              <w:t xml:space="preserve"> woodland</w:t>
            </w:r>
          </w:p>
        </w:tc>
        <w:tc>
          <w:tcPr>
            <w:tcW w:w="877" w:type="pct"/>
            <w:tcBorders>
              <w:top w:val="single" w:sz="4" w:space="0" w:color="auto"/>
              <w:left w:val="single" w:sz="4" w:space="0" w:color="auto"/>
              <w:bottom w:val="single" w:sz="4" w:space="0" w:color="auto"/>
              <w:right w:val="single" w:sz="4" w:space="0" w:color="auto"/>
            </w:tcBorders>
          </w:tcPr>
          <w:p w14:paraId="10320767" w14:textId="47B37C6A" w:rsidR="003D5182" w:rsidRDefault="00634541"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 xml:space="preserve">SA - </w:t>
            </w:r>
            <w:r w:rsidR="007F1259">
              <w:rPr>
                <w:rFonts w:eastAsia="Times New Roman" w:cstheme="minorHAnsi"/>
                <w:color w:val="000000"/>
                <w:sz w:val="20"/>
                <w:szCs w:val="20"/>
                <w:lang w:eastAsia="en-AU"/>
              </w:rPr>
              <w:t>Not listed</w:t>
            </w:r>
          </w:p>
        </w:tc>
        <w:tc>
          <w:tcPr>
            <w:tcW w:w="620" w:type="pct"/>
            <w:tcBorders>
              <w:top w:val="single" w:sz="4" w:space="0" w:color="auto"/>
              <w:left w:val="single" w:sz="4" w:space="0" w:color="auto"/>
              <w:bottom w:val="single" w:sz="4" w:space="0" w:color="auto"/>
              <w:right w:val="single" w:sz="4" w:space="0" w:color="auto"/>
            </w:tcBorders>
            <w:hideMark/>
          </w:tcPr>
          <w:p w14:paraId="6A52AE6A"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SA</w:t>
            </w:r>
          </w:p>
        </w:tc>
      </w:tr>
      <w:tr w:rsidR="003D5182" w14:paraId="56C62E80"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15E90BEA"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Montane mallee of the Stirling Ranges</w:t>
            </w:r>
          </w:p>
        </w:tc>
        <w:tc>
          <w:tcPr>
            <w:tcW w:w="877" w:type="pct"/>
            <w:tcBorders>
              <w:top w:val="single" w:sz="4" w:space="0" w:color="auto"/>
              <w:left w:val="single" w:sz="4" w:space="0" w:color="auto"/>
              <w:bottom w:val="single" w:sz="4" w:space="0" w:color="auto"/>
              <w:right w:val="single" w:sz="4" w:space="0" w:color="auto"/>
            </w:tcBorders>
            <w:hideMark/>
          </w:tcPr>
          <w:p w14:paraId="287ABA7F"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 - Priority 1 PEC</w:t>
            </w:r>
          </w:p>
        </w:tc>
        <w:tc>
          <w:tcPr>
            <w:tcW w:w="620" w:type="pct"/>
            <w:tcBorders>
              <w:top w:val="single" w:sz="4" w:space="0" w:color="auto"/>
              <w:left w:val="single" w:sz="4" w:space="0" w:color="auto"/>
              <w:bottom w:val="single" w:sz="4" w:space="0" w:color="auto"/>
              <w:right w:val="single" w:sz="4" w:space="0" w:color="auto"/>
            </w:tcBorders>
            <w:hideMark/>
          </w:tcPr>
          <w:p w14:paraId="075158BE"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w:t>
            </w:r>
          </w:p>
        </w:tc>
      </w:tr>
      <w:tr w:rsidR="003D5182" w14:paraId="3E84B617"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0BF2D2E9" w14:textId="77777777" w:rsidR="003D5182" w:rsidRPr="00BB580D" w:rsidRDefault="003D5182" w:rsidP="003D5182">
            <w:pPr>
              <w:spacing w:after="0" w:line="240" w:lineRule="auto"/>
              <w:rPr>
                <w:rFonts w:eastAsia="Times New Roman" w:cstheme="minorHAnsi"/>
                <w:sz w:val="20"/>
                <w:szCs w:val="20"/>
                <w:lang w:eastAsia="en-AU"/>
              </w:rPr>
            </w:pPr>
            <w:proofErr w:type="spellStart"/>
            <w:r w:rsidRPr="00BB580D">
              <w:rPr>
                <w:rFonts w:eastAsia="Times New Roman" w:cstheme="minorHAnsi"/>
                <w:sz w:val="20"/>
                <w:szCs w:val="20"/>
                <w:lang w:eastAsia="en-AU"/>
              </w:rPr>
              <w:t>Coyanarup</w:t>
            </w:r>
            <w:proofErr w:type="spellEnd"/>
            <w:r w:rsidRPr="00BB580D">
              <w:rPr>
                <w:rFonts w:eastAsia="Times New Roman" w:cstheme="minorHAnsi"/>
                <w:sz w:val="20"/>
                <w:szCs w:val="20"/>
                <w:lang w:eastAsia="en-AU"/>
              </w:rPr>
              <w:t xml:space="preserve"> Wetland Suite</w:t>
            </w:r>
          </w:p>
        </w:tc>
        <w:tc>
          <w:tcPr>
            <w:tcW w:w="877" w:type="pct"/>
            <w:tcBorders>
              <w:top w:val="single" w:sz="4" w:space="0" w:color="auto"/>
              <w:left w:val="single" w:sz="4" w:space="0" w:color="auto"/>
              <w:bottom w:val="single" w:sz="4" w:space="0" w:color="auto"/>
              <w:right w:val="single" w:sz="4" w:space="0" w:color="auto"/>
            </w:tcBorders>
            <w:hideMark/>
          </w:tcPr>
          <w:p w14:paraId="7D91EDBD"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 - Priority 1 PEC</w:t>
            </w:r>
          </w:p>
        </w:tc>
        <w:tc>
          <w:tcPr>
            <w:tcW w:w="620" w:type="pct"/>
            <w:tcBorders>
              <w:top w:val="single" w:sz="4" w:space="0" w:color="auto"/>
              <w:left w:val="single" w:sz="4" w:space="0" w:color="auto"/>
              <w:bottom w:val="single" w:sz="4" w:space="0" w:color="auto"/>
              <w:right w:val="single" w:sz="4" w:space="0" w:color="auto"/>
            </w:tcBorders>
            <w:hideMark/>
          </w:tcPr>
          <w:p w14:paraId="625A553B"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w:t>
            </w:r>
          </w:p>
        </w:tc>
      </w:tr>
      <w:tr w:rsidR="003D5182" w14:paraId="5D7C063A"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044A5B4A"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Stirling Range Upland Yate community</w:t>
            </w:r>
          </w:p>
        </w:tc>
        <w:tc>
          <w:tcPr>
            <w:tcW w:w="877" w:type="pct"/>
            <w:tcBorders>
              <w:top w:val="single" w:sz="4" w:space="0" w:color="auto"/>
              <w:left w:val="single" w:sz="4" w:space="0" w:color="auto"/>
              <w:bottom w:val="single" w:sz="4" w:space="0" w:color="auto"/>
              <w:right w:val="single" w:sz="4" w:space="0" w:color="auto"/>
            </w:tcBorders>
            <w:hideMark/>
          </w:tcPr>
          <w:p w14:paraId="339CCB93"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 - Priority 4 PEC</w:t>
            </w:r>
          </w:p>
        </w:tc>
        <w:tc>
          <w:tcPr>
            <w:tcW w:w="620" w:type="pct"/>
            <w:tcBorders>
              <w:top w:val="single" w:sz="4" w:space="0" w:color="auto"/>
              <w:left w:val="single" w:sz="4" w:space="0" w:color="auto"/>
              <w:bottom w:val="single" w:sz="4" w:space="0" w:color="auto"/>
              <w:right w:val="single" w:sz="4" w:space="0" w:color="auto"/>
            </w:tcBorders>
            <w:hideMark/>
          </w:tcPr>
          <w:p w14:paraId="213A87E4"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w:t>
            </w:r>
          </w:p>
        </w:tc>
      </w:tr>
      <w:tr w:rsidR="003D5182" w14:paraId="6CA3C5AE"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7A07B516" w14:textId="77777777" w:rsidR="003D5182" w:rsidRPr="00BB580D" w:rsidRDefault="003D5182" w:rsidP="003D5182">
            <w:pPr>
              <w:spacing w:after="0" w:line="240" w:lineRule="auto"/>
              <w:rPr>
                <w:rFonts w:eastAsia="Times New Roman" w:cstheme="minorHAnsi"/>
                <w:sz w:val="20"/>
                <w:szCs w:val="20"/>
                <w:lang w:eastAsia="en-AU"/>
              </w:rPr>
            </w:pPr>
            <w:proofErr w:type="spellStart"/>
            <w:r w:rsidRPr="00BB580D">
              <w:rPr>
                <w:rFonts w:eastAsia="Times New Roman" w:cstheme="minorHAnsi"/>
                <w:sz w:val="20"/>
                <w:szCs w:val="20"/>
                <w:lang w:eastAsia="en-AU"/>
              </w:rPr>
              <w:t>Ferricrete</w:t>
            </w:r>
            <w:proofErr w:type="spellEnd"/>
            <w:r w:rsidRPr="00BB580D">
              <w:rPr>
                <w:rFonts w:eastAsia="Times New Roman" w:cstheme="minorHAnsi"/>
                <w:sz w:val="20"/>
                <w:szCs w:val="20"/>
                <w:lang w:eastAsia="en-AU"/>
              </w:rPr>
              <w:t xml:space="preserve"> floristic community (Rocky Springs type)</w:t>
            </w:r>
          </w:p>
        </w:tc>
        <w:tc>
          <w:tcPr>
            <w:tcW w:w="877" w:type="pct"/>
            <w:tcBorders>
              <w:top w:val="single" w:sz="4" w:space="0" w:color="auto"/>
              <w:left w:val="single" w:sz="4" w:space="0" w:color="auto"/>
              <w:bottom w:val="single" w:sz="4" w:space="0" w:color="auto"/>
              <w:right w:val="single" w:sz="4" w:space="0" w:color="auto"/>
            </w:tcBorders>
            <w:hideMark/>
          </w:tcPr>
          <w:p w14:paraId="14BAFAEA"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 - Vulnerable</w:t>
            </w:r>
          </w:p>
        </w:tc>
        <w:tc>
          <w:tcPr>
            <w:tcW w:w="620" w:type="pct"/>
            <w:tcBorders>
              <w:top w:val="single" w:sz="4" w:space="0" w:color="auto"/>
              <w:left w:val="single" w:sz="4" w:space="0" w:color="auto"/>
              <w:bottom w:val="single" w:sz="4" w:space="0" w:color="auto"/>
              <w:right w:val="single" w:sz="4" w:space="0" w:color="auto"/>
            </w:tcBorders>
            <w:hideMark/>
          </w:tcPr>
          <w:p w14:paraId="6438A877"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w:t>
            </w:r>
          </w:p>
        </w:tc>
      </w:tr>
      <w:tr w:rsidR="003D5182" w14:paraId="46AF793D"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61E385FE" w14:textId="77777777" w:rsidR="003D5182" w:rsidRPr="00BB580D" w:rsidRDefault="003D5182" w:rsidP="003D5182">
            <w:pPr>
              <w:spacing w:after="0" w:line="240" w:lineRule="auto"/>
              <w:rPr>
                <w:rFonts w:eastAsia="Times New Roman" w:cstheme="minorHAnsi"/>
                <w:sz w:val="20"/>
                <w:szCs w:val="20"/>
                <w:lang w:eastAsia="en-AU"/>
              </w:rPr>
            </w:pPr>
            <w:r w:rsidRPr="00BB580D">
              <w:rPr>
                <w:rFonts w:eastAsia="Times New Roman" w:cstheme="minorHAnsi"/>
                <w:i/>
                <w:iCs/>
                <w:sz w:val="20"/>
                <w:szCs w:val="20"/>
                <w:lang w:eastAsia="en-AU"/>
              </w:rPr>
              <w:t xml:space="preserve">Melaleuca huegelii - Melaleuca systena </w:t>
            </w:r>
            <w:r w:rsidRPr="00BB580D">
              <w:rPr>
                <w:rFonts w:eastAsia="Times New Roman" w:cstheme="minorHAnsi"/>
                <w:sz w:val="20"/>
                <w:szCs w:val="20"/>
                <w:lang w:eastAsia="en-AU"/>
              </w:rPr>
              <w:t>shrublands on limestone ridges</w:t>
            </w:r>
          </w:p>
        </w:tc>
        <w:tc>
          <w:tcPr>
            <w:tcW w:w="877" w:type="pct"/>
            <w:tcBorders>
              <w:top w:val="single" w:sz="4" w:space="0" w:color="auto"/>
              <w:left w:val="single" w:sz="4" w:space="0" w:color="auto"/>
              <w:bottom w:val="single" w:sz="4" w:space="0" w:color="auto"/>
              <w:right w:val="single" w:sz="4" w:space="0" w:color="auto"/>
            </w:tcBorders>
            <w:hideMark/>
          </w:tcPr>
          <w:p w14:paraId="70983CC2"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 - Endangered</w:t>
            </w:r>
          </w:p>
        </w:tc>
        <w:tc>
          <w:tcPr>
            <w:tcW w:w="620" w:type="pct"/>
            <w:tcBorders>
              <w:top w:val="single" w:sz="4" w:space="0" w:color="auto"/>
              <w:left w:val="single" w:sz="4" w:space="0" w:color="auto"/>
              <w:bottom w:val="single" w:sz="4" w:space="0" w:color="auto"/>
              <w:right w:val="single" w:sz="4" w:space="0" w:color="auto"/>
            </w:tcBorders>
            <w:hideMark/>
          </w:tcPr>
          <w:p w14:paraId="1B5FD65D"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w:t>
            </w:r>
          </w:p>
        </w:tc>
      </w:tr>
      <w:tr w:rsidR="003D5182" w14:paraId="4091E17A" w14:textId="77777777" w:rsidTr="00024296">
        <w:trPr>
          <w:cantSplit/>
        </w:trPr>
        <w:tc>
          <w:tcPr>
            <w:tcW w:w="3503" w:type="pct"/>
            <w:tcBorders>
              <w:top w:val="single" w:sz="4" w:space="0" w:color="auto"/>
              <w:left w:val="single" w:sz="4" w:space="0" w:color="auto"/>
              <w:bottom w:val="single" w:sz="4" w:space="0" w:color="auto"/>
              <w:right w:val="single" w:sz="4" w:space="0" w:color="auto"/>
            </w:tcBorders>
            <w:hideMark/>
          </w:tcPr>
          <w:p w14:paraId="54CAEFA0" w14:textId="77777777" w:rsidR="003D5182" w:rsidRDefault="003D5182" w:rsidP="003D5182">
            <w:pPr>
              <w:spacing w:after="0" w:line="240" w:lineRule="auto"/>
              <w:rPr>
                <w:rFonts w:eastAsia="Times New Roman" w:cstheme="minorHAnsi"/>
                <w:color w:val="000000"/>
                <w:sz w:val="20"/>
                <w:szCs w:val="20"/>
                <w:lang w:eastAsia="en-AU"/>
              </w:rPr>
            </w:pPr>
            <w:proofErr w:type="spellStart"/>
            <w:r>
              <w:rPr>
                <w:rFonts w:eastAsia="Times New Roman" w:cstheme="minorHAnsi"/>
                <w:color w:val="000000"/>
                <w:sz w:val="20"/>
                <w:szCs w:val="20"/>
                <w:lang w:eastAsia="en-AU"/>
              </w:rPr>
              <w:t>Ironcap</w:t>
            </w:r>
            <w:proofErr w:type="spellEnd"/>
            <w:r>
              <w:rPr>
                <w:rFonts w:eastAsia="Times New Roman" w:cstheme="minorHAnsi"/>
                <w:color w:val="000000"/>
                <w:sz w:val="20"/>
                <w:szCs w:val="20"/>
                <w:lang w:eastAsia="en-AU"/>
              </w:rPr>
              <w:t xml:space="preserve"> Hills vegetation complexes (banded ironstone formation)</w:t>
            </w:r>
          </w:p>
        </w:tc>
        <w:tc>
          <w:tcPr>
            <w:tcW w:w="877" w:type="pct"/>
            <w:tcBorders>
              <w:top w:val="single" w:sz="4" w:space="0" w:color="auto"/>
              <w:left w:val="single" w:sz="4" w:space="0" w:color="auto"/>
              <w:bottom w:val="single" w:sz="4" w:space="0" w:color="auto"/>
              <w:right w:val="single" w:sz="4" w:space="0" w:color="auto"/>
            </w:tcBorders>
            <w:hideMark/>
          </w:tcPr>
          <w:p w14:paraId="0857BE7F"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 - Priority 3</w:t>
            </w:r>
          </w:p>
        </w:tc>
        <w:tc>
          <w:tcPr>
            <w:tcW w:w="620" w:type="pct"/>
            <w:tcBorders>
              <w:top w:val="single" w:sz="4" w:space="0" w:color="auto"/>
              <w:left w:val="single" w:sz="4" w:space="0" w:color="auto"/>
              <w:bottom w:val="single" w:sz="4" w:space="0" w:color="auto"/>
              <w:right w:val="single" w:sz="4" w:space="0" w:color="auto"/>
            </w:tcBorders>
            <w:hideMark/>
          </w:tcPr>
          <w:p w14:paraId="2933BACC" w14:textId="77777777" w:rsidR="003D5182" w:rsidRDefault="003D5182" w:rsidP="003D5182">
            <w:pPr>
              <w:spacing w:after="0" w:line="240" w:lineRule="auto"/>
              <w:rPr>
                <w:rFonts w:eastAsia="Times New Roman" w:cstheme="minorHAnsi"/>
                <w:color w:val="000000"/>
                <w:sz w:val="20"/>
                <w:szCs w:val="20"/>
                <w:lang w:eastAsia="en-AU"/>
              </w:rPr>
            </w:pPr>
            <w:r>
              <w:rPr>
                <w:rFonts w:eastAsia="Times New Roman" w:cstheme="minorHAnsi"/>
                <w:color w:val="000000"/>
                <w:sz w:val="20"/>
                <w:szCs w:val="20"/>
                <w:lang w:eastAsia="en-AU"/>
              </w:rPr>
              <w:t>WA</w:t>
            </w:r>
          </w:p>
        </w:tc>
      </w:tr>
      <w:tr w:rsidR="004C300F" w:rsidRPr="00BB580D" w14:paraId="1150C7A3"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46867A1A" w14:textId="22374B27" w:rsidR="004C300F" w:rsidRPr="00BB580D" w:rsidRDefault="00B1664E"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 xml:space="preserve">Northern Hinterland </w:t>
            </w:r>
            <w:proofErr w:type="spellStart"/>
            <w:r w:rsidRPr="00BB580D">
              <w:rPr>
                <w:rFonts w:eastAsia="Times New Roman" w:cstheme="minorHAnsi"/>
                <w:sz w:val="20"/>
                <w:szCs w:val="20"/>
                <w:lang w:eastAsia="en-AU"/>
              </w:rPr>
              <w:t>Baloghia-Booyong</w:t>
            </w:r>
            <w:proofErr w:type="spellEnd"/>
            <w:r w:rsidRPr="00BB580D">
              <w:rPr>
                <w:rFonts w:eastAsia="Times New Roman" w:cstheme="minorHAnsi"/>
                <w:sz w:val="20"/>
                <w:szCs w:val="20"/>
                <w:lang w:eastAsia="en-AU"/>
              </w:rPr>
              <w:t xml:space="preserve"> Subtropical Rainforest (PCT 3019)</w:t>
            </w:r>
          </w:p>
        </w:tc>
        <w:tc>
          <w:tcPr>
            <w:tcW w:w="877" w:type="pct"/>
            <w:tcBorders>
              <w:top w:val="single" w:sz="4" w:space="0" w:color="auto"/>
              <w:left w:val="single" w:sz="4" w:space="0" w:color="auto"/>
              <w:bottom w:val="single" w:sz="4" w:space="0" w:color="auto"/>
              <w:right w:val="single" w:sz="4" w:space="0" w:color="auto"/>
            </w:tcBorders>
          </w:tcPr>
          <w:p w14:paraId="30071F5F" w14:textId="574C25C4" w:rsidR="004C300F" w:rsidRPr="00BB580D" w:rsidRDefault="00B1664E"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1C4B56E1" w14:textId="3EE57DA3" w:rsidR="004C300F" w:rsidRPr="00BB580D" w:rsidRDefault="00B1664E" w:rsidP="003D518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1664E" w:rsidRPr="00BB580D" w14:paraId="6371317E"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46D62444" w14:textId="76828C70" w:rsidR="00B1664E" w:rsidRPr="00BB580D" w:rsidRDefault="00B1664E" w:rsidP="00B1664E">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Southeast Cool Temperate Rainforest (PCT 3054)</w:t>
            </w:r>
          </w:p>
        </w:tc>
        <w:tc>
          <w:tcPr>
            <w:tcW w:w="877" w:type="pct"/>
            <w:tcBorders>
              <w:top w:val="single" w:sz="4" w:space="0" w:color="auto"/>
              <w:left w:val="single" w:sz="4" w:space="0" w:color="auto"/>
              <w:bottom w:val="single" w:sz="4" w:space="0" w:color="auto"/>
              <w:right w:val="single" w:sz="4" w:space="0" w:color="auto"/>
            </w:tcBorders>
          </w:tcPr>
          <w:p w14:paraId="203A1B79" w14:textId="6168F99C" w:rsidR="00B1664E" w:rsidRPr="00BB580D" w:rsidRDefault="00B1664E" w:rsidP="00B1664E">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703CB178" w14:textId="133CB06A" w:rsidR="00B1664E" w:rsidRPr="00BB580D" w:rsidRDefault="00B1664E" w:rsidP="00B1664E">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61FF3BAB"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4D54EAD8" w14:textId="6B18086A" w:rsidR="00B1664E" w:rsidRPr="00BB580D" w:rsidRDefault="00B1664E" w:rsidP="00B1664E">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South Coast Grey Myrtle Dry Rainforest (PCT 3106)</w:t>
            </w:r>
          </w:p>
        </w:tc>
        <w:tc>
          <w:tcPr>
            <w:tcW w:w="877" w:type="pct"/>
            <w:tcBorders>
              <w:top w:val="single" w:sz="4" w:space="0" w:color="auto"/>
              <w:left w:val="single" w:sz="4" w:space="0" w:color="auto"/>
              <w:bottom w:val="single" w:sz="4" w:space="0" w:color="auto"/>
              <w:right w:val="single" w:sz="4" w:space="0" w:color="auto"/>
            </w:tcBorders>
          </w:tcPr>
          <w:p w14:paraId="4DC23E94" w14:textId="7C4E5483" w:rsidR="00B1664E" w:rsidRPr="00BB580D" w:rsidRDefault="00B1664E" w:rsidP="00B1664E">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2FE79300" w14:textId="640D1E5F" w:rsidR="00B1664E" w:rsidRPr="00BB580D" w:rsidRDefault="00B1664E" w:rsidP="00B1664E">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596F2975"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6144D2C1" w14:textId="22150F9E"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Northern Escarpment Dry Rainforest (PCT 3097) / South Coast Escarpment Dry Rainforest (PCT 3105)</w:t>
            </w:r>
          </w:p>
        </w:tc>
        <w:tc>
          <w:tcPr>
            <w:tcW w:w="877" w:type="pct"/>
            <w:tcBorders>
              <w:top w:val="single" w:sz="4" w:space="0" w:color="auto"/>
              <w:left w:val="single" w:sz="4" w:space="0" w:color="auto"/>
              <w:bottom w:val="single" w:sz="4" w:space="0" w:color="auto"/>
              <w:right w:val="single" w:sz="4" w:space="0" w:color="auto"/>
            </w:tcBorders>
          </w:tcPr>
          <w:p w14:paraId="2856198B" w14:textId="3D6F0BA6"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0A1EC4C3" w14:textId="681EB4CC"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6339E106"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356E8324" w14:textId="244B3E45"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Southeast Warm Temperate Rainforest (PCT 3046)</w:t>
            </w:r>
          </w:p>
        </w:tc>
        <w:tc>
          <w:tcPr>
            <w:tcW w:w="877" w:type="pct"/>
            <w:tcBorders>
              <w:top w:val="single" w:sz="4" w:space="0" w:color="auto"/>
              <w:left w:val="single" w:sz="4" w:space="0" w:color="auto"/>
              <w:bottom w:val="single" w:sz="4" w:space="0" w:color="auto"/>
              <w:right w:val="single" w:sz="4" w:space="0" w:color="auto"/>
            </w:tcBorders>
          </w:tcPr>
          <w:p w14:paraId="6BA9C056" w14:textId="3D3A6256"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6A448F49" w14:textId="03DB49D3"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71B3EC86"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36D4A188" w14:textId="6F5236B6"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Sydney Montane Basalt Rainforest (PCT 3047)</w:t>
            </w:r>
          </w:p>
        </w:tc>
        <w:tc>
          <w:tcPr>
            <w:tcW w:w="877" w:type="pct"/>
            <w:tcBorders>
              <w:top w:val="single" w:sz="4" w:space="0" w:color="auto"/>
              <w:left w:val="single" w:sz="4" w:space="0" w:color="auto"/>
              <w:bottom w:val="single" w:sz="4" w:space="0" w:color="auto"/>
              <w:right w:val="single" w:sz="4" w:space="0" w:color="auto"/>
            </w:tcBorders>
          </w:tcPr>
          <w:p w14:paraId="1645BB8C" w14:textId="79F0E1A0"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0C3894DF" w14:textId="290CA426"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50F5F52B" w14:textId="77777777" w:rsidTr="003B6662">
        <w:trPr>
          <w:cantSplit/>
        </w:trPr>
        <w:tc>
          <w:tcPr>
            <w:tcW w:w="3503" w:type="pct"/>
            <w:tcBorders>
              <w:top w:val="single" w:sz="4" w:space="0" w:color="auto"/>
              <w:left w:val="single" w:sz="4" w:space="0" w:color="auto"/>
              <w:bottom w:val="single" w:sz="4" w:space="0" w:color="auto"/>
              <w:right w:val="single" w:sz="4" w:space="0" w:color="auto"/>
            </w:tcBorders>
            <w:hideMark/>
          </w:tcPr>
          <w:p w14:paraId="4F6CFC5F" w14:textId="77777777" w:rsidR="00BB580D" w:rsidRPr="00BB580D" w:rsidRDefault="00BB580D" w:rsidP="003B666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Northern Escarpment Grey Myrtle Gully Rainforest (PCT 3098)</w:t>
            </w:r>
          </w:p>
        </w:tc>
        <w:tc>
          <w:tcPr>
            <w:tcW w:w="877" w:type="pct"/>
            <w:tcBorders>
              <w:top w:val="single" w:sz="4" w:space="0" w:color="auto"/>
              <w:left w:val="single" w:sz="4" w:space="0" w:color="auto"/>
              <w:bottom w:val="single" w:sz="4" w:space="0" w:color="auto"/>
              <w:right w:val="single" w:sz="4" w:space="0" w:color="auto"/>
            </w:tcBorders>
            <w:hideMark/>
          </w:tcPr>
          <w:p w14:paraId="231AAEF1" w14:textId="77777777" w:rsidR="00BB580D" w:rsidRPr="00BB580D" w:rsidRDefault="00BB580D" w:rsidP="003B666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hideMark/>
          </w:tcPr>
          <w:p w14:paraId="51B612A4" w14:textId="77777777" w:rsidR="00BB580D" w:rsidRPr="00BB580D" w:rsidRDefault="00BB580D" w:rsidP="003B6662">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2CD4AE1F"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64D264CE" w14:textId="4232662A"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lastRenderedPageBreak/>
              <w:t>Kosciuszko Flanks moist gully forest (PCT 3296)</w:t>
            </w:r>
          </w:p>
        </w:tc>
        <w:tc>
          <w:tcPr>
            <w:tcW w:w="877" w:type="pct"/>
            <w:tcBorders>
              <w:top w:val="single" w:sz="4" w:space="0" w:color="auto"/>
              <w:left w:val="single" w:sz="4" w:space="0" w:color="auto"/>
              <w:bottom w:val="single" w:sz="4" w:space="0" w:color="auto"/>
              <w:right w:val="single" w:sz="4" w:space="0" w:color="auto"/>
            </w:tcBorders>
          </w:tcPr>
          <w:p w14:paraId="76722AA5" w14:textId="730B1BE9"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14DAE6CB" w14:textId="53BCE661"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possibly Vic</w:t>
            </w:r>
          </w:p>
        </w:tc>
      </w:tr>
      <w:tr w:rsidR="00BB580D" w:rsidRPr="00BB580D" w14:paraId="37B682F9"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6D870ACF" w14:textId="57823384"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Kosciuszko-</w:t>
            </w:r>
            <w:proofErr w:type="spellStart"/>
            <w:r w:rsidRPr="00BB580D">
              <w:rPr>
                <w:rFonts w:eastAsia="Times New Roman" w:cstheme="minorHAnsi"/>
                <w:sz w:val="20"/>
                <w:szCs w:val="20"/>
                <w:lang w:eastAsia="en-AU"/>
              </w:rPr>
              <w:t>Namadgi</w:t>
            </w:r>
            <w:proofErr w:type="spellEnd"/>
            <w:r w:rsidRPr="00BB580D">
              <w:rPr>
                <w:rFonts w:eastAsia="Times New Roman" w:cstheme="minorHAnsi"/>
                <w:sz w:val="20"/>
                <w:szCs w:val="20"/>
                <w:lang w:eastAsia="en-AU"/>
              </w:rPr>
              <w:t xml:space="preserve"> Alpine Ash moist grassy forest (PCT 3307)</w:t>
            </w:r>
          </w:p>
        </w:tc>
        <w:tc>
          <w:tcPr>
            <w:tcW w:w="877" w:type="pct"/>
            <w:tcBorders>
              <w:top w:val="single" w:sz="4" w:space="0" w:color="auto"/>
              <w:left w:val="single" w:sz="4" w:space="0" w:color="auto"/>
              <w:bottom w:val="single" w:sz="4" w:space="0" w:color="auto"/>
              <w:right w:val="single" w:sz="4" w:space="0" w:color="auto"/>
            </w:tcBorders>
          </w:tcPr>
          <w:p w14:paraId="70B6933E" w14:textId="05B20D87"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273BAF08" w14:textId="1ABDB7EE"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possibly Vic</w:t>
            </w:r>
          </w:p>
        </w:tc>
      </w:tr>
      <w:tr w:rsidR="00BB580D" w:rsidRPr="00BB580D" w14:paraId="0B67A33C"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08DED41B" w14:textId="44E1DB5B"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Blue Mountains Cool Wet Eucalypt Forest</w:t>
            </w:r>
          </w:p>
        </w:tc>
        <w:tc>
          <w:tcPr>
            <w:tcW w:w="877" w:type="pct"/>
            <w:tcBorders>
              <w:top w:val="single" w:sz="4" w:space="0" w:color="auto"/>
              <w:left w:val="single" w:sz="4" w:space="0" w:color="auto"/>
              <w:bottom w:val="single" w:sz="4" w:space="0" w:color="auto"/>
              <w:right w:val="single" w:sz="4" w:space="0" w:color="auto"/>
            </w:tcBorders>
          </w:tcPr>
          <w:p w14:paraId="677BD304" w14:textId="1F7C0047"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145B3E09" w14:textId="73236ABF"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7CA8B074"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35472D09" w14:textId="146BA534"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Central Tableland Montane Wet Forest (PCT 3211) / Central Tableland Peppermint-Gum montane forest (PCT 3294)</w:t>
            </w:r>
          </w:p>
        </w:tc>
        <w:tc>
          <w:tcPr>
            <w:tcW w:w="877" w:type="pct"/>
            <w:tcBorders>
              <w:top w:val="single" w:sz="4" w:space="0" w:color="auto"/>
              <w:left w:val="single" w:sz="4" w:space="0" w:color="auto"/>
              <w:bottom w:val="single" w:sz="4" w:space="0" w:color="auto"/>
              <w:right w:val="single" w:sz="4" w:space="0" w:color="auto"/>
            </w:tcBorders>
          </w:tcPr>
          <w:p w14:paraId="06977675" w14:textId="7CB74978"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7BA82537" w14:textId="1E8A7C61"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37A317F8"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16631CE8" w14:textId="3BA3E17F"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Kosciuszko Snow Gum-Mountain Gum Moist Forest (PCT 3297)</w:t>
            </w:r>
          </w:p>
        </w:tc>
        <w:tc>
          <w:tcPr>
            <w:tcW w:w="877" w:type="pct"/>
            <w:tcBorders>
              <w:top w:val="single" w:sz="4" w:space="0" w:color="auto"/>
              <w:left w:val="single" w:sz="4" w:space="0" w:color="auto"/>
              <w:bottom w:val="single" w:sz="4" w:space="0" w:color="auto"/>
              <w:right w:val="single" w:sz="4" w:space="0" w:color="auto"/>
            </w:tcBorders>
          </w:tcPr>
          <w:p w14:paraId="73589BBD" w14:textId="7D5BA4BA"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295B88FD" w14:textId="3FCB7F89"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04A6621A"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6425DC7A" w14:textId="00F4922C" w:rsidR="00BB580D" w:rsidRPr="00BB580D" w:rsidRDefault="00BB580D" w:rsidP="00BB580D">
            <w:pPr>
              <w:spacing w:after="0" w:line="240" w:lineRule="auto"/>
              <w:rPr>
                <w:rFonts w:eastAsia="Times New Roman" w:cstheme="minorHAnsi"/>
                <w:sz w:val="20"/>
                <w:szCs w:val="20"/>
                <w:lang w:eastAsia="en-AU"/>
              </w:rPr>
            </w:pPr>
            <w:proofErr w:type="spellStart"/>
            <w:r w:rsidRPr="00BB580D">
              <w:rPr>
                <w:rFonts w:eastAsia="Times New Roman" w:cstheme="minorHAnsi"/>
                <w:sz w:val="20"/>
                <w:szCs w:val="20"/>
                <w:lang w:eastAsia="en-AU"/>
              </w:rPr>
              <w:t>Newnes</w:t>
            </w:r>
            <w:proofErr w:type="spellEnd"/>
            <w:r w:rsidRPr="00BB580D">
              <w:rPr>
                <w:rFonts w:eastAsia="Times New Roman" w:cstheme="minorHAnsi"/>
                <w:sz w:val="20"/>
                <w:szCs w:val="20"/>
                <w:lang w:eastAsia="en-AU"/>
              </w:rPr>
              <w:t xml:space="preserve"> Plateau Peppermint-Ash tall forest (PCT 3687)</w:t>
            </w:r>
          </w:p>
        </w:tc>
        <w:tc>
          <w:tcPr>
            <w:tcW w:w="877" w:type="pct"/>
            <w:tcBorders>
              <w:top w:val="single" w:sz="4" w:space="0" w:color="auto"/>
              <w:left w:val="single" w:sz="4" w:space="0" w:color="auto"/>
              <w:bottom w:val="single" w:sz="4" w:space="0" w:color="auto"/>
              <w:right w:val="single" w:sz="4" w:space="0" w:color="auto"/>
            </w:tcBorders>
          </w:tcPr>
          <w:p w14:paraId="1B880F83" w14:textId="7C184CB1"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4DC7CA3D" w14:textId="4B43116B"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00C1D5E7"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03523148" w14:textId="0A8F71F6"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Northern Escarpment Messmate Moist Grassy Forest (PCT 3288)</w:t>
            </w:r>
          </w:p>
        </w:tc>
        <w:tc>
          <w:tcPr>
            <w:tcW w:w="877" w:type="pct"/>
            <w:tcBorders>
              <w:top w:val="single" w:sz="4" w:space="0" w:color="auto"/>
              <w:left w:val="single" w:sz="4" w:space="0" w:color="auto"/>
              <w:bottom w:val="single" w:sz="4" w:space="0" w:color="auto"/>
              <w:right w:val="single" w:sz="4" w:space="0" w:color="auto"/>
            </w:tcBorders>
          </w:tcPr>
          <w:p w14:paraId="03394CCF" w14:textId="2D6A97BC"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484456C6" w14:textId="6D4BD51C"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36719544"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3236624B" w14:textId="332567B5"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Far North Escarpment Blackbutt grassy forest (PCT 3278)</w:t>
            </w:r>
          </w:p>
        </w:tc>
        <w:tc>
          <w:tcPr>
            <w:tcW w:w="877" w:type="pct"/>
            <w:tcBorders>
              <w:top w:val="single" w:sz="4" w:space="0" w:color="auto"/>
              <w:left w:val="single" w:sz="4" w:space="0" w:color="auto"/>
              <w:bottom w:val="single" w:sz="4" w:space="0" w:color="auto"/>
              <w:right w:val="single" w:sz="4" w:space="0" w:color="auto"/>
            </w:tcBorders>
          </w:tcPr>
          <w:p w14:paraId="6B65A4B8" w14:textId="73D2B395"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356D2001" w14:textId="75404261"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456EB77F"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5FE02389" w14:textId="44A305D6"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Upper Blue Mountains moist forest (PCT 3692)</w:t>
            </w:r>
          </w:p>
        </w:tc>
        <w:tc>
          <w:tcPr>
            <w:tcW w:w="877" w:type="pct"/>
            <w:tcBorders>
              <w:top w:val="single" w:sz="4" w:space="0" w:color="auto"/>
              <w:left w:val="single" w:sz="4" w:space="0" w:color="auto"/>
              <w:bottom w:val="single" w:sz="4" w:space="0" w:color="auto"/>
              <w:right w:val="single" w:sz="4" w:space="0" w:color="auto"/>
            </w:tcBorders>
          </w:tcPr>
          <w:p w14:paraId="34C03130" w14:textId="491399D4"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4C2BBFED" w14:textId="100140F8"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r w:rsidR="00BB580D" w:rsidRPr="00BB580D" w14:paraId="2A2145D0" w14:textId="77777777" w:rsidTr="00024296">
        <w:trPr>
          <w:cantSplit/>
        </w:trPr>
        <w:tc>
          <w:tcPr>
            <w:tcW w:w="3503" w:type="pct"/>
            <w:tcBorders>
              <w:top w:val="single" w:sz="4" w:space="0" w:color="auto"/>
              <w:left w:val="single" w:sz="4" w:space="0" w:color="auto"/>
              <w:bottom w:val="single" w:sz="4" w:space="0" w:color="auto"/>
              <w:right w:val="single" w:sz="4" w:space="0" w:color="auto"/>
            </w:tcBorders>
          </w:tcPr>
          <w:p w14:paraId="77B9231B" w14:textId="239655B1"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Southern escarpment ash forest (PCT 3311)</w:t>
            </w:r>
          </w:p>
        </w:tc>
        <w:tc>
          <w:tcPr>
            <w:tcW w:w="877" w:type="pct"/>
            <w:tcBorders>
              <w:top w:val="single" w:sz="4" w:space="0" w:color="auto"/>
              <w:left w:val="single" w:sz="4" w:space="0" w:color="auto"/>
              <w:bottom w:val="single" w:sz="4" w:space="0" w:color="auto"/>
              <w:right w:val="single" w:sz="4" w:space="0" w:color="auto"/>
            </w:tcBorders>
          </w:tcPr>
          <w:p w14:paraId="1484B215" w14:textId="6D5D191A"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 - not listed</w:t>
            </w:r>
          </w:p>
        </w:tc>
        <w:tc>
          <w:tcPr>
            <w:tcW w:w="620" w:type="pct"/>
            <w:tcBorders>
              <w:top w:val="single" w:sz="4" w:space="0" w:color="auto"/>
              <w:left w:val="single" w:sz="4" w:space="0" w:color="auto"/>
              <w:bottom w:val="single" w:sz="4" w:space="0" w:color="auto"/>
              <w:right w:val="single" w:sz="4" w:space="0" w:color="auto"/>
            </w:tcBorders>
          </w:tcPr>
          <w:p w14:paraId="41B07911" w14:textId="2798EE5C" w:rsidR="00BB580D" w:rsidRPr="00BB580D" w:rsidRDefault="00BB580D" w:rsidP="00BB580D">
            <w:pPr>
              <w:spacing w:after="0" w:line="240" w:lineRule="auto"/>
              <w:rPr>
                <w:rFonts w:eastAsia="Times New Roman" w:cstheme="minorHAnsi"/>
                <w:sz w:val="20"/>
                <w:szCs w:val="20"/>
                <w:lang w:eastAsia="en-AU"/>
              </w:rPr>
            </w:pPr>
            <w:r w:rsidRPr="00BB580D">
              <w:rPr>
                <w:rFonts w:eastAsia="Times New Roman" w:cstheme="minorHAnsi"/>
                <w:sz w:val="20"/>
                <w:szCs w:val="20"/>
                <w:lang w:eastAsia="en-AU"/>
              </w:rPr>
              <w:t>NSW</w:t>
            </w:r>
          </w:p>
        </w:tc>
      </w:tr>
    </w:tbl>
    <w:p w14:paraId="52277AC2" w14:textId="77777777" w:rsidR="008F266B" w:rsidRPr="00BB580D" w:rsidRDefault="008F266B" w:rsidP="008F266B"/>
    <w:sectPr w:rsidR="008F266B" w:rsidRPr="00BB580D" w:rsidSect="0086396C">
      <w:headerReference w:type="default" r:id="rId7"/>
      <w:headerReference w:type="first" r:id="rId8"/>
      <w:pgSz w:w="16838" w:h="11906" w:orient="landscape"/>
      <w:pgMar w:top="1134" w:right="1134" w:bottom="1134"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4180D" w16cex:dateUtc="2020-10-04T01: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F4DED" w14:textId="77777777" w:rsidR="00746D23" w:rsidRDefault="00746D23" w:rsidP="0086396C">
      <w:pPr>
        <w:spacing w:after="0" w:line="240" w:lineRule="auto"/>
      </w:pPr>
      <w:r>
        <w:separator/>
      </w:r>
    </w:p>
  </w:endnote>
  <w:endnote w:type="continuationSeparator" w:id="0">
    <w:p w14:paraId="478336C1" w14:textId="77777777" w:rsidR="00746D23" w:rsidRDefault="00746D23" w:rsidP="00863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1EB42" w14:textId="77777777" w:rsidR="00746D23" w:rsidRDefault="00746D23" w:rsidP="0086396C">
      <w:pPr>
        <w:spacing w:after="0" w:line="240" w:lineRule="auto"/>
      </w:pPr>
      <w:r>
        <w:separator/>
      </w:r>
    </w:p>
  </w:footnote>
  <w:footnote w:type="continuationSeparator" w:id="0">
    <w:p w14:paraId="5D907C16" w14:textId="77777777" w:rsidR="00746D23" w:rsidRDefault="00746D23" w:rsidP="00863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0651D" w14:textId="4FE8F115" w:rsidR="003B6662" w:rsidRDefault="003B6662">
    <w:pPr>
      <w:pStyle w:val="Header"/>
    </w:pPr>
  </w:p>
  <w:p w14:paraId="6404C4F2" w14:textId="77777777" w:rsidR="003B6662" w:rsidRDefault="003B66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90109" w14:textId="09AD28E4" w:rsidR="003B6662" w:rsidRDefault="003B6662">
    <w:pPr>
      <w:pStyle w:val="Header"/>
    </w:pPr>
    <w:r>
      <w:rPr>
        <w:noProof/>
        <w:lang w:eastAsia="en-AU"/>
      </w:rPr>
      <w:drawing>
        <wp:inline distT="0" distB="0" distL="0" distR="0" wp14:anchorId="7BB2D9DD" wp14:editId="175CFD15">
          <wp:extent cx="2123264" cy="637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ster_Inline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3264" cy="637247"/>
                  </a:xfrm>
                  <a:prstGeom prst="rect">
                    <a:avLst/>
                  </a:prstGeom>
                </pic:spPr>
              </pic:pic>
            </a:graphicData>
          </a:graphic>
        </wp:inline>
      </w:drawing>
    </w:r>
  </w:p>
  <w:p w14:paraId="5306622F" w14:textId="77777777" w:rsidR="003B6662" w:rsidRDefault="003B66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A27AC"/>
    <w:multiLevelType w:val="hybridMultilevel"/>
    <w:tmpl w:val="63A8A4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3C13C5"/>
    <w:multiLevelType w:val="hybridMultilevel"/>
    <w:tmpl w:val="288AB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5C7052"/>
    <w:multiLevelType w:val="hybridMultilevel"/>
    <w:tmpl w:val="84344A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E0C3878"/>
    <w:multiLevelType w:val="hybridMultilevel"/>
    <w:tmpl w:val="287EDB4E"/>
    <w:lvl w:ilvl="0" w:tplc="BFD86DEA">
      <w:start w:val="1"/>
      <w:numFmt w:val="upperLetter"/>
      <w:lvlText w:val="%1."/>
      <w:lvlJc w:val="left"/>
      <w:pPr>
        <w:ind w:left="534" w:hanging="195"/>
        <w:jc w:val="left"/>
      </w:pPr>
      <w:rPr>
        <w:rFonts w:ascii="Calibri Light" w:eastAsia="Calibri Light" w:hAnsi="Calibri Light" w:cs="Calibri Light" w:hint="default"/>
        <w:i/>
        <w:color w:val="4471C4"/>
        <w:spacing w:val="-1"/>
        <w:w w:val="100"/>
        <w:sz w:val="22"/>
        <w:szCs w:val="22"/>
        <w:lang w:val="en-AU" w:eastAsia="en-AU" w:bidi="en-AU"/>
      </w:rPr>
    </w:lvl>
    <w:lvl w:ilvl="1" w:tplc="025843CA">
      <w:start w:val="1"/>
      <w:numFmt w:val="lowerRoman"/>
      <w:lvlText w:val="%2)"/>
      <w:lvlJc w:val="left"/>
      <w:pPr>
        <w:ind w:left="1048" w:hanging="370"/>
        <w:jc w:val="left"/>
      </w:pPr>
      <w:rPr>
        <w:rFonts w:ascii="Calibri" w:eastAsia="Calibri" w:hAnsi="Calibri" w:cs="Calibri" w:hint="default"/>
        <w:spacing w:val="-1"/>
        <w:w w:val="100"/>
        <w:sz w:val="22"/>
        <w:szCs w:val="22"/>
        <w:lang w:val="en-AU" w:eastAsia="en-AU" w:bidi="en-AU"/>
      </w:rPr>
    </w:lvl>
    <w:lvl w:ilvl="2" w:tplc="28A0C59C">
      <w:numFmt w:val="bullet"/>
      <w:lvlText w:val="•"/>
      <w:lvlJc w:val="left"/>
      <w:pPr>
        <w:ind w:left="767" w:hanging="161"/>
      </w:pPr>
      <w:rPr>
        <w:rFonts w:ascii="Calibri" w:eastAsia="Calibri" w:hAnsi="Calibri" w:cs="Calibri" w:hint="default"/>
        <w:w w:val="100"/>
        <w:sz w:val="22"/>
        <w:szCs w:val="22"/>
        <w:lang w:val="en-AU" w:eastAsia="en-AU" w:bidi="en-AU"/>
      </w:rPr>
    </w:lvl>
    <w:lvl w:ilvl="3" w:tplc="6D60904E">
      <w:numFmt w:val="bullet"/>
      <w:lvlText w:val="•"/>
      <w:lvlJc w:val="left"/>
      <w:pPr>
        <w:ind w:left="2280" w:hanging="161"/>
      </w:pPr>
      <w:rPr>
        <w:rFonts w:hint="default"/>
        <w:lang w:val="en-AU" w:eastAsia="en-AU" w:bidi="en-AU"/>
      </w:rPr>
    </w:lvl>
    <w:lvl w:ilvl="4" w:tplc="72BADCCE">
      <w:numFmt w:val="bullet"/>
      <w:lvlText w:val="•"/>
      <w:lvlJc w:val="left"/>
      <w:pPr>
        <w:ind w:left="3521" w:hanging="161"/>
      </w:pPr>
      <w:rPr>
        <w:rFonts w:hint="default"/>
        <w:lang w:val="en-AU" w:eastAsia="en-AU" w:bidi="en-AU"/>
      </w:rPr>
    </w:lvl>
    <w:lvl w:ilvl="5" w:tplc="88189EF0">
      <w:numFmt w:val="bullet"/>
      <w:lvlText w:val="•"/>
      <w:lvlJc w:val="left"/>
      <w:pPr>
        <w:ind w:left="4762" w:hanging="161"/>
      </w:pPr>
      <w:rPr>
        <w:rFonts w:hint="default"/>
        <w:lang w:val="en-AU" w:eastAsia="en-AU" w:bidi="en-AU"/>
      </w:rPr>
    </w:lvl>
    <w:lvl w:ilvl="6" w:tplc="E3FCE07E">
      <w:numFmt w:val="bullet"/>
      <w:lvlText w:val="•"/>
      <w:lvlJc w:val="left"/>
      <w:pPr>
        <w:ind w:left="6003" w:hanging="161"/>
      </w:pPr>
      <w:rPr>
        <w:rFonts w:hint="default"/>
        <w:lang w:val="en-AU" w:eastAsia="en-AU" w:bidi="en-AU"/>
      </w:rPr>
    </w:lvl>
    <w:lvl w:ilvl="7" w:tplc="BE28A892">
      <w:numFmt w:val="bullet"/>
      <w:lvlText w:val="•"/>
      <w:lvlJc w:val="left"/>
      <w:pPr>
        <w:ind w:left="7244" w:hanging="161"/>
      </w:pPr>
      <w:rPr>
        <w:rFonts w:hint="default"/>
        <w:lang w:val="en-AU" w:eastAsia="en-AU" w:bidi="en-AU"/>
      </w:rPr>
    </w:lvl>
    <w:lvl w:ilvl="8" w:tplc="85A45BF6">
      <w:numFmt w:val="bullet"/>
      <w:lvlText w:val="•"/>
      <w:lvlJc w:val="left"/>
      <w:pPr>
        <w:ind w:left="8484" w:hanging="161"/>
      </w:pPr>
      <w:rPr>
        <w:rFonts w:hint="default"/>
        <w:lang w:val="en-AU" w:eastAsia="en-AU" w:bidi="en-AU"/>
      </w:rPr>
    </w:lvl>
  </w:abstractNum>
  <w:abstractNum w:abstractNumId="4" w15:restartNumberingAfterBreak="0">
    <w:nsid w:val="66C67A46"/>
    <w:multiLevelType w:val="hybridMultilevel"/>
    <w:tmpl w:val="670A6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D76"/>
    <w:rsid w:val="00024296"/>
    <w:rsid w:val="0007168B"/>
    <w:rsid w:val="00174B10"/>
    <w:rsid w:val="002415B3"/>
    <w:rsid w:val="0028223D"/>
    <w:rsid w:val="00295041"/>
    <w:rsid w:val="00342288"/>
    <w:rsid w:val="003B6662"/>
    <w:rsid w:val="003D5182"/>
    <w:rsid w:val="004559E2"/>
    <w:rsid w:val="004C300F"/>
    <w:rsid w:val="0052383C"/>
    <w:rsid w:val="00543BBE"/>
    <w:rsid w:val="0057286A"/>
    <w:rsid w:val="005868CF"/>
    <w:rsid w:val="006125D7"/>
    <w:rsid w:val="00634541"/>
    <w:rsid w:val="006701E7"/>
    <w:rsid w:val="00746D23"/>
    <w:rsid w:val="00782ADF"/>
    <w:rsid w:val="007C1651"/>
    <w:rsid w:val="007F1259"/>
    <w:rsid w:val="00800A2B"/>
    <w:rsid w:val="00815C56"/>
    <w:rsid w:val="008370B6"/>
    <w:rsid w:val="0086396C"/>
    <w:rsid w:val="008F266B"/>
    <w:rsid w:val="009D663F"/>
    <w:rsid w:val="00B13C6E"/>
    <w:rsid w:val="00B1664E"/>
    <w:rsid w:val="00B83B05"/>
    <w:rsid w:val="00B92AE4"/>
    <w:rsid w:val="00BB0B7F"/>
    <w:rsid w:val="00BB580D"/>
    <w:rsid w:val="00C16879"/>
    <w:rsid w:val="00C47D76"/>
    <w:rsid w:val="00C8583E"/>
    <w:rsid w:val="00E234CB"/>
    <w:rsid w:val="00E569AD"/>
    <w:rsid w:val="00E86EE0"/>
    <w:rsid w:val="00EB1DD9"/>
    <w:rsid w:val="00EF21C3"/>
    <w:rsid w:val="00F372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17337E"/>
  <w15:chartTrackingRefBased/>
  <w15:docId w15:val="{A903DD0C-AC46-4B39-986A-BDE544FF8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72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37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F37222"/>
    <w:pPr>
      <w:widowControl w:val="0"/>
      <w:autoSpaceDE w:val="0"/>
      <w:autoSpaceDN w:val="0"/>
      <w:spacing w:after="0" w:line="240" w:lineRule="auto"/>
      <w:ind w:left="180" w:hanging="360"/>
      <w:outlineLvl w:val="2"/>
    </w:pPr>
    <w:rPr>
      <w:rFonts w:ascii="Calibri" w:eastAsia="Calibri" w:hAnsi="Calibri" w:cs="Calibri"/>
      <w:sz w:val="24"/>
      <w:szCs w:val="24"/>
      <w:lang w:eastAsia="en-AU" w:bidi="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7D7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aliases w:val="DDM Gen Text,List Paragraph1,NFP GP Bulleted List,Recommendation,List Paragraph11,1 heading,Contents List Paragraph,M1M2 Heading 2,List 1 Paragraph"/>
    <w:basedOn w:val="Normal"/>
    <w:link w:val="ListParagraphChar"/>
    <w:uiPriority w:val="34"/>
    <w:qFormat/>
    <w:rsid w:val="00295041"/>
    <w:pPr>
      <w:ind w:left="720"/>
      <w:contextualSpacing/>
    </w:pPr>
  </w:style>
  <w:style w:type="paragraph" w:styleId="BodyText">
    <w:name w:val="Body Text"/>
    <w:basedOn w:val="Normal"/>
    <w:link w:val="BodyTextChar"/>
    <w:uiPriority w:val="1"/>
    <w:qFormat/>
    <w:rsid w:val="00174B10"/>
    <w:pPr>
      <w:widowControl w:val="0"/>
      <w:autoSpaceDE w:val="0"/>
      <w:autoSpaceDN w:val="0"/>
      <w:spacing w:after="0" w:line="240" w:lineRule="auto"/>
    </w:pPr>
    <w:rPr>
      <w:rFonts w:ascii="Calibri" w:eastAsia="Calibri" w:hAnsi="Calibri" w:cs="Calibri"/>
      <w:lang w:eastAsia="en-AU" w:bidi="en-AU"/>
    </w:rPr>
  </w:style>
  <w:style w:type="character" w:customStyle="1" w:styleId="BodyTextChar">
    <w:name w:val="Body Text Char"/>
    <w:basedOn w:val="DefaultParagraphFont"/>
    <w:link w:val="BodyText"/>
    <w:uiPriority w:val="1"/>
    <w:rsid w:val="00174B10"/>
    <w:rPr>
      <w:rFonts w:ascii="Calibri" w:eastAsia="Calibri" w:hAnsi="Calibri" w:cs="Calibri"/>
      <w:lang w:eastAsia="en-AU" w:bidi="en-AU"/>
    </w:rPr>
  </w:style>
  <w:style w:type="paragraph" w:styleId="Caption">
    <w:name w:val="caption"/>
    <w:basedOn w:val="Normal"/>
    <w:next w:val="Normal"/>
    <w:uiPriority w:val="35"/>
    <w:unhideWhenUsed/>
    <w:qFormat/>
    <w:rsid w:val="00174B10"/>
    <w:pPr>
      <w:spacing w:after="200" w:line="240" w:lineRule="auto"/>
    </w:pPr>
    <w:rPr>
      <w:i/>
      <w:iCs/>
      <w:color w:val="44546A" w:themeColor="text2"/>
      <w:sz w:val="18"/>
      <w:szCs w:val="18"/>
    </w:rPr>
  </w:style>
  <w:style w:type="character" w:customStyle="1" w:styleId="Heading3Char">
    <w:name w:val="Heading 3 Char"/>
    <w:basedOn w:val="DefaultParagraphFont"/>
    <w:link w:val="Heading3"/>
    <w:uiPriority w:val="9"/>
    <w:rsid w:val="00F37222"/>
    <w:rPr>
      <w:rFonts w:ascii="Calibri" w:eastAsia="Calibri" w:hAnsi="Calibri" w:cs="Calibri"/>
      <w:sz w:val="24"/>
      <w:szCs w:val="24"/>
      <w:lang w:eastAsia="en-AU" w:bidi="en-AU"/>
    </w:rPr>
  </w:style>
  <w:style w:type="paragraph" w:customStyle="1" w:styleId="TableParagraph">
    <w:name w:val="Table Paragraph"/>
    <w:basedOn w:val="Normal"/>
    <w:uiPriority w:val="1"/>
    <w:qFormat/>
    <w:rsid w:val="00F37222"/>
    <w:pPr>
      <w:widowControl w:val="0"/>
      <w:autoSpaceDE w:val="0"/>
      <w:autoSpaceDN w:val="0"/>
      <w:spacing w:after="0" w:line="240" w:lineRule="auto"/>
    </w:pPr>
    <w:rPr>
      <w:rFonts w:ascii="Calibri" w:eastAsia="Calibri" w:hAnsi="Calibri" w:cs="Calibri"/>
      <w:lang w:eastAsia="en-AU" w:bidi="en-AU"/>
    </w:rPr>
  </w:style>
  <w:style w:type="character" w:customStyle="1" w:styleId="Heading2Char">
    <w:name w:val="Heading 2 Char"/>
    <w:basedOn w:val="DefaultParagraphFont"/>
    <w:link w:val="Heading2"/>
    <w:uiPriority w:val="9"/>
    <w:rsid w:val="00F3722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F37222"/>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3422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2288"/>
    <w:rPr>
      <w:rFonts w:ascii="Segoe UI" w:hAnsi="Segoe UI" w:cs="Segoe UI"/>
      <w:sz w:val="18"/>
      <w:szCs w:val="18"/>
    </w:rPr>
  </w:style>
  <w:style w:type="character" w:customStyle="1" w:styleId="ListParagraphChar">
    <w:name w:val="List Paragraph Char"/>
    <w:aliases w:val="DDM Gen Text Char,List Paragraph1 Char,NFP GP Bulleted List Char,Recommendation Char,List Paragraph11 Char,1 heading Char,Contents List Paragraph Char,M1M2 Heading 2 Char,List 1 Paragraph Char"/>
    <w:basedOn w:val="DefaultParagraphFont"/>
    <w:link w:val="ListParagraph"/>
    <w:uiPriority w:val="34"/>
    <w:rsid w:val="009D663F"/>
  </w:style>
  <w:style w:type="character" w:styleId="CommentReference">
    <w:name w:val="annotation reference"/>
    <w:basedOn w:val="DefaultParagraphFont"/>
    <w:uiPriority w:val="99"/>
    <w:semiHidden/>
    <w:unhideWhenUsed/>
    <w:rsid w:val="0057286A"/>
    <w:rPr>
      <w:sz w:val="16"/>
      <w:szCs w:val="16"/>
    </w:rPr>
  </w:style>
  <w:style w:type="paragraph" w:styleId="CommentText">
    <w:name w:val="annotation text"/>
    <w:basedOn w:val="Normal"/>
    <w:link w:val="CommentTextChar"/>
    <w:uiPriority w:val="99"/>
    <w:semiHidden/>
    <w:unhideWhenUsed/>
    <w:rsid w:val="0057286A"/>
    <w:pPr>
      <w:spacing w:line="240" w:lineRule="auto"/>
    </w:pPr>
    <w:rPr>
      <w:sz w:val="20"/>
      <w:szCs w:val="20"/>
    </w:rPr>
  </w:style>
  <w:style w:type="character" w:customStyle="1" w:styleId="CommentTextChar">
    <w:name w:val="Comment Text Char"/>
    <w:basedOn w:val="DefaultParagraphFont"/>
    <w:link w:val="CommentText"/>
    <w:uiPriority w:val="99"/>
    <w:semiHidden/>
    <w:rsid w:val="0057286A"/>
    <w:rPr>
      <w:sz w:val="20"/>
      <w:szCs w:val="20"/>
    </w:rPr>
  </w:style>
  <w:style w:type="paragraph" w:styleId="CommentSubject">
    <w:name w:val="annotation subject"/>
    <w:basedOn w:val="CommentText"/>
    <w:next w:val="CommentText"/>
    <w:link w:val="CommentSubjectChar"/>
    <w:uiPriority w:val="99"/>
    <w:semiHidden/>
    <w:unhideWhenUsed/>
    <w:rsid w:val="0057286A"/>
    <w:rPr>
      <w:b/>
      <w:bCs/>
    </w:rPr>
  </w:style>
  <w:style w:type="character" w:customStyle="1" w:styleId="CommentSubjectChar">
    <w:name w:val="Comment Subject Char"/>
    <w:basedOn w:val="CommentTextChar"/>
    <w:link w:val="CommentSubject"/>
    <w:uiPriority w:val="99"/>
    <w:semiHidden/>
    <w:rsid w:val="0057286A"/>
    <w:rPr>
      <w:b/>
      <w:bCs/>
      <w:sz w:val="20"/>
      <w:szCs w:val="20"/>
    </w:rPr>
  </w:style>
  <w:style w:type="paragraph" w:styleId="Header">
    <w:name w:val="header"/>
    <w:basedOn w:val="Normal"/>
    <w:link w:val="HeaderChar"/>
    <w:uiPriority w:val="99"/>
    <w:unhideWhenUsed/>
    <w:rsid w:val="008639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396C"/>
  </w:style>
  <w:style w:type="paragraph" w:styleId="Footer">
    <w:name w:val="footer"/>
    <w:basedOn w:val="Normal"/>
    <w:link w:val="FooterChar"/>
    <w:uiPriority w:val="99"/>
    <w:unhideWhenUsed/>
    <w:rsid w:val="008639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3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92060">
      <w:bodyDiv w:val="1"/>
      <w:marLeft w:val="0"/>
      <w:marRight w:val="0"/>
      <w:marTop w:val="0"/>
      <w:marBottom w:val="0"/>
      <w:divBdr>
        <w:top w:val="none" w:sz="0" w:space="0" w:color="auto"/>
        <w:left w:val="none" w:sz="0" w:space="0" w:color="auto"/>
        <w:bottom w:val="none" w:sz="0" w:space="0" w:color="auto"/>
        <w:right w:val="none" w:sz="0" w:space="0" w:color="auto"/>
      </w:divBdr>
    </w:div>
    <w:div w:id="414715157">
      <w:bodyDiv w:val="1"/>
      <w:marLeft w:val="0"/>
      <w:marRight w:val="0"/>
      <w:marTop w:val="0"/>
      <w:marBottom w:val="0"/>
      <w:divBdr>
        <w:top w:val="none" w:sz="0" w:space="0" w:color="auto"/>
        <w:left w:val="none" w:sz="0" w:space="0" w:color="auto"/>
        <w:bottom w:val="none" w:sz="0" w:space="0" w:color="auto"/>
        <w:right w:val="none" w:sz="0" w:space="0" w:color="auto"/>
      </w:divBdr>
    </w:div>
    <w:div w:id="680663079">
      <w:bodyDiv w:val="1"/>
      <w:marLeft w:val="0"/>
      <w:marRight w:val="0"/>
      <w:marTop w:val="0"/>
      <w:marBottom w:val="0"/>
      <w:divBdr>
        <w:top w:val="none" w:sz="0" w:space="0" w:color="auto"/>
        <w:left w:val="none" w:sz="0" w:space="0" w:color="auto"/>
        <w:bottom w:val="none" w:sz="0" w:space="0" w:color="auto"/>
        <w:right w:val="none" w:sz="0" w:space="0" w:color="auto"/>
      </w:divBdr>
    </w:div>
    <w:div w:id="1167787401">
      <w:bodyDiv w:val="1"/>
      <w:marLeft w:val="0"/>
      <w:marRight w:val="0"/>
      <w:marTop w:val="0"/>
      <w:marBottom w:val="0"/>
      <w:divBdr>
        <w:top w:val="none" w:sz="0" w:space="0" w:color="auto"/>
        <w:left w:val="none" w:sz="0" w:space="0" w:color="auto"/>
        <w:bottom w:val="none" w:sz="0" w:space="0" w:color="auto"/>
        <w:right w:val="none" w:sz="0" w:space="0" w:color="auto"/>
      </w:divBdr>
    </w:div>
    <w:div w:id="16074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5816</Words>
  <Characters>33155</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Ward</dc:creator>
  <cp:keywords/>
  <dc:description/>
  <cp:lastModifiedBy>Glenn Block</cp:lastModifiedBy>
  <cp:revision>5</cp:revision>
  <dcterms:created xsi:type="dcterms:W3CDTF">2020-10-08T00:15:00Z</dcterms:created>
  <dcterms:modified xsi:type="dcterms:W3CDTF">2020-10-11T22:42:00Z</dcterms:modified>
</cp:coreProperties>
</file>