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4A2" w:rsidRDefault="00CF5CAE" w:rsidP="000064A2">
      <w:pPr>
        <w:jc w:val="right"/>
      </w:pPr>
      <w:bookmarkStart w:id="0" w:name="_GoBack"/>
      <w:bookmarkEnd w:id="0"/>
      <w:r w:rsidRPr="0012744F">
        <w:t xml:space="preserve">Ref: </w:t>
      </w:r>
      <w:r w:rsidR="00D4581E">
        <w:t>000103926</w:t>
      </w:r>
    </w:p>
    <w:p w:rsidR="00CF5CAE" w:rsidRDefault="00CF5CAE" w:rsidP="00D4581E">
      <w:pPr>
        <w:spacing w:after="360"/>
        <w:contextualSpacing/>
      </w:pPr>
      <w:r w:rsidRPr="00D4581E">
        <w:t xml:space="preserve">The Hon </w:t>
      </w:r>
      <w:r w:rsidR="00D4581E" w:rsidRPr="00D4581E">
        <w:t>Bill Byrne MP</w:t>
      </w:r>
      <w:r w:rsidRPr="00D4581E">
        <w:br/>
        <w:t xml:space="preserve">Minister for </w:t>
      </w:r>
      <w:r w:rsidR="00D4581E" w:rsidRPr="00D4581E">
        <w:t>Agriculture and Fisheries</w:t>
      </w:r>
      <w:r w:rsidRPr="00D4581E">
        <w:br/>
      </w:r>
      <w:r w:rsidR="00D4581E" w:rsidRPr="00D4581E">
        <w:t>GPO Box 46</w:t>
      </w:r>
      <w:r w:rsidR="00D4581E" w:rsidRPr="00D4581E">
        <w:br/>
        <w:t>BRISBANE QLD 4001</w:t>
      </w:r>
    </w:p>
    <w:p w:rsidR="00D4581E" w:rsidRDefault="00D4581E" w:rsidP="00CF5CAE"/>
    <w:p w:rsidR="00CF5CAE" w:rsidRDefault="00CF5CAE" w:rsidP="00CF5CAE">
      <w:r>
        <w:t>Dear Minister</w:t>
      </w:r>
    </w:p>
    <w:p w:rsidR="00CF5CAE" w:rsidRDefault="00CF5CAE" w:rsidP="00CF5CAE">
      <w:pPr>
        <w:widowControl w:val="0"/>
        <w:rPr>
          <w:rFonts w:cs="Arial"/>
        </w:rPr>
      </w:pPr>
      <w:r w:rsidRPr="00822585">
        <w:rPr>
          <w:rFonts w:cs="Arial"/>
          <w:lang w:val="en-US"/>
        </w:rPr>
        <w:t xml:space="preserve">I am writing to you as </w:t>
      </w:r>
      <w:r w:rsidRPr="001F537C">
        <w:rPr>
          <w:rFonts w:cs="Arial"/>
          <w:lang w:val="en-US"/>
        </w:rPr>
        <w:t>Delegate of the Minister</w:t>
      </w:r>
      <w:r w:rsidRPr="00822585">
        <w:rPr>
          <w:rFonts w:cs="Arial"/>
          <w:lang w:val="en-US"/>
        </w:rPr>
        <w:t xml:space="preserve"> for </w:t>
      </w:r>
      <w:r>
        <w:rPr>
          <w:rFonts w:cs="Arial"/>
          <w:lang w:val="en-US"/>
        </w:rPr>
        <w:t>the Environment</w:t>
      </w:r>
      <w:r w:rsidRPr="00822585">
        <w:rPr>
          <w:rFonts w:cs="Arial"/>
          <w:lang w:val="en-US"/>
        </w:rPr>
        <w:t xml:space="preserve"> </w:t>
      </w:r>
      <w:r w:rsidR="00EA61DD">
        <w:rPr>
          <w:rFonts w:cs="Arial"/>
          <w:lang w:val="en-US"/>
        </w:rPr>
        <w:t xml:space="preserve">and Energy </w:t>
      </w:r>
      <w:r w:rsidRPr="00822585">
        <w:rPr>
          <w:rFonts w:cs="Arial"/>
          <w:lang w:val="en-US"/>
        </w:rPr>
        <w:t>in relation to</w:t>
      </w:r>
      <w:r>
        <w:rPr>
          <w:rFonts w:cs="Arial"/>
          <w:lang w:val="en-US"/>
        </w:rPr>
        <w:t xml:space="preserve"> the</w:t>
      </w:r>
      <w:r w:rsidRPr="00822585">
        <w:rPr>
          <w:rFonts w:cs="Arial"/>
          <w:lang w:val="en-US"/>
        </w:rPr>
        <w:t xml:space="preserve"> </w:t>
      </w:r>
      <w:r w:rsidRPr="00F21E5F">
        <w:rPr>
          <w:rFonts w:cs="Arial"/>
          <w:lang w:val="en-US"/>
        </w:rPr>
        <w:t xml:space="preserve">reassessment of the </w:t>
      </w:r>
      <w:r w:rsidR="001F537C">
        <w:rPr>
          <w:rFonts w:cs="Arial"/>
          <w:lang w:val="en-US"/>
        </w:rPr>
        <w:t>Queensland Coral Reef Fin Fish Fishery</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CF5CAE" w:rsidRPr="00B66855" w:rsidRDefault="00CF5CAE" w:rsidP="00CF5CAE">
      <w:r>
        <w:rPr>
          <w:rFonts w:cs="Arial"/>
        </w:rPr>
        <w:t xml:space="preserve">The </w:t>
      </w:r>
      <w:r w:rsidR="001F537C">
        <w:rPr>
          <w:rFonts w:cs="Arial"/>
          <w:lang w:val="en-US"/>
        </w:rPr>
        <w:t>Queensland Coral Reef Fin Fish Fishery</w:t>
      </w:r>
      <w:r>
        <w:rPr>
          <w:rFonts w:cs="Arial"/>
        </w:rPr>
        <w:t xml:space="preserve"> </w:t>
      </w:r>
      <w:r>
        <w:rPr>
          <w:rFonts w:cs="Arial"/>
          <w:lang w:val="en-US"/>
        </w:rPr>
        <w:t xml:space="preserve">was </w:t>
      </w:r>
      <w:r w:rsidR="00897D48">
        <w:rPr>
          <w:rFonts w:cs="Arial"/>
          <w:lang w:val="en-US"/>
        </w:rPr>
        <w:t>last</w:t>
      </w:r>
      <w:r>
        <w:rPr>
          <w:rFonts w:cs="Arial"/>
          <w:lang w:val="en-US"/>
        </w:rPr>
        <w:t xml:space="preserve">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rsidR="001F537C">
        <w:t>June 2013.</w:t>
      </w:r>
      <w:r w:rsidRPr="00906040">
        <w:rPr>
          <w:iCs/>
        </w:rPr>
        <w:t xml:space="preserve"> </w:t>
      </w:r>
      <w:r w:rsidR="001F537C">
        <w:t xml:space="preserve">As a result of the 2013 assessment, the Delegate of the then </w:t>
      </w:r>
      <w:r w:rsidR="001F537C" w:rsidRPr="001F537C">
        <w:t xml:space="preserve">Minister for </w:t>
      </w:r>
      <w:r w:rsidR="001F537C">
        <w:rPr>
          <w:lang w:val="en-US"/>
        </w:rPr>
        <w:t>Sustainability, Environment, Water, Population and Communities</w:t>
      </w:r>
      <w:r w:rsidR="001F537C">
        <w:t xml:space="preserve"> declared </w:t>
      </w:r>
      <w:r w:rsidRPr="00906040">
        <w:t xml:space="preserve">the </w:t>
      </w:r>
      <w:r w:rsidR="001F537C">
        <w:rPr>
          <w:rFonts w:cs="Arial"/>
          <w:lang w:val="en-US"/>
        </w:rPr>
        <w:t>Queensland Coral Reef Fin Fish Fishery</w:t>
      </w:r>
      <w:r w:rsidR="001F537C">
        <w:rPr>
          <w:rFonts w:cs="Arial"/>
        </w:rPr>
        <w:t xml:space="preserve"> </w:t>
      </w:r>
      <w:r w:rsidRPr="00906040">
        <w:t xml:space="preserve">an approved wildlife trade operation under </w:t>
      </w:r>
      <w:r>
        <w:t>P</w:t>
      </w:r>
      <w:r w:rsidRPr="00906040">
        <w:t xml:space="preserve">art 13A of the EPBC Act for a period </w:t>
      </w:r>
      <w:r w:rsidRPr="00B66855">
        <w:t xml:space="preserve">of </w:t>
      </w:r>
      <w:r w:rsidR="001F537C">
        <w:t>three</w:t>
      </w:r>
      <w:r w:rsidR="001F537C" w:rsidRPr="00B66855">
        <w:t xml:space="preserve"> </w:t>
      </w:r>
      <w:r w:rsidRPr="00B66855">
        <w:t>years</w:t>
      </w:r>
      <w:r>
        <w:t>.</w:t>
      </w:r>
      <w:r w:rsidRPr="00906040">
        <w:t xml:space="preserve"> </w:t>
      </w:r>
      <w:r>
        <w:t>This</w:t>
      </w:r>
      <w:r w:rsidRPr="00906040">
        <w:t xml:space="preserve"> allow</w:t>
      </w:r>
      <w:r>
        <w:t>ed</w:t>
      </w:r>
      <w:r w:rsidRPr="00906040">
        <w:t xml:space="preserve"> export of product from the fishery</w:t>
      </w:r>
      <w:r>
        <w:t xml:space="preserve"> during the period of the declaration.</w:t>
      </w:r>
      <w:r w:rsidR="001F537C">
        <w:t xml:space="preserve"> </w:t>
      </w:r>
    </w:p>
    <w:p w:rsidR="00152A0B" w:rsidRPr="00152A0B" w:rsidRDefault="00CF5CAE" w:rsidP="00CF5CAE">
      <w:pPr>
        <w:rPr>
          <w:rFonts w:cs="Arial"/>
          <w:lang w:val="en-US"/>
        </w:rPr>
      </w:pPr>
      <w:r w:rsidRPr="00822585">
        <w:rPr>
          <w:rFonts w:cs="Arial"/>
        </w:rPr>
        <w:t xml:space="preserve">In </w:t>
      </w:r>
      <w:r w:rsidR="001F537C">
        <w:t>February 2016,</w:t>
      </w:r>
      <w:r w:rsidRPr="00297D18">
        <w:rPr>
          <w:rFonts w:cs="Arial"/>
        </w:rPr>
        <w:t xml:space="preserve"> the </w:t>
      </w:r>
      <w:r w:rsidR="001F537C" w:rsidRPr="00546919">
        <w:rPr>
          <w:rFonts w:cs="Arial"/>
        </w:rPr>
        <w:t xml:space="preserve">Queensland Department of Agriculture and Fisheries </w:t>
      </w:r>
      <w:r w:rsidRPr="00822585">
        <w:rPr>
          <w:rFonts w:cs="Arial"/>
        </w:rPr>
        <w:t>provided an application to t</w:t>
      </w:r>
      <w:r>
        <w:rPr>
          <w:rFonts w:cs="Arial"/>
        </w:rPr>
        <w:t>he Department of the Environment</w:t>
      </w:r>
      <w:r w:rsidR="00EA61DD">
        <w:rPr>
          <w:rFonts w:cs="Arial"/>
        </w:rPr>
        <w:t xml:space="preserve"> and Energy</w:t>
      </w:r>
      <w:r>
        <w:rPr>
          <w:rFonts w:cs="Arial"/>
        </w:rPr>
        <w:t xml:space="preserve"> </w:t>
      </w:r>
      <w:r w:rsidRPr="00822585">
        <w:rPr>
          <w:rFonts w:cs="Arial"/>
        </w:rPr>
        <w:t xml:space="preserve">seeking continued export approval </w:t>
      </w:r>
      <w:r>
        <w:rPr>
          <w:rFonts w:cs="Arial"/>
        </w:rPr>
        <w:t xml:space="preserve">for the </w:t>
      </w:r>
      <w:r w:rsidR="007261E4">
        <w:rPr>
          <w:rFonts w:cs="Arial"/>
          <w:lang w:val="en-US"/>
        </w:rPr>
        <w:t>Queensland Coral Reef Fin Fish Fishery.</w:t>
      </w:r>
      <w:r w:rsidR="00152A0B">
        <w:rPr>
          <w:rFonts w:cs="Arial"/>
          <w:lang w:val="en-US"/>
        </w:rPr>
        <w:t xml:space="preserve"> </w:t>
      </w:r>
      <w:r w:rsidR="00152A0B" w:rsidRPr="003C38ED">
        <w:rPr>
          <w:rFonts w:cs="Arial"/>
        </w:rPr>
        <w:t xml:space="preserve">In May 2016, </w:t>
      </w:r>
      <w:r w:rsidR="000064A2" w:rsidRPr="003C38ED">
        <w:rPr>
          <w:rFonts w:cs="Arial"/>
        </w:rPr>
        <w:t xml:space="preserve">the </w:t>
      </w:r>
      <w:r w:rsidR="000064A2">
        <w:rPr>
          <w:rFonts w:cs="Arial"/>
        </w:rPr>
        <w:t xml:space="preserve">fishery’s </w:t>
      </w:r>
      <w:r w:rsidR="000064A2" w:rsidRPr="003C38ED">
        <w:rPr>
          <w:rFonts w:cs="Arial"/>
        </w:rPr>
        <w:t xml:space="preserve">export approval </w:t>
      </w:r>
      <w:r w:rsidR="000064A2">
        <w:rPr>
          <w:rFonts w:cs="Arial"/>
        </w:rPr>
        <w:t xml:space="preserve">was extended </w:t>
      </w:r>
      <w:r w:rsidR="000064A2" w:rsidRPr="003C38ED">
        <w:rPr>
          <w:rFonts w:cs="Arial"/>
        </w:rPr>
        <w:t>until 10 March 2017</w:t>
      </w:r>
      <w:r w:rsidR="000064A2">
        <w:rPr>
          <w:rFonts w:cs="Arial"/>
        </w:rPr>
        <w:t xml:space="preserve"> </w:t>
      </w:r>
      <w:r w:rsidR="00152A0B" w:rsidRPr="003C38ED">
        <w:rPr>
          <w:rFonts w:cs="Arial"/>
        </w:rPr>
        <w:t xml:space="preserve">to allow time to negotiate conditions for the </w:t>
      </w:r>
      <w:r w:rsidR="00152A0B">
        <w:rPr>
          <w:rFonts w:cs="Arial"/>
        </w:rPr>
        <w:t xml:space="preserve">longer term export approval for the </w:t>
      </w:r>
      <w:r w:rsidR="000064A2">
        <w:rPr>
          <w:rFonts w:cs="Arial"/>
        </w:rPr>
        <w:t>fishery</w:t>
      </w:r>
      <w:r w:rsidR="00152A0B">
        <w:rPr>
          <w:rFonts w:cs="Arial"/>
        </w:rPr>
        <w:t>.</w:t>
      </w:r>
    </w:p>
    <w:p w:rsidR="00CF5CAE" w:rsidRDefault="00CF5CAE" w:rsidP="00CF5CAE">
      <w:pPr>
        <w:rPr>
          <w:rFonts w:cs="Arial"/>
        </w:rPr>
      </w:pPr>
      <w:r w:rsidRPr="00822585">
        <w:rPr>
          <w:rFonts w:cs="Arial"/>
        </w:rPr>
        <w:t xml:space="preserve">I am pleased to advise that </w:t>
      </w:r>
      <w:r>
        <w:rPr>
          <w:rFonts w:cs="Arial"/>
        </w:rPr>
        <w:t xml:space="preserve">the </w:t>
      </w:r>
      <w:r w:rsidRPr="00822585">
        <w:rPr>
          <w:rFonts w:cs="Arial"/>
        </w:rPr>
        <w:t xml:space="preserve">assessment </w:t>
      </w:r>
      <w:r w:rsidR="000064A2">
        <w:rPr>
          <w:rFonts w:cs="Arial"/>
        </w:rPr>
        <w:t xml:space="preserve">of the application against the </w:t>
      </w:r>
      <w:r w:rsidR="000064A2" w:rsidRPr="00822585">
        <w:rPr>
          <w:rFonts w:cs="Arial"/>
        </w:rPr>
        <w:t xml:space="preserve">wildlife trade provisions of Part 13A of the EPBC Act </w:t>
      </w:r>
      <w:r w:rsidRPr="00822585">
        <w:rPr>
          <w:rFonts w:cs="Arial"/>
        </w:rPr>
        <w:t xml:space="preserve">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w:t>
      </w:r>
      <w:r w:rsidRPr="00BC10E8">
        <w:rPr>
          <w:rFonts w:cs="Arial"/>
        </w:rPr>
        <w:t>Environment</w:t>
      </w:r>
      <w:r w:rsidR="00EA61DD">
        <w:rPr>
          <w:rFonts w:cs="Arial"/>
        </w:rPr>
        <w:t xml:space="preserve"> and Energy</w:t>
      </w:r>
      <w:r>
        <w:rPr>
          <w:rFonts w:cs="Arial"/>
        </w:rPr>
        <w:t xml:space="preserve">’s </w:t>
      </w:r>
      <w:r w:rsidRPr="00BC10E8">
        <w:rPr>
          <w:rFonts w:cs="Arial"/>
        </w:rPr>
        <w:t>website at</w:t>
      </w:r>
      <w:r>
        <w:rPr>
          <w:rFonts w:cs="Arial"/>
        </w:rPr>
        <w:t xml:space="preserve">: </w:t>
      </w:r>
      <w:r w:rsidR="00846F8A" w:rsidRPr="00846F8A">
        <w:rPr>
          <w:rFonts w:cs="Arial"/>
        </w:rPr>
        <w:t>http://www.environment.gov.au/marine/fisheries/qld/coral-reef-fin-fish</w:t>
      </w:r>
      <w:r>
        <w:rPr>
          <w:rFonts w:cs="Arial"/>
        </w:rPr>
        <w:t>.</w:t>
      </w:r>
    </w:p>
    <w:p w:rsidR="00CF5CAE" w:rsidRDefault="00CF5CAE" w:rsidP="000064A2">
      <w:pPr>
        <w:widowControl w:val="0"/>
        <w:spacing w:after="100"/>
        <w:rPr>
          <w:rFonts w:cs="Arial"/>
        </w:rPr>
      </w:pPr>
      <w:r w:rsidRPr="003E7511">
        <w:rPr>
          <w:rFonts w:cs="Arial"/>
        </w:rPr>
        <w:t xml:space="preserve">I consider that the management arrangements for the </w:t>
      </w:r>
      <w:r w:rsidR="00D44E15">
        <w:rPr>
          <w:rFonts w:cs="Arial"/>
          <w:lang w:val="en-US"/>
        </w:rPr>
        <w:t>Queensland Coral Reef Fin Fish Fishery</w:t>
      </w:r>
      <w:r>
        <w:rPr>
          <w:rFonts w:cs="Arial"/>
        </w:rPr>
        <w:t xml:space="preserve"> 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D44E15">
        <w:rPr>
          <w:rFonts w:cs="Arial"/>
        </w:rPr>
        <w:t>Taking into account</w:t>
      </w:r>
      <w:r w:rsidR="003E2500">
        <w:rPr>
          <w:rFonts w:cs="Arial"/>
        </w:rPr>
        <w:t xml:space="preserve"> </w:t>
      </w:r>
      <w:r w:rsidRPr="00D44E15">
        <w:rPr>
          <w:rFonts w:cs="Arial"/>
        </w:rPr>
        <w:t>the management arrangements cur</w:t>
      </w:r>
      <w:r w:rsidR="00D44E15" w:rsidRPr="00D44E15">
        <w:rPr>
          <w:rFonts w:cs="Arial"/>
        </w:rPr>
        <w:t xml:space="preserve">rently in place in the fishery </w:t>
      </w:r>
      <w:r w:rsidR="00692DBE">
        <w:rPr>
          <w:rFonts w:cs="Arial"/>
          <w:bCs/>
          <w:iCs/>
        </w:rPr>
        <w:t>and subject to the proposed conditions</w:t>
      </w:r>
      <w:r w:rsidR="003E2500">
        <w:rPr>
          <w:rFonts w:cs="Arial"/>
        </w:rPr>
        <w:t xml:space="preserve">, </w:t>
      </w:r>
      <w:r w:rsidRPr="00AC5085">
        <w:rPr>
          <w:rFonts w:cs="Arial"/>
        </w:rPr>
        <w:t xml:space="preserve">I am satisfied that the operation of the fishery remains consistent with the objects of the wildlife trade provisions of Part 13A of the EPBC Act. </w:t>
      </w:r>
    </w:p>
    <w:p w:rsidR="007533E2" w:rsidRDefault="007533E2" w:rsidP="007533E2">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 xml:space="preserve">Officers </w:t>
      </w:r>
      <w:r w:rsidRPr="00297D18">
        <w:rPr>
          <w:rFonts w:ascii="Arial" w:hAnsi="Arial" w:cs="Arial"/>
          <w:sz w:val="22"/>
          <w:szCs w:val="22"/>
          <w:lang w:val="en-AU" w:eastAsia="zh-CN" w:bidi="th-TH"/>
        </w:rPr>
        <w:t xml:space="preserve">from the </w:t>
      </w:r>
      <w:r w:rsidRPr="00323340">
        <w:rPr>
          <w:rFonts w:ascii="Arial" w:hAnsi="Arial" w:cs="Arial"/>
          <w:sz w:val="22"/>
          <w:szCs w:val="22"/>
          <w:lang w:val="en-AU" w:eastAsia="zh-CN" w:bidi="th-TH"/>
        </w:rPr>
        <w:t xml:space="preserve">Queensland Department of Agriculture and Fisheries </w:t>
      </w:r>
      <w:r w:rsidRPr="00297D18">
        <w:rPr>
          <w:rFonts w:ascii="Arial" w:hAnsi="Arial" w:cs="Arial"/>
          <w:sz w:val="22"/>
          <w:szCs w:val="22"/>
          <w:lang w:val="en-AU" w:eastAsia="zh-CN" w:bidi="th-TH"/>
        </w:rPr>
        <w:t xml:space="preserve">and the </w:t>
      </w:r>
      <w:r>
        <w:rPr>
          <w:rFonts w:ascii="Arial" w:hAnsi="Arial" w:cs="Arial"/>
          <w:sz w:val="22"/>
          <w:szCs w:val="22"/>
          <w:lang w:val="en-AU" w:eastAsia="zh-CN" w:bidi="th-TH"/>
        </w:rPr>
        <w:t>D</w:t>
      </w:r>
      <w:r w:rsidRPr="00297D18">
        <w:rPr>
          <w:rFonts w:ascii="Arial" w:hAnsi="Arial" w:cs="Arial"/>
          <w:sz w:val="22"/>
          <w:szCs w:val="22"/>
          <w:lang w:val="en-AU" w:eastAsia="zh-CN" w:bidi="th-TH"/>
        </w:rPr>
        <w:t>epartment have discussed key areas requiring ongoing attention</w:t>
      </w:r>
      <w:r>
        <w:rPr>
          <w:rFonts w:ascii="Arial" w:hAnsi="Arial" w:cs="Arial"/>
          <w:sz w:val="22"/>
          <w:szCs w:val="22"/>
          <w:lang w:val="en-AU" w:eastAsia="zh-CN" w:bidi="th-TH"/>
        </w:rPr>
        <w:t xml:space="preserve"> in the fishery</w:t>
      </w:r>
      <w:r w:rsidRPr="00297D18">
        <w:rPr>
          <w:rFonts w:ascii="Arial" w:hAnsi="Arial" w:cs="Arial"/>
          <w:sz w:val="22"/>
          <w:szCs w:val="22"/>
          <w:lang w:val="en-AU" w:eastAsia="zh-CN" w:bidi="th-TH"/>
        </w:rPr>
        <w:t>. While there are some environmental risks associated with this</w:t>
      </w:r>
      <w:r w:rsidRPr="0025194B">
        <w:rPr>
          <w:rFonts w:ascii="Arial" w:hAnsi="Arial" w:cs="Arial"/>
          <w:sz w:val="22"/>
          <w:szCs w:val="22"/>
          <w:lang w:val="en-AU" w:eastAsia="zh-CN" w:bidi="th-TH"/>
        </w:rPr>
        <w:t xml:space="preserve"> fishery, I believe that </w:t>
      </w:r>
      <w:r>
        <w:rPr>
          <w:rFonts w:ascii="Arial" w:hAnsi="Arial" w:cs="Arial"/>
          <w:sz w:val="22"/>
          <w:szCs w:val="22"/>
          <w:lang w:val="en-AU" w:eastAsia="zh-CN" w:bidi="th-TH"/>
        </w:rPr>
        <w:t xml:space="preserve">the </w:t>
      </w:r>
      <w:r w:rsidRPr="00323340">
        <w:rPr>
          <w:rFonts w:ascii="Arial" w:hAnsi="Arial" w:cs="Arial"/>
          <w:sz w:val="22"/>
          <w:szCs w:val="22"/>
          <w:lang w:val="en-AU" w:eastAsia="zh-CN" w:bidi="th-TH"/>
        </w:rPr>
        <w:t xml:space="preserve">Queensland Department of Agriculture and Fisheries </w:t>
      </w:r>
      <w:r w:rsidRPr="0025194B">
        <w:rPr>
          <w:rFonts w:ascii="Arial" w:hAnsi="Arial" w:cs="Arial"/>
          <w:sz w:val="22"/>
          <w:szCs w:val="22"/>
          <w:lang w:val="en-AU" w:eastAsia="zh-CN" w:bidi="th-TH"/>
        </w:rPr>
        <w:t xml:space="preserve">is committed to addressing these issues and has already taken proactive measures. </w:t>
      </w:r>
    </w:p>
    <w:p w:rsidR="003E2500" w:rsidRPr="007533E2" w:rsidRDefault="00CF5CAE" w:rsidP="003E2500">
      <w:pPr>
        <w:widowControl w:val="0"/>
        <w:rPr>
          <w:rFonts w:cs="Arial"/>
        </w:rPr>
      </w:pPr>
      <w:r>
        <w:rPr>
          <w:rFonts w:cs="Arial"/>
        </w:rPr>
        <w:t>Accordingly, I</w:t>
      </w:r>
      <w:r w:rsidRPr="003E7511">
        <w:rPr>
          <w:rFonts w:cs="Arial"/>
        </w:rPr>
        <w:t xml:space="preserve"> </w:t>
      </w:r>
      <w:r w:rsidRPr="00822585">
        <w:rPr>
          <w:rFonts w:cs="Arial"/>
        </w:rPr>
        <w:t xml:space="preserve">have decided to </w:t>
      </w:r>
      <w:r>
        <w:rPr>
          <w:rFonts w:cs="Arial"/>
        </w:rPr>
        <w:t xml:space="preserve">declare the </w:t>
      </w:r>
      <w:r w:rsidR="003E2500">
        <w:rPr>
          <w:rFonts w:cs="Arial"/>
          <w:lang w:val="en-US"/>
        </w:rPr>
        <w:t>Queensland Coral Reef Fin Fish Fishery</w:t>
      </w:r>
      <w:r w:rsidR="003E2500">
        <w:rPr>
          <w:rFonts w:cs="Arial"/>
        </w:rPr>
        <w:t xml:space="preserve"> </w:t>
      </w:r>
      <w:r>
        <w:rPr>
          <w:rFonts w:cs="Arial"/>
          <w:lang w:val="en-US"/>
        </w:rPr>
        <w:t xml:space="preserve">an </w:t>
      </w:r>
      <w:r>
        <w:rPr>
          <w:rFonts w:cs="Arial"/>
        </w:rPr>
        <w:t>approved wildlife trade operation</w:t>
      </w:r>
      <w:r w:rsidRPr="00822585">
        <w:rPr>
          <w:rFonts w:cs="Arial"/>
        </w:rPr>
        <w:t xml:space="preserve"> </w:t>
      </w:r>
      <w:r w:rsidRPr="00297D18">
        <w:rPr>
          <w:rFonts w:cs="Arial"/>
        </w:rPr>
        <w:t xml:space="preserve">until </w:t>
      </w:r>
      <w:r w:rsidR="003E2500">
        <w:rPr>
          <w:rFonts w:cs="Arial"/>
        </w:rPr>
        <w:t>6 March 2020.</w:t>
      </w:r>
      <w:r w:rsidRPr="00297D18">
        <w:rPr>
          <w:rFonts w:cs="Arial"/>
        </w:rPr>
        <w:t xml:space="preserve"> The</w:t>
      </w:r>
      <w:r>
        <w:rPr>
          <w:rFonts w:cs="Arial"/>
        </w:rPr>
        <w:t xml:space="preserve"> declaration will apply only to those classes of specimens specified in the instrument of declaration, available from the </w:t>
      </w:r>
      <w:r w:rsidR="004914FE">
        <w:rPr>
          <w:rFonts w:cs="Arial"/>
        </w:rPr>
        <w:t>D</w:t>
      </w:r>
      <w:r>
        <w:rPr>
          <w:rFonts w:cs="Arial"/>
        </w:rPr>
        <w:t xml:space="preserve">epartment's website, and will be subject to the conditions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b/>
        </w:rPr>
        <w:t xml:space="preserve"> </w:t>
      </w:r>
      <w:r>
        <w:rPr>
          <w:rFonts w:cs="Arial"/>
        </w:rPr>
        <w:t xml:space="preserve">specified in the instrument of declaration. </w:t>
      </w:r>
      <w:r w:rsidR="003E2500">
        <w:rPr>
          <w:rFonts w:cs="Arial"/>
        </w:rPr>
        <w:t xml:space="preserve"> </w:t>
      </w:r>
    </w:p>
    <w:p w:rsidR="008B67EC" w:rsidRPr="008B67EC" w:rsidRDefault="00CF5CAE" w:rsidP="008B67EC">
      <w:pPr>
        <w:rPr>
          <w:rFonts w:cs="Arial"/>
        </w:rPr>
      </w:pPr>
      <w:r w:rsidRPr="00F21E5F">
        <w:rPr>
          <w:rFonts w:cs="Arial"/>
        </w:rPr>
        <w:lastRenderedPageBreak/>
        <w:t xml:space="preserve">The </w:t>
      </w:r>
      <w:r>
        <w:rPr>
          <w:rFonts w:cs="Arial"/>
        </w:rPr>
        <w:t xml:space="preserve">management regime for the </w:t>
      </w:r>
      <w:r w:rsidR="000A20C1" w:rsidRPr="008B67EC">
        <w:rPr>
          <w:rFonts w:cs="Arial"/>
        </w:rPr>
        <w:t>Queensland Coral Reef Fin Fish Fishery</w:t>
      </w:r>
      <w:r w:rsidR="000A20C1">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0A20C1" w:rsidRPr="008B67EC">
        <w:rPr>
          <w:rFonts w:cs="Arial"/>
        </w:rPr>
        <w:t>June</w:t>
      </w:r>
      <w:r w:rsidR="008B67EC" w:rsidRPr="008B67EC">
        <w:rPr>
          <w:rFonts w:cs="Arial"/>
        </w:rPr>
        <w:t> </w:t>
      </w:r>
      <w:r w:rsidR="000A20C1" w:rsidRPr="008B67EC">
        <w:rPr>
          <w:rFonts w:cs="Arial"/>
        </w:rPr>
        <w:t>2013.</w:t>
      </w:r>
      <w:r w:rsidR="008B67EC" w:rsidRPr="008B67EC">
        <w:rPr>
          <w:rFonts w:cs="Arial"/>
        </w:rPr>
        <w:t xml:space="preserve"> In April 2015 the </w:t>
      </w:r>
      <w:r w:rsidR="007533E2">
        <w:rPr>
          <w:rFonts w:cs="Arial"/>
        </w:rPr>
        <w:t xml:space="preserve">fishery’s </w:t>
      </w:r>
      <w:r w:rsidR="008B67EC" w:rsidRPr="008B67EC">
        <w:rPr>
          <w:rFonts w:cs="Arial"/>
        </w:rPr>
        <w:t>management plan was repealed and all of the management provisions of the plan were incorporated in the Queensland Fisheries Regulation 2008. Therefore a new accreditation under Part 13 is required.</w:t>
      </w:r>
    </w:p>
    <w:p w:rsidR="00CF5CAE" w:rsidRDefault="00CF5CAE" w:rsidP="00CF5CAE">
      <w:pPr>
        <w:rPr>
          <w:rFonts w:cs="Arial"/>
        </w:rPr>
      </w:pPr>
      <w:r w:rsidRPr="00F21E5F">
        <w:rPr>
          <w:rFonts w:cs="Arial"/>
        </w:rPr>
        <w:t xml:space="preserve">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 xml:space="preserve">will </w:t>
      </w:r>
      <w:r w:rsidR="000A20C1">
        <w:rPr>
          <w:rFonts w:cs="Arial"/>
        </w:rPr>
        <w:t xml:space="preserve">not </w:t>
      </w:r>
      <w:r w:rsidRPr="00F21E5F">
        <w:rPr>
          <w:rFonts w:cs="Arial"/>
        </w:rPr>
        <w:t>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w:t>
      </w:r>
      <w:r w:rsidR="008B67EC">
        <w:rPr>
          <w:rFonts w:cs="Arial"/>
        </w:rPr>
        <w:t> </w:t>
      </w:r>
      <w:r w:rsidRPr="00F21E5F">
        <w:rPr>
          <w:rFonts w:cs="Arial"/>
        </w:rPr>
        <w:t>Act.</w:t>
      </w:r>
    </w:p>
    <w:p w:rsidR="00CF5CAE" w:rsidRDefault="00CF5CAE" w:rsidP="00CF5CAE">
      <w:pPr>
        <w:rPr>
          <w:rFonts w:cs="Arial"/>
          <w:color w:val="00B050"/>
        </w:rPr>
      </w:pPr>
      <w:r w:rsidRPr="00F21E5F">
        <w:rPr>
          <w:rFonts w:cs="Arial"/>
        </w:rPr>
        <w:t xml:space="preserve">I have therefore accredited the </w:t>
      </w:r>
      <w:r w:rsidRPr="00465B32">
        <w:rPr>
          <w:rFonts w:cs="Arial"/>
        </w:rPr>
        <w:t>management regime</w:t>
      </w:r>
      <w:r w:rsidRPr="00465B32">
        <w:rPr>
          <w:rFonts w:cs="Arial"/>
          <w:lang w:val="en-US"/>
        </w:rPr>
        <w:t xml:space="preserve"> for the </w:t>
      </w:r>
      <w:r w:rsidR="008B67EC" w:rsidRPr="008B67EC">
        <w:rPr>
          <w:rFonts w:cs="Arial"/>
        </w:rPr>
        <w:t>Queensland Coral Reef Fin Fish Fishery</w:t>
      </w:r>
      <w:r w:rsidR="008B67EC">
        <w:rPr>
          <w:rFonts w:cs="Arial"/>
        </w:rPr>
        <w:t xml:space="preserve"> </w:t>
      </w:r>
      <w:r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 are not required to seek permits if they are at risk of killing or injuring listed species in Commonwealth waters.</w:t>
      </w:r>
      <w:r w:rsidR="008B67EC">
        <w:rPr>
          <w:rFonts w:cs="Arial"/>
        </w:rPr>
        <w:t xml:space="preserve"> </w:t>
      </w:r>
    </w:p>
    <w:p w:rsidR="00CF5CAE" w:rsidRPr="004D31A7" w:rsidRDefault="00CF5CAE" w:rsidP="00CF5CAE">
      <w:pPr>
        <w:rPr>
          <w:rFonts w:cs="Arial"/>
          <w:color w:val="00B050"/>
        </w:rPr>
      </w:pPr>
      <w:r w:rsidRPr="00B00ABE">
        <w:rPr>
          <w:rFonts w:cs="Arial"/>
        </w:rPr>
        <w:t>Please note that any person whose interests are affected by this decision may make an</w:t>
      </w:r>
      <w:r w:rsidRPr="00441D43">
        <w:rPr>
          <w:rFonts w:cs="Arial"/>
        </w:rPr>
        <w:t xml:space="preserve"> application to the Department of the Environment</w:t>
      </w:r>
      <w:r w:rsidR="00EA61DD">
        <w:rPr>
          <w:rFonts w:cs="Arial"/>
        </w:rPr>
        <w:t xml:space="preserve"> and Energy</w:t>
      </w:r>
      <w:r w:rsidRPr="00441D43">
        <w:rPr>
          <w:rFonts w:cs="Arial"/>
        </w:rPr>
        <w:t xml:space="preserve"> 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p>
    <w:p w:rsidR="00CF5CAE" w:rsidRPr="007B5B2F" w:rsidRDefault="00CF5CAE" w:rsidP="00CF5CAE">
      <w:r w:rsidRPr="0012744F">
        <w:t xml:space="preserve">As the </w:t>
      </w:r>
      <w:r w:rsidR="008E0CE7">
        <w:t xml:space="preserve">Queensland Coral Reef Fin Fin Fishery </w:t>
      </w:r>
      <w:r w:rsidRPr="0012744F">
        <w:t>operates within the Great Barrier Reef Marine Park, I have copied this letter to Dr Russell Reichelt, Chairman and Chief Executive o</w:t>
      </w:r>
      <w:r>
        <w:t>f the Great Barrier Reef Marine </w:t>
      </w:r>
      <w:r w:rsidRPr="0012744F">
        <w:t>Park Authority, for his information.</w:t>
      </w:r>
    </w:p>
    <w:p w:rsidR="00C64C2C" w:rsidRDefault="00C64C2C" w:rsidP="00C64C2C">
      <w:pPr>
        <w:rPr>
          <w:rFonts w:cs="Arial"/>
        </w:rPr>
      </w:pPr>
      <w:bookmarkStart w:id="1" w:name="bkStart"/>
      <w:bookmarkEnd w:id="1"/>
      <w:r w:rsidRPr="00822585">
        <w:rPr>
          <w:rFonts w:cs="Arial"/>
        </w:rPr>
        <w:t xml:space="preserve">I would like to thank you </w:t>
      </w:r>
      <w:r w:rsidRPr="00455855">
        <w:rPr>
          <w:rFonts w:cs="Arial"/>
        </w:rPr>
        <w:t>for the constructive way in which your officials have approached this assessment.</w:t>
      </w:r>
    </w:p>
    <w:p w:rsidR="00CF5CAE" w:rsidRDefault="00CF5CAE" w:rsidP="00CF5CAE">
      <w:pPr>
        <w:rPr>
          <w:rFonts w:cs="Arial"/>
        </w:rPr>
      </w:pPr>
      <w:r w:rsidRPr="00822585">
        <w:rPr>
          <w:rFonts w:cs="Arial"/>
        </w:rPr>
        <w:t>Yours sincerely</w:t>
      </w:r>
    </w:p>
    <w:p w:rsidR="00CF5CAE" w:rsidRDefault="00CF5CAE" w:rsidP="00CF5CAE"/>
    <w:p w:rsidR="00CF5CAE" w:rsidRDefault="00CF5CAE" w:rsidP="00CF5CAE"/>
    <w:p w:rsidR="00CF5CAE" w:rsidRDefault="00CF5CAE" w:rsidP="00CF5CAE">
      <w:pPr>
        <w:tabs>
          <w:tab w:val="left" w:pos="284"/>
        </w:tabs>
      </w:pPr>
      <w:r w:rsidRPr="008B67EC">
        <w:t>Paul Murphy</w:t>
      </w:r>
      <w:r w:rsidRPr="008B67EC">
        <w:br/>
      </w:r>
      <w:r w:rsidRPr="008B67EC">
        <w:br/>
      </w:r>
      <w:r w:rsidRPr="008B67EC">
        <w:rPr>
          <w:rFonts w:cs="Arial"/>
        </w:rPr>
        <w:t>Delegate of the Minister for the Environment</w:t>
      </w:r>
      <w:r w:rsidR="00EA61DD" w:rsidRPr="008B67EC">
        <w:rPr>
          <w:rFonts w:cs="Arial"/>
        </w:rPr>
        <w:t xml:space="preserve"> and Energy</w:t>
      </w:r>
      <w:r w:rsidRPr="008B67EC">
        <w:br/>
      </w:r>
      <w:r w:rsidRPr="008B67EC">
        <w:tab/>
      </w:r>
      <w:r w:rsidR="008B67EC">
        <w:t xml:space="preserve">  March 2017</w:t>
      </w:r>
    </w:p>
    <w:p w:rsidR="00CF5CAE" w:rsidRDefault="00CF5CAE" w:rsidP="00CF5CAE">
      <w:pPr>
        <w:tabs>
          <w:tab w:val="left" w:pos="284"/>
        </w:tabs>
      </w:pPr>
    </w:p>
    <w:p w:rsidR="00CF5CAE" w:rsidRDefault="00CF5CAE" w:rsidP="00CF5CAE">
      <w:pPr>
        <w:tabs>
          <w:tab w:val="left" w:pos="284"/>
        </w:tabs>
        <w:sectPr w:rsidR="00CF5CAE" w:rsidSect="008565B9">
          <w:headerReference w:type="even" r:id="rId7"/>
          <w:headerReference w:type="default" r:id="rId8"/>
          <w:footerReference w:type="default" r:id="rId9"/>
          <w:headerReference w:type="first" r:id="rId10"/>
          <w:footerReference w:type="first" r:id="rId11"/>
          <w:pgSz w:w="11906" w:h="16838"/>
          <w:pgMar w:top="1440" w:right="1440" w:bottom="1440" w:left="1440" w:header="425" w:footer="425" w:gutter="0"/>
          <w:pgNumType w:start="1"/>
          <w:cols w:space="708"/>
          <w:titlePg/>
          <w:docGrid w:linePitch="360"/>
        </w:sectPr>
      </w:pPr>
    </w:p>
    <w:p w:rsidR="00CF5CAE" w:rsidRDefault="00CF5CAE" w:rsidP="00CF5CAE">
      <w:pPr>
        <w:tabs>
          <w:tab w:val="left" w:pos="284"/>
        </w:tabs>
        <w:rPr>
          <w:rFonts w:cs="Arial"/>
        </w:rPr>
        <w:sectPr w:rsidR="00CF5CAE" w:rsidSect="00C325B9">
          <w:headerReference w:type="first" r:id="rId12"/>
          <w:footerReference w:type="first" r:id="rId13"/>
          <w:pgSz w:w="11906" w:h="16838"/>
          <w:pgMar w:top="1134" w:right="1418" w:bottom="1134" w:left="1418" w:header="425" w:footer="425" w:gutter="0"/>
          <w:pgNumType w:start="1"/>
          <w:cols w:space="708"/>
          <w:titlePg/>
          <w:docGrid w:linePitch="360"/>
        </w:sectPr>
      </w:pPr>
    </w:p>
    <w:p w:rsidR="00CF5CAE" w:rsidRPr="00E14857" w:rsidRDefault="00CF5CAE" w:rsidP="00BA7C74">
      <w:pPr>
        <w:spacing w:after="120"/>
        <w:jc w:val="center"/>
        <w:rPr>
          <w:rFonts w:cs="Arial"/>
        </w:rPr>
      </w:pPr>
      <w:r w:rsidRPr="00E14857">
        <w:rPr>
          <w:rFonts w:cs="Arial"/>
          <w:b/>
          <w:bCs/>
        </w:rPr>
        <w:lastRenderedPageBreak/>
        <w:t xml:space="preserve">Conditions on the approved wildlife trade operation declaration for the </w:t>
      </w:r>
      <w:r w:rsidR="00444BFF" w:rsidRPr="00E05C75">
        <w:rPr>
          <w:rFonts w:cs="Arial"/>
          <w:b/>
        </w:rPr>
        <w:t>Queensland</w:t>
      </w:r>
      <w:r w:rsidR="00444BFF" w:rsidRPr="008B67EC">
        <w:rPr>
          <w:rFonts w:cs="Arial"/>
        </w:rPr>
        <w:t xml:space="preserve"> </w:t>
      </w:r>
      <w:r w:rsidR="00444BFF" w:rsidRPr="00444BFF">
        <w:rPr>
          <w:rFonts w:cs="Arial"/>
          <w:b/>
        </w:rPr>
        <w:t>Coral Reef Fin Fish Fishery –</w:t>
      </w:r>
      <w:r w:rsidRPr="00444BFF">
        <w:rPr>
          <w:rFonts w:cs="Arial"/>
          <w:b/>
        </w:rPr>
        <w:t xml:space="preserve"> </w:t>
      </w:r>
      <w:r w:rsidR="00444BFF">
        <w:rPr>
          <w:b/>
        </w:rPr>
        <w:t>March 2017</w:t>
      </w:r>
    </w:p>
    <w:p w:rsidR="00CF5CAE" w:rsidRPr="00E14857" w:rsidRDefault="00CF5CAE" w:rsidP="00034231">
      <w:pPr>
        <w:pStyle w:val="ListParagraph"/>
        <w:numPr>
          <w:ilvl w:val="0"/>
          <w:numId w:val="0"/>
        </w:numPr>
        <w:spacing w:after="120" w:line="240" w:lineRule="auto"/>
        <w:ind w:left="360"/>
        <w:contextualSpacing/>
        <w:rPr>
          <w:rFonts w:cs="Arial"/>
        </w:rPr>
      </w:pPr>
    </w:p>
    <w:p w:rsidR="00034231" w:rsidRDefault="00034231" w:rsidP="00034231">
      <w:pPr>
        <w:pStyle w:val="ListParagraph"/>
        <w:numPr>
          <w:ilvl w:val="0"/>
          <w:numId w:val="37"/>
        </w:numPr>
        <w:spacing w:after="240" w:line="240" w:lineRule="auto"/>
        <w:contextualSpacing/>
        <w:rPr>
          <w:rFonts w:cs="Arial"/>
        </w:rPr>
      </w:pPr>
      <w:r w:rsidRPr="008D5FD2">
        <w:rPr>
          <w:rFonts w:cs="Arial"/>
        </w:rPr>
        <w:t>Operation of the fishery will be carried out in accordance with</w:t>
      </w:r>
      <w:r w:rsidRPr="00034231">
        <w:rPr>
          <w:rFonts w:cs="Arial"/>
        </w:rPr>
        <w:t xml:space="preserve"> </w:t>
      </w:r>
      <w:r w:rsidRPr="008D5FD2">
        <w:rPr>
          <w:rFonts w:cs="Arial"/>
        </w:rPr>
        <w:t>the</w:t>
      </w:r>
      <w:r w:rsidRPr="00034231">
        <w:rPr>
          <w:rFonts w:cs="Arial"/>
        </w:rPr>
        <w:t xml:space="preserve"> management regime </w:t>
      </w:r>
      <w:r w:rsidRPr="008D5FD2">
        <w:rPr>
          <w:rFonts w:cs="Arial"/>
        </w:rPr>
        <w:t xml:space="preserve">under the </w:t>
      </w:r>
      <w:r w:rsidRPr="00034231">
        <w:rPr>
          <w:rFonts w:cs="Arial"/>
        </w:rPr>
        <w:t xml:space="preserve">Queensland </w:t>
      </w:r>
      <w:r w:rsidRPr="00E6094D">
        <w:rPr>
          <w:rFonts w:cs="Arial"/>
          <w:i/>
        </w:rPr>
        <w:t>Fisheries Act 1994</w:t>
      </w:r>
      <w:r w:rsidRPr="00034231">
        <w:rPr>
          <w:rFonts w:cs="Arial"/>
        </w:rPr>
        <w:t xml:space="preserve"> and the Fisheries Regulation 2008.</w:t>
      </w:r>
    </w:p>
    <w:p w:rsidR="00034231" w:rsidRPr="00034231" w:rsidRDefault="00034231" w:rsidP="00034231">
      <w:pPr>
        <w:pStyle w:val="ListParagraph"/>
        <w:numPr>
          <w:ilvl w:val="0"/>
          <w:numId w:val="0"/>
        </w:numPr>
        <w:spacing w:after="240" w:line="240" w:lineRule="auto"/>
        <w:ind w:left="360"/>
        <w:contextualSpacing/>
        <w:rPr>
          <w:rFonts w:cs="Arial"/>
        </w:rPr>
      </w:pPr>
    </w:p>
    <w:p w:rsidR="00034231" w:rsidRDefault="00034231" w:rsidP="00034231">
      <w:pPr>
        <w:pStyle w:val="ListParagraph"/>
        <w:numPr>
          <w:ilvl w:val="0"/>
          <w:numId w:val="37"/>
        </w:numPr>
        <w:spacing w:after="240" w:line="240" w:lineRule="auto"/>
        <w:contextualSpacing/>
        <w:rPr>
          <w:rFonts w:cs="Arial"/>
        </w:rPr>
      </w:pPr>
      <w:r w:rsidRPr="008D5FD2">
        <w:rPr>
          <w:rFonts w:cs="Arial"/>
        </w:rPr>
        <w:t xml:space="preserve">The Queensland Department of Agriculture and Fisheries to inform the Department of any intended material changes to the Queensland Coral Reef Fin Fish Fishery management arrangements that may affect the assessment against which </w:t>
      </w:r>
      <w:r w:rsidRPr="00E6094D">
        <w:rPr>
          <w:rFonts w:cs="Arial"/>
          <w:i/>
        </w:rPr>
        <w:t>Environment Protection and Biodiversity Conservation Act 1999</w:t>
      </w:r>
      <w:r w:rsidRPr="008D5FD2">
        <w:rPr>
          <w:rFonts w:cs="Arial"/>
        </w:rPr>
        <w:t xml:space="preserve"> decisions are made.</w:t>
      </w:r>
    </w:p>
    <w:p w:rsidR="00034231" w:rsidRPr="008D5FD2" w:rsidRDefault="00034231" w:rsidP="00034231">
      <w:pPr>
        <w:pStyle w:val="ListParagraph"/>
        <w:numPr>
          <w:ilvl w:val="0"/>
          <w:numId w:val="0"/>
        </w:numPr>
        <w:spacing w:after="240" w:line="240" w:lineRule="auto"/>
        <w:ind w:left="360"/>
        <w:contextualSpacing/>
        <w:rPr>
          <w:rFonts w:cs="Arial"/>
        </w:rPr>
      </w:pPr>
    </w:p>
    <w:p w:rsidR="00034231" w:rsidRDefault="00034231" w:rsidP="00034231">
      <w:pPr>
        <w:pStyle w:val="ListParagraph"/>
        <w:numPr>
          <w:ilvl w:val="0"/>
          <w:numId w:val="37"/>
        </w:numPr>
        <w:spacing w:after="240" w:line="240" w:lineRule="auto"/>
        <w:contextualSpacing/>
        <w:rPr>
          <w:rFonts w:cs="Arial"/>
        </w:rPr>
      </w:pPr>
      <w:r w:rsidRPr="008D5FD2">
        <w:rPr>
          <w:rFonts w:cs="Arial"/>
        </w:rPr>
        <w:t xml:space="preserve">The Queensland Department of Agriculture and Fisheries to produce and present reports to the Department of the Environment and Energy annually as per Appendix B of the </w:t>
      </w:r>
      <w:r w:rsidRPr="00E6094D">
        <w:rPr>
          <w:rFonts w:cs="Arial"/>
          <w:i/>
        </w:rPr>
        <w:t>Guidelines for the Ecologically Sustainable Management of Fisheries - 2nd Edition</w:t>
      </w:r>
      <w:r w:rsidRPr="008D5FD2">
        <w:rPr>
          <w:rFonts w:cs="Arial"/>
        </w:rPr>
        <w:t>.</w:t>
      </w:r>
    </w:p>
    <w:p w:rsidR="00034231" w:rsidRPr="008D5FD2" w:rsidRDefault="00034231" w:rsidP="00034231">
      <w:pPr>
        <w:pStyle w:val="ListParagraph"/>
        <w:numPr>
          <w:ilvl w:val="0"/>
          <w:numId w:val="0"/>
        </w:numPr>
        <w:spacing w:after="240" w:line="240" w:lineRule="auto"/>
        <w:ind w:left="360"/>
        <w:contextualSpacing/>
        <w:rPr>
          <w:rFonts w:cs="Arial"/>
        </w:rPr>
      </w:pPr>
    </w:p>
    <w:p w:rsidR="00034231" w:rsidRDefault="00034231" w:rsidP="00034231">
      <w:pPr>
        <w:pStyle w:val="ListParagraph"/>
        <w:numPr>
          <w:ilvl w:val="0"/>
          <w:numId w:val="37"/>
        </w:numPr>
        <w:spacing w:after="240" w:line="240" w:lineRule="auto"/>
        <w:contextualSpacing/>
        <w:rPr>
          <w:rFonts w:cs="Arial"/>
        </w:rPr>
      </w:pPr>
      <w:r w:rsidRPr="008D5FD2">
        <w:rPr>
          <w:rFonts w:cs="Arial"/>
        </w:rPr>
        <w:t>The Queensland Department of Agriculture and Fisheries to undertake a whole-of-fishery ecological risk assessment, including consideration of retained species, bycatch species, protected species and impacts on the environment.</w:t>
      </w:r>
    </w:p>
    <w:p w:rsidR="00034231" w:rsidRPr="008D5FD2" w:rsidRDefault="00034231" w:rsidP="00034231">
      <w:pPr>
        <w:pStyle w:val="ListParagraph"/>
        <w:numPr>
          <w:ilvl w:val="0"/>
          <w:numId w:val="0"/>
        </w:numPr>
        <w:spacing w:after="240" w:line="240" w:lineRule="auto"/>
        <w:ind w:left="360"/>
        <w:contextualSpacing/>
        <w:rPr>
          <w:rFonts w:cs="Arial"/>
        </w:rPr>
      </w:pPr>
    </w:p>
    <w:p w:rsidR="00CF5CAE" w:rsidRPr="00034231" w:rsidRDefault="00034231" w:rsidP="00034231">
      <w:pPr>
        <w:pStyle w:val="ListParagraph"/>
        <w:numPr>
          <w:ilvl w:val="0"/>
          <w:numId w:val="37"/>
        </w:numPr>
        <w:spacing w:after="240" w:line="240" w:lineRule="auto"/>
        <w:contextualSpacing/>
        <w:rPr>
          <w:rFonts w:cs="Arial"/>
        </w:rPr>
      </w:pPr>
      <w:r w:rsidRPr="008D5FD2">
        <w:rPr>
          <w:rFonts w:cs="Arial"/>
        </w:rPr>
        <w:t xml:space="preserve">The Queensland Department of Agriculture and Fisheries to continue to work with </w:t>
      </w:r>
      <w:r w:rsidR="007533E2">
        <w:rPr>
          <w:rFonts w:cs="Arial"/>
        </w:rPr>
        <w:t>the Great Barrier Reef Marine Park Authority</w:t>
      </w:r>
      <w:r w:rsidRPr="008D5FD2">
        <w:rPr>
          <w:rFonts w:cs="Arial"/>
        </w:rPr>
        <w:t xml:space="preserve"> and other relevant agencies to develop a </w:t>
      </w:r>
      <w:r w:rsidR="007533E2">
        <w:rPr>
          <w:rFonts w:cs="Arial"/>
        </w:rPr>
        <w:t>vessel monitoring system</w:t>
      </w:r>
      <w:r w:rsidRPr="008D5FD2">
        <w:rPr>
          <w:rFonts w:cs="Arial"/>
        </w:rPr>
        <w:t xml:space="preserve"> in the commercial sec</w:t>
      </w:r>
      <w:r w:rsidR="007533E2">
        <w:rPr>
          <w:rFonts w:cs="Arial"/>
        </w:rPr>
        <w:t>tor of the Coral Reef Fin Fish F</w:t>
      </w:r>
      <w:r w:rsidRPr="008D5FD2">
        <w:rPr>
          <w:rFonts w:cs="Arial"/>
        </w:rPr>
        <w:t xml:space="preserve">ishery. </w:t>
      </w:r>
    </w:p>
    <w:p w:rsidR="00545F4F" w:rsidRDefault="00545F4F" w:rsidP="00545F4F">
      <w:pPr>
        <w:pStyle w:val="ListNumber"/>
        <w:numPr>
          <w:ilvl w:val="0"/>
          <w:numId w:val="0"/>
        </w:numPr>
        <w:ind w:left="369"/>
        <w:rPr>
          <w:highlight w:val="yellow"/>
        </w:rPr>
      </w:pPr>
    </w:p>
    <w:p w:rsidR="00545F4F" w:rsidRPr="00CB0489" w:rsidRDefault="00545F4F" w:rsidP="00545F4F">
      <w:pPr>
        <w:pStyle w:val="ListNumber"/>
        <w:numPr>
          <w:ilvl w:val="0"/>
          <w:numId w:val="0"/>
        </w:numPr>
        <w:ind w:left="369" w:hanging="369"/>
        <w:rPr>
          <w:highlight w:val="yellow"/>
        </w:rPr>
      </w:pPr>
    </w:p>
    <w:p w:rsidR="00CF5CAE" w:rsidRDefault="00CF5CAE" w:rsidP="00CF5CAE">
      <w:pPr>
        <w:pStyle w:val="ListNumber"/>
        <w:spacing w:after="120"/>
        <w:rPr>
          <w:rFonts w:cs="Arial"/>
          <w:b/>
          <w:bCs/>
        </w:rPr>
        <w:sectPr w:rsidR="00CF5CAE" w:rsidSect="00C325B9">
          <w:headerReference w:type="first" r:id="rId14"/>
          <w:pgSz w:w="11906" w:h="16838"/>
          <w:pgMar w:top="1134" w:right="1418" w:bottom="1134" w:left="1418" w:header="425" w:footer="425" w:gutter="0"/>
          <w:pgNumType w:start="1"/>
          <w:cols w:space="708"/>
          <w:titlePg/>
          <w:docGrid w:linePitch="360"/>
        </w:sectPr>
      </w:pPr>
    </w:p>
    <w:p w:rsidR="00CF5CAE" w:rsidRDefault="00CF5CAE" w:rsidP="00CF5CAE">
      <w:pPr>
        <w:pStyle w:val="ListNumber"/>
        <w:numPr>
          <w:ilvl w:val="0"/>
          <w:numId w:val="0"/>
        </w:numPr>
        <w:spacing w:after="120"/>
        <w:ind w:left="369" w:hanging="369"/>
        <w:rPr>
          <w:highlight w:val="yellow"/>
        </w:rPr>
        <w:sectPr w:rsidR="00CF5CAE" w:rsidSect="00C325B9">
          <w:headerReference w:type="first" r:id="rId15"/>
          <w:pgSz w:w="11906" w:h="16838"/>
          <w:pgMar w:top="1134" w:right="1418" w:bottom="1134" w:left="1418" w:header="425" w:footer="425" w:gutter="0"/>
          <w:pgNumType w:start="1"/>
          <w:cols w:space="708"/>
          <w:titlePg/>
          <w:docGrid w:linePitch="360"/>
        </w:sectPr>
      </w:pPr>
    </w:p>
    <w:p w:rsidR="00545F4F" w:rsidRPr="002201D7" w:rsidRDefault="00545F4F" w:rsidP="00EE62DA">
      <w:pPr>
        <w:spacing w:before="120" w:after="12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rsidR="00545F4F" w:rsidRPr="00F8686F" w:rsidRDefault="00545F4F" w:rsidP="00EE62DA">
      <w:pPr>
        <w:spacing w:before="120" w:after="120"/>
        <w:jc w:val="both"/>
        <w:rPr>
          <w:rFonts w:cs="Arial"/>
        </w:rPr>
      </w:pPr>
      <w:r w:rsidRPr="00F8686F">
        <w:rPr>
          <w:rFonts w:cs="Arial"/>
        </w:rPr>
        <w:t xml:space="preserve">There is a right of review to the Administrative Appeals Tribunal in relation to certain decisions made by the Minister or the Minister’s delegate under the </w:t>
      </w:r>
      <w:r w:rsidR="00AF4DBA" w:rsidRPr="00545040">
        <w:rPr>
          <w:rFonts w:cs="Arial"/>
          <w:i/>
        </w:rPr>
        <w:t xml:space="preserve">Environment Protection and Biodiversity Conservation </w:t>
      </w:r>
      <w:r w:rsidRPr="00545040">
        <w:rPr>
          <w:rFonts w:cs="Arial"/>
          <w:i/>
        </w:rPr>
        <w:t>Act</w:t>
      </w:r>
      <w:r w:rsidR="00AF4DBA" w:rsidRPr="00545040">
        <w:rPr>
          <w:rFonts w:cs="Arial"/>
          <w:i/>
        </w:rPr>
        <w:t> 1999</w:t>
      </w:r>
      <w:r w:rsidR="00AF4DBA" w:rsidRPr="00F8686F">
        <w:rPr>
          <w:rFonts w:cs="Arial"/>
        </w:rPr>
        <w:t xml:space="preserve"> (EPBC Act)</w:t>
      </w:r>
      <w:r w:rsidRPr="00F8686F">
        <w:rPr>
          <w:rFonts w:cs="Arial"/>
        </w:rPr>
        <w:t xml:space="preserve">. </w:t>
      </w:r>
    </w:p>
    <w:p w:rsidR="00545F4F" w:rsidRPr="00F8686F" w:rsidRDefault="00AF4DBA" w:rsidP="00EE62DA">
      <w:pPr>
        <w:spacing w:before="120" w:after="120"/>
        <w:jc w:val="both"/>
        <w:rPr>
          <w:rFonts w:cs="Arial"/>
        </w:rPr>
      </w:pPr>
      <w:r w:rsidRPr="00F8686F">
        <w:rPr>
          <w:rFonts w:cs="Arial"/>
        </w:rPr>
        <w:t>S</w:t>
      </w:r>
      <w:r w:rsidR="00545F4F" w:rsidRPr="00F8686F">
        <w:rPr>
          <w:rFonts w:cs="Arial"/>
        </w:rPr>
        <w:t>ection</w:t>
      </w:r>
      <w:r w:rsidRPr="00F8686F">
        <w:rPr>
          <w:rFonts w:cs="Arial"/>
        </w:rPr>
        <w:t xml:space="preserve"> 303</w:t>
      </w:r>
      <w:r w:rsidR="00B95D71" w:rsidRPr="00F8686F">
        <w:rPr>
          <w:rFonts w:cs="Arial"/>
        </w:rPr>
        <w:t>GJ</w:t>
      </w:r>
      <w:r w:rsidR="00545F4F" w:rsidRPr="00F8686F">
        <w:rPr>
          <w:rFonts w:cs="Arial"/>
        </w:rPr>
        <w:t xml:space="preserve"> of the </w:t>
      </w:r>
      <w:r w:rsidRPr="00F8686F">
        <w:rPr>
          <w:rFonts w:cs="Arial"/>
        </w:rPr>
        <w:t>EPBC Act</w:t>
      </w:r>
      <w:r w:rsidRPr="00F8686F" w:rsidDel="00AF4DBA">
        <w:rPr>
          <w:rFonts w:cs="Arial"/>
        </w:rPr>
        <w:t xml:space="preserve"> </w:t>
      </w:r>
      <w:r w:rsidR="00545F4F" w:rsidRPr="00F8686F">
        <w:rPr>
          <w:rFonts w:cs="Arial"/>
        </w:rPr>
        <w:t xml:space="preserve">provides that applications may be made to the Administrative Appeals Tribunal for the review of the following decisions of the Minister: </w:t>
      </w:r>
    </w:p>
    <w:p w:rsidR="00B95D71" w:rsidRPr="00F8686F" w:rsidRDefault="00B95D71" w:rsidP="00EE62DA">
      <w:pPr>
        <w:spacing w:before="120" w:after="120"/>
        <w:ind w:left="720"/>
        <w:jc w:val="both"/>
        <w:rPr>
          <w:rFonts w:cs="Arial"/>
        </w:rPr>
      </w:pPr>
      <w:r w:rsidRPr="00F8686F">
        <w:rPr>
          <w:rFonts w:cs="Arial"/>
        </w:rPr>
        <w:t>(a) to issue or refuse a permit; or</w:t>
      </w:r>
    </w:p>
    <w:p w:rsidR="00B95D71" w:rsidRPr="00F8686F" w:rsidRDefault="00B95D71" w:rsidP="00EE62DA">
      <w:pPr>
        <w:spacing w:before="120" w:after="120"/>
        <w:ind w:left="720"/>
        <w:jc w:val="both"/>
        <w:rPr>
          <w:rFonts w:cs="Arial"/>
        </w:rPr>
      </w:pPr>
      <w:r w:rsidRPr="00F8686F">
        <w:rPr>
          <w:rFonts w:cs="Arial"/>
        </w:rPr>
        <w:t>(b) to specify, vary or revoke a condition of a permit; or</w:t>
      </w:r>
    </w:p>
    <w:p w:rsidR="00F8686F" w:rsidRPr="00F8686F" w:rsidRDefault="00B95D71" w:rsidP="00EE62DA">
      <w:pPr>
        <w:spacing w:before="120" w:after="120"/>
        <w:ind w:left="720"/>
        <w:jc w:val="both"/>
        <w:rPr>
          <w:rFonts w:cs="Arial"/>
        </w:rPr>
      </w:pPr>
      <w:r w:rsidRPr="00F8686F">
        <w:rPr>
          <w:rFonts w:cs="Arial"/>
        </w:rPr>
        <w:t xml:space="preserve">(c) to impose a further condition </w:t>
      </w:r>
      <w:r w:rsidR="00F8686F" w:rsidRPr="00F8686F">
        <w:rPr>
          <w:rFonts w:cs="Arial"/>
        </w:rPr>
        <w:t>of a permit; or</w:t>
      </w:r>
    </w:p>
    <w:p w:rsidR="00F8686F" w:rsidRPr="00F8686F" w:rsidRDefault="00F8686F" w:rsidP="00EE62DA">
      <w:pPr>
        <w:spacing w:before="120" w:after="120"/>
        <w:ind w:left="720"/>
        <w:jc w:val="both"/>
        <w:rPr>
          <w:rFonts w:cs="Arial"/>
        </w:rPr>
      </w:pPr>
      <w:r w:rsidRPr="00F8686F">
        <w:rPr>
          <w:rFonts w:cs="Arial"/>
        </w:rPr>
        <w:t>(d) to transfer or refuse to transfer a permit; or</w:t>
      </w:r>
    </w:p>
    <w:p w:rsidR="00F8686F" w:rsidRPr="00F8686F" w:rsidRDefault="00F8686F" w:rsidP="00EE62DA">
      <w:pPr>
        <w:spacing w:before="120" w:after="120"/>
        <w:ind w:left="720"/>
        <w:jc w:val="both"/>
        <w:rPr>
          <w:rFonts w:cs="Arial"/>
        </w:rPr>
      </w:pPr>
      <w:r w:rsidRPr="00F8686F">
        <w:rPr>
          <w:rFonts w:cs="Arial"/>
        </w:rPr>
        <w:t>(e) to suspend or cancel a permit; or</w:t>
      </w:r>
    </w:p>
    <w:p w:rsidR="00F8686F" w:rsidRPr="00F8686F" w:rsidRDefault="00F8686F" w:rsidP="00EE62DA">
      <w:pPr>
        <w:spacing w:before="120" w:after="120"/>
        <w:ind w:left="720"/>
        <w:jc w:val="both"/>
        <w:rPr>
          <w:rFonts w:cs="Arial"/>
        </w:rPr>
      </w:pPr>
      <w:r w:rsidRPr="00F8686F">
        <w:rPr>
          <w:rFonts w:cs="Arial"/>
        </w:rPr>
        <w:t>(f) to issue or refuse a certificate under subsection 303CC(5); or</w:t>
      </w:r>
    </w:p>
    <w:p w:rsidR="00F8686F" w:rsidRPr="00F8686F" w:rsidRDefault="00F8686F" w:rsidP="00EE62DA">
      <w:pPr>
        <w:spacing w:before="120" w:after="120"/>
        <w:ind w:left="720"/>
        <w:jc w:val="both"/>
        <w:rPr>
          <w:rFonts w:cs="Arial"/>
        </w:rPr>
      </w:pPr>
      <w:r w:rsidRPr="00F8686F">
        <w:rPr>
          <w:rFonts w:cs="Arial"/>
        </w:rPr>
        <w:t>(g) of the Secretary under a determination in force under section 303EU; or</w:t>
      </w:r>
    </w:p>
    <w:p w:rsidR="00F8686F" w:rsidRPr="00F8686F" w:rsidRDefault="00F8686F" w:rsidP="00EE62DA">
      <w:pPr>
        <w:spacing w:before="120" w:after="120"/>
        <w:ind w:left="720"/>
        <w:jc w:val="both"/>
        <w:rPr>
          <w:rFonts w:cs="Arial"/>
        </w:rPr>
      </w:pPr>
      <w:r w:rsidRPr="00F8686F">
        <w:rPr>
          <w:rFonts w:cs="Arial"/>
        </w:rPr>
        <w:t>(h) to make or refuse a declaration under section 303FN, 303FO or 303FP; or</w:t>
      </w:r>
    </w:p>
    <w:p w:rsidR="00545F4F" w:rsidRDefault="00F8686F" w:rsidP="00EE62DA">
      <w:pPr>
        <w:spacing w:before="120" w:after="120"/>
        <w:ind w:left="720"/>
        <w:jc w:val="both"/>
        <w:rPr>
          <w:rFonts w:cs="Arial"/>
        </w:rPr>
      </w:pPr>
      <w:r w:rsidRPr="00F8686F">
        <w:rPr>
          <w:rFonts w:cs="Arial"/>
        </w:rPr>
        <w:t>(i) to vary or revoke a declaration under section 303FN, 303FO or 303FP.</w:t>
      </w:r>
    </w:p>
    <w:p w:rsidR="00545F4F" w:rsidRDefault="00545F4F" w:rsidP="00EE62DA">
      <w:pPr>
        <w:spacing w:before="120" w:after="120"/>
        <w:ind w:left="720"/>
        <w:jc w:val="both"/>
        <w:rPr>
          <w:rFonts w:cs="Arial"/>
        </w:rPr>
      </w:pPr>
    </w:p>
    <w:p w:rsidR="00545F4F" w:rsidRDefault="00545F4F" w:rsidP="00EE62DA">
      <w:pPr>
        <w:pStyle w:val="ListBullet"/>
        <w:numPr>
          <w:ilvl w:val="0"/>
          <w:numId w:val="0"/>
        </w:numPr>
        <w:ind w:left="369" w:hanging="369"/>
      </w:pPr>
      <w:r w:rsidRPr="00504C08">
        <w:t xml:space="preserve">If you are dissatisfied with </w:t>
      </w:r>
      <w:r>
        <w:t>a decision of a type listed above you may:</w:t>
      </w:r>
    </w:p>
    <w:p w:rsidR="00545F4F" w:rsidRDefault="00545F4F" w:rsidP="00EE62DA">
      <w:pPr>
        <w:pStyle w:val="ListBullet"/>
      </w:pPr>
      <w:r>
        <w:t>by notice, provided in writing, request that the Minister or the Minister’s delegate give you a statement in writing setting out the reasons for the decision; and</w:t>
      </w:r>
    </w:p>
    <w:p w:rsidR="00545F4F" w:rsidRPr="00FE2720" w:rsidRDefault="00545F4F" w:rsidP="00EE62DA">
      <w:pPr>
        <w:pStyle w:val="ListBullet"/>
      </w:pPr>
      <w:r w:rsidRPr="00504C08">
        <w:t>apply to the Administrative Appeals Tribunal (</w:t>
      </w:r>
      <w:r w:rsidRPr="00FE2720">
        <w:rPr>
          <w:b/>
        </w:rPr>
        <w:t>AAT</w:t>
      </w:r>
      <w:r w:rsidRPr="00504C08">
        <w:t>) for</w:t>
      </w:r>
      <w:r>
        <w:t xml:space="preserve"> independent merits review of the decision. A</w:t>
      </w:r>
      <w:r w:rsidRPr="00504C08">
        <w:t xml:space="preserve">pplication for review of a decision must be made to the AAT within </w:t>
      </w:r>
      <w:r w:rsidRPr="00504C08">
        <w:rPr>
          <w:b/>
        </w:rPr>
        <w:t>28 days</w:t>
      </w:r>
      <w:r w:rsidRPr="00504C08">
        <w:t xml:space="preserve"> after the day on which you have received the reviewable decision.</w:t>
      </w:r>
      <w:r>
        <w:t xml:space="preserve"> </w:t>
      </w:r>
      <w:r w:rsidRPr="00946C44">
        <w:rPr>
          <w:color w:val="000000" w:themeColor="text1"/>
        </w:rPr>
        <w:t xml:space="preserve">However an extension of time for lodging an application may be granted by the AAT under certain circumstances. Please visit the AAT’s website at </w:t>
      </w:r>
      <w:hyperlink r:id="rId16" w:history="1">
        <w:r w:rsidRPr="00946C44">
          <w:rPr>
            <w:rStyle w:val="Hyperlink"/>
            <w:rFonts w:cs="Arial"/>
            <w:color w:val="000000" w:themeColor="text1"/>
          </w:rPr>
          <w:t>http://www.aat.gov.au/</w:t>
        </w:r>
      </w:hyperlink>
      <w:r w:rsidRPr="00946C44">
        <w:rPr>
          <w:color w:val="000000" w:themeColor="text1"/>
        </w:rPr>
        <w:t xml:space="preserve"> </w:t>
      </w:r>
      <w:r>
        <w:rPr>
          <w:color w:val="000000" w:themeColor="text1"/>
        </w:rPr>
        <w:t xml:space="preserve">or telephone 1300 366 700 </w:t>
      </w:r>
      <w:r w:rsidRPr="00946C44">
        <w:rPr>
          <w:color w:val="000000" w:themeColor="text1"/>
        </w:rPr>
        <w:t>for further information.</w:t>
      </w:r>
      <w:r>
        <w:rPr>
          <w:color w:val="000000" w:themeColor="text1"/>
        </w:rPr>
        <w:t xml:space="preserve"> The role of the AAT is to provide a review mechanism that is fair, just, economical, informal and quick.</w:t>
      </w:r>
    </w:p>
    <w:p w:rsidR="00545F4F" w:rsidRDefault="00545F4F" w:rsidP="00EE62DA">
      <w:pPr>
        <w:spacing w:before="120" w:after="120"/>
        <w:ind w:left="369" w:hanging="369"/>
        <w:jc w:val="both"/>
        <w:rPr>
          <w:rFonts w:cs="Arial"/>
          <w:b/>
        </w:rPr>
      </w:pPr>
      <w:r w:rsidRPr="00504C08">
        <w:rPr>
          <w:rFonts w:cs="Arial"/>
          <w:b/>
        </w:rPr>
        <w:t xml:space="preserve">Applications &amp; Costs </w:t>
      </w:r>
    </w:p>
    <w:p w:rsidR="00545F4F" w:rsidRDefault="00545F4F" w:rsidP="00EE62DA">
      <w:pPr>
        <w:spacing w:before="120" w:after="120"/>
        <w:jc w:val="both"/>
        <w:rPr>
          <w:rFonts w:cs="Arial"/>
        </w:rPr>
      </w:pPr>
      <w:r w:rsidRPr="00504C08">
        <w:rPr>
          <w:rFonts w:cs="Arial"/>
        </w:rPr>
        <w:t xml:space="preserve">Applications to the AAT are made by lodging an Application Form (Form 1). This can be found on the AAT’s website </w:t>
      </w:r>
      <w:hyperlink r:id="rId17" w:history="1">
        <w:r w:rsidRPr="00504C08">
          <w:rPr>
            <w:rStyle w:val="Hyperlink"/>
            <w:rFonts w:cs="Arial"/>
          </w:rPr>
          <w:t>http://www.aat.gov.au/</w:t>
        </w:r>
      </w:hyperlink>
      <w:r>
        <w:rPr>
          <w:rFonts w:cs="Arial"/>
        </w:rPr>
        <w:t xml:space="preserve">. </w:t>
      </w:r>
    </w:p>
    <w:p w:rsidR="00545F4F" w:rsidRDefault="00545F4F" w:rsidP="00EE62DA">
      <w:pPr>
        <w:spacing w:before="120" w:after="12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rsidR="00545F4F" w:rsidRDefault="00545F4F" w:rsidP="00EE62DA">
      <w:pPr>
        <w:spacing w:before="120" w:after="120"/>
        <w:rPr>
          <w:rFonts w:cs="Arial"/>
        </w:rPr>
      </w:pPr>
      <w:r>
        <w:rPr>
          <w:rFonts w:cs="Arial"/>
        </w:rPr>
        <w:t>T</w:t>
      </w:r>
      <w:r w:rsidRPr="00504C08">
        <w:rPr>
          <w:rFonts w:cs="Arial"/>
        </w:rPr>
        <w:t>he cost of lodging</w:t>
      </w:r>
      <w:r>
        <w:rPr>
          <w:rFonts w:cs="Arial"/>
        </w:rPr>
        <w:t xml:space="preserve"> an application for review is </w:t>
      </w:r>
      <w:r w:rsidRPr="00E81DAF">
        <w:rPr>
          <w:rFonts w:cs="Arial"/>
        </w:rPr>
        <w:t>$8</w:t>
      </w:r>
      <w:r>
        <w:rPr>
          <w:rFonts w:cs="Arial"/>
        </w:rPr>
        <w:t>84 (GST inclusive) (current as of 1</w:t>
      </w:r>
      <w:r w:rsidR="00EE62DA">
        <w:rPr>
          <w:rFonts w:cs="Arial"/>
        </w:rPr>
        <w:t> </w:t>
      </w:r>
      <w:r>
        <w:rPr>
          <w:rFonts w:cs="Arial"/>
        </w:rPr>
        <w:t>July</w:t>
      </w:r>
      <w:r w:rsidR="00EE62DA">
        <w:rPr>
          <w:rFonts w:cs="Arial"/>
        </w:rPr>
        <w:t> </w:t>
      </w:r>
      <w:r>
        <w:rPr>
          <w:rFonts w:cs="Arial"/>
        </w:rPr>
        <w:t>2016)</w:t>
      </w:r>
      <w:r w:rsidRPr="00E81DAF">
        <w:rPr>
          <w:rFonts w:cs="Arial"/>
        </w:rPr>
        <w:t xml:space="preserve">. </w:t>
      </w:r>
    </w:p>
    <w:p w:rsidR="00545040" w:rsidRDefault="00545040" w:rsidP="00EE62DA">
      <w:pPr>
        <w:spacing w:before="120" w:after="120"/>
        <w:rPr>
          <w:rFonts w:cs="Arial"/>
        </w:rPr>
      </w:pPr>
    </w:p>
    <w:p w:rsidR="00545F4F" w:rsidRDefault="00545F4F" w:rsidP="00EE62DA">
      <w:pPr>
        <w:spacing w:before="120" w:after="120"/>
        <w:rPr>
          <w:rFonts w:cs="Arial"/>
        </w:rPr>
      </w:pPr>
      <w:r>
        <w:rPr>
          <w:rFonts w:cs="Arial"/>
        </w:rPr>
        <w:t xml:space="preserve">You may be eligible to pay a reduced fee of $100.00 if:  </w:t>
      </w:r>
    </w:p>
    <w:p w:rsidR="00545F4F" w:rsidRDefault="00545F4F" w:rsidP="00EE62DA">
      <w:pPr>
        <w:pStyle w:val="ListBullet"/>
        <w:spacing w:before="120" w:after="120"/>
      </w:pPr>
      <w:r>
        <w:t>you are receiving legal aid for your application;</w:t>
      </w:r>
    </w:p>
    <w:p w:rsidR="00545F4F" w:rsidRDefault="00545F4F" w:rsidP="00EE62DA">
      <w:pPr>
        <w:pStyle w:val="ListBullet"/>
        <w:spacing w:before="120" w:after="120"/>
      </w:pPr>
      <w:r>
        <w:t>you hold a health care card, a Commonwealth seniors health card or any other card issued by the Department of Social Services or the Department of Veteran’s Affairs that entitles the holder to Commonwealth health concessions;</w:t>
      </w:r>
    </w:p>
    <w:p w:rsidR="00545F4F" w:rsidRDefault="00545F4F" w:rsidP="00EE62DA">
      <w:pPr>
        <w:pStyle w:val="ListBullet"/>
        <w:spacing w:before="120" w:after="120"/>
      </w:pPr>
      <w:r>
        <w:t>you are in prison or lawfully detained in a public institution;</w:t>
      </w:r>
    </w:p>
    <w:p w:rsidR="00545F4F" w:rsidRDefault="00545F4F" w:rsidP="00EE62DA">
      <w:pPr>
        <w:pStyle w:val="ListBullet"/>
        <w:spacing w:before="120" w:after="120"/>
      </w:pPr>
      <w:r>
        <w:t xml:space="preserve">you are under 18 years of age; or </w:t>
      </w:r>
    </w:p>
    <w:p w:rsidR="00545F4F" w:rsidRDefault="00545F4F" w:rsidP="00EE62DA">
      <w:pPr>
        <w:pStyle w:val="ListBullet"/>
        <w:spacing w:before="120" w:after="120"/>
      </w:pPr>
      <w:r>
        <w:t xml:space="preserve">you are receiving youth allowance, Austudy or ABSTUDY. </w:t>
      </w:r>
    </w:p>
    <w:p w:rsidR="00545F4F" w:rsidRDefault="00545F4F" w:rsidP="00EE62DA">
      <w:pPr>
        <w:pStyle w:val="NormalWeb"/>
        <w:spacing w:before="120" w:after="120"/>
        <w:rPr>
          <w:rFonts w:ascii="Arial" w:hAnsi="Arial" w:cs="Arial"/>
          <w:sz w:val="22"/>
          <w:szCs w:val="22"/>
        </w:rPr>
      </w:pPr>
      <w:r>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rsidR="00545F4F" w:rsidRDefault="00545F4F" w:rsidP="00EE62DA">
      <w:pPr>
        <w:spacing w:before="120" w:after="120"/>
        <w:rPr>
          <w:rFonts w:cs="Arial"/>
          <w:b/>
        </w:rPr>
      </w:pPr>
      <w:r w:rsidRPr="00504C08">
        <w:rPr>
          <w:rFonts w:cs="Arial"/>
          <w:b/>
        </w:rPr>
        <w:t>Contact Details</w:t>
      </w:r>
    </w:p>
    <w:p w:rsidR="00545F4F" w:rsidRDefault="00545F4F" w:rsidP="00EE62DA">
      <w:pPr>
        <w:spacing w:before="120" w:after="12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rsidR="00AF4DBA" w:rsidRPr="00AF4DBA" w:rsidRDefault="00AF4DBA" w:rsidP="00EE62DA">
      <w:pPr>
        <w:spacing w:after="0"/>
        <w:ind w:left="720"/>
        <w:rPr>
          <w:rFonts w:cs="Arial"/>
        </w:rPr>
      </w:pPr>
      <w:r w:rsidRPr="00AF4DBA">
        <w:rPr>
          <w:rFonts w:cs="Arial"/>
        </w:rPr>
        <w:t>The Director</w:t>
      </w:r>
    </w:p>
    <w:p w:rsidR="00AF4DBA" w:rsidRPr="00AF4DBA" w:rsidRDefault="00AF4DBA" w:rsidP="00EE62DA">
      <w:pPr>
        <w:spacing w:after="0"/>
        <w:ind w:left="720"/>
        <w:rPr>
          <w:rFonts w:cs="Arial"/>
        </w:rPr>
      </w:pPr>
      <w:r w:rsidRPr="00AF4DBA">
        <w:rPr>
          <w:rFonts w:cs="Arial"/>
        </w:rPr>
        <w:t xml:space="preserve">Sustainable Fisheries </w:t>
      </w:r>
      <w:r w:rsidR="00444BFF" w:rsidRPr="00AF4DBA">
        <w:rPr>
          <w:rFonts w:cs="Arial"/>
        </w:rPr>
        <w:t>Section</w:t>
      </w:r>
    </w:p>
    <w:p w:rsidR="00AF4DBA" w:rsidRPr="00AF4DBA" w:rsidRDefault="00545F4F" w:rsidP="00EE62DA">
      <w:pPr>
        <w:spacing w:after="0"/>
        <w:ind w:left="720"/>
        <w:rPr>
          <w:rFonts w:cs="Arial"/>
        </w:rPr>
      </w:pPr>
      <w:r w:rsidRPr="00AF4DBA">
        <w:rPr>
          <w:rFonts w:cs="Arial"/>
        </w:rPr>
        <w:t>Department</w:t>
      </w:r>
      <w:r w:rsidR="00AF4DBA" w:rsidRPr="00AF4DBA">
        <w:rPr>
          <w:rFonts w:cs="Arial"/>
        </w:rPr>
        <w:t xml:space="preserve"> of the Environment and Energy</w:t>
      </w:r>
    </w:p>
    <w:p w:rsidR="00AF4DBA" w:rsidRPr="00AF4DBA" w:rsidRDefault="00AF4DBA" w:rsidP="00EE62DA">
      <w:pPr>
        <w:spacing w:after="0"/>
        <w:ind w:left="720"/>
        <w:rPr>
          <w:rFonts w:cs="Arial"/>
        </w:rPr>
      </w:pPr>
      <w:r w:rsidRPr="00AF4DBA">
        <w:rPr>
          <w:rFonts w:cs="Arial"/>
        </w:rPr>
        <w:t>GPO Box 787</w:t>
      </w:r>
    </w:p>
    <w:p w:rsidR="00AF4DBA" w:rsidRPr="00AF4DBA" w:rsidRDefault="00AF4DBA" w:rsidP="00EE62DA">
      <w:pPr>
        <w:spacing w:after="0"/>
        <w:ind w:left="720"/>
        <w:rPr>
          <w:rFonts w:cs="Arial"/>
        </w:rPr>
      </w:pPr>
      <w:r w:rsidRPr="00AF4DBA">
        <w:rPr>
          <w:rFonts w:cs="Arial"/>
        </w:rPr>
        <w:t>Canberra  ACT  2601</w:t>
      </w:r>
    </w:p>
    <w:p w:rsidR="00AF4DBA" w:rsidRPr="00AF4DBA" w:rsidRDefault="00AF4DBA" w:rsidP="00EE62DA">
      <w:pPr>
        <w:spacing w:after="0"/>
        <w:ind w:left="720"/>
        <w:rPr>
          <w:rFonts w:cs="Arial"/>
        </w:rPr>
      </w:pPr>
      <w:r w:rsidRPr="00AF4DBA">
        <w:rPr>
          <w:rFonts w:cs="Arial"/>
          <w:b/>
        </w:rPr>
        <w:t>Telephone:</w:t>
      </w:r>
      <w:r w:rsidRPr="00AF4DBA">
        <w:rPr>
          <w:rFonts w:cs="Arial"/>
        </w:rPr>
        <w:t xml:space="preserve"> +61 (0) 2 6274 1917</w:t>
      </w:r>
    </w:p>
    <w:p w:rsidR="00545F4F" w:rsidRDefault="00AF4DBA" w:rsidP="00EE62DA">
      <w:pPr>
        <w:spacing w:after="0"/>
        <w:ind w:left="720"/>
        <w:rPr>
          <w:rFonts w:cs="Arial"/>
        </w:rPr>
      </w:pPr>
      <w:r w:rsidRPr="00AF4DBA">
        <w:rPr>
          <w:rFonts w:cs="Arial"/>
          <w:b/>
        </w:rPr>
        <w:t>Email:</w:t>
      </w:r>
      <w:r w:rsidRPr="00AF4DBA">
        <w:rPr>
          <w:rFonts w:cs="Arial"/>
        </w:rPr>
        <w:t xml:space="preserve"> sustainablefisheries@environment.gov.au</w:t>
      </w:r>
    </w:p>
    <w:p w:rsidR="00545F4F" w:rsidRDefault="00545F4F" w:rsidP="00EE62DA">
      <w:pPr>
        <w:spacing w:before="120" w:after="12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rsidR="00545F4F" w:rsidRDefault="00545F4F" w:rsidP="00EE62DA">
      <w:pPr>
        <w:spacing w:after="0"/>
        <w:ind w:left="720"/>
        <w:rPr>
          <w:rFonts w:cs="Arial"/>
        </w:rPr>
      </w:pPr>
      <w:r w:rsidRPr="00504C08">
        <w:rPr>
          <w:rFonts w:cs="Arial"/>
        </w:rPr>
        <w:t>Administrativ</w:t>
      </w:r>
      <w:r>
        <w:rPr>
          <w:rFonts w:cs="Arial"/>
        </w:rPr>
        <w:t>e Appeals Tribunal</w:t>
      </w:r>
    </w:p>
    <w:p w:rsidR="00545F4F" w:rsidRDefault="00545F4F" w:rsidP="00EE62DA">
      <w:pPr>
        <w:spacing w:after="0"/>
        <w:ind w:left="720"/>
        <w:rPr>
          <w:rFonts w:cs="Arial"/>
        </w:rPr>
      </w:pP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p>
    <w:p w:rsidR="00545F4F" w:rsidRDefault="00545F4F" w:rsidP="00EE62DA">
      <w:pPr>
        <w:pStyle w:val="NormalWeb"/>
        <w:spacing w:before="0" w:beforeAutospacing="0" w:after="0" w:afterAutospacing="0"/>
        <w:ind w:left="720"/>
        <w:jc w:val="both"/>
        <w:rPr>
          <w:rFonts w:ascii="Arial" w:hAnsi="Arial" w:cs="Arial"/>
          <w:sz w:val="22"/>
          <w:szCs w:val="22"/>
        </w:rPr>
      </w:pPr>
      <w:r w:rsidRPr="00504C08">
        <w:rPr>
          <w:rFonts w:ascii="Arial" w:hAnsi="Arial" w:cs="Arial"/>
          <w:sz w:val="22"/>
          <w:szCs w:val="22"/>
        </w:rPr>
        <w:t xml:space="preserve">T: </w:t>
      </w:r>
      <w:r>
        <w:rPr>
          <w:rFonts w:ascii="Arial" w:hAnsi="Arial" w:cs="Arial"/>
          <w:sz w:val="22"/>
          <w:szCs w:val="22"/>
        </w:rPr>
        <w:t xml:space="preserve">1800 228 333 and </w:t>
      </w:r>
      <w:r w:rsidR="00AF4DBA" w:rsidRPr="00AF4DBA">
        <w:rPr>
          <w:rFonts w:ascii="Arial" w:hAnsi="Arial" w:cs="Arial"/>
          <w:sz w:val="22"/>
          <w:szCs w:val="22"/>
        </w:rPr>
        <w:t xml:space="preserve">+61 (0) 2 </w:t>
      </w:r>
      <w:r w:rsidRPr="00504C08">
        <w:rPr>
          <w:rFonts w:ascii="Arial" w:hAnsi="Arial" w:cs="Arial"/>
          <w:sz w:val="22"/>
          <w:szCs w:val="22"/>
        </w:rPr>
        <w:t>9</w:t>
      </w:r>
      <w:r>
        <w:rPr>
          <w:rFonts w:ascii="Arial" w:hAnsi="Arial" w:cs="Arial"/>
          <w:sz w:val="22"/>
          <w:szCs w:val="22"/>
        </w:rPr>
        <w:t xml:space="preserve">276 5000 </w:t>
      </w:r>
    </w:p>
    <w:p w:rsidR="00545F4F" w:rsidRDefault="00545F4F" w:rsidP="00EE62DA">
      <w:pPr>
        <w:pStyle w:val="NormalWeb"/>
        <w:spacing w:before="0" w:beforeAutospacing="0" w:after="0" w:afterAutospacing="0"/>
        <w:ind w:left="720"/>
        <w:jc w:val="both"/>
        <w:rPr>
          <w:rFonts w:ascii="Arial" w:hAnsi="Arial" w:cs="Arial"/>
          <w:sz w:val="22"/>
          <w:szCs w:val="22"/>
        </w:rPr>
      </w:pPr>
      <w:r>
        <w:rPr>
          <w:rFonts w:ascii="Arial" w:hAnsi="Arial" w:cs="Arial"/>
          <w:sz w:val="22"/>
          <w:szCs w:val="22"/>
        </w:rPr>
        <w:t xml:space="preserve">F: </w:t>
      </w:r>
      <w:r w:rsidR="00AF4DBA">
        <w:rPr>
          <w:rFonts w:ascii="Arial" w:hAnsi="Arial" w:cs="Arial"/>
          <w:sz w:val="22"/>
          <w:szCs w:val="22"/>
        </w:rPr>
        <w:t xml:space="preserve">+61 </w:t>
      </w:r>
      <w:r>
        <w:rPr>
          <w:rFonts w:ascii="Arial" w:hAnsi="Arial" w:cs="Arial"/>
          <w:sz w:val="22"/>
          <w:szCs w:val="22"/>
        </w:rPr>
        <w:t xml:space="preserve">(0) </w:t>
      </w:r>
      <w:r w:rsidR="00AF4DBA">
        <w:rPr>
          <w:rFonts w:ascii="Arial" w:hAnsi="Arial" w:cs="Arial"/>
          <w:sz w:val="22"/>
          <w:szCs w:val="22"/>
        </w:rPr>
        <w:t xml:space="preserve">2 </w:t>
      </w:r>
      <w:r>
        <w:rPr>
          <w:rFonts w:ascii="Arial" w:hAnsi="Arial" w:cs="Arial"/>
          <w:sz w:val="22"/>
          <w:szCs w:val="22"/>
        </w:rPr>
        <w:t>9276</w:t>
      </w:r>
      <w:r w:rsidRPr="00504C08">
        <w:rPr>
          <w:rFonts w:ascii="Arial" w:hAnsi="Arial" w:cs="Arial"/>
          <w:sz w:val="22"/>
          <w:szCs w:val="22"/>
        </w:rPr>
        <w:t xml:space="preserve"> 55</w:t>
      </w:r>
      <w:r>
        <w:rPr>
          <w:rFonts w:ascii="Arial" w:hAnsi="Arial" w:cs="Arial"/>
          <w:sz w:val="22"/>
          <w:szCs w:val="22"/>
        </w:rPr>
        <w:t>99</w:t>
      </w:r>
    </w:p>
    <w:p w:rsidR="00545F4F" w:rsidRDefault="00545F4F" w:rsidP="00EE62DA">
      <w:pPr>
        <w:pStyle w:val="NormalWeb"/>
        <w:spacing w:before="0" w:beforeAutospacing="0" w:after="0" w:afterAutospacing="0"/>
        <w:ind w:left="720"/>
        <w:jc w:val="both"/>
        <w:rPr>
          <w:rFonts w:ascii="Arial" w:hAnsi="Arial" w:cs="Arial"/>
          <w:sz w:val="22"/>
          <w:szCs w:val="22"/>
        </w:rPr>
      </w:pPr>
      <w:r w:rsidRPr="00504C08">
        <w:rPr>
          <w:rFonts w:ascii="Arial" w:hAnsi="Arial" w:cs="Arial"/>
          <w:sz w:val="22"/>
          <w:szCs w:val="22"/>
        </w:rPr>
        <w:t xml:space="preserve">E: </w:t>
      </w:r>
      <w:hyperlink r:id="rId18" w:history="1">
        <w:r w:rsidRPr="00991C46">
          <w:rPr>
            <w:rStyle w:val="Hyperlink"/>
            <w:rFonts w:ascii="Arial" w:hAnsi="Arial" w:cs="Arial"/>
            <w:sz w:val="22"/>
            <w:szCs w:val="22"/>
          </w:rPr>
          <w:t>generalreviews@aat.gov.au</w:t>
        </w:r>
      </w:hyperlink>
      <w:r>
        <w:rPr>
          <w:rFonts w:ascii="Arial" w:hAnsi="Arial" w:cs="Arial"/>
          <w:sz w:val="22"/>
          <w:szCs w:val="22"/>
        </w:rPr>
        <w:t xml:space="preserve"> </w:t>
      </w:r>
    </w:p>
    <w:p w:rsidR="00545F4F" w:rsidRDefault="00545F4F" w:rsidP="00EE62DA">
      <w:pPr>
        <w:pStyle w:val="NormalWeb"/>
        <w:spacing w:before="0" w:beforeAutospacing="0" w:after="0" w:afterAutospacing="0"/>
        <w:ind w:left="720"/>
        <w:jc w:val="both"/>
      </w:pPr>
      <w:r w:rsidRPr="00504C08">
        <w:rPr>
          <w:rFonts w:ascii="Arial" w:hAnsi="Arial" w:cs="Arial"/>
          <w:sz w:val="22"/>
          <w:szCs w:val="22"/>
        </w:rPr>
        <w:t xml:space="preserve">W: </w:t>
      </w:r>
      <w:hyperlink r:id="rId19" w:history="1">
        <w:r w:rsidRPr="00991C46">
          <w:rPr>
            <w:rStyle w:val="Hyperlink"/>
            <w:rFonts w:ascii="Arial" w:hAnsi="Arial" w:cs="Arial"/>
            <w:sz w:val="22"/>
            <w:szCs w:val="22"/>
          </w:rPr>
          <w:t>http://www.aat.gov.au</w:t>
        </w:r>
      </w:hyperlink>
      <w:r>
        <w:rPr>
          <w:rFonts w:ascii="Arial" w:hAnsi="Arial" w:cs="Arial"/>
          <w:sz w:val="22"/>
          <w:szCs w:val="22"/>
        </w:rPr>
        <w:t xml:space="preserve"> </w:t>
      </w:r>
    </w:p>
    <w:p w:rsidR="00545F4F" w:rsidRDefault="00545F4F" w:rsidP="00EE62DA">
      <w:pPr>
        <w:spacing w:before="120" w:after="120"/>
        <w:rPr>
          <w:rFonts w:cs="Arial"/>
          <w:b/>
        </w:rPr>
      </w:pPr>
    </w:p>
    <w:p w:rsidR="00545F4F" w:rsidRDefault="00545F4F" w:rsidP="00EE62DA">
      <w:pPr>
        <w:spacing w:before="120" w:after="120"/>
        <w:rPr>
          <w:rFonts w:cs="Arial"/>
          <w:b/>
        </w:rPr>
      </w:pPr>
      <w:r w:rsidRPr="00504C08">
        <w:rPr>
          <w:rFonts w:cs="Arial"/>
          <w:b/>
        </w:rPr>
        <w:t>Freedom of Information Request</w:t>
      </w:r>
    </w:p>
    <w:p w:rsidR="00545F4F" w:rsidRDefault="00545F4F" w:rsidP="00EE62DA">
      <w:pPr>
        <w:spacing w:before="120" w:after="120"/>
        <w:rPr>
          <w:rFonts w:eastAsia="Times New Roman" w:cs="Arial"/>
        </w:rPr>
      </w:pPr>
      <w:r w:rsidRPr="00504C08">
        <w:rPr>
          <w:rFonts w:eastAsia="Times New Roman" w:cs="Arial"/>
        </w:rPr>
        <w:t xml:space="preserve">You may make an application under the </w:t>
      </w:r>
      <w:r w:rsidRPr="00504C08">
        <w:rPr>
          <w:rFonts w:eastAsia="Times New Roman" w:cs="Arial"/>
          <w:i/>
          <w:iCs/>
        </w:rPr>
        <w:t>Freedom of Information Act 1982</w:t>
      </w:r>
      <w:r w:rsidRPr="00504C08">
        <w:rPr>
          <w:rFonts w:eastAsia="Times New Roman" w:cs="Arial"/>
        </w:rPr>
        <w:t xml:space="preserve"> (FOI Act) to access documents. Further information can be found at </w:t>
      </w:r>
      <w:hyperlink r:id="rId20" w:history="1">
        <w:r w:rsidRPr="00504C08">
          <w:rPr>
            <w:rStyle w:val="Hyperlink"/>
            <w:rFonts w:eastAsia="Times New Roman" w:cs="Arial"/>
          </w:rPr>
          <w:t>http://www.environment.gov.au/foi/index.html</w:t>
        </w:r>
      </w:hyperlink>
    </w:p>
    <w:p w:rsidR="00545F4F" w:rsidRDefault="00545F4F" w:rsidP="00EE62DA">
      <w:pPr>
        <w:spacing w:before="120" w:after="120"/>
        <w:rPr>
          <w:rFonts w:eastAsia="Times New Roman" w:cs="Arial"/>
        </w:rPr>
      </w:pPr>
      <w:r w:rsidRPr="00504C08">
        <w:rPr>
          <w:rFonts w:eastAsia="Times New Roman" w:cs="Arial"/>
        </w:rPr>
        <w:t xml:space="preserve">Please contact the Freedom of Information Contact Officer at </w:t>
      </w:r>
      <w:hyperlink r:id="rId21" w:history="1">
        <w:r w:rsidRPr="00504C08">
          <w:rPr>
            <w:rStyle w:val="Hyperlink"/>
            <w:rFonts w:cs="Arial"/>
          </w:rPr>
          <w:t>foi@environment.gov.au</w:t>
        </w:r>
      </w:hyperlink>
      <w:r w:rsidRPr="00504C08">
        <w:rPr>
          <w:rFonts w:cs="Arial"/>
        </w:rPr>
        <w:t xml:space="preserve"> for more information. </w:t>
      </w:r>
    </w:p>
    <w:p w:rsidR="0050646D" w:rsidRPr="00CF5CAE" w:rsidRDefault="0050646D" w:rsidP="00545F4F">
      <w:pPr>
        <w:spacing w:before="200"/>
        <w:jc w:val="center"/>
      </w:pPr>
    </w:p>
    <w:sectPr w:rsidR="0050646D" w:rsidRPr="00CF5CAE" w:rsidSect="00C325B9">
      <w:headerReference w:type="first" r:id="rId22"/>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B3E" w:rsidRDefault="00D82B3E" w:rsidP="00A60185">
      <w:pPr>
        <w:spacing w:after="0" w:line="240" w:lineRule="auto"/>
      </w:pPr>
      <w:r>
        <w:separator/>
      </w:r>
    </w:p>
  </w:endnote>
  <w:endnote w:type="continuationSeparator" w:id="0">
    <w:p w:rsidR="00D82B3E" w:rsidRDefault="00D82B3E"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Pr="00785782" w:rsidRDefault="00F8686F">
    <w:pPr>
      <w:pStyle w:val="Footer"/>
      <w:rPr>
        <w:sz w:val="22"/>
      </w:rPr>
    </w:pPr>
    <w:r w:rsidRPr="00785782">
      <w:rPr>
        <w:sz w:val="22"/>
      </w:rPr>
      <w:fldChar w:fldCharType="begin"/>
    </w:r>
    <w:r w:rsidRPr="00785782">
      <w:rPr>
        <w:sz w:val="22"/>
      </w:rPr>
      <w:instrText xml:space="preserve"> PAGE   \* MERGEFORMAT </w:instrText>
    </w:r>
    <w:r w:rsidRPr="00785782">
      <w:rPr>
        <w:sz w:val="22"/>
      </w:rPr>
      <w:fldChar w:fldCharType="separate"/>
    </w:r>
    <w:r w:rsidR="00D82B3E">
      <w:rPr>
        <w:noProof/>
        <w:sz w:val="22"/>
      </w:rPr>
      <w:t>2</w:t>
    </w:r>
    <w:r w:rsidRPr="00785782">
      <w:rPr>
        <w:sz w:val="22"/>
      </w:rPr>
      <w:fldChar w:fldCharType="end"/>
    </w:r>
  </w:p>
  <w:p w:rsidR="00F8686F" w:rsidRDefault="00F868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F8686F" w:rsidP="00C43020">
    <w:pPr>
      <w:pStyle w:val="Footer"/>
    </w:pPr>
  </w:p>
  <w:p w:rsidR="00F8686F" w:rsidRPr="00C43020" w:rsidRDefault="00F8686F" w:rsidP="008565B9">
    <w:pPr>
      <w:pStyle w:val="Footer"/>
    </w:pPr>
    <w:r>
      <w:t>GPO Box 787 Canberra ACT 2601 • Telephone 02 6274 1111 • Facsimile 02 6274 1666 • www.environment.gov.au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Pr="006F181F" w:rsidRDefault="00F8686F" w:rsidP="00631D4A">
    <w:pPr>
      <w:pStyle w:val="Foo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B3E" w:rsidRDefault="00D82B3E" w:rsidP="00A60185">
      <w:pPr>
        <w:spacing w:after="0" w:line="240" w:lineRule="auto"/>
      </w:pPr>
      <w:r>
        <w:separator/>
      </w:r>
    </w:p>
  </w:footnote>
  <w:footnote w:type="continuationSeparator" w:id="0">
    <w:p w:rsidR="00D82B3E" w:rsidRDefault="00D82B3E" w:rsidP="00A60185">
      <w:pPr>
        <w:spacing w:after="0" w:line="240" w:lineRule="auto"/>
      </w:pPr>
      <w:r>
        <w:continuationSeparator/>
      </w:r>
    </w:p>
  </w:footnote>
  <w:footnote w:id="1">
    <w:p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F8686F" w:rsidP="00E45765">
    <w:pPr>
      <w:pStyle w:val="Classification"/>
    </w:pPr>
    <w:r>
      <w:fldChar w:fldCharType="begin"/>
    </w:r>
    <w:r>
      <w:instrText xml:space="preserve"> DOCPROPERTY SecurityClassification \* MERGEFORMAT </w:instrText>
    </w:r>
    <w:r>
      <w:fldChar w:fldCharType="separate"/>
    </w:r>
    <w:r w:rsidR="00D82B3E">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6C71E1">
    <w:pPr>
      <w:pStyle w:val="Header"/>
    </w:pPr>
    <w:r>
      <w:rPr>
        <w:noProof/>
        <w:lang w:eastAsia="en-AU"/>
      </w:rPr>
      <w:drawing>
        <wp:inline distT="0" distB="0" distL="0" distR="0" wp14:anchorId="0FD1854A" wp14:editId="54192736">
          <wp:extent cx="4221480" cy="7162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1480" cy="71628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6C71E1" w:rsidP="00545F4F">
    <w:pPr>
      <w:pStyle w:val="Header"/>
    </w:pPr>
    <w:r>
      <w:rPr>
        <w:noProof/>
        <w:lang w:eastAsia="en-AU"/>
      </w:rPr>
      <w:drawing>
        <wp:inline distT="0" distB="0" distL="0" distR="0" wp14:anchorId="0FD1854B" wp14:editId="4896AD19">
          <wp:extent cx="4221480" cy="716280"/>
          <wp:effectExtent l="0" t="0" r="7620" b="762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1480" cy="71628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Pr="00FA0CF5" w:rsidRDefault="00F8686F" w:rsidP="00FA0CF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F8686F" w:rsidP="006B1098">
    <w:pPr>
      <w:pStyle w:val="Header"/>
      <w:jc w:val="right"/>
    </w:pPr>
    <w:r>
      <w:rPr>
        <w:noProof/>
        <w:lang w:eastAsia="en-AU"/>
      </w:rPr>
      <w:t>Attachment 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F8686F" w:rsidP="006B1098">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6F" w:rsidRDefault="006C71E1" w:rsidP="00C6319E">
    <w:pPr>
      <w:pStyle w:val="Header"/>
    </w:pPr>
    <w:r>
      <w:rPr>
        <w:noProof/>
        <w:lang w:eastAsia="en-AU"/>
      </w:rPr>
      <w:drawing>
        <wp:inline distT="0" distB="0" distL="0" distR="0" wp14:anchorId="0FD1854C" wp14:editId="459B2306">
          <wp:extent cx="4221480" cy="716280"/>
          <wp:effectExtent l="0" t="0" r="762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1480" cy="7162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6" w15:restartNumberingAfterBreak="0">
    <w:nsid w:val="1F745BC2"/>
    <w:multiLevelType w:val="multilevel"/>
    <w:tmpl w:val="E5E89F92"/>
    <w:numStyleLink w:val="BulletList"/>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15:restartNumberingAfterBreak="0">
    <w:nsid w:val="5FB4377F"/>
    <w:multiLevelType w:val="hybridMultilevel"/>
    <w:tmpl w:val="8ECA60F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9"/>
  </w:num>
  <w:num w:numId="4">
    <w:abstractNumId w:val="17"/>
  </w:num>
  <w:num w:numId="5">
    <w:abstractNumId w:val="8"/>
  </w:num>
  <w:num w:numId="6">
    <w:abstractNumId w:val="7"/>
  </w:num>
  <w:num w:numId="7">
    <w:abstractNumId w:val="15"/>
  </w:num>
  <w:num w:numId="8">
    <w:abstractNumId w:val="6"/>
  </w:num>
  <w:num w:numId="9">
    <w:abstractNumId w:val="5"/>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num>
  <w:num w:numId="16">
    <w:abstractNumId w:val="7"/>
  </w:num>
  <w:num w:numId="17">
    <w:abstractNumId w:val="11"/>
  </w:num>
  <w:num w:numId="18">
    <w:abstractNumId w:val="14"/>
  </w:num>
  <w:num w:numId="19">
    <w:abstractNumId w:val="22"/>
  </w:num>
  <w:num w:numId="20">
    <w:abstractNumId w:val="13"/>
  </w:num>
  <w:num w:numId="21">
    <w:abstractNumId w:val="10"/>
  </w:num>
  <w:num w:numId="22">
    <w:abstractNumId w:val="1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6"/>
  </w:num>
  <w:num w:numId="32">
    <w:abstractNumId w:val="6"/>
  </w:num>
  <w:num w:numId="33">
    <w:abstractNumId w:val="6"/>
  </w:num>
  <w:num w:numId="34">
    <w:abstractNumId w:val="6"/>
  </w:num>
  <w:num w:numId="35">
    <w:abstractNumId w:val="4"/>
  </w:num>
  <w:num w:numId="36">
    <w:abstractNumId w:val="0"/>
  </w:num>
  <w:num w:numId="37">
    <w:abstractNumId w:val="9"/>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3"/>
  </w:num>
  <w:num w:numId="42">
    <w:abstractNumId w:val="7"/>
  </w:num>
  <w:num w:numId="4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B3E"/>
    <w:rsid w:val="00004AEE"/>
    <w:rsid w:val="00005CAA"/>
    <w:rsid w:val="000064A2"/>
    <w:rsid w:val="00010210"/>
    <w:rsid w:val="00014060"/>
    <w:rsid w:val="00015ADA"/>
    <w:rsid w:val="00017BB8"/>
    <w:rsid w:val="00020C99"/>
    <w:rsid w:val="000260F8"/>
    <w:rsid w:val="0002707B"/>
    <w:rsid w:val="00031219"/>
    <w:rsid w:val="00034231"/>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20C1"/>
    <w:rsid w:val="000A57CD"/>
    <w:rsid w:val="000B0B48"/>
    <w:rsid w:val="000B3758"/>
    <w:rsid w:val="000B5852"/>
    <w:rsid w:val="000B74A1"/>
    <w:rsid w:val="000B7681"/>
    <w:rsid w:val="000B7B42"/>
    <w:rsid w:val="000C02B7"/>
    <w:rsid w:val="000C5342"/>
    <w:rsid w:val="000C5DFC"/>
    <w:rsid w:val="000C63ED"/>
    <w:rsid w:val="000C706A"/>
    <w:rsid w:val="000D2887"/>
    <w:rsid w:val="000D309E"/>
    <w:rsid w:val="000D5528"/>
    <w:rsid w:val="000D61D0"/>
    <w:rsid w:val="000D6D63"/>
    <w:rsid w:val="000E0081"/>
    <w:rsid w:val="000E07CF"/>
    <w:rsid w:val="000E0B31"/>
    <w:rsid w:val="000F1E51"/>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2A0B"/>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37C"/>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23340"/>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877"/>
    <w:rsid w:val="003C09B7"/>
    <w:rsid w:val="003C0B60"/>
    <w:rsid w:val="003C2443"/>
    <w:rsid w:val="003C5DA3"/>
    <w:rsid w:val="003D2ECE"/>
    <w:rsid w:val="003D438C"/>
    <w:rsid w:val="003D4BCD"/>
    <w:rsid w:val="003D5140"/>
    <w:rsid w:val="003E2100"/>
    <w:rsid w:val="003E2500"/>
    <w:rsid w:val="003E7511"/>
    <w:rsid w:val="003F6F5B"/>
    <w:rsid w:val="00402F24"/>
    <w:rsid w:val="0040342D"/>
    <w:rsid w:val="0041192D"/>
    <w:rsid w:val="00413D8E"/>
    <w:rsid w:val="00413EE1"/>
    <w:rsid w:val="0042128E"/>
    <w:rsid w:val="00421FEC"/>
    <w:rsid w:val="00423277"/>
    <w:rsid w:val="00425593"/>
    <w:rsid w:val="00430252"/>
    <w:rsid w:val="00432B60"/>
    <w:rsid w:val="00434A49"/>
    <w:rsid w:val="00440698"/>
    <w:rsid w:val="00441D43"/>
    <w:rsid w:val="00444BFF"/>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2196"/>
    <w:rsid w:val="0052361B"/>
    <w:rsid w:val="00525EF4"/>
    <w:rsid w:val="0052681E"/>
    <w:rsid w:val="00527851"/>
    <w:rsid w:val="00531DBF"/>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A212E"/>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2DBE"/>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C71E1"/>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61E4"/>
    <w:rsid w:val="0073057B"/>
    <w:rsid w:val="00733193"/>
    <w:rsid w:val="00733C36"/>
    <w:rsid w:val="00742DA9"/>
    <w:rsid w:val="00744429"/>
    <w:rsid w:val="007470BF"/>
    <w:rsid w:val="00751C97"/>
    <w:rsid w:val="007533E2"/>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10A67"/>
    <w:rsid w:val="00813398"/>
    <w:rsid w:val="00821A31"/>
    <w:rsid w:val="00821AC5"/>
    <w:rsid w:val="00831030"/>
    <w:rsid w:val="008316C6"/>
    <w:rsid w:val="00833CF7"/>
    <w:rsid w:val="00843089"/>
    <w:rsid w:val="00845601"/>
    <w:rsid w:val="00846F8A"/>
    <w:rsid w:val="008518B4"/>
    <w:rsid w:val="00855C5C"/>
    <w:rsid w:val="008565B9"/>
    <w:rsid w:val="0086185F"/>
    <w:rsid w:val="00882459"/>
    <w:rsid w:val="00890C23"/>
    <w:rsid w:val="00897D48"/>
    <w:rsid w:val="008A2B4A"/>
    <w:rsid w:val="008A2D87"/>
    <w:rsid w:val="008A3C96"/>
    <w:rsid w:val="008B4019"/>
    <w:rsid w:val="008B65C9"/>
    <w:rsid w:val="008B67EC"/>
    <w:rsid w:val="008C2D4A"/>
    <w:rsid w:val="008C49DA"/>
    <w:rsid w:val="008D3900"/>
    <w:rsid w:val="008D6E1D"/>
    <w:rsid w:val="008E0CE7"/>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5D71"/>
    <w:rsid w:val="00B97732"/>
    <w:rsid w:val="00BA0922"/>
    <w:rsid w:val="00BA17FC"/>
    <w:rsid w:val="00BA65A8"/>
    <w:rsid w:val="00BA6D19"/>
    <w:rsid w:val="00BA7461"/>
    <w:rsid w:val="00BA7C74"/>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4C2C"/>
    <w:rsid w:val="00C71149"/>
    <w:rsid w:val="00C71BB8"/>
    <w:rsid w:val="00C729A8"/>
    <w:rsid w:val="00C74F97"/>
    <w:rsid w:val="00C8276E"/>
    <w:rsid w:val="00C842AC"/>
    <w:rsid w:val="00C85444"/>
    <w:rsid w:val="00C86DC8"/>
    <w:rsid w:val="00C90E71"/>
    <w:rsid w:val="00CA0723"/>
    <w:rsid w:val="00CA086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4E15"/>
    <w:rsid w:val="00D4581E"/>
    <w:rsid w:val="00D45EE3"/>
    <w:rsid w:val="00D50618"/>
    <w:rsid w:val="00D509E9"/>
    <w:rsid w:val="00D50A8A"/>
    <w:rsid w:val="00D53B1C"/>
    <w:rsid w:val="00D5575B"/>
    <w:rsid w:val="00D62131"/>
    <w:rsid w:val="00D64914"/>
    <w:rsid w:val="00D77838"/>
    <w:rsid w:val="00D80F3B"/>
    <w:rsid w:val="00D82B3E"/>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0D0D"/>
    <w:rsid w:val="00E0596E"/>
    <w:rsid w:val="00E05C75"/>
    <w:rsid w:val="00E06F66"/>
    <w:rsid w:val="00E1333E"/>
    <w:rsid w:val="00E138B9"/>
    <w:rsid w:val="00E14857"/>
    <w:rsid w:val="00E150B6"/>
    <w:rsid w:val="00E22AD5"/>
    <w:rsid w:val="00E342E4"/>
    <w:rsid w:val="00E356E5"/>
    <w:rsid w:val="00E35762"/>
    <w:rsid w:val="00E36F81"/>
    <w:rsid w:val="00E44648"/>
    <w:rsid w:val="00E452FA"/>
    <w:rsid w:val="00E45765"/>
    <w:rsid w:val="00E45C14"/>
    <w:rsid w:val="00E45E10"/>
    <w:rsid w:val="00E5098C"/>
    <w:rsid w:val="00E50DC9"/>
    <w:rsid w:val="00E60213"/>
    <w:rsid w:val="00E6094D"/>
    <w:rsid w:val="00E65A5E"/>
    <w:rsid w:val="00E70B1B"/>
    <w:rsid w:val="00E74D29"/>
    <w:rsid w:val="00E82E79"/>
    <w:rsid w:val="00E83C74"/>
    <w:rsid w:val="00E83CEE"/>
    <w:rsid w:val="00E84659"/>
    <w:rsid w:val="00E86DB3"/>
    <w:rsid w:val="00E8776C"/>
    <w:rsid w:val="00E903B3"/>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4BFD"/>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184CA"/>
  <w15:docId w15:val="{90408389-4950-4271-8BFE-BF763A2A6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uiPriority w:val="20"/>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mailto:generalreviews@aat.gov.au" TargetMode="External"/><Relationship Id="rId3" Type="http://schemas.openxmlformats.org/officeDocument/2006/relationships/settings" Target="settings.xml"/><Relationship Id="rId21" Type="http://schemas.openxmlformats.org/officeDocument/2006/relationships/hyperlink" Target="mailto:foi@environment.gov.au" TargetMode="Externa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http://www.aat.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6460\AppData\Local\Microsoft\Windows\Temporary%20Internet%20Files\Content.Outlook\HY8LPQ7A\Brief%20-%20Assessment%20-%20Qld%20CRFFF%202017%20-%20Att%20H%20Letter%20to%20Minis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 - Assessment - Qld CRFFF 2017 - Att H Letter to Minister.dotx</Template>
  <TotalTime>2</TotalTime>
  <Pages>7</Pages>
  <Words>1699</Words>
  <Characters>8890</Characters>
  <Application>Microsoft Office Word</Application>
  <DocSecurity>0</DocSecurity>
  <Lines>254</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the Minister</dc:title>
  <dc:creator>Department of the Environment and Energy</dc:creator>
  <cp:lastModifiedBy>Durack, Bec</cp:lastModifiedBy>
  <cp:revision>1</cp:revision>
  <dcterms:created xsi:type="dcterms:W3CDTF">2017-03-14T00:48:00Z</dcterms:created>
  <dcterms:modified xsi:type="dcterms:W3CDTF">2017-03-14T00:50:00Z</dcterms:modified>
</cp:coreProperties>
</file>