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C393E" w14:textId="77777777" w:rsidR="00B6012C" w:rsidRPr="00F6308F" w:rsidRDefault="003D73D5" w:rsidP="001955CD">
      <w:pPr>
        <w:widowControl w:val="0"/>
        <w:tabs>
          <w:tab w:val="left" w:pos="6700"/>
        </w:tabs>
        <w:spacing w:after="120"/>
        <w:jc w:val="center"/>
        <w:rPr>
          <w:rFonts w:cs="Arial"/>
          <w:b/>
          <w:sz w:val="48"/>
        </w:rPr>
      </w:pPr>
      <w:r w:rsidRPr="003D73D5">
        <w:rPr>
          <w:rFonts w:cs="Arial"/>
          <w:b/>
          <w:noProof/>
          <w:sz w:val="48"/>
          <w:lang w:eastAsia="en-AU"/>
        </w:rPr>
        <w:drawing>
          <wp:inline distT="0" distB="0" distL="0" distR="0" wp14:anchorId="2F5C3BF2" wp14:editId="2F5C3BF3">
            <wp:extent cx="5081271" cy="2124075"/>
            <wp:effectExtent l="19050" t="0" r="5079" b="0"/>
            <wp:docPr id="3" name="Picture 0" descr="Dept the Environment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 the Environment stacked.jpg"/>
                    <pic:cNvPicPr/>
                  </pic:nvPicPr>
                  <pic:blipFill>
                    <a:blip r:embed="rId7" cstate="print"/>
                    <a:stretch>
                      <a:fillRect/>
                    </a:stretch>
                  </pic:blipFill>
                  <pic:spPr>
                    <a:xfrm>
                      <a:off x="0" y="0"/>
                      <a:ext cx="5080488" cy="2123748"/>
                    </a:xfrm>
                    <a:prstGeom prst="rect">
                      <a:avLst/>
                    </a:prstGeom>
                  </pic:spPr>
                </pic:pic>
              </a:graphicData>
            </a:graphic>
          </wp:inline>
        </w:drawing>
      </w:r>
    </w:p>
    <w:p w14:paraId="2F5C393F" w14:textId="77777777" w:rsidR="00B6012C" w:rsidRPr="00F6308F" w:rsidRDefault="00B6012C" w:rsidP="001955CD">
      <w:pPr>
        <w:widowControl w:val="0"/>
        <w:tabs>
          <w:tab w:val="left" w:pos="6700"/>
        </w:tabs>
        <w:spacing w:after="120"/>
        <w:jc w:val="center"/>
        <w:rPr>
          <w:rFonts w:cs="Arial"/>
          <w:b/>
          <w:sz w:val="48"/>
        </w:rPr>
      </w:pPr>
    </w:p>
    <w:p w14:paraId="2F5C3940" w14:textId="77777777" w:rsidR="00B6012C" w:rsidRPr="00F6308F" w:rsidRDefault="00B6012C" w:rsidP="001955CD">
      <w:pPr>
        <w:widowControl w:val="0"/>
        <w:tabs>
          <w:tab w:val="left" w:pos="6700"/>
        </w:tabs>
        <w:spacing w:after="120"/>
        <w:rPr>
          <w:rFonts w:cs="Arial"/>
          <w:b/>
          <w:sz w:val="48"/>
        </w:rPr>
      </w:pPr>
    </w:p>
    <w:p w14:paraId="2F5C3941" w14:textId="77777777" w:rsidR="00B6012C" w:rsidRPr="00F6308F" w:rsidRDefault="00B6012C" w:rsidP="001955CD">
      <w:pPr>
        <w:widowControl w:val="0"/>
        <w:tabs>
          <w:tab w:val="left" w:pos="6700"/>
        </w:tabs>
        <w:spacing w:after="120"/>
        <w:rPr>
          <w:rFonts w:cs="Arial"/>
          <w:b/>
          <w:sz w:val="48"/>
        </w:rPr>
      </w:pPr>
    </w:p>
    <w:p w14:paraId="2F5C3942"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p w14:paraId="2F5C3943" w14:textId="77777777" w:rsidR="00B6012C" w:rsidRPr="00F6308F" w:rsidRDefault="00FF5473" w:rsidP="001955CD">
      <w:pPr>
        <w:pStyle w:val="Heading6"/>
        <w:spacing w:after="120"/>
        <w:jc w:val="center"/>
        <w:rPr>
          <w:rFonts w:ascii="Arial" w:hAnsi="Arial" w:cs="Arial"/>
          <w:b w:val="0"/>
          <w:i/>
          <w:sz w:val="36"/>
        </w:rPr>
      </w:pPr>
      <w:r>
        <w:rPr>
          <w:rFonts w:ascii="Arial" w:hAnsi="Arial" w:cs="Arial"/>
          <w:sz w:val="36"/>
        </w:rPr>
        <w:t>Queensland East Coast Inshore Fin Fish Fishery</w:t>
      </w:r>
    </w:p>
    <w:bookmarkEnd w:id="0"/>
    <w:p w14:paraId="2F5C3944" w14:textId="77777777" w:rsidR="00B6012C" w:rsidRPr="00F6308F" w:rsidRDefault="00B6012C" w:rsidP="001955CD">
      <w:pPr>
        <w:widowControl w:val="0"/>
        <w:tabs>
          <w:tab w:val="left" w:pos="6700"/>
        </w:tabs>
        <w:spacing w:after="120"/>
        <w:jc w:val="center"/>
        <w:rPr>
          <w:rFonts w:cs="Arial"/>
          <w:b/>
          <w:sz w:val="48"/>
        </w:rPr>
      </w:pPr>
    </w:p>
    <w:p w14:paraId="2F5C3945" w14:textId="77777777" w:rsidR="00B6012C" w:rsidRPr="00F6308F" w:rsidRDefault="00B6012C" w:rsidP="001955CD">
      <w:pPr>
        <w:widowControl w:val="0"/>
        <w:tabs>
          <w:tab w:val="left" w:pos="6700"/>
        </w:tabs>
        <w:spacing w:after="120"/>
        <w:jc w:val="center"/>
        <w:rPr>
          <w:rFonts w:cs="Arial"/>
          <w:b/>
          <w:sz w:val="48"/>
        </w:rPr>
      </w:pPr>
    </w:p>
    <w:p w14:paraId="2F5C3946" w14:textId="77777777" w:rsidR="00B6012C" w:rsidRPr="00F6308F" w:rsidRDefault="00B6012C" w:rsidP="001955CD">
      <w:pPr>
        <w:widowControl w:val="0"/>
        <w:tabs>
          <w:tab w:val="left" w:pos="6700"/>
        </w:tabs>
        <w:spacing w:after="120"/>
        <w:jc w:val="center"/>
        <w:rPr>
          <w:rFonts w:cs="Arial"/>
          <w:b/>
        </w:rPr>
      </w:pPr>
    </w:p>
    <w:p w14:paraId="2F5C3947" w14:textId="77777777" w:rsidR="00B6012C" w:rsidRPr="00F6308F" w:rsidRDefault="00B6012C" w:rsidP="001955CD">
      <w:pPr>
        <w:widowControl w:val="0"/>
        <w:tabs>
          <w:tab w:val="left" w:pos="6700"/>
        </w:tabs>
        <w:spacing w:after="120"/>
        <w:jc w:val="center"/>
        <w:rPr>
          <w:rFonts w:cs="Arial"/>
          <w:b/>
        </w:rPr>
      </w:pPr>
    </w:p>
    <w:p w14:paraId="2F5C3948" w14:textId="77777777" w:rsidR="00B6012C" w:rsidRPr="00F6308F" w:rsidRDefault="00B6012C" w:rsidP="001955CD">
      <w:pPr>
        <w:widowControl w:val="0"/>
        <w:tabs>
          <w:tab w:val="left" w:pos="6700"/>
        </w:tabs>
        <w:spacing w:after="120"/>
        <w:jc w:val="center"/>
        <w:rPr>
          <w:rFonts w:cs="Arial"/>
          <w:b/>
        </w:rPr>
      </w:pPr>
    </w:p>
    <w:p w14:paraId="2F5C3949" w14:textId="77777777" w:rsidR="00B6012C" w:rsidRPr="00F6308F" w:rsidRDefault="00B6012C" w:rsidP="001955CD">
      <w:pPr>
        <w:widowControl w:val="0"/>
        <w:tabs>
          <w:tab w:val="left" w:pos="6700"/>
        </w:tabs>
        <w:spacing w:after="120"/>
        <w:jc w:val="center"/>
        <w:rPr>
          <w:rFonts w:cs="Arial"/>
          <w:b/>
        </w:rPr>
      </w:pPr>
    </w:p>
    <w:p w14:paraId="2F5C394A" w14:textId="77777777" w:rsidR="00B6012C" w:rsidRPr="00F6308F" w:rsidRDefault="00B6012C" w:rsidP="001955CD">
      <w:pPr>
        <w:widowControl w:val="0"/>
        <w:tabs>
          <w:tab w:val="left" w:pos="6700"/>
        </w:tabs>
        <w:spacing w:after="120"/>
        <w:jc w:val="center"/>
        <w:rPr>
          <w:rFonts w:cs="Arial"/>
          <w:b/>
        </w:rPr>
      </w:pPr>
    </w:p>
    <w:p w14:paraId="2F5C394B" w14:textId="77777777" w:rsidR="00B6012C" w:rsidRPr="00F6308F" w:rsidRDefault="00B6012C" w:rsidP="001955CD">
      <w:pPr>
        <w:widowControl w:val="0"/>
        <w:tabs>
          <w:tab w:val="left" w:pos="6700"/>
        </w:tabs>
        <w:spacing w:after="120"/>
        <w:jc w:val="center"/>
        <w:rPr>
          <w:rFonts w:cs="Arial"/>
          <w:b/>
        </w:rPr>
      </w:pPr>
    </w:p>
    <w:p w14:paraId="2F5C394C" w14:textId="77777777" w:rsidR="00B6012C" w:rsidRPr="00F6308F" w:rsidRDefault="00463100" w:rsidP="001955CD">
      <w:pPr>
        <w:pStyle w:val="Heading7"/>
        <w:rPr>
          <w:rFonts w:ascii="Arial" w:hAnsi="Arial" w:cs="Arial"/>
          <w:lang w:val="en-AU"/>
        </w:rPr>
      </w:pPr>
      <w:r>
        <w:rPr>
          <w:rFonts w:ascii="Arial" w:hAnsi="Arial" w:cs="Arial"/>
          <w:lang w:val="en-AU"/>
        </w:rPr>
        <w:t xml:space="preserve">September </w:t>
      </w:r>
      <w:r w:rsidR="0015502B">
        <w:rPr>
          <w:rFonts w:ascii="Arial" w:hAnsi="Arial" w:cs="Arial"/>
          <w:lang w:val="en-AU"/>
        </w:rPr>
        <w:t>2016</w:t>
      </w:r>
    </w:p>
    <w:p w14:paraId="2F5C394D" w14:textId="77777777" w:rsidR="00B6012C" w:rsidRPr="00F6308F" w:rsidRDefault="00B6012C" w:rsidP="001955CD">
      <w:pPr>
        <w:rPr>
          <w:rFonts w:cs="Arial"/>
        </w:rPr>
      </w:pPr>
    </w:p>
    <w:p w14:paraId="2F5C394E" w14:textId="77777777" w:rsidR="00B6012C" w:rsidRPr="00F6308F" w:rsidRDefault="00B6012C" w:rsidP="001955CD">
      <w:pPr>
        <w:rPr>
          <w:rFonts w:cs="Arial"/>
        </w:rPr>
      </w:pPr>
    </w:p>
    <w:p w14:paraId="2F5C394F" w14:textId="77777777" w:rsidR="00B6012C" w:rsidRPr="00F6308F" w:rsidRDefault="00B6012C" w:rsidP="001955CD">
      <w:pPr>
        <w:rPr>
          <w:rFonts w:cs="Arial"/>
          <w:color w:val="FF0000"/>
        </w:rPr>
      </w:pPr>
    </w:p>
    <w:p w14:paraId="2F5C3950" w14:textId="77777777" w:rsidR="00B6012C" w:rsidRPr="00F6308F" w:rsidRDefault="00B6012C" w:rsidP="001955CD">
      <w:pPr>
        <w:rPr>
          <w:rFonts w:cs="Arial"/>
        </w:rPr>
      </w:pPr>
    </w:p>
    <w:p w14:paraId="2F5C3951" w14:textId="77777777" w:rsidR="00B6012C" w:rsidRPr="00F6308F" w:rsidRDefault="00B6012C" w:rsidP="001955CD">
      <w:pPr>
        <w:rPr>
          <w:rFonts w:cs="Arial"/>
        </w:rPr>
      </w:pPr>
    </w:p>
    <w:p w14:paraId="2F5C3952" w14:textId="77777777" w:rsidR="00B6012C" w:rsidRPr="00F6308F" w:rsidRDefault="00B6012C" w:rsidP="001955CD">
      <w:pPr>
        <w:rPr>
          <w:rFonts w:cs="Arial"/>
        </w:rPr>
      </w:pPr>
    </w:p>
    <w:p w14:paraId="2F5C3953" w14:textId="77777777" w:rsidR="00B6012C" w:rsidRPr="00F6308F" w:rsidRDefault="00B6012C" w:rsidP="001955CD">
      <w:pPr>
        <w:rPr>
          <w:rFonts w:cs="Arial"/>
        </w:rPr>
      </w:pPr>
    </w:p>
    <w:p w14:paraId="2F5C3954" w14:textId="77777777" w:rsidR="00B6012C" w:rsidRPr="00F6308F" w:rsidRDefault="00B6012C" w:rsidP="001955CD">
      <w:pPr>
        <w:rPr>
          <w:rFonts w:cs="Arial"/>
        </w:rPr>
      </w:pPr>
    </w:p>
    <w:p w14:paraId="2F5C3955" w14:textId="77777777" w:rsidR="00B6012C" w:rsidRPr="00F6308F" w:rsidRDefault="00B6012C" w:rsidP="001955CD">
      <w:pPr>
        <w:rPr>
          <w:rFonts w:cs="Arial"/>
        </w:rPr>
      </w:pPr>
    </w:p>
    <w:p w14:paraId="2F5C3956" w14:textId="77777777" w:rsidR="00B6012C" w:rsidRPr="00F6308F" w:rsidRDefault="00B6012C" w:rsidP="001955CD">
      <w:pPr>
        <w:rPr>
          <w:rFonts w:cs="Arial"/>
        </w:rPr>
      </w:pPr>
    </w:p>
    <w:p w14:paraId="2F5C3957" w14:textId="77777777" w:rsidR="00B6012C" w:rsidRPr="00F6308F" w:rsidRDefault="00B6012C" w:rsidP="001955CD">
      <w:pPr>
        <w:rPr>
          <w:rFonts w:cs="Arial"/>
        </w:rPr>
      </w:pPr>
    </w:p>
    <w:p w14:paraId="2F5C3958" w14:textId="77777777" w:rsidR="00B6012C" w:rsidRPr="00F6308F" w:rsidRDefault="00B6012C" w:rsidP="001955CD">
      <w:pPr>
        <w:rPr>
          <w:rFonts w:cs="Arial"/>
        </w:rPr>
      </w:pPr>
    </w:p>
    <w:p w14:paraId="2F5C3959" w14:textId="77777777" w:rsidR="00B6012C" w:rsidRPr="00F6308F" w:rsidRDefault="00B6012C" w:rsidP="001955CD">
      <w:pPr>
        <w:rPr>
          <w:rFonts w:cs="Arial"/>
        </w:rPr>
      </w:pPr>
    </w:p>
    <w:p w14:paraId="2F5C395A" w14:textId="77777777" w:rsidR="00B6012C" w:rsidRPr="00F6308F" w:rsidRDefault="00B6012C" w:rsidP="001955CD">
      <w:pPr>
        <w:rPr>
          <w:rFonts w:cs="Arial"/>
        </w:rPr>
      </w:pPr>
    </w:p>
    <w:p w14:paraId="2F5C395B" w14:textId="77777777" w:rsidR="00B6012C" w:rsidRPr="00F6308F" w:rsidRDefault="00B6012C" w:rsidP="001955CD">
      <w:pPr>
        <w:rPr>
          <w:rFonts w:cs="Arial"/>
        </w:rPr>
      </w:pPr>
    </w:p>
    <w:p w14:paraId="2F5C395C" w14:textId="77777777" w:rsidR="00B6012C" w:rsidRPr="00F6308F" w:rsidRDefault="00B6012C" w:rsidP="001955CD">
      <w:pPr>
        <w:rPr>
          <w:rFonts w:cs="Arial"/>
        </w:rPr>
      </w:pPr>
    </w:p>
    <w:p w14:paraId="2F5C395D" w14:textId="77777777" w:rsidR="00B6012C" w:rsidRPr="00F6308F" w:rsidRDefault="00B6012C" w:rsidP="001955CD">
      <w:pPr>
        <w:rPr>
          <w:rFonts w:cs="Arial"/>
        </w:rPr>
      </w:pPr>
    </w:p>
    <w:p w14:paraId="2F5C395E" w14:textId="77777777" w:rsidR="00B6012C" w:rsidRPr="00F6308F" w:rsidRDefault="00B6012C" w:rsidP="001955CD">
      <w:pPr>
        <w:rPr>
          <w:rFonts w:cs="Arial"/>
        </w:rPr>
      </w:pPr>
    </w:p>
    <w:p w14:paraId="2F5C395F" w14:textId="77777777"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15502B">
        <w:rPr>
          <w:rFonts w:ascii="Arial" w:hAnsi="Arial" w:cs="Arial"/>
          <w:sz w:val="16"/>
          <w:szCs w:val="16"/>
        </w:rPr>
        <w:t xml:space="preserve"> Commonwealth of Australia, 2016</w:t>
      </w:r>
      <w:r w:rsidRPr="00480A40">
        <w:rPr>
          <w:rFonts w:ascii="Arial" w:hAnsi="Arial" w:cs="Arial"/>
          <w:sz w:val="16"/>
          <w:szCs w:val="16"/>
        </w:rPr>
        <w:t>.</w:t>
      </w:r>
    </w:p>
    <w:p w14:paraId="2F5C3960" w14:textId="77777777"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2F5C3BF4" wp14:editId="2F5C3BF5">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F5C3961" w14:textId="77777777" w:rsidR="007C21E3" w:rsidRPr="00480A40" w:rsidRDefault="00FF5473" w:rsidP="007C21E3">
      <w:pPr>
        <w:pStyle w:val="NormalWeb"/>
        <w:rPr>
          <w:rFonts w:ascii="Arial" w:hAnsi="Arial" w:cs="Arial"/>
          <w:sz w:val="16"/>
          <w:szCs w:val="16"/>
        </w:rPr>
      </w:pPr>
      <w:r w:rsidRPr="00946559">
        <w:rPr>
          <w:rFonts w:ascii="Arial" w:hAnsi="Arial" w:cs="Arial"/>
          <w:i/>
          <w:sz w:val="16"/>
          <w:szCs w:val="16"/>
        </w:rPr>
        <w:t>Assessment of the Que</w:t>
      </w:r>
      <w:r w:rsidR="00AF75AD" w:rsidRPr="00946559">
        <w:rPr>
          <w:rFonts w:ascii="Arial" w:hAnsi="Arial" w:cs="Arial"/>
          <w:i/>
          <w:sz w:val="16"/>
          <w:szCs w:val="16"/>
        </w:rPr>
        <w:t>ensland East Coast Inshore Fin F</w:t>
      </w:r>
      <w:r w:rsidRPr="00946559">
        <w:rPr>
          <w:rFonts w:ascii="Arial" w:hAnsi="Arial" w:cs="Arial"/>
          <w:i/>
          <w:sz w:val="16"/>
          <w:szCs w:val="16"/>
        </w:rPr>
        <w:t xml:space="preserve">ish Fishery </w:t>
      </w:r>
      <w:r w:rsidR="00463100">
        <w:rPr>
          <w:rFonts w:ascii="Arial" w:hAnsi="Arial" w:cs="Arial"/>
          <w:i/>
          <w:sz w:val="16"/>
          <w:szCs w:val="16"/>
        </w:rPr>
        <w:t>September</w:t>
      </w:r>
      <w:r w:rsidR="00463100" w:rsidRPr="00946559">
        <w:rPr>
          <w:rFonts w:ascii="Arial" w:hAnsi="Arial" w:cs="Arial"/>
          <w:i/>
          <w:sz w:val="16"/>
          <w:szCs w:val="16"/>
        </w:rPr>
        <w:t xml:space="preserve"> </w:t>
      </w:r>
      <w:r w:rsidRPr="00946559">
        <w:rPr>
          <w:rFonts w:ascii="Arial" w:hAnsi="Arial" w:cs="Arial"/>
          <w:i/>
          <w:sz w:val="16"/>
          <w:szCs w:val="16"/>
        </w:rPr>
        <w:t>201</w:t>
      </w:r>
      <w:r w:rsidR="0015502B" w:rsidRPr="00946559">
        <w:rPr>
          <w:rFonts w:ascii="Arial" w:hAnsi="Arial" w:cs="Arial"/>
          <w:i/>
          <w:sz w:val="16"/>
          <w:szCs w:val="16"/>
        </w:rPr>
        <w:t>6</w:t>
      </w:r>
      <w:r w:rsidR="007C21E3" w:rsidRPr="00480A40">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2F5C3962" w14:textId="77777777"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00FF5473" w:rsidRPr="00946559">
        <w:rPr>
          <w:rFonts w:ascii="Arial" w:hAnsi="Arial" w:cs="Arial"/>
          <w:i/>
          <w:sz w:val="16"/>
          <w:szCs w:val="16"/>
        </w:rPr>
        <w:t>Assessment of the Que</w:t>
      </w:r>
      <w:r w:rsidR="00A05BFA">
        <w:rPr>
          <w:rFonts w:ascii="Arial" w:hAnsi="Arial" w:cs="Arial"/>
          <w:i/>
          <w:sz w:val="16"/>
          <w:szCs w:val="16"/>
        </w:rPr>
        <w:t>ensland East Coast Inshore Fin F</w:t>
      </w:r>
      <w:r w:rsidR="00FF5473" w:rsidRPr="00946559">
        <w:rPr>
          <w:rFonts w:ascii="Arial" w:hAnsi="Arial" w:cs="Arial"/>
          <w:i/>
          <w:sz w:val="16"/>
          <w:szCs w:val="16"/>
        </w:rPr>
        <w:t xml:space="preserve">ish Fishery </w:t>
      </w:r>
      <w:r w:rsidR="00463100">
        <w:rPr>
          <w:rFonts w:ascii="Arial" w:hAnsi="Arial" w:cs="Arial"/>
          <w:i/>
          <w:sz w:val="16"/>
          <w:szCs w:val="16"/>
        </w:rPr>
        <w:t>September </w:t>
      </w:r>
      <w:r w:rsidR="00FF5473" w:rsidRPr="00946559">
        <w:rPr>
          <w:rFonts w:ascii="Arial" w:hAnsi="Arial" w:cs="Arial"/>
          <w:i/>
          <w:sz w:val="16"/>
          <w:szCs w:val="16"/>
        </w:rPr>
        <w:t>201</w:t>
      </w:r>
      <w:r w:rsidR="0015502B" w:rsidRPr="00946559">
        <w:rPr>
          <w:rFonts w:ascii="Arial" w:hAnsi="Arial" w:cs="Arial"/>
          <w:i/>
          <w:sz w:val="16"/>
          <w:szCs w:val="16"/>
        </w:rPr>
        <w:t>6</w:t>
      </w:r>
      <w:r w:rsidRPr="00946559">
        <w:rPr>
          <w:rFonts w:ascii="Arial" w:hAnsi="Arial" w:cs="Arial"/>
          <w:sz w:val="16"/>
          <w:szCs w:val="16"/>
        </w:rPr>
        <w:t xml:space="preserve">, Commonwealth of Australia </w:t>
      </w:r>
      <w:r w:rsidR="0064035F" w:rsidRPr="00946559">
        <w:rPr>
          <w:rFonts w:ascii="Arial" w:hAnsi="Arial" w:cs="Arial"/>
          <w:sz w:val="16"/>
          <w:szCs w:val="16"/>
        </w:rPr>
        <w:t>2016</w:t>
      </w:r>
      <w:r w:rsidRPr="00946559">
        <w:rPr>
          <w:rFonts w:ascii="Arial" w:hAnsi="Arial" w:cs="Arial"/>
          <w:sz w:val="16"/>
          <w:szCs w:val="16"/>
        </w:rPr>
        <w:t>’.</w:t>
      </w:r>
    </w:p>
    <w:p w14:paraId="2F5C3963" w14:textId="77777777"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14:paraId="2F5C3964" w14:textId="77777777" w:rsidR="007C21E3" w:rsidRPr="00F6308F" w:rsidRDefault="007C21E3" w:rsidP="007C21E3">
      <w:pPr>
        <w:spacing w:after="120"/>
        <w:rPr>
          <w:rFonts w:cs="Arial"/>
          <w:b/>
          <w:sz w:val="16"/>
          <w:szCs w:val="16"/>
        </w:rPr>
      </w:pPr>
      <w:r w:rsidRPr="00F6308F">
        <w:rPr>
          <w:rFonts w:cs="Arial"/>
          <w:b/>
          <w:sz w:val="16"/>
          <w:szCs w:val="16"/>
        </w:rPr>
        <w:t>Disclaimer</w:t>
      </w:r>
    </w:p>
    <w:p w14:paraId="2F5C3965" w14:textId="77777777"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w:t>
      </w:r>
      <w:r w:rsidR="003D73D5">
        <w:rPr>
          <w:rFonts w:ascii="Arial" w:hAnsi="Arial" w:cs="Arial"/>
          <w:sz w:val="16"/>
          <w:szCs w:val="16"/>
          <w:lang w:val="en-AU"/>
        </w:rPr>
        <w:t xml:space="preserve">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003D73D5">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003D73D5">
        <w:rPr>
          <w:rFonts w:ascii="Arial" w:hAnsi="Arial" w:cs="Arial"/>
          <w:sz w:val="16"/>
          <w:szCs w:val="16"/>
          <w:lang w:val="en-AU"/>
        </w:rPr>
        <w:t xml:space="preserve">and Energy </w:t>
      </w:r>
      <w:r w:rsidRPr="00F6308F">
        <w:rPr>
          <w:rFonts w:ascii="Arial" w:hAnsi="Arial" w:cs="Arial"/>
          <w:sz w:val="16"/>
          <w:szCs w:val="16"/>
          <w:lang w:val="en-AU"/>
        </w:rPr>
        <w:t>or the Australian Government.</w:t>
      </w:r>
    </w:p>
    <w:p w14:paraId="2F5C3966" w14:textId="77777777"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F5C3967" w14:textId="77777777" w:rsidR="00B6012C" w:rsidRPr="00A14FF4" w:rsidRDefault="00B6012C" w:rsidP="00FF5473">
      <w:pPr>
        <w:pStyle w:val="Heading1"/>
        <w:spacing w:after="0"/>
        <w:jc w:val="center"/>
      </w:pPr>
      <w:r w:rsidRPr="00F6308F">
        <w:rPr>
          <w:sz w:val="24"/>
        </w:rPr>
        <w:br w:type="page"/>
      </w:r>
    </w:p>
    <w:p w14:paraId="2F5C3968" w14:textId="77777777" w:rsidR="00B6012C" w:rsidRPr="00F6308F" w:rsidRDefault="00B6012C" w:rsidP="001955CD">
      <w:pPr>
        <w:pStyle w:val="Heading1"/>
        <w:spacing w:after="0"/>
        <w:jc w:val="center"/>
      </w:pPr>
      <w:r w:rsidRPr="00B065BF">
        <w:lastRenderedPageBreak/>
        <w:t>Contents</w:t>
      </w:r>
      <w:r>
        <w:t xml:space="preserve"> </w:t>
      </w:r>
    </w:p>
    <w:p w14:paraId="2F5C3969" w14:textId="77777777" w:rsidR="00B6012C" w:rsidRDefault="00B6012C" w:rsidP="001955CD">
      <w:pPr>
        <w:rPr>
          <w:rFonts w:cs="Arial"/>
          <w:b/>
        </w:rPr>
      </w:pPr>
    </w:p>
    <w:p w14:paraId="2F5C396A" w14:textId="77777777"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FF5473">
        <w:rPr>
          <w:rFonts w:cs="Arial"/>
          <w:b/>
          <w:noProof/>
        </w:rPr>
        <w:t>Que</w:t>
      </w:r>
      <w:r w:rsidR="0064035F">
        <w:rPr>
          <w:rFonts w:cs="Arial"/>
          <w:b/>
          <w:noProof/>
        </w:rPr>
        <w:t>ensland East Coast Inshore Fin F</w:t>
      </w:r>
      <w:r w:rsidR="00FF5473">
        <w:rPr>
          <w:rFonts w:cs="Arial"/>
          <w:b/>
          <w:noProof/>
        </w:rPr>
        <w:t>ish Fishery</w:t>
      </w:r>
      <w:r w:rsidRPr="00FF44D5">
        <w:rPr>
          <w:rFonts w:cs="Arial"/>
          <w:b/>
          <w:noProof/>
          <w:webHidden/>
        </w:rPr>
        <w:tab/>
      </w:r>
      <w:r w:rsidR="00E20BBA"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E20BBA" w:rsidRPr="00FF44D5">
        <w:rPr>
          <w:rFonts w:cs="Arial"/>
          <w:b/>
          <w:noProof/>
          <w:webHidden/>
        </w:rPr>
      </w:r>
      <w:r w:rsidR="00E20BBA" w:rsidRPr="00FF44D5">
        <w:rPr>
          <w:rFonts w:cs="Arial"/>
          <w:b/>
          <w:noProof/>
          <w:webHidden/>
        </w:rPr>
        <w:fldChar w:fldCharType="separate"/>
      </w:r>
      <w:r w:rsidR="0008173A">
        <w:rPr>
          <w:rFonts w:cs="Arial"/>
          <w:b/>
          <w:noProof/>
          <w:webHidden/>
        </w:rPr>
        <w:t>1</w:t>
      </w:r>
      <w:r w:rsidR="00E20BBA" w:rsidRPr="00FF44D5">
        <w:rPr>
          <w:rFonts w:cs="Arial"/>
          <w:b/>
          <w:noProof/>
          <w:webHidden/>
        </w:rPr>
        <w:fldChar w:fldCharType="end"/>
      </w:r>
    </w:p>
    <w:p w14:paraId="2F5C396B" w14:textId="77777777" w:rsidR="00B6012C" w:rsidRPr="00FF5473" w:rsidRDefault="00FF5473" w:rsidP="001955CD">
      <w:pPr>
        <w:tabs>
          <w:tab w:val="right" w:leader="dot" w:pos="8302"/>
        </w:tabs>
        <w:ind w:left="1166" w:right="792"/>
        <w:rPr>
          <w:rFonts w:cs="Arial"/>
          <w:noProof/>
        </w:rPr>
      </w:pPr>
      <w:r w:rsidRPr="00DA6A89">
        <w:rPr>
          <w:noProof/>
        </w:rPr>
        <w:t xml:space="preserve">Table 1 contains a brief overview of the operation of the fishery including: the gear used, species targeted, byproduct species, bycatch species, annual </w:t>
      </w:r>
      <w:r w:rsidRPr="00FF5473">
        <w:rPr>
          <w:noProof/>
        </w:rPr>
        <w:t>catch, management regime and ecosystem impacts</w:t>
      </w:r>
      <w:r w:rsidR="00B6012C" w:rsidRPr="00FF5473">
        <w:rPr>
          <w:rFonts w:cs="Arial"/>
          <w:noProof/>
        </w:rPr>
        <w:t>.</w:t>
      </w:r>
    </w:p>
    <w:p w14:paraId="2F5C396C" w14:textId="77777777" w:rsidR="00B6012C" w:rsidRPr="00FF5473" w:rsidRDefault="00561132" w:rsidP="001955CD">
      <w:pPr>
        <w:tabs>
          <w:tab w:val="right" w:leader="dot" w:pos="8302"/>
        </w:tabs>
        <w:ind w:left="1166" w:right="792" w:hanging="1166"/>
        <w:rPr>
          <w:rFonts w:cs="Arial"/>
          <w:b/>
          <w:noProof/>
        </w:rPr>
      </w:pPr>
      <w:r>
        <w:rPr>
          <w:rFonts w:cs="Arial"/>
          <w:b/>
          <w:noProof/>
        </w:rPr>
        <w:t>Table 2</w:t>
      </w:r>
      <w:r w:rsidR="00B6012C" w:rsidRPr="00FF5473">
        <w:rPr>
          <w:rFonts w:cs="Arial"/>
          <w:b/>
          <w:noProof/>
        </w:rPr>
        <w:t xml:space="preserve">: </w:t>
      </w:r>
      <w:r w:rsidR="00B6012C" w:rsidRPr="00FF5473">
        <w:rPr>
          <w:rFonts w:cs="Arial"/>
          <w:b/>
          <w:noProof/>
        </w:rPr>
        <w:tab/>
        <w:t>Th</w:t>
      </w:r>
      <w:r w:rsidR="0064035F">
        <w:rPr>
          <w:rFonts w:cs="Arial"/>
          <w:b/>
          <w:noProof/>
        </w:rPr>
        <w:t>e Department of the Environment</w:t>
      </w:r>
      <w:r w:rsidR="003D73D5">
        <w:rPr>
          <w:rFonts w:cs="Arial"/>
          <w:b/>
          <w:noProof/>
        </w:rPr>
        <w:t xml:space="preserve"> and Energy</w:t>
      </w:r>
      <w:r w:rsidR="00690D70">
        <w:rPr>
          <w:rFonts w:cs="Arial"/>
          <w:b/>
          <w:noProof/>
        </w:rPr>
        <w:t>’</w:t>
      </w:r>
      <w:r w:rsidR="00B6012C" w:rsidRPr="00FF5473">
        <w:rPr>
          <w:rFonts w:cs="Arial"/>
          <w:b/>
          <w:noProof/>
        </w:rPr>
        <w:t xml:space="preserve">s assessment of the </w:t>
      </w:r>
      <w:r w:rsidR="00FF5473" w:rsidRPr="00FF5473">
        <w:rPr>
          <w:rFonts w:cs="Arial"/>
          <w:b/>
          <w:noProof/>
        </w:rPr>
        <w:t>Que</w:t>
      </w:r>
      <w:r w:rsidR="0064035F">
        <w:rPr>
          <w:rFonts w:cs="Arial"/>
          <w:b/>
          <w:noProof/>
        </w:rPr>
        <w:t>ensland East Coast Inshore Fin F</w:t>
      </w:r>
      <w:r w:rsidR="00FF5473" w:rsidRPr="00FF5473">
        <w:rPr>
          <w:rFonts w:cs="Arial"/>
          <w:b/>
          <w:noProof/>
        </w:rPr>
        <w:t>ish Fishery</w:t>
      </w:r>
      <w:r w:rsidR="00B6012C" w:rsidRPr="00FF5473">
        <w:rPr>
          <w:rFonts w:cs="Arial"/>
          <w:b/>
          <w:noProof/>
        </w:rPr>
        <w:t xml:space="preserve"> against the requirements of the EPBC Act related to decisions made under Part 13 and Part 13A.</w:t>
      </w:r>
      <w:r w:rsidR="00B6012C" w:rsidRPr="00FF5473">
        <w:rPr>
          <w:rFonts w:cs="Arial"/>
          <w:b/>
          <w:noProof/>
          <w:webHidden/>
        </w:rPr>
        <w:tab/>
      </w:r>
      <w:r w:rsidR="00E20BBA" w:rsidRPr="00FF5473">
        <w:rPr>
          <w:rFonts w:cs="Arial"/>
          <w:b/>
          <w:noProof/>
          <w:webHidden/>
        </w:rPr>
        <w:fldChar w:fldCharType="begin"/>
      </w:r>
      <w:r w:rsidR="00B6012C" w:rsidRPr="00FF5473">
        <w:rPr>
          <w:rFonts w:cs="Arial"/>
          <w:b/>
          <w:noProof/>
          <w:webHidden/>
        </w:rPr>
        <w:instrText xml:space="preserve"> PAGEREF </w:instrText>
      </w:r>
      <w:r w:rsidR="00B6012C" w:rsidRPr="00FF5473">
        <w:rPr>
          <w:rFonts w:cs="Arial"/>
          <w:b/>
          <w:noProof/>
        </w:rPr>
        <w:instrText>_Toc316301050</w:instrText>
      </w:r>
      <w:r w:rsidR="00B6012C" w:rsidRPr="00FF5473">
        <w:rPr>
          <w:rFonts w:cs="Arial"/>
          <w:b/>
          <w:noProof/>
          <w:webHidden/>
        </w:rPr>
        <w:instrText xml:space="preserve"> \h </w:instrText>
      </w:r>
      <w:r w:rsidR="00E20BBA" w:rsidRPr="00FF5473">
        <w:rPr>
          <w:rFonts w:cs="Arial"/>
          <w:b/>
          <w:noProof/>
          <w:webHidden/>
        </w:rPr>
      </w:r>
      <w:r w:rsidR="00E20BBA" w:rsidRPr="00FF5473">
        <w:rPr>
          <w:rFonts w:cs="Arial"/>
          <w:b/>
          <w:noProof/>
          <w:webHidden/>
        </w:rPr>
        <w:fldChar w:fldCharType="separate"/>
      </w:r>
      <w:r w:rsidR="0008173A">
        <w:rPr>
          <w:rFonts w:cs="Arial"/>
          <w:b/>
          <w:noProof/>
          <w:webHidden/>
        </w:rPr>
        <w:t>11</w:t>
      </w:r>
      <w:r w:rsidR="00E20BBA" w:rsidRPr="00FF5473">
        <w:rPr>
          <w:rFonts w:cs="Arial"/>
          <w:b/>
          <w:noProof/>
          <w:webHidden/>
        </w:rPr>
        <w:fldChar w:fldCharType="end"/>
      </w:r>
    </w:p>
    <w:p w14:paraId="2F5C396D" w14:textId="77777777" w:rsidR="00B6012C" w:rsidRPr="00FF5473" w:rsidRDefault="00561132" w:rsidP="001955CD">
      <w:pPr>
        <w:tabs>
          <w:tab w:val="right" w:leader="dot" w:pos="8302"/>
        </w:tabs>
        <w:ind w:left="1166" w:right="792"/>
        <w:rPr>
          <w:rFonts w:cs="Arial"/>
          <w:noProof/>
        </w:rPr>
      </w:pPr>
      <w:r>
        <w:rPr>
          <w:noProof/>
        </w:rPr>
        <w:t>Table 2</w:t>
      </w:r>
      <w:r w:rsidR="00FF5473" w:rsidRPr="00FF5473">
        <w:rPr>
          <w:noProof/>
        </w:rPr>
        <w:t xml:space="preserve"> contains </w:t>
      </w:r>
      <w:r w:rsidR="0064035F">
        <w:rPr>
          <w:noProof/>
        </w:rPr>
        <w:t>the D</w:t>
      </w:r>
      <w:r w:rsidR="00FF5473" w:rsidRPr="00FF5473">
        <w:rPr>
          <w:noProof/>
        </w:rPr>
        <w:t xml:space="preserve">epartment’s assessment of the </w:t>
      </w:r>
      <w:r w:rsidR="0064035F">
        <w:rPr>
          <w:noProof/>
        </w:rPr>
        <w:t xml:space="preserve">Queensland </w:t>
      </w:r>
      <w:r w:rsidR="00FF5473" w:rsidRPr="00FF5473">
        <w:rPr>
          <w:noProof/>
        </w:rPr>
        <w:t>East Coast</w:t>
      </w:r>
      <w:r w:rsidR="0064035F">
        <w:rPr>
          <w:noProof/>
        </w:rPr>
        <w:t xml:space="preserve"> Inshore</w:t>
      </w:r>
      <w:r w:rsidR="00FF5473" w:rsidRPr="00FF5473">
        <w:rPr>
          <w:noProof/>
        </w:rPr>
        <w:t xml:space="preserve"> Fin Fish Fishery</w:t>
      </w:r>
      <w:r w:rsidR="00B8177B">
        <w:rPr>
          <w:noProof/>
        </w:rPr>
        <w:t>’s</w:t>
      </w:r>
      <w:r w:rsidR="00FF5473" w:rsidRPr="00FF5473">
        <w:rPr>
          <w:noProof/>
        </w:rPr>
        <w:t xml:space="preserve"> management arrangements against the relevant parts of the </w:t>
      </w:r>
      <w:r w:rsidR="00FF5473" w:rsidRPr="00FF5473">
        <w:rPr>
          <w:i/>
          <w:noProof/>
        </w:rPr>
        <w:t>Environment Protection and Biodiversity Conservation Act 1999</w:t>
      </w:r>
      <w:r w:rsidR="0064035F">
        <w:rPr>
          <w:noProof/>
        </w:rPr>
        <w:t xml:space="preserve"> that the M</w:t>
      </w:r>
      <w:r w:rsidR="00FF5473" w:rsidRPr="00FF5473">
        <w:rPr>
          <w:noProof/>
        </w:rPr>
        <w:t>inister must consider before making a decision</w:t>
      </w:r>
      <w:r w:rsidR="00B6012C" w:rsidRPr="00FF5473">
        <w:rPr>
          <w:rFonts w:cs="Arial"/>
          <w:noProof/>
        </w:rPr>
        <w:t>.</w:t>
      </w:r>
    </w:p>
    <w:p w14:paraId="2F5C396E" w14:textId="77777777" w:rsidR="00B6012C" w:rsidRPr="00FF44D5" w:rsidRDefault="0003625D" w:rsidP="001955CD">
      <w:pPr>
        <w:tabs>
          <w:tab w:val="right" w:leader="dot" w:pos="8302"/>
        </w:tabs>
        <w:ind w:left="1166" w:right="792" w:hanging="1166"/>
        <w:rPr>
          <w:rFonts w:cs="Arial"/>
          <w:b/>
          <w:noProof/>
        </w:rPr>
      </w:pPr>
      <w:r>
        <w:rPr>
          <w:rFonts w:cs="Arial"/>
          <w:b/>
          <w:noProof/>
        </w:rPr>
        <w:t>Summary of assessment in 2016</w:t>
      </w:r>
      <w:r w:rsidR="008C74BB">
        <w:rPr>
          <w:rFonts w:cs="Arial"/>
          <w:b/>
          <w:noProof/>
        </w:rPr>
        <w:t>..</w:t>
      </w:r>
      <w:r w:rsidR="00B6012C" w:rsidRPr="00FF44D5">
        <w:rPr>
          <w:rFonts w:cs="Arial"/>
          <w:b/>
          <w:noProof/>
          <w:webHidden/>
        </w:rPr>
        <w:tab/>
      </w:r>
      <w:r w:rsidR="00B065BF">
        <w:rPr>
          <w:rFonts w:cs="Arial"/>
          <w:b/>
          <w:noProof/>
          <w:webHidden/>
        </w:rPr>
        <w:t>18</w:t>
      </w:r>
    </w:p>
    <w:p w14:paraId="2F5C396F" w14:textId="77777777" w:rsidR="00B6012C" w:rsidRPr="00FF44D5" w:rsidRDefault="00FF5473" w:rsidP="001955CD">
      <w:pPr>
        <w:tabs>
          <w:tab w:val="right" w:leader="dot" w:pos="8302"/>
        </w:tabs>
        <w:ind w:left="1166" w:right="792"/>
        <w:rPr>
          <w:rFonts w:cs="Arial"/>
          <w:noProof/>
        </w:rPr>
      </w:pPr>
      <w:r w:rsidRPr="00DA6A89">
        <w:rPr>
          <w:noProof/>
        </w:rPr>
        <w:t xml:space="preserve">This </w:t>
      </w:r>
      <w:r w:rsidR="0003625D">
        <w:rPr>
          <w:noProof/>
        </w:rPr>
        <w:t>page</w:t>
      </w:r>
      <w:r w:rsidRPr="00DA6A89">
        <w:rPr>
          <w:noProof/>
        </w:rPr>
        <w:t xml:space="preserve"> </w:t>
      </w:r>
      <w:r w:rsidR="0003625D">
        <w:rPr>
          <w:noProof/>
        </w:rPr>
        <w:t>summarises</w:t>
      </w:r>
      <w:r w:rsidRPr="00DA6A89">
        <w:rPr>
          <w:noProof/>
        </w:rPr>
        <w:t xml:space="preserve"> </w:t>
      </w:r>
      <w:r w:rsidR="0003625D">
        <w:rPr>
          <w:noProof/>
        </w:rPr>
        <w:t xml:space="preserve">the </w:t>
      </w:r>
      <w:r w:rsidR="0064035F">
        <w:rPr>
          <w:noProof/>
        </w:rPr>
        <w:t>D</w:t>
      </w:r>
      <w:r w:rsidRPr="00DA6A89">
        <w:rPr>
          <w:noProof/>
        </w:rPr>
        <w:t xml:space="preserve">epartment’s assessment </w:t>
      </w:r>
      <w:r w:rsidR="0003625D">
        <w:rPr>
          <w:noProof/>
        </w:rPr>
        <w:t xml:space="preserve">and outlines the reasons for the </w:t>
      </w:r>
      <w:r w:rsidR="0008173A">
        <w:rPr>
          <w:noProof/>
        </w:rPr>
        <w:t>proposed</w:t>
      </w:r>
      <w:r w:rsidR="0003625D">
        <w:rPr>
          <w:noProof/>
        </w:rPr>
        <w:t xml:space="preserve"> conditions and recommendation</w:t>
      </w:r>
      <w:r w:rsidR="0008173A">
        <w:rPr>
          <w:noProof/>
        </w:rPr>
        <w:t>.</w:t>
      </w:r>
    </w:p>
    <w:p w14:paraId="2F5C3970" w14:textId="77777777" w:rsidR="00B6012C" w:rsidRPr="00FF44D5" w:rsidRDefault="00561132" w:rsidP="001955CD">
      <w:pPr>
        <w:tabs>
          <w:tab w:val="right" w:leader="dot" w:pos="8302"/>
        </w:tabs>
        <w:ind w:left="1166" w:right="792" w:hanging="1166"/>
        <w:rPr>
          <w:rFonts w:cs="Arial"/>
          <w:b/>
          <w:noProof/>
        </w:rPr>
      </w:pPr>
      <w:r>
        <w:rPr>
          <w:rFonts w:cs="Arial"/>
          <w:b/>
          <w:noProof/>
        </w:rPr>
        <w:t>Table 3</w:t>
      </w:r>
      <w:r w:rsidR="00B6012C" w:rsidRPr="00FF44D5">
        <w:rPr>
          <w:rFonts w:cs="Arial"/>
          <w:b/>
          <w:noProof/>
        </w:rPr>
        <w:t>:</w:t>
      </w:r>
      <w:r w:rsidR="00B6012C" w:rsidRPr="00FF44D5">
        <w:rPr>
          <w:rFonts w:cs="Arial"/>
          <w:b/>
          <w:noProof/>
        </w:rPr>
        <w:tab/>
        <w:t xml:space="preserve">The </w:t>
      </w:r>
      <w:r w:rsidR="00FF5473">
        <w:rPr>
          <w:rFonts w:cs="Arial"/>
          <w:b/>
          <w:noProof/>
        </w:rPr>
        <w:t>Que</w:t>
      </w:r>
      <w:r w:rsidR="0064035F">
        <w:rPr>
          <w:rFonts w:cs="Arial"/>
          <w:b/>
          <w:noProof/>
        </w:rPr>
        <w:t>ensland East Coast Inshore Fin F</w:t>
      </w:r>
      <w:r w:rsidR="00FF5473">
        <w:rPr>
          <w:rFonts w:cs="Arial"/>
          <w:b/>
          <w:noProof/>
        </w:rPr>
        <w:t>ish Fishery</w:t>
      </w:r>
      <w:r w:rsidR="00B6012C" w:rsidRPr="00FF44D5" w:rsidDel="002E45A2">
        <w:rPr>
          <w:rFonts w:cs="Arial"/>
          <w:b/>
          <w:noProof/>
        </w:rPr>
        <w:t xml:space="preserve"> </w:t>
      </w:r>
      <w:r w:rsidR="00B6012C" w:rsidRPr="00FF44D5">
        <w:rPr>
          <w:rFonts w:cs="Arial"/>
          <w:b/>
          <w:noProof/>
        </w:rPr>
        <w:t xml:space="preserve">Assessment – Summary of Issues, Conditions and Recommendations, </w:t>
      </w:r>
      <w:r w:rsidR="00A05BFA">
        <w:rPr>
          <w:rFonts w:cs="Arial"/>
          <w:b/>
          <w:noProof/>
        </w:rPr>
        <w:t>September</w:t>
      </w:r>
      <w:r w:rsidR="00DB0935">
        <w:rPr>
          <w:rFonts w:cs="Arial"/>
          <w:b/>
          <w:noProof/>
        </w:rPr>
        <w:t> </w:t>
      </w:r>
      <w:r w:rsidR="0015502B" w:rsidRPr="007713E2">
        <w:rPr>
          <w:rFonts w:cs="Arial"/>
          <w:b/>
          <w:noProof/>
        </w:rPr>
        <w:t>201</w:t>
      </w:r>
      <w:r w:rsidR="0015502B">
        <w:rPr>
          <w:rFonts w:cs="Arial"/>
          <w:b/>
          <w:noProof/>
        </w:rPr>
        <w:t>6</w:t>
      </w:r>
      <w:r w:rsidR="008C74BB">
        <w:rPr>
          <w:rFonts w:cs="Arial"/>
          <w:b/>
          <w:noProof/>
        </w:rPr>
        <w:t>.......................................................................</w:t>
      </w:r>
      <w:r w:rsidR="00DB0935">
        <w:rPr>
          <w:rFonts w:cs="Arial"/>
          <w:b/>
          <w:noProof/>
        </w:rPr>
        <w:t>................</w:t>
      </w:r>
      <w:r w:rsidR="00B065BF">
        <w:rPr>
          <w:rFonts w:cs="Arial"/>
          <w:b/>
          <w:noProof/>
        </w:rPr>
        <w:t>19</w:t>
      </w:r>
    </w:p>
    <w:p w14:paraId="2F5C3971" w14:textId="77777777" w:rsidR="00B6012C" w:rsidRPr="00FF44D5" w:rsidRDefault="00561132" w:rsidP="001955CD">
      <w:pPr>
        <w:tabs>
          <w:tab w:val="right" w:leader="dot" w:pos="8302"/>
        </w:tabs>
        <w:ind w:left="1166" w:right="792"/>
        <w:rPr>
          <w:rFonts w:cs="Arial"/>
          <w:noProof/>
        </w:rPr>
      </w:pPr>
      <w:r>
        <w:rPr>
          <w:noProof/>
        </w:rPr>
        <w:t>Table 3</w:t>
      </w:r>
      <w:r w:rsidR="00FF5473" w:rsidRPr="00DA6A89">
        <w:rPr>
          <w:noProof/>
        </w:rPr>
        <w:t xml:space="preserve"> contains a description o</w:t>
      </w:r>
      <w:r w:rsidR="0064035F">
        <w:rPr>
          <w:noProof/>
        </w:rPr>
        <w:t>f the issues identified by the D</w:t>
      </w:r>
      <w:r w:rsidR="00FF5473" w:rsidRPr="00DA6A89">
        <w:rPr>
          <w:noProof/>
        </w:rPr>
        <w:t xml:space="preserve">epartment with the current management regime for the </w:t>
      </w:r>
      <w:r w:rsidR="0064035F">
        <w:rPr>
          <w:noProof/>
        </w:rPr>
        <w:t xml:space="preserve">Queensland </w:t>
      </w:r>
      <w:r w:rsidR="00FF5473">
        <w:rPr>
          <w:noProof/>
        </w:rPr>
        <w:t xml:space="preserve">East Coast Inshore Fin Fish Fishery </w:t>
      </w:r>
      <w:r w:rsidR="00FF5473" w:rsidRPr="00DA6A89">
        <w:rPr>
          <w:noProof/>
        </w:rPr>
        <w:t>and outlines the propose</w:t>
      </w:r>
      <w:r w:rsidR="00A05BFA">
        <w:rPr>
          <w:noProof/>
        </w:rPr>
        <w:t>d conditions and recommendation</w:t>
      </w:r>
      <w:r w:rsidR="00FF5473" w:rsidRPr="00DA6A89">
        <w:rPr>
          <w:noProof/>
        </w:rPr>
        <w:t xml:space="preserve"> that would form part of the </w:t>
      </w:r>
      <w:r w:rsidR="0064035F">
        <w:rPr>
          <w:noProof/>
        </w:rPr>
        <w:t>M</w:t>
      </w:r>
      <w:r w:rsidR="00FF5473" w:rsidRPr="00D31A01">
        <w:rPr>
          <w:noProof/>
        </w:rPr>
        <w:t>inister’s</w:t>
      </w:r>
      <w:r w:rsidR="00FF5473" w:rsidRPr="00DA6A89">
        <w:rPr>
          <w:noProof/>
        </w:rPr>
        <w:t xml:space="preserve"> decision to </w:t>
      </w:r>
      <w:r w:rsidR="0003625D">
        <w:rPr>
          <w:noProof/>
        </w:rPr>
        <w:t xml:space="preserve">vary the </w:t>
      </w:r>
      <w:r w:rsidR="00FF5473" w:rsidRPr="00DA6A89">
        <w:rPr>
          <w:noProof/>
        </w:rPr>
        <w:t xml:space="preserve">approved </w:t>
      </w:r>
      <w:r w:rsidR="00FF5473">
        <w:rPr>
          <w:noProof/>
        </w:rPr>
        <w:t>w</w:t>
      </w:r>
      <w:r w:rsidR="00FF5473" w:rsidRPr="00D31A01">
        <w:rPr>
          <w:noProof/>
        </w:rPr>
        <w:t xml:space="preserve">ildlife </w:t>
      </w:r>
      <w:r w:rsidR="00FF5473">
        <w:rPr>
          <w:noProof/>
        </w:rPr>
        <w:t>t</w:t>
      </w:r>
      <w:r w:rsidR="00FF5473" w:rsidRPr="00D31A01">
        <w:rPr>
          <w:noProof/>
        </w:rPr>
        <w:t xml:space="preserve">rade </w:t>
      </w:r>
      <w:r w:rsidR="00FF5473">
        <w:rPr>
          <w:noProof/>
        </w:rPr>
        <w:t>o</w:t>
      </w:r>
      <w:r w:rsidR="00FF5473" w:rsidRPr="00D31A01">
        <w:rPr>
          <w:noProof/>
        </w:rPr>
        <w:t>peration</w:t>
      </w:r>
      <w:r w:rsidR="0003625D">
        <w:rPr>
          <w:noProof/>
        </w:rPr>
        <w:t xml:space="preserve"> declaration and Part 13 accreditation of the fishery</w:t>
      </w:r>
      <w:r w:rsidR="00B6012C" w:rsidRPr="00A14FF4">
        <w:rPr>
          <w:rFonts w:cs="Arial"/>
        </w:rPr>
        <w:t>.</w:t>
      </w:r>
    </w:p>
    <w:p w14:paraId="2F5C3972" w14:textId="77777777"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B065BF">
        <w:rPr>
          <w:rFonts w:cs="Arial"/>
          <w:b/>
          <w:noProof/>
          <w:webHidden/>
        </w:rPr>
        <w:t>27</w:t>
      </w:r>
    </w:p>
    <w:p w14:paraId="2F5C3973" w14:textId="77777777" w:rsidR="00B6012C" w:rsidRPr="00A14FF4" w:rsidRDefault="00B6012C" w:rsidP="001955CD">
      <w:pPr>
        <w:rPr>
          <w:rFonts w:cs="Arial"/>
          <w:b/>
        </w:rPr>
      </w:pPr>
    </w:p>
    <w:p w14:paraId="2F5C3974" w14:textId="77777777" w:rsidR="00B6012C" w:rsidRPr="00F6308F" w:rsidRDefault="00B6012C" w:rsidP="001955CD">
      <w:pPr>
        <w:pStyle w:val="Heading1"/>
        <w:spacing w:after="120"/>
        <w:ind w:left="-709"/>
        <w:rPr>
          <w:sz w:val="24"/>
          <w:szCs w:val="24"/>
        </w:rPr>
        <w:sectPr w:rsidR="00B6012C" w:rsidRPr="00F6308F"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2F5C3975" w14:textId="77777777" w:rsidR="00B6012C" w:rsidRPr="002A07BD" w:rsidRDefault="00B6012C" w:rsidP="00DF2B4E">
      <w:pPr>
        <w:pStyle w:val="Heading1"/>
        <w:spacing w:after="120"/>
        <w:rPr>
          <w:szCs w:val="24"/>
        </w:rPr>
      </w:pPr>
      <w:bookmarkStart w:id="1" w:name="_Toc316301048"/>
      <w:r w:rsidRPr="00F6308F">
        <w:rPr>
          <w:szCs w:val="24"/>
        </w:rPr>
        <w:lastRenderedPageBreak/>
        <w:t xml:space="preserve">Table 1: Summary of the </w:t>
      </w:r>
      <w:bookmarkEnd w:id="1"/>
      <w:r w:rsidR="002A07BD" w:rsidRPr="002A07BD">
        <w:rPr>
          <w:noProof/>
        </w:rPr>
        <w:t>Queensland East Coast Inshore Fin fish Fishery</w:t>
      </w:r>
    </w:p>
    <w:tbl>
      <w:tblPr>
        <w:tblW w:w="996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7444"/>
      </w:tblGrid>
      <w:tr w:rsidR="00B6012C" w:rsidRPr="009B3A55" w14:paraId="2F5C3980"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976" w14:textId="77777777"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444" w:type="dxa"/>
            <w:tcBorders>
              <w:top w:val="single" w:sz="4" w:space="0" w:color="auto"/>
              <w:left w:val="single" w:sz="4" w:space="0" w:color="auto"/>
              <w:bottom w:val="single" w:sz="4" w:space="0" w:color="auto"/>
              <w:right w:val="single" w:sz="4" w:space="0" w:color="auto"/>
            </w:tcBorders>
          </w:tcPr>
          <w:p w14:paraId="2F5C3977" w14:textId="77777777" w:rsidR="002A07BD" w:rsidRPr="00B27530" w:rsidRDefault="002A07BD" w:rsidP="001F1716">
            <w:pPr>
              <w:numPr>
                <w:ilvl w:val="0"/>
                <w:numId w:val="30"/>
              </w:numPr>
              <w:tabs>
                <w:tab w:val="clear" w:pos="1080"/>
                <w:tab w:val="num" w:pos="252"/>
              </w:tabs>
              <w:adjustRightInd w:val="0"/>
              <w:spacing w:after="0" w:line="240" w:lineRule="auto"/>
              <w:ind w:left="249" w:hanging="249"/>
            </w:pPr>
            <w:smartTag w:uri="urn:schemas-microsoft-com:office:smarttags" w:element="State">
              <w:smartTag w:uri="urn:schemas-microsoft-com:office:smarttags" w:element="place">
                <w:r w:rsidRPr="00B27530">
                  <w:t>Queensland</w:t>
                </w:r>
              </w:smartTag>
            </w:smartTag>
            <w:r w:rsidRPr="00B27530">
              <w:t xml:space="preserve"> </w:t>
            </w:r>
            <w:r w:rsidRPr="00B27530">
              <w:rPr>
                <w:i/>
              </w:rPr>
              <w:t>Fisheries Act 1994</w:t>
            </w:r>
          </w:p>
          <w:p w14:paraId="2F5C3978" w14:textId="77777777" w:rsidR="002A07BD" w:rsidRDefault="002A07BD" w:rsidP="001F1716">
            <w:pPr>
              <w:numPr>
                <w:ilvl w:val="0"/>
                <w:numId w:val="30"/>
              </w:numPr>
              <w:tabs>
                <w:tab w:val="clear" w:pos="1080"/>
                <w:tab w:val="num" w:pos="252"/>
              </w:tabs>
              <w:adjustRightInd w:val="0"/>
              <w:spacing w:after="0" w:line="240" w:lineRule="auto"/>
              <w:ind w:left="249" w:hanging="249"/>
              <w:rPr>
                <w:i/>
              </w:rPr>
            </w:pPr>
            <w:smartTag w:uri="urn:schemas-microsoft-com:office:smarttags" w:element="place">
              <w:smartTag w:uri="urn:schemas-microsoft-com:office:smarttags" w:element="State">
                <w:r w:rsidRPr="00B27530">
                  <w:t>Queensland</w:t>
                </w:r>
              </w:smartTag>
            </w:smartTag>
            <w:r w:rsidRPr="00B27530">
              <w:t xml:space="preserve"> </w:t>
            </w:r>
            <w:r w:rsidRPr="00FB6FEA">
              <w:rPr>
                <w:i/>
              </w:rPr>
              <w:t>Fisheries Regulation 2008</w:t>
            </w:r>
          </w:p>
          <w:p w14:paraId="2F5C3979" w14:textId="77777777" w:rsidR="002A07BD" w:rsidRPr="00EF0482" w:rsidRDefault="002A07BD" w:rsidP="001F1716">
            <w:pPr>
              <w:numPr>
                <w:ilvl w:val="0"/>
                <w:numId w:val="30"/>
              </w:numPr>
              <w:tabs>
                <w:tab w:val="clear" w:pos="1080"/>
                <w:tab w:val="num" w:pos="252"/>
              </w:tabs>
              <w:adjustRightInd w:val="0"/>
              <w:spacing w:after="0" w:line="240" w:lineRule="auto"/>
              <w:ind w:left="249" w:hanging="249"/>
            </w:pPr>
            <w:r w:rsidRPr="00B27530">
              <w:t xml:space="preserve">Queensland </w:t>
            </w:r>
            <w:r w:rsidRPr="00B27530">
              <w:rPr>
                <w:i/>
              </w:rPr>
              <w:t>Marine Parks Act 1982</w:t>
            </w:r>
          </w:p>
          <w:p w14:paraId="2F5C397A" w14:textId="77777777" w:rsidR="002A07BD" w:rsidRPr="00FB6FEA" w:rsidRDefault="002A07BD" w:rsidP="001F1716">
            <w:pPr>
              <w:numPr>
                <w:ilvl w:val="0"/>
                <w:numId w:val="30"/>
              </w:numPr>
              <w:tabs>
                <w:tab w:val="clear" w:pos="1080"/>
                <w:tab w:val="num" w:pos="252"/>
              </w:tabs>
              <w:adjustRightInd w:val="0"/>
              <w:spacing w:after="0" w:line="240" w:lineRule="auto"/>
              <w:ind w:left="249" w:hanging="249"/>
            </w:pPr>
            <w:smartTag w:uri="urn:schemas-microsoft-com:office:smarttags" w:element="State">
              <w:smartTag w:uri="urn:schemas-microsoft-com:office:smarttags" w:element="place">
                <w:r w:rsidRPr="00EF0482">
                  <w:t>Queensland</w:t>
                </w:r>
              </w:smartTag>
            </w:smartTag>
            <w:r w:rsidRPr="00EF0482">
              <w:t xml:space="preserve"> </w:t>
            </w:r>
            <w:r>
              <w:rPr>
                <w:i/>
              </w:rPr>
              <w:t>Nature Conservation Act 1992</w:t>
            </w:r>
          </w:p>
          <w:p w14:paraId="2F5C397B" w14:textId="77777777" w:rsidR="002A07BD" w:rsidRPr="00B27530" w:rsidRDefault="002A07BD" w:rsidP="001F1716">
            <w:pPr>
              <w:numPr>
                <w:ilvl w:val="0"/>
                <w:numId w:val="30"/>
              </w:numPr>
              <w:tabs>
                <w:tab w:val="clear" w:pos="1080"/>
                <w:tab w:val="num" w:pos="252"/>
              </w:tabs>
              <w:adjustRightInd w:val="0"/>
              <w:spacing w:after="0" w:line="240" w:lineRule="auto"/>
              <w:ind w:left="249" w:hanging="249"/>
              <w:rPr>
                <w:i/>
              </w:rPr>
            </w:pPr>
            <w:smartTag w:uri="urn:schemas-microsoft-com:office:smarttags" w:element="place">
              <w:smartTag w:uri="urn:schemas-microsoft-com:office:smarttags" w:element="PlaceName">
                <w:r w:rsidRPr="00B27530">
                  <w:rPr>
                    <w:i/>
                  </w:rPr>
                  <w:t>Great Barrier Reef</w:t>
                </w:r>
              </w:smartTag>
              <w:r w:rsidRPr="00B27530">
                <w:rPr>
                  <w:i/>
                </w:rPr>
                <w:t xml:space="preserve"> </w:t>
              </w:r>
              <w:smartTag w:uri="urn:schemas-microsoft-com:office:smarttags" w:element="PlaceName">
                <w:r w:rsidRPr="00B27530">
                  <w:rPr>
                    <w:i/>
                  </w:rPr>
                  <w:t>Marine</w:t>
                </w:r>
              </w:smartTag>
              <w:r w:rsidRPr="00B27530">
                <w:rPr>
                  <w:i/>
                </w:rPr>
                <w:t xml:space="preserve"> </w:t>
              </w:r>
              <w:smartTag w:uri="urn:schemas-microsoft-com:office:smarttags" w:element="PlaceType">
                <w:r w:rsidRPr="00B27530">
                  <w:rPr>
                    <w:i/>
                  </w:rPr>
                  <w:t>Park</w:t>
                </w:r>
              </w:smartTag>
            </w:smartTag>
            <w:r w:rsidRPr="00B27530">
              <w:rPr>
                <w:i/>
              </w:rPr>
              <w:t xml:space="preserve"> Act 1975</w:t>
            </w:r>
          </w:p>
          <w:p w14:paraId="2F5C397C" w14:textId="77777777" w:rsidR="002A07BD" w:rsidRPr="00D31A01" w:rsidRDefault="002A07BD" w:rsidP="001F1716">
            <w:pPr>
              <w:numPr>
                <w:ilvl w:val="0"/>
                <w:numId w:val="30"/>
              </w:numPr>
              <w:tabs>
                <w:tab w:val="clear" w:pos="1080"/>
                <w:tab w:val="num" w:pos="252"/>
              </w:tabs>
              <w:adjustRightInd w:val="0"/>
              <w:spacing w:after="0" w:line="240" w:lineRule="auto"/>
              <w:ind w:left="249" w:hanging="249"/>
              <w:rPr>
                <w:i/>
              </w:rPr>
            </w:pPr>
            <w:r w:rsidRPr="00D31A01">
              <w:rPr>
                <w:i/>
              </w:rPr>
              <w:t>Great Barrier Reef Marine Park Regulations 1983</w:t>
            </w:r>
          </w:p>
          <w:p w14:paraId="2F5C397D" w14:textId="77777777" w:rsidR="002A07BD" w:rsidRDefault="002A07BD" w:rsidP="001F1716">
            <w:pPr>
              <w:numPr>
                <w:ilvl w:val="0"/>
                <w:numId w:val="30"/>
              </w:numPr>
              <w:tabs>
                <w:tab w:val="clear" w:pos="1080"/>
                <w:tab w:val="num" w:pos="252"/>
              </w:tabs>
              <w:adjustRightInd w:val="0"/>
              <w:spacing w:after="0" w:line="240" w:lineRule="auto"/>
              <w:ind w:left="249" w:hanging="249"/>
            </w:pPr>
            <w:r w:rsidRPr="00EA643B">
              <w:t xml:space="preserve">Guidelines for commercial operators in the East Coast </w:t>
            </w:r>
            <w:r>
              <w:t xml:space="preserve">Inshore </w:t>
            </w:r>
            <w:r w:rsidRPr="00EA643B">
              <w:t>Fin Fish Fishery</w:t>
            </w:r>
            <w:r>
              <w:t>. Queensland Government, 2009.</w:t>
            </w:r>
          </w:p>
          <w:p w14:paraId="2F5C397E" w14:textId="77777777" w:rsidR="002A07BD" w:rsidRPr="008E7C3A" w:rsidRDefault="002A07BD" w:rsidP="001F1716">
            <w:pPr>
              <w:numPr>
                <w:ilvl w:val="0"/>
                <w:numId w:val="30"/>
              </w:numPr>
              <w:tabs>
                <w:tab w:val="clear" w:pos="1080"/>
                <w:tab w:val="num" w:pos="252"/>
              </w:tabs>
              <w:adjustRightInd w:val="0"/>
              <w:spacing w:after="0" w:line="240" w:lineRule="auto"/>
              <w:ind w:left="249" w:hanging="249"/>
            </w:pPr>
            <w:r w:rsidRPr="008E7C3A">
              <w:t>Performance Measurement System – East Coast Inshore Fin Fish Fishery (ECIFFF)</w:t>
            </w:r>
            <w:r>
              <w:t xml:space="preserve"> </w:t>
            </w:r>
            <w:r w:rsidRPr="008E7C3A">
              <w:t>– Version 1 June 2009</w:t>
            </w:r>
          </w:p>
          <w:p w14:paraId="2F5C397F" w14:textId="77777777" w:rsidR="002A07BD" w:rsidRPr="00FC55DF" w:rsidRDefault="00B6012C" w:rsidP="001F1716">
            <w:pPr>
              <w:numPr>
                <w:ilvl w:val="0"/>
                <w:numId w:val="30"/>
              </w:numPr>
              <w:tabs>
                <w:tab w:val="clear" w:pos="1080"/>
                <w:tab w:val="num" w:pos="252"/>
              </w:tabs>
              <w:adjustRightInd w:val="0"/>
              <w:spacing w:line="240" w:lineRule="auto"/>
              <w:ind w:left="249" w:hanging="249"/>
              <w:rPr>
                <w:rFonts w:cs="Arial"/>
                <w:i/>
              </w:rPr>
            </w:pPr>
            <w:r w:rsidRPr="002A07BD">
              <w:t>Marine Bioregional Plan for the Temperate East Marine Region 2012</w:t>
            </w:r>
          </w:p>
        </w:tc>
      </w:tr>
      <w:tr w:rsidR="00B6012C" w:rsidRPr="009B3A55" w14:paraId="2F5C3985"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981" w14:textId="77777777" w:rsidR="00B6012C" w:rsidRPr="009B3A55" w:rsidRDefault="00B6012C" w:rsidP="001955CD">
            <w:pPr>
              <w:rPr>
                <w:rFonts w:cs="Arial"/>
              </w:rPr>
            </w:pPr>
            <w:r w:rsidRPr="009B3A55">
              <w:rPr>
                <w:rFonts w:cs="Arial"/>
                <w:b/>
                <w:snapToGrid w:val="0"/>
              </w:rPr>
              <w:t>Area</w:t>
            </w:r>
          </w:p>
        </w:tc>
        <w:tc>
          <w:tcPr>
            <w:tcW w:w="7444" w:type="dxa"/>
            <w:tcBorders>
              <w:top w:val="single" w:sz="4" w:space="0" w:color="auto"/>
              <w:left w:val="single" w:sz="4" w:space="0" w:color="auto"/>
              <w:bottom w:val="single" w:sz="4" w:space="0" w:color="auto"/>
              <w:right w:val="single" w:sz="4" w:space="0" w:color="auto"/>
            </w:tcBorders>
          </w:tcPr>
          <w:p w14:paraId="2F5C3982" w14:textId="1329E61C" w:rsidR="002A07BD" w:rsidRPr="002A07BD" w:rsidRDefault="002A07BD" w:rsidP="001F1716">
            <w:pPr>
              <w:spacing w:line="240" w:lineRule="auto"/>
              <w:rPr>
                <w:rFonts w:eastAsia="Times New Roman" w:cs="Arial"/>
                <w:lang w:eastAsia="en-AU"/>
              </w:rPr>
            </w:pPr>
            <w:r w:rsidRPr="002A07BD">
              <w:rPr>
                <w:rFonts w:eastAsia="Times New Roman" w:cs="Arial"/>
                <w:lang w:eastAsia="en-AU"/>
              </w:rPr>
              <w:t xml:space="preserve">The area of the </w:t>
            </w:r>
            <w:r w:rsidR="001E0F71">
              <w:rPr>
                <w:rFonts w:eastAsia="Times New Roman" w:cs="Arial"/>
                <w:lang w:eastAsia="en-AU"/>
              </w:rPr>
              <w:t xml:space="preserve">Queensland </w:t>
            </w:r>
            <w:r w:rsidRPr="002A07BD">
              <w:rPr>
                <w:rFonts w:eastAsia="Times New Roman" w:cs="Arial"/>
                <w:lang w:eastAsia="en-AU"/>
              </w:rPr>
              <w:t xml:space="preserve">East Coast Inshore Fin Fish Fishery </w:t>
            </w:r>
            <w:r w:rsidR="00242374">
              <w:rPr>
                <w:rFonts w:eastAsia="Times New Roman" w:cs="Arial"/>
                <w:lang w:eastAsia="en-AU"/>
              </w:rPr>
              <w:t>includes</w:t>
            </w:r>
            <w:r w:rsidRPr="002A07BD">
              <w:rPr>
                <w:rFonts w:eastAsia="Times New Roman" w:cs="Arial"/>
                <w:lang w:eastAsia="en-AU"/>
              </w:rPr>
              <w:t xml:space="preserve"> tidal waters along Queensland’s east coast and extends eastward to the boundary </w:t>
            </w:r>
            <w:r w:rsidR="008342E7">
              <w:rPr>
                <w:rFonts w:eastAsia="Times New Roman" w:cs="Arial"/>
                <w:lang w:eastAsia="en-AU"/>
              </w:rPr>
              <w:t xml:space="preserve">agreed under the </w:t>
            </w:r>
            <w:r w:rsidR="008342E7" w:rsidRPr="002A07BD">
              <w:rPr>
                <w:rFonts w:eastAsia="Times New Roman" w:cs="Arial"/>
                <w:lang w:eastAsia="en-AU"/>
              </w:rPr>
              <w:t>Offshore Constitutional Settlement</w:t>
            </w:r>
            <w:r w:rsidR="008342E7">
              <w:rPr>
                <w:rFonts w:eastAsia="Times New Roman" w:cs="Arial"/>
                <w:lang w:eastAsia="en-AU"/>
              </w:rPr>
              <w:t xml:space="preserve"> (OCS)</w:t>
            </w:r>
            <w:r w:rsidRPr="002A07BD">
              <w:rPr>
                <w:rFonts w:eastAsia="Times New Roman" w:cs="Arial"/>
                <w:lang w:eastAsia="en-AU"/>
              </w:rPr>
              <w:t>. The area of the fishery includes the Great Barrier Reef Marine Park and the Great Bar</w:t>
            </w:r>
            <w:r w:rsidR="00FC55DF">
              <w:rPr>
                <w:rFonts w:eastAsia="Times New Roman" w:cs="Arial"/>
                <w:lang w:eastAsia="en-AU"/>
              </w:rPr>
              <w:t xml:space="preserve">rier Reef World Heritage Area, in </w:t>
            </w:r>
            <w:r w:rsidRPr="002A07BD">
              <w:rPr>
                <w:rFonts w:eastAsia="Times New Roman" w:cs="Arial"/>
                <w:lang w:eastAsia="en-AU"/>
              </w:rPr>
              <w:t xml:space="preserve">both state and Commonwealth waters. Under </w:t>
            </w:r>
            <w:r w:rsidR="008342E7">
              <w:rPr>
                <w:rFonts w:eastAsia="Times New Roman" w:cs="Arial"/>
                <w:lang w:eastAsia="en-AU"/>
              </w:rPr>
              <w:t>the OCS</w:t>
            </w:r>
            <w:r w:rsidR="008342E7" w:rsidRPr="002A07BD">
              <w:rPr>
                <w:rFonts w:eastAsia="Times New Roman" w:cs="Arial"/>
                <w:lang w:eastAsia="en-AU"/>
              </w:rPr>
              <w:t xml:space="preserve"> </w:t>
            </w:r>
            <w:r w:rsidRPr="002A07BD">
              <w:rPr>
                <w:rFonts w:eastAsia="Times New Roman" w:cs="Arial"/>
                <w:lang w:eastAsia="en-AU"/>
              </w:rPr>
              <w:t xml:space="preserve">agreement between the Australian Government and the Queensland Government, the fishery is managed by </w:t>
            </w:r>
            <w:r w:rsidR="0015502B">
              <w:rPr>
                <w:rFonts w:eastAsia="Times New Roman" w:cs="Arial"/>
                <w:lang w:eastAsia="en-AU"/>
              </w:rPr>
              <w:t>the Queensland Department of Agriculture and Fisheries</w:t>
            </w:r>
            <w:r w:rsidRPr="002A07BD">
              <w:rPr>
                <w:rFonts w:eastAsia="Times New Roman" w:cs="Arial"/>
                <w:lang w:eastAsia="en-AU"/>
              </w:rPr>
              <w:t xml:space="preserve"> under Queensland legislation.</w:t>
            </w:r>
          </w:p>
          <w:p w14:paraId="2F5C3983" w14:textId="77777777" w:rsidR="00C34168" w:rsidRDefault="002A07BD" w:rsidP="00FC55DF">
            <w:pPr>
              <w:spacing w:after="0" w:line="240" w:lineRule="auto"/>
              <w:rPr>
                <w:rFonts w:cs="Arial"/>
                <w:snapToGrid w:val="0"/>
                <w:color w:val="3366FF"/>
              </w:rPr>
            </w:pPr>
            <w:r w:rsidRPr="00051532">
              <w:rPr>
                <w:rFonts w:eastAsia="Times New Roman" w:cs="Arial"/>
                <w:lang w:eastAsia="en-AU"/>
              </w:rPr>
              <w:t xml:space="preserve">Most of the </w:t>
            </w:r>
            <w:r w:rsidR="00487C91">
              <w:rPr>
                <w:rFonts w:eastAsia="Times New Roman" w:cs="Arial"/>
                <w:lang w:eastAsia="en-AU"/>
              </w:rPr>
              <w:t xml:space="preserve">fishery’s </w:t>
            </w:r>
            <w:r w:rsidRPr="00051532">
              <w:rPr>
                <w:rFonts w:eastAsia="Times New Roman" w:cs="Arial"/>
                <w:lang w:eastAsia="en-AU"/>
              </w:rPr>
              <w:t xml:space="preserve">harvest is taken from inshore waters, including </w:t>
            </w:r>
            <w:r w:rsidR="00242374">
              <w:rPr>
                <w:rFonts w:eastAsia="Times New Roman" w:cs="Arial"/>
                <w:lang w:eastAsia="en-AU"/>
              </w:rPr>
              <w:t>coastal</w:t>
            </w:r>
            <w:r w:rsidRPr="00051532">
              <w:rPr>
                <w:rFonts w:eastAsia="Times New Roman" w:cs="Arial"/>
                <w:lang w:eastAsia="en-AU"/>
              </w:rPr>
              <w:t xml:space="preserve"> rivers and creeks, however, some offshore </w:t>
            </w:r>
            <w:r w:rsidR="00145E12">
              <w:rPr>
                <w:rFonts w:eastAsia="Times New Roman" w:cs="Arial"/>
                <w:lang w:eastAsia="en-AU"/>
              </w:rPr>
              <w:t>harvest also occurs</w:t>
            </w:r>
            <w:r w:rsidRPr="00051532">
              <w:rPr>
                <w:rFonts w:eastAsia="Times New Roman" w:cs="Arial"/>
                <w:lang w:eastAsia="en-AU"/>
              </w:rPr>
              <w:t xml:space="preserve">. </w:t>
            </w:r>
            <w:r w:rsidR="00727819">
              <w:rPr>
                <w:rFonts w:cs="Arial"/>
                <w:noProof/>
                <w:color w:val="3366FF"/>
                <w:lang w:eastAsia="en-AU"/>
              </w:rPr>
              <w:drawing>
                <wp:inline distT="0" distB="0" distL="0" distR="0" wp14:anchorId="2F5C3BF6" wp14:editId="2F5C3BF7">
                  <wp:extent cx="3114415" cy="4405022"/>
                  <wp:effectExtent l="19050" t="0" r="0" b="0"/>
                  <wp:docPr id="4" name="Picture 4" descr="C:\Users\A16558\AppData\Local\Microsoft\Windows\Temporary Internet Files\Content.Outlook\1VMLT8Q7\ECIFFF catch distribution - 201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16558\AppData\Local\Microsoft\Windows\Temporary Internet Files\Content.Outlook\1VMLT8Q7\ECIFFF catch distribution - 2013.tif"/>
                          <pic:cNvPicPr>
                            <a:picLocks noChangeAspect="1" noChangeArrowheads="1"/>
                          </pic:cNvPicPr>
                        </pic:nvPicPr>
                        <pic:blipFill>
                          <a:blip r:embed="rId15" cstate="print"/>
                          <a:srcRect/>
                          <a:stretch>
                            <a:fillRect/>
                          </a:stretch>
                        </pic:blipFill>
                        <pic:spPr bwMode="auto">
                          <a:xfrm>
                            <a:off x="0" y="0"/>
                            <a:ext cx="3115740" cy="4406895"/>
                          </a:xfrm>
                          <a:prstGeom prst="rect">
                            <a:avLst/>
                          </a:prstGeom>
                          <a:noFill/>
                          <a:ln w="9525">
                            <a:noFill/>
                            <a:miter lim="800000"/>
                            <a:headEnd/>
                            <a:tailEnd/>
                          </a:ln>
                        </pic:spPr>
                      </pic:pic>
                    </a:graphicData>
                  </a:graphic>
                </wp:inline>
              </w:drawing>
            </w:r>
          </w:p>
          <w:p w14:paraId="2F5C3984" w14:textId="77777777" w:rsidR="00B8177B" w:rsidRPr="00FC55DF" w:rsidRDefault="00C34168" w:rsidP="001F1716">
            <w:pPr>
              <w:spacing w:line="240" w:lineRule="auto"/>
              <w:rPr>
                <w:rFonts w:cs="Arial"/>
                <w:snapToGrid w:val="0"/>
                <w:sz w:val="20"/>
                <w:szCs w:val="20"/>
              </w:rPr>
            </w:pPr>
            <w:r w:rsidRPr="00FC55DF">
              <w:rPr>
                <w:rFonts w:cs="Arial"/>
                <w:b/>
                <w:snapToGrid w:val="0"/>
                <w:sz w:val="20"/>
                <w:szCs w:val="20"/>
              </w:rPr>
              <w:t>Figure 1:</w:t>
            </w:r>
            <w:r w:rsidRPr="00FC55DF">
              <w:rPr>
                <w:rFonts w:cs="Arial"/>
                <w:snapToGrid w:val="0"/>
                <w:sz w:val="20"/>
                <w:szCs w:val="20"/>
              </w:rPr>
              <w:t xml:space="preserve"> Map of </w:t>
            </w:r>
            <w:r w:rsidR="000F3A74" w:rsidRPr="00FC55DF">
              <w:rPr>
                <w:rFonts w:cs="Arial"/>
                <w:snapToGrid w:val="0"/>
                <w:sz w:val="20"/>
                <w:szCs w:val="20"/>
              </w:rPr>
              <w:t>catch</w:t>
            </w:r>
            <w:r w:rsidR="00B8177B" w:rsidRPr="00FC55DF">
              <w:rPr>
                <w:rFonts w:cs="Arial"/>
                <w:snapToGrid w:val="0"/>
                <w:sz w:val="20"/>
                <w:szCs w:val="20"/>
              </w:rPr>
              <w:t xml:space="preserve"> distribution in </w:t>
            </w:r>
            <w:r w:rsidRPr="00FC55DF">
              <w:rPr>
                <w:rFonts w:cs="Arial"/>
                <w:snapToGrid w:val="0"/>
                <w:sz w:val="20"/>
                <w:szCs w:val="20"/>
              </w:rPr>
              <w:t xml:space="preserve">the </w:t>
            </w:r>
            <w:r w:rsidR="00A05BFA" w:rsidRPr="00FC55DF">
              <w:rPr>
                <w:rFonts w:cs="Arial"/>
                <w:snapToGrid w:val="0"/>
                <w:sz w:val="20"/>
                <w:szCs w:val="20"/>
              </w:rPr>
              <w:t>East Coast Inshore Fin Fish Fishery</w:t>
            </w:r>
            <w:r w:rsidRPr="00FC55DF">
              <w:rPr>
                <w:rFonts w:cs="Arial"/>
                <w:snapToGrid w:val="0"/>
                <w:sz w:val="20"/>
                <w:szCs w:val="20"/>
              </w:rPr>
              <w:t xml:space="preserve"> (source: Queensland Department of Agriculture and Fisheries, 2016)</w:t>
            </w:r>
            <w:r w:rsidR="00B8177B" w:rsidRPr="00FC55DF">
              <w:rPr>
                <w:rFonts w:cs="Arial"/>
                <w:snapToGrid w:val="0"/>
                <w:sz w:val="20"/>
                <w:szCs w:val="20"/>
              </w:rPr>
              <w:t>.</w:t>
            </w:r>
          </w:p>
        </w:tc>
      </w:tr>
      <w:tr w:rsidR="00B6012C" w:rsidRPr="009B3A55" w14:paraId="2F5C39A5"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986" w14:textId="77777777" w:rsidR="00B6012C" w:rsidRPr="009B3A55" w:rsidRDefault="00B8177B" w:rsidP="001955CD">
            <w:pPr>
              <w:rPr>
                <w:rFonts w:cs="Arial"/>
                <w:b/>
                <w:snapToGrid w:val="0"/>
              </w:rPr>
            </w:pPr>
            <w:r>
              <w:rPr>
                <w:rFonts w:cs="Arial"/>
                <w:b/>
                <w:snapToGrid w:val="0"/>
              </w:rPr>
              <w:lastRenderedPageBreak/>
              <w:t>Target s</w:t>
            </w:r>
            <w:r w:rsidR="00B6012C" w:rsidRPr="009B3A55">
              <w:rPr>
                <w:rFonts w:cs="Arial"/>
                <w:b/>
                <w:snapToGrid w:val="0"/>
              </w:rPr>
              <w:t>pecies</w:t>
            </w:r>
          </w:p>
        </w:tc>
        <w:tc>
          <w:tcPr>
            <w:tcW w:w="7444" w:type="dxa"/>
            <w:tcBorders>
              <w:top w:val="single" w:sz="4" w:space="0" w:color="auto"/>
              <w:left w:val="single" w:sz="4" w:space="0" w:color="auto"/>
              <w:bottom w:val="single" w:sz="4" w:space="0" w:color="auto"/>
              <w:right w:val="single" w:sz="4" w:space="0" w:color="auto"/>
            </w:tcBorders>
          </w:tcPr>
          <w:p w14:paraId="2F5C3987" w14:textId="77777777" w:rsidR="00D82CC0" w:rsidRDefault="00B8177B" w:rsidP="00145E12">
            <w:pPr>
              <w:spacing w:after="0" w:line="240" w:lineRule="auto"/>
            </w:pPr>
            <w:r>
              <w:rPr>
                <w:snapToGrid w:val="0"/>
              </w:rPr>
              <w:t xml:space="preserve">The East Coast Inshore Fin Fish Fishery has a diverse range of target species. </w:t>
            </w:r>
            <w:r w:rsidR="00B73CE1">
              <w:t>F</w:t>
            </w:r>
            <w:r w:rsidR="002561B7">
              <w:t>requently target</w:t>
            </w:r>
            <w:r w:rsidR="00B73CE1">
              <w:t>ed fish species include</w:t>
            </w:r>
            <w:r w:rsidR="002561B7">
              <w:t xml:space="preserve">: </w:t>
            </w:r>
          </w:p>
          <w:tbl>
            <w:tblPr>
              <w:tblW w:w="6804" w:type="dxa"/>
              <w:tblLayout w:type="fixed"/>
              <w:tblLook w:val="04A0" w:firstRow="1" w:lastRow="0" w:firstColumn="1" w:lastColumn="0" w:noHBand="0" w:noVBand="1"/>
            </w:tblPr>
            <w:tblGrid>
              <w:gridCol w:w="3402"/>
              <w:gridCol w:w="3402"/>
            </w:tblGrid>
            <w:tr w:rsidR="006B5FCA" w:rsidRPr="00FB2004" w14:paraId="2F5C398E" w14:textId="77777777" w:rsidTr="006B5FCA">
              <w:tc>
                <w:tcPr>
                  <w:tcW w:w="3402" w:type="dxa"/>
                </w:tcPr>
                <w:p w14:paraId="2F5C3988" w14:textId="77777777" w:rsidR="006B5FCA" w:rsidRDefault="006B5FCA" w:rsidP="006B5FCA">
                  <w:pPr>
                    <w:pStyle w:val="ListParagraph"/>
                    <w:numPr>
                      <w:ilvl w:val="0"/>
                      <w:numId w:val="57"/>
                    </w:numPr>
                    <w:spacing w:after="0" w:line="240" w:lineRule="auto"/>
                    <w:contextualSpacing/>
                    <w:rPr>
                      <w:snapToGrid w:val="0"/>
                    </w:rPr>
                  </w:pPr>
                  <w:r>
                    <w:rPr>
                      <w:snapToGrid w:val="0"/>
                    </w:rPr>
                    <w:t>barramundi</w:t>
                  </w:r>
                </w:p>
                <w:p w14:paraId="2F5C3989" w14:textId="77777777" w:rsidR="006B5FCA" w:rsidRDefault="006B5FCA" w:rsidP="006B5FCA">
                  <w:pPr>
                    <w:pStyle w:val="ListParagraph"/>
                    <w:numPr>
                      <w:ilvl w:val="0"/>
                      <w:numId w:val="57"/>
                    </w:numPr>
                    <w:spacing w:after="0" w:line="240" w:lineRule="auto"/>
                    <w:contextualSpacing/>
                    <w:rPr>
                      <w:snapToGrid w:val="0"/>
                    </w:rPr>
                  </w:pPr>
                  <w:r>
                    <w:rPr>
                      <w:snapToGrid w:val="0"/>
                    </w:rPr>
                    <w:t>bream species</w:t>
                  </w:r>
                </w:p>
                <w:p w14:paraId="2F5C398A" w14:textId="77777777" w:rsidR="006B5FCA" w:rsidRPr="00822AE4" w:rsidRDefault="006B5FCA" w:rsidP="006B5FCA">
                  <w:pPr>
                    <w:pStyle w:val="ListParagraph"/>
                    <w:numPr>
                      <w:ilvl w:val="0"/>
                      <w:numId w:val="57"/>
                    </w:numPr>
                    <w:spacing w:after="0" w:line="240" w:lineRule="auto"/>
                    <w:contextualSpacing/>
                    <w:rPr>
                      <w:snapToGrid w:val="0"/>
                    </w:rPr>
                  </w:pPr>
                  <w:r>
                    <w:rPr>
                      <w:snapToGrid w:val="0"/>
                    </w:rPr>
                    <w:t>flathead</w:t>
                  </w:r>
                </w:p>
              </w:tc>
              <w:tc>
                <w:tcPr>
                  <w:tcW w:w="3402" w:type="dxa"/>
                </w:tcPr>
                <w:p w14:paraId="2F5C398B" w14:textId="77777777" w:rsidR="006B5FCA" w:rsidRDefault="006B5FCA" w:rsidP="006B5FCA">
                  <w:pPr>
                    <w:pStyle w:val="ListParagraph"/>
                    <w:numPr>
                      <w:ilvl w:val="0"/>
                      <w:numId w:val="57"/>
                    </w:numPr>
                    <w:spacing w:after="0" w:line="240" w:lineRule="auto"/>
                    <w:contextualSpacing/>
                    <w:rPr>
                      <w:snapToGrid w:val="0"/>
                    </w:rPr>
                  </w:pPr>
                  <w:r>
                    <w:rPr>
                      <w:snapToGrid w:val="0"/>
                    </w:rPr>
                    <w:t>grey mackerel</w:t>
                  </w:r>
                </w:p>
                <w:p w14:paraId="2F5C398C" w14:textId="77777777" w:rsidR="006B5FCA" w:rsidRDefault="006B5FCA" w:rsidP="006B5FCA">
                  <w:pPr>
                    <w:pStyle w:val="ListParagraph"/>
                    <w:numPr>
                      <w:ilvl w:val="0"/>
                      <w:numId w:val="57"/>
                    </w:numPr>
                    <w:spacing w:after="0" w:line="240" w:lineRule="auto"/>
                    <w:contextualSpacing/>
                    <w:rPr>
                      <w:snapToGrid w:val="0"/>
                    </w:rPr>
                  </w:pPr>
                  <w:r>
                    <w:rPr>
                      <w:snapToGrid w:val="0"/>
                    </w:rPr>
                    <w:t>school mackerel</w:t>
                  </w:r>
                </w:p>
                <w:p w14:paraId="2F5C398D" w14:textId="77777777" w:rsidR="006B5FCA" w:rsidRPr="00822AE4" w:rsidRDefault="006B5FCA" w:rsidP="006B5FCA">
                  <w:pPr>
                    <w:pStyle w:val="ListParagraph"/>
                    <w:numPr>
                      <w:ilvl w:val="0"/>
                      <w:numId w:val="57"/>
                    </w:numPr>
                    <w:spacing w:after="0" w:line="240" w:lineRule="auto"/>
                    <w:contextualSpacing/>
                    <w:rPr>
                      <w:snapToGrid w:val="0"/>
                    </w:rPr>
                  </w:pPr>
                  <w:r>
                    <w:rPr>
                      <w:snapToGrid w:val="0"/>
                    </w:rPr>
                    <w:t>spotted mackerel</w:t>
                  </w:r>
                </w:p>
              </w:tc>
            </w:tr>
            <w:tr w:rsidR="006B5FCA" w:rsidRPr="00FB2004" w14:paraId="2F5C3994" w14:textId="77777777" w:rsidTr="006B5FCA">
              <w:tc>
                <w:tcPr>
                  <w:tcW w:w="3402" w:type="dxa"/>
                </w:tcPr>
                <w:p w14:paraId="2F5C398F" w14:textId="77777777" w:rsidR="006B5FCA" w:rsidRDefault="006B5FCA" w:rsidP="006B5FCA">
                  <w:pPr>
                    <w:pStyle w:val="ListParagraph"/>
                    <w:numPr>
                      <w:ilvl w:val="0"/>
                      <w:numId w:val="57"/>
                    </w:numPr>
                    <w:spacing w:after="0" w:line="240" w:lineRule="auto"/>
                    <w:contextualSpacing/>
                    <w:rPr>
                      <w:snapToGrid w:val="0"/>
                    </w:rPr>
                  </w:pPr>
                  <w:r>
                    <w:rPr>
                      <w:snapToGrid w:val="0"/>
                    </w:rPr>
                    <w:t>sandwhiting</w:t>
                  </w:r>
                </w:p>
                <w:p w14:paraId="2F5C3990" w14:textId="77777777" w:rsidR="006B5FCA" w:rsidRDefault="006B5FCA" w:rsidP="006B5FCA">
                  <w:pPr>
                    <w:pStyle w:val="ListParagraph"/>
                    <w:numPr>
                      <w:ilvl w:val="0"/>
                      <w:numId w:val="57"/>
                    </w:numPr>
                    <w:spacing w:after="0" w:line="240" w:lineRule="auto"/>
                    <w:contextualSpacing/>
                    <w:rPr>
                      <w:snapToGrid w:val="0"/>
                    </w:rPr>
                  </w:pPr>
                  <w:r>
                    <w:rPr>
                      <w:snapToGrid w:val="0"/>
                    </w:rPr>
                    <w:t>sea mullet</w:t>
                  </w:r>
                </w:p>
                <w:p w14:paraId="2F5C3991" w14:textId="77777777" w:rsidR="006B5FCA" w:rsidRPr="00D82CC0" w:rsidRDefault="006B5FCA" w:rsidP="006B5FCA">
                  <w:pPr>
                    <w:pStyle w:val="ListParagraph"/>
                    <w:numPr>
                      <w:ilvl w:val="0"/>
                      <w:numId w:val="57"/>
                    </w:numPr>
                    <w:spacing w:after="0" w:line="240" w:lineRule="auto"/>
                    <w:contextualSpacing/>
                    <w:rPr>
                      <w:snapToGrid w:val="0"/>
                    </w:rPr>
                  </w:pPr>
                  <w:r>
                    <w:rPr>
                      <w:snapToGrid w:val="0"/>
                    </w:rPr>
                    <w:t>tailor</w:t>
                  </w:r>
                  <w:r w:rsidRPr="00822AE4">
                    <w:rPr>
                      <w:snapToGrid w:val="0"/>
                    </w:rPr>
                    <w:t xml:space="preserve"> </w:t>
                  </w:r>
                </w:p>
              </w:tc>
              <w:tc>
                <w:tcPr>
                  <w:tcW w:w="3402" w:type="dxa"/>
                </w:tcPr>
                <w:p w14:paraId="2F5C3992" w14:textId="77777777" w:rsidR="006B5FCA" w:rsidRDefault="006B5FCA" w:rsidP="006B5FCA">
                  <w:pPr>
                    <w:pStyle w:val="ListParagraph"/>
                    <w:numPr>
                      <w:ilvl w:val="0"/>
                      <w:numId w:val="57"/>
                    </w:numPr>
                    <w:spacing w:after="0" w:line="240" w:lineRule="auto"/>
                    <w:contextualSpacing/>
                    <w:rPr>
                      <w:snapToGrid w:val="0"/>
                    </w:rPr>
                  </w:pPr>
                  <w:r>
                    <w:rPr>
                      <w:snapToGrid w:val="0"/>
                    </w:rPr>
                    <w:t>blue threadfin</w:t>
                  </w:r>
                </w:p>
                <w:p w14:paraId="2F5C3993" w14:textId="77777777" w:rsidR="006B5FCA" w:rsidRPr="00822AE4" w:rsidRDefault="006B5FCA" w:rsidP="006B5FCA">
                  <w:pPr>
                    <w:pStyle w:val="ListParagraph"/>
                    <w:numPr>
                      <w:ilvl w:val="0"/>
                      <w:numId w:val="57"/>
                    </w:numPr>
                    <w:spacing w:after="0" w:line="240" w:lineRule="auto"/>
                    <w:contextualSpacing/>
                    <w:rPr>
                      <w:snapToGrid w:val="0"/>
                    </w:rPr>
                  </w:pPr>
                  <w:r>
                    <w:rPr>
                      <w:snapToGrid w:val="0"/>
                    </w:rPr>
                    <w:t>king threadfin</w:t>
                  </w:r>
                </w:p>
              </w:tc>
            </w:tr>
          </w:tbl>
          <w:p w14:paraId="2F5C3995" w14:textId="77777777" w:rsidR="002561B7" w:rsidRDefault="00E56DC9" w:rsidP="001F1716">
            <w:pPr>
              <w:spacing w:after="0" w:line="240" w:lineRule="auto"/>
            </w:pPr>
            <w:r>
              <w:t xml:space="preserve">      </w:t>
            </w:r>
            <w:r w:rsidR="005B7BF3">
              <w:t xml:space="preserve">  </w:t>
            </w:r>
            <w:r>
              <w:t xml:space="preserve"> </w:t>
            </w:r>
          </w:p>
          <w:p w14:paraId="2F5C3996" w14:textId="0989DB7E" w:rsidR="002561B7" w:rsidRDefault="00B73CE1" w:rsidP="002E033C">
            <w:pPr>
              <w:spacing w:after="0" w:line="240" w:lineRule="auto"/>
            </w:pPr>
            <w:r>
              <w:t>The fishery</w:t>
            </w:r>
            <w:r w:rsidR="00543E69">
              <w:t xml:space="preserve"> </w:t>
            </w:r>
            <w:r w:rsidR="001F1716">
              <w:t xml:space="preserve">also </w:t>
            </w:r>
            <w:r w:rsidR="008342E7">
              <w:t xml:space="preserve">takes </w:t>
            </w:r>
            <w:r w:rsidR="00543E69">
              <w:t xml:space="preserve">a number of tropical shark species, including: </w:t>
            </w:r>
          </w:p>
          <w:tbl>
            <w:tblPr>
              <w:tblW w:w="6804" w:type="dxa"/>
              <w:tblLayout w:type="fixed"/>
              <w:tblLook w:val="04A0" w:firstRow="1" w:lastRow="0" w:firstColumn="1" w:lastColumn="0" w:noHBand="0" w:noVBand="1"/>
            </w:tblPr>
            <w:tblGrid>
              <w:gridCol w:w="3402"/>
              <w:gridCol w:w="3402"/>
            </w:tblGrid>
            <w:tr w:rsidR="006B5FCA" w:rsidRPr="00FB2004" w14:paraId="2F5C399D" w14:textId="77777777" w:rsidTr="006B5FCA">
              <w:tc>
                <w:tcPr>
                  <w:tcW w:w="3402" w:type="dxa"/>
                </w:tcPr>
                <w:p w14:paraId="2F5C3997" w14:textId="77777777" w:rsidR="006B5FCA" w:rsidRDefault="006B5FCA" w:rsidP="006B5FCA">
                  <w:pPr>
                    <w:pStyle w:val="ListParagraph"/>
                    <w:numPr>
                      <w:ilvl w:val="0"/>
                      <w:numId w:val="57"/>
                    </w:numPr>
                    <w:spacing w:after="0" w:line="240" w:lineRule="auto"/>
                    <w:contextualSpacing/>
                    <w:rPr>
                      <w:snapToGrid w:val="0"/>
                    </w:rPr>
                  </w:pPr>
                  <w:r>
                    <w:rPr>
                      <w:snapToGrid w:val="0"/>
                    </w:rPr>
                    <w:t>Australian blacktip shark</w:t>
                  </w:r>
                </w:p>
                <w:p w14:paraId="2F5C3998" w14:textId="77777777" w:rsidR="006B5FCA" w:rsidRDefault="006B5FCA" w:rsidP="006B5FCA">
                  <w:pPr>
                    <w:pStyle w:val="ListParagraph"/>
                    <w:numPr>
                      <w:ilvl w:val="0"/>
                      <w:numId w:val="57"/>
                    </w:numPr>
                    <w:spacing w:after="0" w:line="240" w:lineRule="auto"/>
                    <w:contextualSpacing/>
                    <w:rPr>
                      <w:snapToGrid w:val="0"/>
                    </w:rPr>
                  </w:pPr>
                  <w:r>
                    <w:rPr>
                      <w:snapToGrid w:val="0"/>
                    </w:rPr>
                    <w:t>common blacktip shark</w:t>
                  </w:r>
                </w:p>
                <w:p w14:paraId="2F5C3999" w14:textId="77777777" w:rsidR="006B5FCA" w:rsidRPr="00822AE4" w:rsidRDefault="006B5FCA" w:rsidP="006B5FCA">
                  <w:pPr>
                    <w:pStyle w:val="ListParagraph"/>
                    <w:numPr>
                      <w:ilvl w:val="0"/>
                      <w:numId w:val="57"/>
                    </w:numPr>
                    <w:spacing w:after="0" w:line="240" w:lineRule="auto"/>
                    <w:contextualSpacing/>
                    <w:rPr>
                      <w:snapToGrid w:val="0"/>
                    </w:rPr>
                  </w:pPr>
                  <w:r>
                    <w:rPr>
                      <w:snapToGrid w:val="0"/>
                    </w:rPr>
                    <w:t>scalloped hammerhead</w:t>
                  </w:r>
                </w:p>
              </w:tc>
              <w:tc>
                <w:tcPr>
                  <w:tcW w:w="3402" w:type="dxa"/>
                </w:tcPr>
                <w:p w14:paraId="2F5C399A" w14:textId="77777777" w:rsidR="006B5FCA" w:rsidRDefault="006B5FCA" w:rsidP="006B5FCA">
                  <w:pPr>
                    <w:pStyle w:val="ListParagraph"/>
                    <w:numPr>
                      <w:ilvl w:val="0"/>
                      <w:numId w:val="57"/>
                    </w:numPr>
                    <w:spacing w:after="0" w:line="240" w:lineRule="auto"/>
                    <w:contextualSpacing/>
                    <w:rPr>
                      <w:snapToGrid w:val="0"/>
                    </w:rPr>
                  </w:pPr>
                  <w:r>
                    <w:rPr>
                      <w:snapToGrid w:val="0"/>
                    </w:rPr>
                    <w:t>bull shark</w:t>
                  </w:r>
                </w:p>
                <w:p w14:paraId="2F5C399B" w14:textId="77777777" w:rsidR="006B5FCA" w:rsidRDefault="006B5FCA" w:rsidP="006B5FCA">
                  <w:pPr>
                    <w:pStyle w:val="ListParagraph"/>
                    <w:numPr>
                      <w:ilvl w:val="0"/>
                      <w:numId w:val="57"/>
                    </w:numPr>
                    <w:spacing w:after="0" w:line="240" w:lineRule="auto"/>
                    <w:contextualSpacing/>
                    <w:rPr>
                      <w:snapToGrid w:val="0"/>
                    </w:rPr>
                  </w:pPr>
                  <w:r>
                    <w:rPr>
                      <w:snapToGrid w:val="0"/>
                    </w:rPr>
                    <w:t>milk shark</w:t>
                  </w:r>
                </w:p>
                <w:p w14:paraId="2F5C399C" w14:textId="77777777" w:rsidR="006B5FCA" w:rsidRPr="00822AE4" w:rsidRDefault="006B5FCA" w:rsidP="006B5FCA">
                  <w:pPr>
                    <w:pStyle w:val="ListParagraph"/>
                    <w:numPr>
                      <w:ilvl w:val="0"/>
                      <w:numId w:val="57"/>
                    </w:numPr>
                    <w:spacing w:after="0" w:line="240" w:lineRule="auto"/>
                    <w:contextualSpacing/>
                    <w:rPr>
                      <w:snapToGrid w:val="0"/>
                    </w:rPr>
                  </w:pPr>
                  <w:r>
                    <w:rPr>
                      <w:snapToGrid w:val="0"/>
                    </w:rPr>
                    <w:t>pigeye shark</w:t>
                  </w:r>
                </w:p>
              </w:tc>
            </w:tr>
            <w:tr w:rsidR="006B5FCA" w:rsidRPr="00FB2004" w14:paraId="2F5C39A0" w14:textId="77777777" w:rsidTr="006B5FCA">
              <w:tc>
                <w:tcPr>
                  <w:tcW w:w="3402" w:type="dxa"/>
                </w:tcPr>
                <w:p w14:paraId="2F5C399E" w14:textId="77777777" w:rsidR="006B5FCA" w:rsidRPr="006B5FCA" w:rsidRDefault="006B5FCA" w:rsidP="006B5FCA">
                  <w:pPr>
                    <w:pStyle w:val="ListParagraph"/>
                    <w:numPr>
                      <w:ilvl w:val="0"/>
                      <w:numId w:val="57"/>
                    </w:numPr>
                    <w:spacing w:after="0" w:line="240" w:lineRule="auto"/>
                    <w:contextualSpacing/>
                    <w:rPr>
                      <w:snapToGrid w:val="0"/>
                    </w:rPr>
                  </w:pPr>
                  <w:r>
                    <w:rPr>
                      <w:snapToGrid w:val="0"/>
                    </w:rPr>
                    <w:t>spot tail shark</w:t>
                  </w:r>
                </w:p>
              </w:tc>
              <w:tc>
                <w:tcPr>
                  <w:tcW w:w="3402" w:type="dxa"/>
                </w:tcPr>
                <w:p w14:paraId="2F5C399F" w14:textId="77777777" w:rsidR="006B5FCA" w:rsidRPr="00822AE4" w:rsidRDefault="006B5FCA" w:rsidP="006B5FCA">
                  <w:pPr>
                    <w:pStyle w:val="ListParagraph"/>
                    <w:numPr>
                      <w:ilvl w:val="0"/>
                      <w:numId w:val="0"/>
                    </w:numPr>
                    <w:spacing w:after="0" w:line="240" w:lineRule="auto"/>
                    <w:ind w:left="720"/>
                    <w:contextualSpacing/>
                    <w:rPr>
                      <w:snapToGrid w:val="0"/>
                    </w:rPr>
                  </w:pPr>
                </w:p>
              </w:tc>
            </w:tr>
            <w:tr w:rsidR="006B5FCA" w:rsidRPr="00FB2004" w14:paraId="2F5C39A3" w14:textId="77777777" w:rsidTr="006B5FCA">
              <w:tc>
                <w:tcPr>
                  <w:tcW w:w="3402" w:type="dxa"/>
                </w:tcPr>
                <w:p w14:paraId="2F5C39A1" w14:textId="77777777" w:rsidR="006B5FCA" w:rsidRPr="00D82CC0" w:rsidRDefault="006B5FCA" w:rsidP="006B5FCA">
                  <w:pPr>
                    <w:spacing w:after="0" w:line="240" w:lineRule="auto"/>
                    <w:contextualSpacing/>
                    <w:rPr>
                      <w:b/>
                      <w:snapToGrid w:val="0"/>
                    </w:rPr>
                  </w:pPr>
                </w:p>
              </w:tc>
              <w:tc>
                <w:tcPr>
                  <w:tcW w:w="3402" w:type="dxa"/>
                </w:tcPr>
                <w:p w14:paraId="2F5C39A2" w14:textId="77777777" w:rsidR="006B5FCA" w:rsidRPr="00D82CC0" w:rsidRDefault="006B5FCA" w:rsidP="006B5FCA">
                  <w:pPr>
                    <w:spacing w:after="0" w:line="240" w:lineRule="auto"/>
                    <w:contextualSpacing/>
                    <w:rPr>
                      <w:snapToGrid w:val="0"/>
                    </w:rPr>
                  </w:pPr>
                </w:p>
              </w:tc>
            </w:tr>
          </w:tbl>
          <w:p w14:paraId="2F5C39A4" w14:textId="77777777" w:rsidR="0033339D" w:rsidRPr="00543E69" w:rsidRDefault="0033339D" w:rsidP="00A936C4">
            <w:pPr>
              <w:spacing w:after="0" w:line="240" w:lineRule="auto"/>
            </w:pPr>
          </w:p>
        </w:tc>
      </w:tr>
      <w:tr w:rsidR="00062D2B" w:rsidRPr="009B3A55" w14:paraId="2F5C39CE"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9A6" w14:textId="77777777" w:rsidR="00062D2B" w:rsidRPr="009B3A55" w:rsidRDefault="00062D2B" w:rsidP="001955CD">
            <w:pPr>
              <w:rPr>
                <w:rFonts w:cs="Arial"/>
                <w:b/>
                <w:snapToGrid w:val="0"/>
              </w:rPr>
            </w:pPr>
            <w:r w:rsidRPr="009B3A55">
              <w:rPr>
                <w:rFonts w:cs="Arial"/>
                <w:b/>
                <w:snapToGrid w:val="0"/>
              </w:rPr>
              <w:t xml:space="preserve">Fishery status </w:t>
            </w:r>
          </w:p>
        </w:tc>
        <w:tc>
          <w:tcPr>
            <w:tcW w:w="7444" w:type="dxa"/>
            <w:tcBorders>
              <w:top w:val="single" w:sz="4" w:space="0" w:color="auto"/>
              <w:left w:val="single" w:sz="4" w:space="0" w:color="auto"/>
              <w:bottom w:val="single" w:sz="4" w:space="0" w:color="auto"/>
              <w:right w:val="single" w:sz="4" w:space="0" w:color="auto"/>
            </w:tcBorders>
          </w:tcPr>
          <w:p w14:paraId="2F5C39A7" w14:textId="77777777" w:rsidR="00062D2B" w:rsidRDefault="00062D2B" w:rsidP="00E45B03">
            <w:pPr>
              <w:spacing w:after="0" w:line="240" w:lineRule="auto"/>
            </w:pPr>
            <w:r>
              <w:t xml:space="preserve">The </w:t>
            </w:r>
            <w:r w:rsidR="00BA1107">
              <w:t xml:space="preserve">status of fish stocks </w:t>
            </w:r>
            <w:r>
              <w:t>taken in the</w:t>
            </w:r>
            <w:r>
              <w:rPr>
                <w:snapToGrid w:val="0"/>
              </w:rPr>
              <w:t xml:space="preserve"> East Coast </w:t>
            </w:r>
            <w:r w:rsidR="00BA1107">
              <w:rPr>
                <w:snapToGrid w:val="0"/>
              </w:rPr>
              <w:t xml:space="preserve">Inshore </w:t>
            </w:r>
            <w:r>
              <w:rPr>
                <w:snapToGrid w:val="0"/>
              </w:rPr>
              <w:t xml:space="preserve">Fin Fish Fishery is listed below (Source: </w:t>
            </w:r>
            <w:r w:rsidRPr="00E35ACE">
              <w:rPr>
                <w:i/>
              </w:rPr>
              <w:t>Stock status of Queensland’s fisheries resources</w:t>
            </w:r>
            <w:r w:rsidRPr="00E35ACE">
              <w:t xml:space="preserve"> </w:t>
            </w:r>
            <w:r w:rsidRPr="00E35ACE">
              <w:rPr>
                <w:i/>
              </w:rPr>
              <w:t>201</w:t>
            </w:r>
            <w:r>
              <w:rPr>
                <w:i/>
              </w:rPr>
              <w:t>4</w:t>
            </w:r>
            <w:r w:rsidR="00496F2B">
              <w:rPr>
                <w:i/>
              </w:rPr>
              <w:t>, Status of Key Australian Fish Stocks 2014</w:t>
            </w:r>
            <w:r>
              <w:t>).</w:t>
            </w:r>
          </w:p>
          <w:p w14:paraId="2F5C39A8" w14:textId="77777777" w:rsidR="00E45B03" w:rsidRDefault="00E45B03" w:rsidP="001F1716">
            <w:pPr>
              <w:spacing w:after="120" w:line="240" w:lineRule="auto"/>
              <w:rPr>
                <w:b/>
                <w:snapToGrid w:val="0"/>
              </w:rPr>
            </w:pPr>
          </w:p>
          <w:p w14:paraId="2F5C39A9" w14:textId="77777777" w:rsidR="00062D2B" w:rsidRDefault="008B1DE2" w:rsidP="001F1716">
            <w:pPr>
              <w:spacing w:after="120" w:line="240" w:lineRule="auto"/>
              <w:rPr>
                <w:b/>
                <w:snapToGrid w:val="0"/>
              </w:rPr>
            </w:pPr>
            <w:r>
              <w:rPr>
                <w:b/>
                <w:snapToGrid w:val="0"/>
              </w:rPr>
              <w:t xml:space="preserve">Stocks assessed to be </w:t>
            </w:r>
            <w:r w:rsidRPr="008B1DE2">
              <w:rPr>
                <w:b/>
                <w:snapToGrid w:val="0"/>
                <w:u w:val="single"/>
              </w:rPr>
              <w:t>s</w:t>
            </w:r>
            <w:r w:rsidR="009D788F" w:rsidRPr="008B1DE2">
              <w:rPr>
                <w:b/>
                <w:snapToGrid w:val="0"/>
                <w:u w:val="single"/>
              </w:rPr>
              <w:t>ustainably fished</w:t>
            </w:r>
          </w:p>
          <w:p w14:paraId="2F5C39AA" w14:textId="77777777" w:rsidR="00F72136" w:rsidRPr="002E031A" w:rsidRDefault="00F72136" w:rsidP="00A41525">
            <w:pPr>
              <w:pStyle w:val="ListParagraph"/>
              <w:numPr>
                <w:ilvl w:val="0"/>
                <w:numId w:val="36"/>
              </w:numPr>
              <w:spacing w:after="0" w:line="240" w:lineRule="auto"/>
              <w:contextualSpacing/>
              <w:rPr>
                <w:snapToGrid w:val="0"/>
              </w:rPr>
            </w:pPr>
            <w:r w:rsidRPr="002E031A">
              <w:rPr>
                <w:snapToGrid w:val="0"/>
              </w:rPr>
              <w:t>barramundi (</w:t>
            </w:r>
            <w:r w:rsidRPr="002E031A">
              <w:rPr>
                <w:i/>
                <w:snapToGrid w:val="0"/>
              </w:rPr>
              <w:t>Lates calcarifer</w:t>
            </w:r>
            <w:r w:rsidRPr="002E031A">
              <w:rPr>
                <w:snapToGrid w:val="0"/>
              </w:rPr>
              <w:t>)</w:t>
            </w:r>
          </w:p>
          <w:p w14:paraId="2F5C39AB" w14:textId="77777777" w:rsidR="00F72136" w:rsidRPr="002E031A" w:rsidRDefault="00F72136" w:rsidP="00A41525">
            <w:pPr>
              <w:pStyle w:val="ListParagraph"/>
              <w:numPr>
                <w:ilvl w:val="0"/>
                <w:numId w:val="36"/>
              </w:numPr>
              <w:spacing w:after="0" w:line="240" w:lineRule="auto"/>
              <w:contextualSpacing/>
              <w:rPr>
                <w:snapToGrid w:val="0"/>
              </w:rPr>
            </w:pPr>
            <w:r w:rsidRPr="002E031A">
              <w:rPr>
                <w:snapToGrid w:val="0"/>
              </w:rPr>
              <w:t>blue t</w:t>
            </w:r>
            <w:r>
              <w:rPr>
                <w:snapToGrid w:val="0"/>
              </w:rPr>
              <w:t xml:space="preserve">hreadfin </w:t>
            </w:r>
            <w:r w:rsidRPr="002E031A">
              <w:rPr>
                <w:snapToGrid w:val="0"/>
              </w:rPr>
              <w:t>(</w:t>
            </w:r>
            <w:r w:rsidRPr="002E031A">
              <w:rPr>
                <w:i/>
                <w:snapToGrid w:val="0"/>
              </w:rPr>
              <w:t>Eleutheronema tetradactylum</w:t>
            </w:r>
            <w:r w:rsidRPr="002E031A">
              <w:rPr>
                <w:snapToGrid w:val="0"/>
              </w:rPr>
              <w:t>)</w:t>
            </w:r>
          </w:p>
          <w:p w14:paraId="2F5C39AC" w14:textId="77777777" w:rsidR="00F72136" w:rsidRDefault="00F72136" w:rsidP="00A41525">
            <w:pPr>
              <w:pStyle w:val="ListParagraph"/>
              <w:numPr>
                <w:ilvl w:val="0"/>
                <w:numId w:val="36"/>
              </w:numPr>
              <w:spacing w:after="0" w:line="240" w:lineRule="auto"/>
              <w:contextualSpacing/>
              <w:rPr>
                <w:snapToGrid w:val="0"/>
              </w:rPr>
            </w:pPr>
            <w:r w:rsidRPr="002E031A">
              <w:rPr>
                <w:snapToGrid w:val="0"/>
              </w:rPr>
              <w:t>dusky</w:t>
            </w:r>
            <w:r>
              <w:rPr>
                <w:snapToGrid w:val="0"/>
              </w:rPr>
              <w:t xml:space="preserve"> </w:t>
            </w:r>
            <w:r w:rsidRPr="002E031A">
              <w:rPr>
                <w:snapToGrid w:val="0"/>
              </w:rPr>
              <w:t>f</w:t>
            </w:r>
            <w:r>
              <w:rPr>
                <w:snapToGrid w:val="0"/>
              </w:rPr>
              <w:t xml:space="preserve">lathead </w:t>
            </w:r>
            <w:r w:rsidRPr="002E031A">
              <w:rPr>
                <w:snapToGrid w:val="0"/>
              </w:rPr>
              <w:t>(</w:t>
            </w:r>
            <w:r w:rsidRPr="002E031A">
              <w:rPr>
                <w:i/>
                <w:snapToGrid w:val="0"/>
              </w:rPr>
              <w:t>Platycephalus fuscus</w:t>
            </w:r>
            <w:r w:rsidRPr="002E031A">
              <w:rPr>
                <w:snapToGrid w:val="0"/>
              </w:rPr>
              <w:t>)</w:t>
            </w:r>
            <w:r>
              <w:rPr>
                <w:snapToGrid w:val="0"/>
              </w:rPr>
              <w:t xml:space="preserve"> </w:t>
            </w:r>
          </w:p>
          <w:p w14:paraId="2F5C39AD" w14:textId="77777777" w:rsidR="00F72136" w:rsidRDefault="00F72136" w:rsidP="00A41525">
            <w:pPr>
              <w:pStyle w:val="ListParagraph"/>
              <w:numPr>
                <w:ilvl w:val="0"/>
                <w:numId w:val="36"/>
              </w:numPr>
              <w:spacing w:after="0" w:line="240" w:lineRule="auto"/>
              <w:contextualSpacing/>
              <w:rPr>
                <w:snapToGrid w:val="0"/>
              </w:rPr>
            </w:pPr>
            <w:r w:rsidRPr="002E031A">
              <w:rPr>
                <w:snapToGrid w:val="0"/>
              </w:rPr>
              <w:t xml:space="preserve">grey </w:t>
            </w:r>
            <w:r>
              <w:rPr>
                <w:snapToGrid w:val="0"/>
              </w:rPr>
              <w:t>m</w:t>
            </w:r>
            <w:r w:rsidRPr="002E031A">
              <w:rPr>
                <w:snapToGrid w:val="0"/>
              </w:rPr>
              <w:t>ackerel</w:t>
            </w:r>
            <w:r>
              <w:rPr>
                <w:snapToGrid w:val="0"/>
              </w:rPr>
              <w:t xml:space="preserve"> </w:t>
            </w:r>
            <w:r w:rsidRPr="002E031A">
              <w:rPr>
                <w:snapToGrid w:val="0"/>
              </w:rPr>
              <w:t>(</w:t>
            </w:r>
            <w:r w:rsidRPr="002E031A">
              <w:rPr>
                <w:i/>
                <w:snapToGrid w:val="0"/>
              </w:rPr>
              <w:t>Scomberomorus semifasciatus</w:t>
            </w:r>
            <w:r w:rsidRPr="002E031A">
              <w:rPr>
                <w:snapToGrid w:val="0"/>
              </w:rPr>
              <w:t>)</w:t>
            </w:r>
          </w:p>
          <w:p w14:paraId="2F5C39AE" w14:textId="77777777" w:rsidR="00F72136" w:rsidRPr="00E300CE" w:rsidRDefault="00F72136" w:rsidP="00A41525">
            <w:pPr>
              <w:pStyle w:val="ListParagraph"/>
              <w:numPr>
                <w:ilvl w:val="0"/>
                <w:numId w:val="36"/>
              </w:numPr>
              <w:spacing w:after="120" w:line="240" w:lineRule="auto"/>
              <w:contextualSpacing/>
              <w:rPr>
                <w:snapToGrid w:val="0"/>
              </w:rPr>
            </w:pPr>
            <w:r w:rsidRPr="002E031A">
              <w:rPr>
                <w:snapToGrid w:val="0"/>
              </w:rPr>
              <w:t xml:space="preserve">sand </w:t>
            </w:r>
            <w:r>
              <w:rPr>
                <w:snapToGrid w:val="0"/>
              </w:rPr>
              <w:t>w</w:t>
            </w:r>
            <w:r w:rsidRPr="002E031A">
              <w:rPr>
                <w:snapToGrid w:val="0"/>
              </w:rPr>
              <w:t>hiting</w:t>
            </w:r>
            <w:r>
              <w:rPr>
                <w:snapToGrid w:val="0"/>
              </w:rPr>
              <w:t xml:space="preserve"> </w:t>
            </w:r>
            <w:r w:rsidRPr="002E031A">
              <w:rPr>
                <w:snapToGrid w:val="0"/>
              </w:rPr>
              <w:t>(</w:t>
            </w:r>
            <w:r w:rsidRPr="002E031A">
              <w:rPr>
                <w:i/>
                <w:snapToGrid w:val="0"/>
              </w:rPr>
              <w:t>Sillago ciliata</w:t>
            </w:r>
            <w:r w:rsidRPr="002E031A">
              <w:rPr>
                <w:snapToGrid w:val="0"/>
              </w:rPr>
              <w:t>)</w:t>
            </w:r>
          </w:p>
          <w:p w14:paraId="2F5C39AF" w14:textId="77777777" w:rsidR="00F72136" w:rsidRDefault="00F72136" w:rsidP="00A41525">
            <w:pPr>
              <w:pStyle w:val="ListParagraph"/>
              <w:numPr>
                <w:ilvl w:val="0"/>
                <w:numId w:val="36"/>
              </w:numPr>
              <w:spacing w:after="0" w:line="240" w:lineRule="auto"/>
              <w:contextualSpacing/>
              <w:rPr>
                <w:snapToGrid w:val="0"/>
              </w:rPr>
            </w:pPr>
            <w:r w:rsidRPr="002E031A">
              <w:rPr>
                <w:snapToGrid w:val="0"/>
              </w:rPr>
              <w:t xml:space="preserve">school </w:t>
            </w:r>
            <w:r>
              <w:rPr>
                <w:snapToGrid w:val="0"/>
              </w:rPr>
              <w:t>m</w:t>
            </w:r>
            <w:r w:rsidRPr="002E031A">
              <w:rPr>
                <w:snapToGrid w:val="0"/>
              </w:rPr>
              <w:t>ackerel (</w:t>
            </w:r>
            <w:r w:rsidRPr="002E031A">
              <w:rPr>
                <w:i/>
                <w:snapToGrid w:val="0"/>
              </w:rPr>
              <w:t>S</w:t>
            </w:r>
            <w:r>
              <w:rPr>
                <w:i/>
                <w:snapToGrid w:val="0"/>
              </w:rPr>
              <w:t>.</w:t>
            </w:r>
            <w:r w:rsidRPr="002E031A">
              <w:rPr>
                <w:i/>
                <w:snapToGrid w:val="0"/>
              </w:rPr>
              <w:t xml:space="preserve"> queenslandicus</w:t>
            </w:r>
            <w:r w:rsidRPr="002E031A">
              <w:rPr>
                <w:snapToGrid w:val="0"/>
              </w:rPr>
              <w:t>)</w:t>
            </w:r>
          </w:p>
          <w:p w14:paraId="2F5C39B0" w14:textId="77777777" w:rsidR="00F72136" w:rsidRPr="002E031A" w:rsidRDefault="00F72136" w:rsidP="00A41525">
            <w:pPr>
              <w:pStyle w:val="ListParagraph"/>
              <w:numPr>
                <w:ilvl w:val="0"/>
                <w:numId w:val="36"/>
              </w:numPr>
              <w:spacing w:after="0" w:line="240" w:lineRule="auto"/>
              <w:contextualSpacing/>
              <w:rPr>
                <w:snapToGrid w:val="0"/>
              </w:rPr>
            </w:pPr>
            <w:r w:rsidRPr="002E031A">
              <w:rPr>
                <w:snapToGrid w:val="0"/>
              </w:rPr>
              <w:t xml:space="preserve">sea </w:t>
            </w:r>
            <w:r>
              <w:rPr>
                <w:snapToGrid w:val="0"/>
              </w:rPr>
              <w:t>m</w:t>
            </w:r>
            <w:r w:rsidRPr="002E031A">
              <w:rPr>
                <w:snapToGrid w:val="0"/>
              </w:rPr>
              <w:t>ullet</w:t>
            </w:r>
            <w:r>
              <w:rPr>
                <w:snapToGrid w:val="0"/>
              </w:rPr>
              <w:t xml:space="preserve"> </w:t>
            </w:r>
            <w:r w:rsidRPr="002E031A">
              <w:rPr>
                <w:snapToGrid w:val="0"/>
              </w:rPr>
              <w:t>(</w:t>
            </w:r>
            <w:r w:rsidRPr="002E031A">
              <w:rPr>
                <w:i/>
                <w:snapToGrid w:val="0"/>
              </w:rPr>
              <w:t>Mugil cephalus</w:t>
            </w:r>
            <w:r w:rsidRPr="002E031A">
              <w:rPr>
                <w:snapToGrid w:val="0"/>
              </w:rPr>
              <w:t>)</w:t>
            </w:r>
          </w:p>
          <w:p w14:paraId="2F5C39B1" w14:textId="77777777" w:rsidR="00F72136" w:rsidRPr="00496F2B" w:rsidRDefault="00F72136" w:rsidP="00A41525">
            <w:pPr>
              <w:pStyle w:val="ListParagraph"/>
              <w:numPr>
                <w:ilvl w:val="0"/>
                <w:numId w:val="36"/>
              </w:numPr>
              <w:spacing w:after="0" w:line="240" w:lineRule="auto"/>
              <w:contextualSpacing/>
              <w:rPr>
                <w:snapToGrid w:val="0"/>
              </w:rPr>
            </w:pPr>
            <w:r w:rsidRPr="002E031A">
              <w:rPr>
                <w:snapToGrid w:val="0"/>
              </w:rPr>
              <w:t xml:space="preserve">spotted </w:t>
            </w:r>
            <w:r>
              <w:rPr>
                <w:snapToGrid w:val="0"/>
              </w:rPr>
              <w:t>m</w:t>
            </w:r>
            <w:r w:rsidRPr="002E031A">
              <w:rPr>
                <w:snapToGrid w:val="0"/>
              </w:rPr>
              <w:t>ackerel</w:t>
            </w:r>
            <w:r>
              <w:rPr>
                <w:snapToGrid w:val="0"/>
              </w:rPr>
              <w:t xml:space="preserve"> </w:t>
            </w:r>
            <w:r w:rsidRPr="002E031A">
              <w:rPr>
                <w:snapToGrid w:val="0"/>
              </w:rPr>
              <w:t>(</w:t>
            </w:r>
            <w:r w:rsidRPr="002E031A">
              <w:rPr>
                <w:i/>
                <w:snapToGrid w:val="0"/>
              </w:rPr>
              <w:t>S</w:t>
            </w:r>
            <w:r>
              <w:rPr>
                <w:i/>
                <w:snapToGrid w:val="0"/>
              </w:rPr>
              <w:t>.</w:t>
            </w:r>
            <w:r w:rsidRPr="002E031A">
              <w:rPr>
                <w:i/>
                <w:snapToGrid w:val="0"/>
              </w:rPr>
              <w:t xml:space="preserve"> munroi</w:t>
            </w:r>
            <w:r w:rsidRPr="002E031A">
              <w:rPr>
                <w:snapToGrid w:val="0"/>
              </w:rPr>
              <w:t>)</w:t>
            </w:r>
          </w:p>
          <w:p w14:paraId="2F5C39B2" w14:textId="77777777" w:rsidR="00F72136" w:rsidRPr="002E031A" w:rsidRDefault="00F72136" w:rsidP="00A41525">
            <w:pPr>
              <w:pStyle w:val="ListParagraph"/>
              <w:numPr>
                <w:ilvl w:val="0"/>
                <w:numId w:val="36"/>
              </w:numPr>
              <w:spacing w:after="0" w:line="240" w:lineRule="auto"/>
              <w:contextualSpacing/>
              <w:rPr>
                <w:snapToGrid w:val="0"/>
              </w:rPr>
            </w:pPr>
            <w:r w:rsidRPr="002E031A">
              <w:rPr>
                <w:snapToGrid w:val="0"/>
              </w:rPr>
              <w:t>tailor</w:t>
            </w:r>
            <w:r>
              <w:rPr>
                <w:snapToGrid w:val="0"/>
              </w:rPr>
              <w:t xml:space="preserve"> </w:t>
            </w:r>
            <w:r w:rsidRPr="002E031A">
              <w:rPr>
                <w:snapToGrid w:val="0"/>
              </w:rPr>
              <w:t>(</w:t>
            </w:r>
            <w:r w:rsidRPr="002E031A">
              <w:rPr>
                <w:i/>
                <w:snapToGrid w:val="0"/>
              </w:rPr>
              <w:t>Pomatomus saltatrix</w:t>
            </w:r>
            <w:r w:rsidRPr="002E031A">
              <w:rPr>
                <w:snapToGrid w:val="0"/>
              </w:rPr>
              <w:t>)</w:t>
            </w:r>
          </w:p>
          <w:p w14:paraId="2F5C39B3" w14:textId="77777777" w:rsidR="00F72136" w:rsidRPr="002E031A" w:rsidRDefault="00F72136" w:rsidP="00A41525">
            <w:pPr>
              <w:pStyle w:val="ListParagraph"/>
              <w:numPr>
                <w:ilvl w:val="0"/>
                <w:numId w:val="36"/>
              </w:numPr>
              <w:spacing w:line="240" w:lineRule="auto"/>
              <w:contextualSpacing/>
              <w:rPr>
                <w:snapToGrid w:val="0"/>
              </w:rPr>
            </w:pPr>
            <w:r w:rsidRPr="002E031A">
              <w:rPr>
                <w:snapToGrid w:val="0"/>
              </w:rPr>
              <w:t>yellowfin</w:t>
            </w:r>
            <w:r>
              <w:rPr>
                <w:snapToGrid w:val="0"/>
              </w:rPr>
              <w:t xml:space="preserve"> bream</w:t>
            </w:r>
            <w:r w:rsidRPr="002E031A">
              <w:rPr>
                <w:snapToGrid w:val="0"/>
              </w:rPr>
              <w:t xml:space="preserve"> (</w:t>
            </w:r>
            <w:r w:rsidRPr="002E031A">
              <w:rPr>
                <w:i/>
                <w:snapToGrid w:val="0"/>
              </w:rPr>
              <w:t>Acanthopagrus australis</w:t>
            </w:r>
            <w:r w:rsidRPr="002E031A">
              <w:rPr>
                <w:snapToGrid w:val="0"/>
              </w:rPr>
              <w:t>)</w:t>
            </w:r>
          </w:p>
          <w:p w14:paraId="2F5C39B4" w14:textId="77777777" w:rsidR="00F70F13" w:rsidRDefault="00F70F13" w:rsidP="00E45B03">
            <w:pPr>
              <w:spacing w:line="240" w:lineRule="auto"/>
              <w:rPr>
                <w:snapToGrid w:val="0"/>
              </w:rPr>
            </w:pPr>
            <w:r>
              <w:rPr>
                <w:snapToGrid w:val="0"/>
              </w:rPr>
              <w:t>Harvest of these species typically comprises around two thirds of the total retained catch in the fishery.</w:t>
            </w:r>
          </w:p>
          <w:p w14:paraId="2F5C39B5" w14:textId="77777777" w:rsidR="009D788F" w:rsidRDefault="009D788F" w:rsidP="00E45B03">
            <w:pPr>
              <w:spacing w:after="0" w:line="240" w:lineRule="auto"/>
              <w:rPr>
                <w:snapToGrid w:val="0"/>
              </w:rPr>
            </w:pPr>
            <w:r>
              <w:rPr>
                <w:snapToGrid w:val="0"/>
              </w:rPr>
              <w:t xml:space="preserve">A stock assessment of whaler and hammerhead sharks (Carcharhinidae and Sphyrnidae) in Queensland was released in May 2016. The stock assessment concluded that take of </w:t>
            </w:r>
            <w:r w:rsidR="00863330">
              <w:rPr>
                <w:snapToGrid w:val="0"/>
              </w:rPr>
              <w:t>these species</w:t>
            </w:r>
            <w:r>
              <w:rPr>
                <w:snapToGrid w:val="0"/>
              </w:rPr>
              <w:t xml:space="preserve"> in the fishery was within sustainable limits. However, a review by an independent shark expert concluded </w:t>
            </w:r>
            <w:r w:rsidR="00863330">
              <w:rPr>
                <w:snapToGrid w:val="0"/>
              </w:rPr>
              <w:t>there i</w:t>
            </w:r>
            <w:r>
              <w:rPr>
                <w:snapToGrid w:val="0"/>
              </w:rPr>
              <w:t xml:space="preserve">s insufficient data to </w:t>
            </w:r>
            <w:r w:rsidR="00863330">
              <w:rPr>
                <w:snapToGrid w:val="0"/>
              </w:rPr>
              <w:t>determine</w:t>
            </w:r>
            <w:r>
              <w:rPr>
                <w:snapToGrid w:val="0"/>
              </w:rPr>
              <w:t xml:space="preserve"> </w:t>
            </w:r>
            <w:r w:rsidR="00326600">
              <w:rPr>
                <w:snapToGrid w:val="0"/>
              </w:rPr>
              <w:t>a sustainable limit. These species are therefore included below as undefined or not assessed.</w:t>
            </w:r>
          </w:p>
          <w:p w14:paraId="2F5C39B9" w14:textId="77777777" w:rsidR="008B1DE2" w:rsidRDefault="008B1DE2" w:rsidP="001F1716">
            <w:pPr>
              <w:spacing w:after="120" w:line="240" w:lineRule="auto"/>
              <w:rPr>
                <w:snapToGrid w:val="0"/>
              </w:rPr>
            </w:pPr>
          </w:p>
          <w:p w14:paraId="2F5C39BA" w14:textId="77777777" w:rsidR="00062D2B" w:rsidRPr="00004F56" w:rsidRDefault="008B1DE2" w:rsidP="001F1716">
            <w:pPr>
              <w:spacing w:after="120" w:line="240" w:lineRule="auto"/>
              <w:rPr>
                <w:snapToGrid w:val="0"/>
              </w:rPr>
            </w:pPr>
            <w:r>
              <w:rPr>
                <w:b/>
                <w:snapToGrid w:val="0"/>
              </w:rPr>
              <w:t xml:space="preserve">Stocks assessed to be </w:t>
            </w:r>
            <w:r w:rsidRPr="008B1DE2">
              <w:rPr>
                <w:b/>
                <w:snapToGrid w:val="0"/>
                <w:u w:val="single"/>
              </w:rPr>
              <w:t>u</w:t>
            </w:r>
            <w:r w:rsidR="009D788F" w:rsidRPr="008B1DE2">
              <w:rPr>
                <w:b/>
                <w:snapToGrid w:val="0"/>
                <w:u w:val="single"/>
              </w:rPr>
              <w:t>ndefined</w:t>
            </w:r>
            <w:r w:rsidR="00062D2B">
              <w:rPr>
                <w:b/>
                <w:snapToGrid w:val="0"/>
              </w:rPr>
              <w:t xml:space="preserve"> </w:t>
            </w:r>
          </w:p>
          <w:p w14:paraId="2F5C39BB" w14:textId="77777777" w:rsidR="00F72136" w:rsidRDefault="00F72136" w:rsidP="00A41525">
            <w:pPr>
              <w:pStyle w:val="ListParagraph"/>
              <w:numPr>
                <w:ilvl w:val="0"/>
                <w:numId w:val="36"/>
              </w:numPr>
              <w:spacing w:after="0" w:line="240" w:lineRule="auto"/>
              <w:contextualSpacing/>
              <w:rPr>
                <w:i/>
                <w:snapToGrid w:val="0"/>
              </w:rPr>
            </w:pPr>
            <w:r>
              <w:rPr>
                <w:snapToGrid w:val="0"/>
              </w:rPr>
              <w:t>cobia (</w:t>
            </w:r>
            <w:r w:rsidRPr="00C64F71">
              <w:rPr>
                <w:i/>
                <w:snapToGrid w:val="0"/>
              </w:rPr>
              <w:t>Rachycentron canadum</w:t>
            </w:r>
            <w:r>
              <w:rPr>
                <w:i/>
                <w:snapToGrid w:val="0"/>
              </w:rPr>
              <w:t>)</w:t>
            </w:r>
          </w:p>
          <w:p w14:paraId="2F5C39BC" w14:textId="77777777" w:rsidR="00F72136" w:rsidRDefault="00F72136" w:rsidP="00A41525">
            <w:pPr>
              <w:pStyle w:val="ListParagraph"/>
              <w:numPr>
                <w:ilvl w:val="0"/>
                <w:numId w:val="36"/>
              </w:numPr>
              <w:spacing w:after="0" w:line="240" w:lineRule="auto"/>
              <w:contextualSpacing/>
              <w:rPr>
                <w:i/>
                <w:snapToGrid w:val="0"/>
              </w:rPr>
            </w:pPr>
            <w:r>
              <w:rPr>
                <w:snapToGrid w:val="0"/>
              </w:rPr>
              <w:t xml:space="preserve">golden snapper </w:t>
            </w:r>
            <w:r w:rsidRPr="00C64F71">
              <w:rPr>
                <w:i/>
                <w:snapToGrid w:val="0"/>
              </w:rPr>
              <w:t>(Lutjanus johnii)</w:t>
            </w:r>
          </w:p>
          <w:p w14:paraId="2F5C39BD" w14:textId="77777777" w:rsidR="00F72136" w:rsidRPr="00043573" w:rsidRDefault="00F72136" w:rsidP="00A41525">
            <w:pPr>
              <w:pStyle w:val="ListParagraph"/>
              <w:numPr>
                <w:ilvl w:val="0"/>
                <w:numId w:val="36"/>
              </w:numPr>
              <w:spacing w:after="0" w:line="240" w:lineRule="auto"/>
              <w:contextualSpacing/>
              <w:rPr>
                <w:snapToGrid w:val="0"/>
              </w:rPr>
            </w:pPr>
            <w:r>
              <w:rPr>
                <w:snapToGrid w:val="0"/>
              </w:rPr>
              <w:t>j</w:t>
            </w:r>
            <w:r w:rsidRPr="00075757">
              <w:rPr>
                <w:snapToGrid w:val="0"/>
              </w:rPr>
              <w:t>avelin</w:t>
            </w:r>
            <w:r>
              <w:rPr>
                <w:snapToGrid w:val="0"/>
              </w:rPr>
              <w:t xml:space="preserve"> (</w:t>
            </w:r>
            <w:r w:rsidRPr="00E869E2">
              <w:rPr>
                <w:i/>
                <w:snapToGrid w:val="0"/>
              </w:rPr>
              <w:t xml:space="preserve">Pomadasys </w:t>
            </w:r>
            <w:r w:rsidRPr="00C64F71">
              <w:rPr>
                <w:snapToGrid w:val="0"/>
              </w:rPr>
              <w:t>spp</w:t>
            </w:r>
            <w:r>
              <w:rPr>
                <w:snapToGrid w:val="0"/>
              </w:rPr>
              <w:t>.)</w:t>
            </w:r>
          </w:p>
          <w:p w14:paraId="2F5C39BE" w14:textId="77777777" w:rsidR="00F72136" w:rsidRPr="00A41525" w:rsidRDefault="00F72136" w:rsidP="00A41525">
            <w:pPr>
              <w:pStyle w:val="ListParagraph"/>
              <w:numPr>
                <w:ilvl w:val="0"/>
                <w:numId w:val="36"/>
              </w:numPr>
              <w:spacing w:after="0" w:line="240" w:lineRule="auto"/>
              <w:contextualSpacing/>
              <w:rPr>
                <w:rStyle w:val="st1"/>
                <w:snapToGrid w:val="0"/>
              </w:rPr>
            </w:pPr>
            <w:r>
              <w:rPr>
                <w:snapToGrid w:val="0"/>
              </w:rPr>
              <w:t>king threadfin (</w:t>
            </w:r>
            <w:r w:rsidRPr="00C64F71">
              <w:rPr>
                <w:i/>
                <w:snapToGrid w:val="0"/>
              </w:rPr>
              <w:t>Polydactylus macrochir</w:t>
            </w:r>
            <w:r>
              <w:rPr>
                <w:rStyle w:val="st1"/>
                <w:rFonts w:cs="Arial"/>
                <w:color w:val="545454"/>
              </w:rPr>
              <w:t>)</w:t>
            </w:r>
          </w:p>
          <w:p w14:paraId="060403D1" w14:textId="77777777" w:rsidR="00A41525" w:rsidRPr="00DA334C" w:rsidRDefault="00A41525" w:rsidP="00A41525">
            <w:pPr>
              <w:numPr>
                <w:ilvl w:val="0"/>
                <w:numId w:val="36"/>
              </w:numPr>
              <w:spacing w:after="0" w:line="240" w:lineRule="auto"/>
              <w:rPr>
                <w:snapToGrid w:val="0"/>
              </w:rPr>
            </w:pPr>
            <w:r>
              <w:rPr>
                <w:snapToGrid w:val="0"/>
              </w:rPr>
              <w:t xml:space="preserve">dart complex </w:t>
            </w:r>
            <w:r w:rsidRPr="002B26A7">
              <w:t>(</w:t>
            </w:r>
            <w:r w:rsidRPr="002B26A7">
              <w:rPr>
                <w:i/>
              </w:rPr>
              <w:t xml:space="preserve">Trachinotus </w:t>
            </w:r>
            <w:r w:rsidRPr="00DA334C">
              <w:t>spp.)</w:t>
            </w:r>
          </w:p>
          <w:p w14:paraId="211B7839" w14:textId="77777777" w:rsidR="00A41525" w:rsidRDefault="00A41525" w:rsidP="00A41525">
            <w:pPr>
              <w:pStyle w:val="ListParagraph"/>
              <w:numPr>
                <w:ilvl w:val="0"/>
                <w:numId w:val="36"/>
              </w:numPr>
              <w:spacing w:after="0" w:line="240" w:lineRule="auto"/>
              <w:contextualSpacing/>
              <w:rPr>
                <w:snapToGrid w:val="0"/>
              </w:rPr>
            </w:pPr>
            <w:r>
              <w:rPr>
                <w:snapToGrid w:val="0"/>
              </w:rPr>
              <w:t xml:space="preserve">garfish complex </w:t>
            </w:r>
            <w:r w:rsidRPr="00DA334C">
              <w:rPr>
                <w:snapToGrid w:val="0"/>
              </w:rPr>
              <w:t>(</w:t>
            </w:r>
            <w:r w:rsidRPr="00DA334C">
              <w:rPr>
                <w:i/>
                <w:snapToGrid w:val="0"/>
              </w:rPr>
              <w:t>Hemiramphidae</w:t>
            </w:r>
            <w:r w:rsidRPr="00DA334C">
              <w:rPr>
                <w:snapToGrid w:val="0"/>
              </w:rPr>
              <w:t>)</w:t>
            </w:r>
          </w:p>
          <w:p w14:paraId="2F5C39BF" w14:textId="35DFE3AC" w:rsidR="00F72136" w:rsidRDefault="00F72136" w:rsidP="00A41525">
            <w:pPr>
              <w:pStyle w:val="ListParagraph"/>
              <w:numPr>
                <w:ilvl w:val="0"/>
                <w:numId w:val="36"/>
              </w:numPr>
              <w:spacing w:after="0" w:line="240" w:lineRule="auto"/>
              <w:contextualSpacing/>
              <w:rPr>
                <w:snapToGrid w:val="0"/>
              </w:rPr>
            </w:pPr>
            <w:r>
              <w:rPr>
                <w:snapToGrid w:val="0"/>
              </w:rPr>
              <w:t>Australian blacktip shark (</w:t>
            </w:r>
            <w:r w:rsidRPr="00E45B03">
              <w:rPr>
                <w:i/>
                <w:snapToGrid w:val="0"/>
              </w:rPr>
              <w:t>C. tilstoni</w:t>
            </w:r>
            <w:r>
              <w:rPr>
                <w:snapToGrid w:val="0"/>
              </w:rPr>
              <w:t>)</w:t>
            </w:r>
          </w:p>
          <w:p w14:paraId="2F5C39C0" w14:textId="77777777" w:rsidR="00F72136" w:rsidRDefault="00F72136" w:rsidP="00A41525">
            <w:pPr>
              <w:pStyle w:val="ListParagraph"/>
              <w:numPr>
                <w:ilvl w:val="0"/>
                <w:numId w:val="36"/>
              </w:numPr>
              <w:spacing w:after="0" w:line="240" w:lineRule="auto"/>
              <w:contextualSpacing/>
              <w:rPr>
                <w:snapToGrid w:val="0"/>
              </w:rPr>
            </w:pPr>
            <w:r>
              <w:rPr>
                <w:snapToGrid w:val="0"/>
              </w:rPr>
              <w:t>blacktip whaler shark (</w:t>
            </w:r>
            <w:r w:rsidRPr="00E45B03">
              <w:rPr>
                <w:i/>
                <w:snapToGrid w:val="0"/>
              </w:rPr>
              <w:t>C. limbatus</w:t>
            </w:r>
            <w:r>
              <w:rPr>
                <w:snapToGrid w:val="0"/>
              </w:rPr>
              <w:t>)</w:t>
            </w:r>
          </w:p>
          <w:p w14:paraId="2F5C39C1" w14:textId="77777777" w:rsidR="00F72136" w:rsidRDefault="00F72136" w:rsidP="00A41525">
            <w:pPr>
              <w:pStyle w:val="ListParagraph"/>
              <w:numPr>
                <w:ilvl w:val="0"/>
                <w:numId w:val="36"/>
              </w:numPr>
              <w:spacing w:after="0" w:line="240" w:lineRule="auto"/>
              <w:contextualSpacing/>
              <w:rPr>
                <w:snapToGrid w:val="0"/>
              </w:rPr>
            </w:pPr>
            <w:r>
              <w:rPr>
                <w:snapToGrid w:val="0"/>
              </w:rPr>
              <w:t>graceful shark (</w:t>
            </w:r>
            <w:r w:rsidRPr="00E45B03">
              <w:rPr>
                <w:i/>
                <w:snapToGrid w:val="0"/>
              </w:rPr>
              <w:t>C. amblyrhynchoides</w:t>
            </w:r>
            <w:r>
              <w:rPr>
                <w:snapToGrid w:val="0"/>
              </w:rPr>
              <w:t>)</w:t>
            </w:r>
          </w:p>
          <w:p w14:paraId="2F5C39C2" w14:textId="77777777" w:rsidR="00F72136" w:rsidRDefault="00F72136" w:rsidP="00A41525">
            <w:pPr>
              <w:pStyle w:val="ListParagraph"/>
              <w:numPr>
                <w:ilvl w:val="0"/>
                <w:numId w:val="36"/>
              </w:numPr>
              <w:spacing w:after="0" w:line="240" w:lineRule="auto"/>
              <w:contextualSpacing/>
              <w:rPr>
                <w:snapToGrid w:val="0"/>
              </w:rPr>
            </w:pPr>
            <w:r>
              <w:rPr>
                <w:snapToGrid w:val="0"/>
              </w:rPr>
              <w:t>sandbar shark (</w:t>
            </w:r>
            <w:r w:rsidRPr="00E45B03">
              <w:rPr>
                <w:i/>
                <w:snapToGrid w:val="0"/>
              </w:rPr>
              <w:t>C. plumbeus</w:t>
            </w:r>
            <w:r>
              <w:rPr>
                <w:snapToGrid w:val="0"/>
              </w:rPr>
              <w:t>)</w:t>
            </w:r>
          </w:p>
          <w:p w14:paraId="2F5C39C3" w14:textId="77777777" w:rsidR="005F511A" w:rsidRDefault="005F511A" w:rsidP="001F1716">
            <w:pPr>
              <w:spacing w:after="0" w:line="240" w:lineRule="auto"/>
              <w:ind w:left="714"/>
              <w:contextualSpacing/>
              <w:rPr>
                <w:snapToGrid w:val="0"/>
              </w:rPr>
            </w:pPr>
          </w:p>
          <w:p w14:paraId="2F5C39C4" w14:textId="77777777" w:rsidR="00E554BF" w:rsidRDefault="00062D2B" w:rsidP="001F1716">
            <w:pPr>
              <w:spacing w:after="120" w:line="240" w:lineRule="auto"/>
              <w:rPr>
                <w:b/>
                <w:snapToGrid w:val="0"/>
              </w:rPr>
            </w:pPr>
            <w:r>
              <w:rPr>
                <w:b/>
                <w:snapToGrid w:val="0"/>
              </w:rPr>
              <w:lastRenderedPageBreak/>
              <w:t>Species examined bu</w:t>
            </w:r>
            <w:r w:rsidR="00582865">
              <w:rPr>
                <w:b/>
                <w:snapToGrid w:val="0"/>
              </w:rPr>
              <w:t>t not considered further in 2014</w:t>
            </w:r>
            <w:r w:rsidR="00E554BF">
              <w:rPr>
                <w:b/>
                <w:snapToGrid w:val="0"/>
              </w:rPr>
              <w:t xml:space="preserve"> </w:t>
            </w:r>
          </w:p>
          <w:p w14:paraId="2F5C39C5" w14:textId="77777777" w:rsidR="00F72136" w:rsidRDefault="00F72136" w:rsidP="00A41525">
            <w:pPr>
              <w:numPr>
                <w:ilvl w:val="0"/>
                <w:numId w:val="36"/>
              </w:numPr>
              <w:spacing w:after="0" w:line="240" w:lineRule="auto"/>
              <w:rPr>
                <w:snapToGrid w:val="0"/>
              </w:rPr>
            </w:pPr>
            <w:r>
              <w:rPr>
                <w:snapToGrid w:val="0"/>
              </w:rPr>
              <w:t xml:space="preserve">bream </w:t>
            </w:r>
            <w:r w:rsidRPr="00DA334C">
              <w:t>complex</w:t>
            </w:r>
            <w:r>
              <w:t>,</w:t>
            </w:r>
            <w:r>
              <w:rPr>
                <w:snapToGrid w:val="0"/>
              </w:rPr>
              <w:t xml:space="preserve"> other than yellowfin bream</w:t>
            </w:r>
          </w:p>
          <w:p w14:paraId="2F5C39C7" w14:textId="77777777" w:rsidR="00F72136" w:rsidRDefault="00F72136" w:rsidP="00A41525">
            <w:pPr>
              <w:numPr>
                <w:ilvl w:val="0"/>
                <w:numId w:val="36"/>
              </w:numPr>
              <w:spacing w:after="0" w:line="240" w:lineRule="auto"/>
              <w:rPr>
                <w:snapToGrid w:val="0"/>
              </w:rPr>
            </w:pPr>
            <w:r>
              <w:rPr>
                <w:snapToGrid w:val="0"/>
              </w:rPr>
              <w:t>flathead complex, other than dusky flathead</w:t>
            </w:r>
          </w:p>
          <w:p w14:paraId="2F5C39C9" w14:textId="77777777" w:rsidR="00062D2B" w:rsidRPr="00326600" w:rsidRDefault="00F72136" w:rsidP="00A41525">
            <w:pPr>
              <w:numPr>
                <w:ilvl w:val="0"/>
                <w:numId w:val="36"/>
              </w:numPr>
              <w:spacing w:after="240" w:line="240" w:lineRule="auto"/>
              <w:rPr>
                <w:snapToGrid w:val="0"/>
              </w:rPr>
            </w:pPr>
            <w:r>
              <w:t>w</w:t>
            </w:r>
            <w:r w:rsidRPr="002B26A7">
              <w:t>hiting</w:t>
            </w:r>
            <w:r>
              <w:t xml:space="preserve"> complex </w:t>
            </w:r>
            <w:r w:rsidRPr="002B26A7">
              <w:t>(</w:t>
            </w:r>
            <w:r w:rsidRPr="00AD2408">
              <w:rPr>
                <w:i/>
              </w:rPr>
              <w:t xml:space="preserve">Sillago </w:t>
            </w:r>
            <w:r w:rsidRPr="00DA334C">
              <w:t>spp.</w:t>
            </w:r>
            <w:r>
              <w:t>,</w:t>
            </w:r>
            <w:r w:rsidRPr="002B26A7">
              <w:t xml:space="preserve"> other than </w:t>
            </w:r>
            <w:r w:rsidRPr="00AD2408">
              <w:rPr>
                <w:i/>
              </w:rPr>
              <w:t xml:space="preserve">S. robusta </w:t>
            </w:r>
            <w:r w:rsidRPr="002B26A7">
              <w:t xml:space="preserve">and </w:t>
            </w:r>
            <w:r w:rsidRPr="00AD2408">
              <w:rPr>
                <w:i/>
              </w:rPr>
              <w:t xml:space="preserve">S. </w:t>
            </w:r>
            <w:r>
              <w:rPr>
                <w:i/>
              </w:rPr>
              <w:t>ciliata)</w:t>
            </w:r>
          </w:p>
          <w:p w14:paraId="2F5C39CA" w14:textId="77777777" w:rsidR="006B5FCA" w:rsidRDefault="00326600" w:rsidP="006B5FCA">
            <w:pPr>
              <w:spacing w:after="0" w:line="240" w:lineRule="auto"/>
              <w:contextualSpacing/>
              <w:rPr>
                <w:snapToGrid w:val="0"/>
              </w:rPr>
            </w:pPr>
            <w:r>
              <w:rPr>
                <w:snapToGrid w:val="0"/>
              </w:rPr>
              <w:t>Catch levels of these species/species groups</w:t>
            </w:r>
            <w:r w:rsidRPr="009E5687">
              <w:rPr>
                <w:snapToGrid w:val="0"/>
              </w:rPr>
              <w:t xml:space="preserve"> </w:t>
            </w:r>
            <w:r w:rsidR="00D82CC0">
              <w:rPr>
                <w:snapToGrid w:val="0"/>
              </w:rPr>
              <w:t>are</w:t>
            </w:r>
            <w:r w:rsidRPr="009E5687">
              <w:rPr>
                <w:snapToGrid w:val="0"/>
              </w:rPr>
              <w:t xml:space="preserve"> monitored </w:t>
            </w:r>
            <w:r>
              <w:rPr>
                <w:snapToGrid w:val="0"/>
              </w:rPr>
              <w:t>annually.</w:t>
            </w:r>
            <w:r w:rsidRPr="009E5687">
              <w:rPr>
                <w:snapToGrid w:val="0"/>
              </w:rPr>
              <w:t xml:space="preserve"> </w:t>
            </w:r>
            <w:r>
              <w:rPr>
                <w:snapToGrid w:val="0"/>
              </w:rPr>
              <w:t>Should</w:t>
            </w:r>
            <w:r w:rsidRPr="009E5687">
              <w:rPr>
                <w:snapToGrid w:val="0"/>
              </w:rPr>
              <w:t xml:space="preserve"> </w:t>
            </w:r>
            <w:r>
              <w:rPr>
                <w:snapToGrid w:val="0"/>
              </w:rPr>
              <w:t xml:space="preserve">commercial </w:t>
            </w:r>
            <w:r w:rsidRPr="009E5687">
              <w:rPr>
                <w:snapToGrid w:val="0"/>
              </w:rPr>
              <w:t xml:space="preserve">catches increase above </w:t>
            </w:r>
            <w:r>
              <w:rPr>
                <w:snapToGrid w:val="0"/>
              </w:rPr>
              <w:t>prescribed</w:t>
            </w:r>
            <w:r w:rsidRPr="009E5687">
              <w:rPr>
                <w:snapToGrid w:val="0"/>
              </w:rPr>
              <w:t xml:space="preserve"> levels</w:t>
            </w:r>
            <w:r>
              <w:rPr>
                <w:snapToGrid w:val="0"/>
              </w:rPr>
              <w:t xml:space="preserve">, species can be </w:t>
            </w:r>
            <w:r w:rsidR="00863330">
              <w:rPr>
                <w:snapToGrid w:val="0"/>
              </w:rPr>
              <w:t>included in</w:t>
            </w:r>
            <w:r w:rsidRPr="009E5687">
              <w:rPr>
                <w:snapToGrid w:val="0"/>
              </w:rPr>
              <w:t xml:space="preserve"> the </w:t>
            </w:r>
            <w:r w:rsidR="00863330">
              <w:rPr>
                <w:snapToGrid w:val="0"/>
              </w:rPr>
              <w:t>full</w:t>
            </w:r>
            <w:r>
              <w:rPr>
                <w:snapToGrid w:val="0"/>
              </w:rPr>
              <w:t xml:space="preserve"> stock status assessment </w:t>
            </w:r>
            <w:r w:rsidRPr="009E5687">
              <w:rPr>
                <w:snapToGrid w:val="0"/>
              </w:rPr>
              <w:t>process</w:t>
            </w:r>
            <w:r>
              <w:rPr>
                <w:snapToGrid w:val="0"/>
              </w:rPr>
              <w:t>.</w:t>
            </w:r>
            <w:r w:rsidR="006B5FCA">
              <w:rPr>
                <w:snapToGrid w:val="0"/>
              </w:rPr>
              <w:t xml:space="preserve"> </w:t>
            </w:r>
          </w:p>
          <w:p w14:paraId="2F5C39CB" w14:textId="77777777" w:rsidR="006B5FCA" w:rsidRDefault="006B5FCA" w:rsidP="006B5FCA">
            <w:pPr>
              <w:spacing w:after="0" w:line="240" w:lineRule="auto"/>
              <w:contextualSpacing/>
              <w:rPr>
                <w:snapToGrid w:val="0"/>
              </w:rPr>
            </w:pPr>
          </w:p>
          <w:p w14:paraId="2F5C39CC" w14:textId="77777777" w:rsidR="00326600" w:rsidRDefault="006B5FCA" w:rsidP="00A936C4">
            <w:pPr>
              <w:spacing w:line="240" w:lineRule="auto"/>
              <w:contextualSpacing/>
              <w:rPr>
                <w:snapToGrid w:val="0"/>
              </w:rPr>
            </w:pPr>
            <w:r>
              <w:rPr>
                <w:snapToGrid w:val="0"/>
              </w:rPr>
              <w:t xml:space="preserve">A further 22 species and species complexes have not been assessed. </w:t>
            </w:r>
          </w:p>
          <w:p w14:paraId="2F5C39CD" w14:textId="77777777" w:rsidR="00A936C4" w:rsidRPr="00326600" w:rsidRDefault="00A936C4" w:rsidP="00A936C4">
            <w:pPr>
              <w:spacing w:line="240" w:lineRule="auto"/>
              <w:contextualSpacing/>
              <w:rPr>
                <w:snapToGrid w:val="0"/>
              </w:rPr>
            </w:pPr>
          </w:p>
        </w:tc>
      </w:tr>
      <w:tr w:rsidR="00062D2B" w:rsidRPr="009B3A55" w14:paraId="2F5C39E5"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9CF" w14:textId="77777777" w:rsidR="00062D2B" w:rsidRPr="009B3A55" w:rsidRDefault="00CB0801" w:rsidP="001955CD">
            <w:pPr>
              <w:rPr>
                <w:rFonts w:cs="Arial"/>
                <w:snapToGrid w:val="0"/>
              </w:rPr>
            </w:pPr>
            <w:r>
              <w:rPr>
                <w:rFonts w:cs="Arial"/>
                <w:b/>
                <w:snapToGrid w:val="0"/>
              </w:rPr>
              <w:lastRenderedPageBreak/>
              <w:t>Byproduct</w:t>
            </w:r>
            <w:r w:rsidR="008473F8">
              <w:rPr>
                <w:rFonts w:cs="Arial"/>
                <w:b/>
                <w:snapToGrid w:val="0"/>
              </w:rPr>
              <w:t>/secondary</w:t>
            </w:r>
            <w:r>
              <w:rPr>
                <w:rFonts w:cs="Arial"/>
                <w:b/>
                <w:snapToGrid w:val="0"/>
              </w:rPr>
              <w:t xml:space="preserve"> s</w:t>
            </w:r>
            <w:r w:rsidR="00062D2B" w:rsidRPr="009B3A55">
              <w:rPr>
                <w:rFonts w:cs="Arial"/>
                <w:b/>
                <w:snapToGrid w:val="0"/>
              </w:rPr>
              <w:t>pecies</w:t>
            </w:r>
          </w:p>
        </w:tc>
        <w:tc>
          <w:tcPr>
            <w:tcW w:w="7444" w:type="dxa"/>
            <w:tcBorders>
              <w:top w:val="single" w:sz="4" w:space="0" w:color="auto"/>
              <w:left w:val="single" w:sz="4" w:space="0" w:color="auto"/>
              <w:bottom w:val="single" w:sz="4" w:space="0" w:color="auto"/>
              <w:right w:val="single" w:sz="4" w:space="0" w:color="auto"/>
            </w:tcBorders>
          </w:tcPr>
          <w:p w14:paraId="2F5C39D0" w14:textId="77777777" w:rsidR="00062D2B" w:rsidRPr="00FB2004" w:rsidRDefault="006B5FCA" w:rsidP="001F1716">
            <w:pPr>
              <w:spacing w:line="240" w:lineRule="auto"/>
              <w:rPr>
                <w:snapToGrid w:val="0"/>
              </w:rPr>
            </w:pPr>
            <w:r>
              <w:rPr>
                <w:snapToGrid w:val="0"/>
              </w:rPr>
              <w:t>A</w:t>
            </w:r>
            <w:r w:rsidR="00863330">
              <w:rPr>
                <w:snapToGrid w:val="0"/>
              </w:rPr>
              <w:t xml:space="preserve"> large number of</w:t>
            </w:r>
            <w:r w:rsidR="00062D2B" w:rsidRPr="00FB2004">
              <w:rPr>
                <w:snapToGrid w:val="0"/>
              </w:rPr>
              <w:t xml:space="preserve"> </w:t>
            </w:r>
            <w:r w:rsidR="00062D2B">
              <w:rPr>
                <w:snapToGrid w:val="0"/>
              </w:rPr>
              <w:t>secondary</w:t>
            </w:r>
            <w:r w:rsidR="00C5700C">
              <w:rPr>
                <w:snapToGrid w:val="0"/>
              </w:rPr>
              <w:t>/</w:t>
            </w:r>
            <w:r w:rsidR="00062D2B">
              <w:rPr>
                <w:snapToGrid w:val="0"/>
              </w:rPr>
              <w:t xml:space="preserve">byproduct </w:t>
            </w:r>
            <w:r w:rsidR="00062D2B" w:rsidRPr="00FB2004">
              <w:rPr>
                <w:snapToGrid w:val="0"/>
              </w:rPr>
              <w:t xml:space="preserve">species </w:t>
            </w:r>
            <w:r>
              <w:rPr>
                <w:snapToGrid w:val="0"/>
              </w:rPr>
              <w:t xml:space="preserve">are </w:t>
            </w:r>
            <w:r w:rsidR="00062D2B" w:rsidRPr="00FB2004">
              <w:rPr>
                <w:snapToGrid w:val="0"/>
              </w:rPr>
              <w:t>taken in the fishery</w:t>
            </w:r>
            <w:r w:rsidR="008473F8">
              <w:rPr>
                <w:snapToGrid w:val="0"/>
              </w:rPr>
              <w:t>.</w:t>
            </w:r>
            <w:r w:rsidR="00CB0801">
              <w:rPr>
                <w:snapToGrid w:val="0"/>
              </w:rPr>
              <w:t xml:space="preserve"> </w:t>
            </w:r>
            <w:r w:rsidR="008473F8">
              <w:rPr>
                <w:snapToGrid w:val="0"/>
              </w:rPr>
              <w:t>T</w:t>
            </w:r>
            <w:r w:rsidR="00CB0801">
              <w:rPr>
                <w:snapToGrid w:val="0"/>
              </w:rPr>
              <w:t xml:space="preserve">he stock status </w:t>
            </w:r>
            <w:r w:rsidR="008473F8">
              <w:rPr>
                <w:snapToGrid w:val="0"/>
              </w:rPr>
              <w:t xml:space="preserve">for many of these species </w:t>
            </w:r>
            <w:r w:rsidR="00CB0801">
              <w:rPr>
                <w:snapToGrid w:val="0"/>
              </w:rPr>
              <w:t>is currently</w:t>
            </w:r>
            <w:r w:rsidR="00560F94">
              <w:rPr>
                <w:snapToGrid w:val="0"/>
              </w:rPr>
              <w:t xml:space="preserve"> classified as ‘</w:t>
            </w:r>
            <w:r w:rsidR="00560F94" w:rsidRPr="008473F8">
              <w:rPr>
                <w:snapToGrid w:val="0"/>
              </w:rPr>
              <w:t>undefined</w:t>
            </w:r>
            <w:r w:rsidR="00560F94">
              <w:rPr>
                <w:snapToGrid w:val="0"/>
              </w:rPr>
              <w:t>’</w:t>
            </w:r>
            <w:r w:rsidR="00062D2B">
              <w:rPr>
                <w:snapToGrid w:val="0"/>
              </w:rPr>
              <w:t>. These species include</w:t>
            </w:r>
            <w:r w:rsidR="00062D2B" w:rsidRPr="00FB2004">
              <w:rPr>
                <w:snapToGrid w:val="0"/>
              </w:rPr>
              <w:t>:</w:t>
            </w:r>
          </w:p>
          <w:tbl>
            <w:tblPr>
              <w:tblW w:w="6804" w:type="dxa"/>
              <w:tblLayout w:type="fixed"/>
              <w:tblLook w:val="04A0" w:firstRow="1" w:lastRow="0" w:firstColumn="1" w:lastColumn="0" w:noHBand="0" w:noVBand="1"/>
            </w:tblPr>
            <w:tblGrid>
              <w:gridCol w:w="3402"/>
              <w:gridCol w:w="3402"/>
            </w:tblGrid>
            <w:tr w:rsidR="00062D2B" w:rsidRPr="00FB2004" w14:paraId="2F5C39D7" w14:textId="77777777" w:rsidTr="00062D2B">
              <w:tc>
                <w:tcPr>
                  <w:tcW w:w="3402" w:type="dxa"/>
                </w:tcPr>
                <w:p w14:paraId="2F5C39D1" w14:textId="77777777" w:rsidR="00D82CC0" w:rsidRDefault="00D82CC0" w:rsidP="00D82CC0">
                  <w:pPr>
                    <w:pStyle w:val="ListParagraph"/>
                    <w:numPr>
                      <w:ilvl w:val="0"/>
                      <w:numId w:val="57"/>
                    </w:numPr>
                    <w:spacing w:after="0" w:line="240" w:lineRule="auto"/>
                    <w:contextualSpacing/>
                    <w:rPr>
                      <w:snapToGrid w:val="0"/>
                    </w:rPr>
                  </w:pPr>
                  <w:r w:rsidRPr="00822AE4">
                    <w:rPr>
                      <w:snapToGrid w:val="0"/>
                    </w:rPr>
                    <w:t xml:space="preserve">bait fish species </w:t>
                  </w:r>
                </w:p>
                <w:p w14:paraId="2F5C39D2" w14:textId="77777777" w:rsidR="00D82CC0" w:rsidRDefault="00D82CC0" w:rsidP="00D82CC0">
                  <w:pPr>
                    <w:pStyle w:val="ListParagraph"/>
                    <w:numPr>
                      <w:ilvl w:val="0"/>
                      <w:numId w:val="57"/>
                    </w:numPr>
                    <w:spacing w:after="0" w:line="240" w:lineRule="auto"/>
                    <w:contextualSpacing/>
                    <w:rPr>
                      <w:snapToGrid w:val="0"/>
                    </w:rPr>
                  </w:pPr>
                  <w:r w:rsidRPr="00822AE4">
                    <w:rPr>
                      <w:snapToGrid w:val="0"/>
                    </w:rPr>
                    <w:t>dart (</w:t>
                  </w:r>
                  <w:r w:rsidRPr="0093222C">
                    <w:rPr>
                      <w:snapToGrid w:val="0"/>
                    </w:rPr>
                    <w:t>various</w:t>
                  </w:r>
                  <w:r w:rsidRPr="00822AE4">
                    <w:rPr>
                      <w:snapToGrid w:val="0"/>
                    </w:rPr>
                    <w:t xml:space="preserve"> spp.)</w:t>
                  </w:r>
                </w:p>
                <w:p w14:paraId="2F5C39D3" w14:textId="77777777" w:rsidR="00062D2B" w:rsidRPr="00822AE4" w:rsidRDefault="00062D2B" w:rsidP="00D82CC0">
                  <w:pPr>
                    <w:pStyle w:val="ListParagraph"/>
                    <w:numPr>
                      <w:ilvl w:val="0"/>
                      <w:numId w:val="57"/>
                    </w:numPr>
                    <w:spacing w:after="0" w:line="240" w:lineRule="auto"/>
                    <w:contextualSpacing/>
                    <w:rPr>
                      <w:snapToGrid w:val="0"/>
                    </w:rPr>
                  </w:pPr>
                  <w:r w:rsidRPr="00822AE4">
                    <w:rPr>
                      <w:snapToGrid w:val="0"/>
                    </w:rPr>
                    <w:t>garfish (various species)</w:t>
                  </w:r>
                </w:p>
              </w:tc>
              <w:tc>
                <w:tcPr>
                  <w:tcW w:w="3402" w:type="dxa"/>
                </w:tcPr>
                <w:p w14:paraId="2F5C39D4" w14:textId="77777777" w:rsidR="00D82CC0" w:rsidRDefault="00D82CC0" w:rsidP="00D82CC0">
                  <w:pPr>
                    <w:pStyle w:val="ListParagraph"/>
                    <w:numPr>
                      <w:ilvl w:val="0"/>
                      <w:numId w:val="57"/>
                    </w:numPr>
                    <w:spacing w:after="0" w:line="240" w:lineRule="auto"/>
                    <w:contextualSpacing/>
                    <w:rPr>
                      <w:snapToGrid w:val="0"/>
                    </w:rPr>
                  </w:pPr>
                  <w:r w:rsidRPr="00822AE4">
                    <w:rPr>
                      <w:snapToGrid w:val="0"/>
                    </w:rPr>
                    <w:t xml:space="preserve">luderick </w:t>
                  </w:r>
                </w:p>
                <w:p w14:paraId="2F5C39D5" w14:textId="77777777" w:rsidR="00D82CC0" w:rsidRDefault="00062D2B" w:rsidP="00D82CC0">
                  <w:pPr>
                    <w:pStyle w:val="ListParagraph"/>
                    <w:numPr>
                      <w:ilvl w:val="0"/>
                      <w:numId w:val="57"/>
                    </w:numPr>
                    <w:spacing w:after="0" w:line="240" w:lineRule="auto"/>
                    <w:contextualSpacing/>
                    <w:rPr>
                      <w:snapToGrid w:val="0"/>
                    </w:rPr>
                  </w:pPr>
                  <w:r w:rsidRPr="00822AE4">
                    <w:rPr>
                      <w:snapToGrid w:val="0"/>
                    </w:rPr>
                    <w:t>mangrove jack</w:t>
                  </w:r>
                  <w:r w:rsidR="00D82CC0" w:rsidRPr="00822AE4">
                    <w:rPr>
                      <w:snapToGrid w:val="0"/>
                    </w:rPr>
                    <w:t xml:space="preserve"> </w:t>
                  </w:r>
                </w:p>
                <w:p w14:paraId="2F5C39D6" w14:textId="77777777" w:rsidR="00062D2B" w:rsidRPr="00822AE4" w:rsidRDefault="00D82CC0" w:rsidP="00D82CC0">
                  <w:pPr>
                    <w:pStyle w:val="ListParagraph"/>
                    <w:numPr>
                      <w:ilvl w:val="0"/>
                      <w:numId w:val="57"/>
                    </w:numPr>
                    <w:spacing w:after="0" w:line="240" w:lineRule="auto"/>
                    <w:contextualSpacing/>
                    <w:rPr>
                      <w:snapToGrid w:val="0"/>
                    </w:rPr>
                  </w:pPr>
                  <w:r w:rsidRPr="00822AE4">
                    <w:rPr>
                      <w:snapToGrid w:val="0"/>
                    </w:rPr>
                    <w:t>queenfish</w:t>
                  </w:r>
                </w:p>
              </w:tc>
            </w:tr>
            <w:tr w:rsidR="00062D2B" w:rsidRPr="00FB2004" w14:paraId="2F5C39DB" w14:textId="77777777" w:rsidTr="00062D2B">
              <w:tc>
                <w:tcPr>
                  <w:tcW w:w="3402" w:type="dxa"/>
                </w:tcPr>
                <w:p w14:paraId="2F5C39D8" w14:textId="77777777" w:rsidR="00D82CC0" w:rsidRDefault="00D82CC0" w:rsidP="00D82CC0">
                  <w:pPr>
                    <w:pStyle w:val="ListParagraph"/>
                    <w:numPr>
                      <w:ilvl w:val="0"/>
                      <w:numId w:val="57"/>
                    </w:numPr>
                    <w:spacing w:after="0" w:line="240" w:lineRule="auto"/>
                    <w:contextualSpacing/>
                    <w:rPr>
                      <w:snapToGrid w:val="0"/>
                    </w:rPr>
                  </w:pPr>
                  <w:r w:rsidRPr="00822AE4">
                    <w:rPr>
                      <w:snapToGrid w:val="0"/>
                    </w:rPr>
                    <w:t>grunter (various species)</w:t>
                  </w:r>
                </w:p>
                <w:p w14:paraId="2F5C39D9" w14:textId="77777777" w:rsidR="00062D2B" w:rsidRPr="00D82CC0" w:rsidRDefault="00D82CC0" w:rsidP="00D82CC0">
                  <w:pPr>
                    <w:pStyle w:val="ListParagraph"/>
                    <w:numPr>
                      <w:ilvl w:val="0"/>
                      <w:numId w:val="57"/>
                    </w:numPr>
                    <w:spacing w:after="0" w:line="240" w:lineRule="auto"/>
                    <w:contextualSpacing/>
                    <w:rPr>
                      <w:snapToGrid w:val="0"/>
                    </w:rPr>
                  </w:pPr>
                  <w:r w:rsidRPr="00822AE4">
                    <w:rPr>
                      <w:snapToGrid w:val="0"/>
                    </w:rPr>
                    <w:t xml:space="preserve">jewfish </w:t>
                  </w:r>
                </w:p>
              </w:tc>
              <w:tc>
                <w:tcPr>
                  <w:tcW w:w="3402" w:type="dxa"/>
                </w:tcPr>
                <w:p w14:paraId="2F5C39DA" w14:textId="77777777" w:rsidR="00062D2B" w:rsidRPr="00822AE4" w:rsidRDefault="00D82CC0" w:rsidP="00D82CC0">
                  <w:pPr>
                    <w:pStyle w:val="ListParagraph"/>
                    <w:numPr>
                      <w:ilvl w:val="0"/>
                      <w:numId w:val="57"/>
                    </w:numPr>
                    <w:spacing w:after="0" w:line="240" w:lineRule="auto"/>
                    <w:contextualSpacing/>
                    <w:rPr>
                      <w:snapToGrid w:val="0"/>
                    </w:rPr>
                  </w:pPr>
                  <w:r w:rsidRPr="00822AE4">
                    <w:rPr>
                      <w:snapToGrid w:val="0"/>
                    </w:rPr>
                    <w:t>trevally (various species)</w:t>
                  </w:r>
                </w:p>
              </w:tc>
            </w:tr>
            <w:tr w:rsidR="00062D2B" w:rsidRPr="00FB2004" w14:paraId="2F5C39DE" w14:textId="77777777" w:rsidTr="00062D2B">
              <w:tc>
                <w:tcPr>
                  <w:tcW w:w="3402" w:type="dxa"/>
                </w:tcPr>
                <w:p w14:paraId="2F5C39DC" w14:textId="77777777" w:rsidR="00062D2B" w:rsidRPr="00D82CC0" w:rsidRDefault="00062D2B" w:rsidP="00D82CC0">
                  <w:pPr>
                    <w:spacing w:after="0" w:line="240" w:lineRule="auto"/>
                    <w:contextualSpacing/>
                    <w:rPr>
                      <w:b/>
                      <w:snapToGrid w:val="0"/>
                    </w:rPr>
                  </w:pPr>
                </w:p>
              </w:tc>
              <w:tc>
                <w:tcPr>
                  <w:tcW w:w="3402" w:type="dxa"/>
                </w:tcPr>
                <w:p w14:paraId="2F5C39DD" w14:textId="77777777" w:rsidR="00062D2B" w:rsidRPr="00D82CC0" w:rsidRDefault="00062D2B" w:rsidP="00D82CC0">
                  <w:pPr>
                    <w:spacing w:after="0" w:line="240" w:lineRule="auto"/>
                    <w:contextualSpacing/>
                    <w:rPr>
                      <w:snapToGrid w:val="0"/>
                    </w:rPr>
                  </w:pPr>
                </w:p>
              </w:tc>
            </w:tr>
          </w:tbl>
          <w:p w14:paraId="2F5C39DF" w14:textId="77777777" w:rsidR="00A936C4" w:rsidRDefault="00062D2B" w:rsidP="00C9101B">
            <w:pPr>
              <w:pStyle w:val="ListParagraph"/>
              <w:spacing w:after="120" w:line="240" w:lineRule="auto"/>
              <w:ind w:left="0"/>
              <w:rPr>
                <w:snapToGrid w:val="0"/>
              </w:rPr>
            </w:pPr>
            <w:r w:rsidRPr="00FB2004">
              <w:rPr>
                <w:snapToGrid w:val="0"/>
              </w:rPr>
              <w:t>Many shark species are taken</w:t>
            </w:r>
            <w:r>
              <w:rPr>
                <w:snapToGrid w:val="0"/>
              </w:rPr>
              <w:t xml:space="preserve"> as </w:t>
            </w:r>
            <w:r w:rsidR="008473F8">
              <w:rPr>
                <w:snapToGrid w:val="0"/>
              </w:rPr>
              <w:t>byproduct/secondary catch</w:t>
            </w:r>
            <w:r>
              <w:rPr>
                <w:snapToGrid w:val="0"/>
              </w:rPr>
              <w:t>, including</w:t>
            </w:r>
            <w:r w:rsidR="00A936C4">
              <w:rPr>
                <w:snapToGrid w:val="0"/>
              </w:rPr>
              <w:t>:</w:t>
            </w:r>
          </w:p>
          <w:p w14:paraId="2F5C39E0" w14:textId="77777777" w:rsidR="00A936C4" w:rsidRPr="00A936C4" w:rsidRDefault="00062D2B" w:rsidP="00A936C4">
            <w:pPr>
              <w:numPr>
                <w:ilvl w:val="0"/>
                <w:numId w:val="56"/>
              </w:numPr>
              <w:spacing w:after="0" w:line="240" w:lineRule="auto"/>
            </w:pPr>
            <w:r w:rsidRPr="00FB2004">
              <w:rPr>
                <w:snapToGrid w:val="0"/>
              </w:rPr>
              <w:t>graceful shark</w:t>
            </w:r>
          </w:p>
          <w:p w14:paraId="2F5C39E1" w14:textId="77777777" w:rsidR="00A936C4" w:rsidRPr="00A936C4" w:rsidRDefault="00062D2B" w:rsidP="00A936C4">
            <w:pPr>
              <w:numPr>
                <w:ilvl w:val="0"/>
                <w:numId w:val="56"/>
              </w:numPr>
              <w:spacing w:after="0" w:line="240" w:lineRule="auto"/>
            </w:pPr>
            <w:r w:rsidRPr="00FB2004">
              <w:rPr>
                <w:snapToGrid w:val="0"/>
              </w:rPr>
              <w:t>spinner shark (</w:t>
            </w:r>
            <w:r w:rsidRPr="00A936C4">
              <w:rPr>
                <w:i/>
                <w:snapToGrid w:val="0"/>
              </w:rPr>
              <w:t>C</w:t>
            </w:r>
            <w:r w:rsidR="004417E1" w:rsidRPr="00A936C4">
              <w:rPr>
                <w:i/>
                <w:snapToGrid w:val="0"/>
              </w:rPr>
              <w:t>.</w:t>
            </w:r>
            <w:r w:rsidRPr="00A936C4">
              <w:rPr>
                <w:i/>
                <w:snapToGrid w:val="0"/>
              </w:rPr>
              <w:t> brevipinna</w:t>
            </w:r>
            <w:r w:rsidRPr="00A936C4">
              <w:rPr>
                <w:snapToGrid w:val="0"/>
              </w:rPr>
              <w:t>)</w:t>
            </w:r>
          </w:p>
          <w:p w14:paraId="2F5C39E2" w14:textId="77777777" w:rsidR="00A936C4" w:rsidRDefault="00062D2B" w:rsidP="00A936C4">
            <w:pPr>
              <w:numPr>
                <w:ilvl w:val="0"/>
                <w:numId w:val="56"/>
              </w:numPr>
              <w:spacing w:after="0" w:line="240" w:lineRule="auto"/>
              <w:rPr>
                <w:snapToGrid w:val="0"/>
              </w:rPr>
            </w:pPr>
            <w:r>
              <w:rPr>
                <w:snapToGrid w:val="0"/>
              </w:rPr>
              <w:t>Australian </w:t>
            </w:r>
            <w:r w:rsidRPr="00FB2004">
              <w:rPr>
                <w:snapToGrid w:val="0"/>
              </w:rPr>
              <w:t>sharpnose shark (</w:t>
            </w:r>
            <w:r w:rsidRPr="00A936C4">
              <w:rPr>
                <w:i/>
                <w:snapToGrid w:val="0"/>
              </w:rPr>
              <w:t>Rhizoprionodon taylori</w:t>
            </w:r>
            <w:r>
              <w:rPr>
                <w:snapToGrid w:val="0"/>
              </w:rPr>
              <w:t>)</w:t>
            </w:r>
            <w:r w:rsidRPr="00FB2004">
              <w:rPr>
                <w:snapToGrid w:val="0"/>
              </w:rPr>
              <w:t xml:space="preserve"> </w:t>
            </w:r>
          </w:p>
          <w:p w14:paraId="2F5C39E3" w14:textId="77777777" w:rsidR="00A936C4" w:rsidRPr="00A936C4" w:rsidRDefault="00062D2B" w:rsidP="00A936C4">
            <w:pPr>
              <w:numPr>
                <w:ilvl w:val="0"/>
                <w:numId w:val="56"/>
              </w:numPr>
              <w:spacing w:line="240" w:lineRule="auto"/>
              <w:rPr>
                <w:snapToGrid w:val="0"/>
              </w:rPr>
            </w:pPr>
            <w:r w:rsidRPr="00FB2004">
              <w:rPr>
                <w:snapToGrid w:val="0"/>
              </w:rPr>
              <w:t>hardnose shark (</w:t>
            </w:r>
            <w:r w:rsidRPr="00A936C4">
              <w:rPr>
                <w:i/>
                <w:snapToGrid w:val="0"/>
              </w:rPr>
              <w:t>C</w:t>
            </w:r>
            <w:r w:rsidR="004417E1" w:rsidRPr="00A936C4">
              <w:rPr>
                <w:i/>
                <w:snapToGrid w:val="0"/>
              </w:rPr>
              <w:t>.</w:t>
            </w:r>
            <w:r w:rsidRPr="00A936C4">
              <w:rPr>
                <w:i/>
                <w:snapToGrid w:val="0"/>
              </w:rPr>
              <w:t xml:space="preserve"> maclot</w:t>
            </w:r>
            <w:r w:rsidR="00372C29" w:rsidRPr="00A936C4">
              <w:rPr>
                <w:i/>
                <w:snapToGrid w:val="0"/>
              </w:rPr>
              <w:t>i</w:t>
            </w:r>
            <w:r w:rsidRPr="00A936C4">
              <w:rPr>
                <w:snapToGrid w:val="0"/>
              </w:rPr>
              <w:t>)</w:t>
            </w:r>
            <w:r w:rsidR="00560F94" w:rsidRPr="00A936C4">
              <w:rPr>
                <w:snapToGrid w:val="0"/>
              </w:rPr>
              <w:t xml:space="preserve"> </w:t>
            </w:r>
          </w:p>
          <w:p w14:paraId="2F5C39E4" w14:textId="77777777" w:rsidR="00062D2B" w:rsidRPr="00F30013" w:rsidRDefault="00A936C4" w:rsidP="005F47C7">
            <w:pPr>
              <w:pStyle w:val="ListBullet"/>
              <w:numPr>
                <w:ilvl w:val="0"/>
                <w:numId w:val="0"/>
              </w:numPr>
              <w:rPr>
                <w:snapToGrid w:val="0"/>
              </w:rPr>
            </w:pPr>
            <w:r>
              <w:rPr>
                <w:snapToGrid w:val="0"/>
              </w:rPr>
              <w:t>While these species were included in the</w:t>
            </w:r>
            <w:r w:rsidR="005F47C7">
              <w:rPr>
                <w:snapToGrid w:val="0"/>
              </w:rPr>
              <w:t xml:space="preserve"> ‘Stock Assessment of whaler and hammerhead sharks (Carcharhinidae and Sphyrnidae) in Queensland’ (2016), their</w:t>
            </w:r>
            <w:r>
              <w:rPr>
                <w:snapToGrid w:val="0"/>
              </w:rPr>
              <w:t xml:space="preserve"> </w:t>
            </w:r>
            <w:r w:rsidR="005F47C7">
              <w:rPr>
                <w:snapToGrid w:val="0"/>
              </w:rPr>
              <w:t xml:space="preserve">stock </w:t>
            </w:r>
            <w:r>
              <w:rPr>
                <w:snapToGrid w:val="0"/>
              </w:rPr>
              <w:t xml:space="preserve">status </w:t>
            </w:r>
            <w:r w:rsidR="005F47C7">
              <w:rPr>
                <w:snapToGrid w:val="0"/>
              </w:rPr>
              <w:t>remains unclear due to limited</w:t>
            </w:r>
            <w:r>
              <w:rPr>
                <w:snapToGrid w:val="0"/>
              </w:rPr>
              <w:t xml:space="preserve"> data. </w:t>
            </w:r>
            <w:r w:rsidR="00317B4E">
              <w:rPr>
                <w:snapToGrid w:val="0"/>
              </w:rPr>
              <w:t xml:space="preserve">The </w:t>
            </w:r>
            <w:r w:rsidR="00C9101B">
              <w:rPr>
                <w:snapToGrid w:val="0"/>
              </w:rPr>
              <w:t>fishery</w:t>
            </w:r>
            <w:r w:rsidR="00AE133D">
              <w:rPr>
                <w:snapToGrid w:val="0"/>
              </w:rPr>
              <w:t xml:space="preserve"> also incidentally harvests guitarfishes (Rhinobatidae). No assessment of stock size and abundance has been carried out for guitarfishes.  </w:t>
            </w:r>
          </w:p>
        </w:tc>
      </w:tr>
      <w:tr w:rsidR="00B6012C" w:rsidRPr="009B3A55" w14:paraId="2F5C39EE"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9E6" w14:textId="77777777" w:rsidR="00B6012C" w:rsidRPr="009B3A55" w:rsidRDefault="00B6012C" w:rsidP="001955CD">
            <w:pPr>
              <w:rPr>
                <w:rFonts w:cs="Arial"/>
                <w:b/>
                <w:snapToGrid w:val="0"/>
              </w:rPr>
            </w:pPr>
            <w:r w:rsidRPr="009B3A55">
              <w:rPr>
                <w:rFonts w:cs="Arial"/>
                <w:b/>
                <w:snapToGrid w:val="0"/>
              </w:rPr>
              <w:lastRenderedPageBreak/>
              <w:t>Gear</w:t>
            </w:r>
          </w:p>
        </w:tc>
        <w:tc>
          <w:tcPr>
            <w:tcW w:w="7444" w:type="dxa"/>
            <w:tcBorders>
              <w:top w:val="single" w:sz="4" w:space="0" w:color="auto"/>
              <w:left w:val="single" w:sz="4" w:space="0" w:color="auto"/>
              <w:bottom w:val="single" w:sz="4" w:space="0" w:color="auto"/>
              <w:right w:val="single" w:sz="4" w:space="0" w:color="auto"/>
            </w:tcBorders>
          </w:tcPr>
          <w:p w14:paraId="2F5C39E7" w14:textId="77777777" w:rsidR="00B21CAC" w:rsidRPr="00B21CAC" w:rsidRDefault="00B21CAC" w:rsidP="001F1716">
            <w:pPr>
              <w:spacing w:line="240" w:lineRule="auto"/>
              <w:rPr>
                <w:rFonts w:eastAsia="Times New Roman" w:cs="Arial"/>
                <w:lang w:eastAsia="en-AU"/>
              </w:rPr>
            </w:pPr>
            <w:r w:rsidRPr="00B21CAC">
              <w:rPr>
                <w:rFonts w:eastAsia="Times New Roman" w:cs="Arial"/>
                <w:lang w:eastAsia="en-AU"/>
              </w:rPr>
              <w:t xml:space="preserve">The </w:t>
            </w:r>
            <w:r w:rsidR="00D10547">
              <w:rPr>
                <w:rFonts w:eastAsia="Times New Roman" w:cs="Arial"/>
                <w:lang w:eastAsia="en-AU"/>
              </w:rPr>
              <w:t>East Coast Inshore Fin Fish Fishery</w:t>
            </w:r>
            <w:r w:rsidR="00D10547" w:rsidRPr="00B21CAC">
              <w:rPr>
                <w:rFonts w:eastAsia="Times New Roman" w:cs="Arial"/>
                <w:lang w:eastAsia="en-AU"/>
              </w:rPr>
              <w:t xml:space="preserve"> </w:t>
            </w:r>
            <w:r w:rsidRPr="00B21CAC">
              <w:rPr>
                <w:rFonts w:eastAsia="Times New Roman" w:cs="Arial"/>
                <w:lang w:eastAsia="en-AU"/>
              </w:rPr>
              <w:t xml:space="preserve">comprises a </w:t>
            </w:r>
            <w:r w:rsidR="00D10547">
              <w:rPr>
                <w:rFonts w:eastAsia="Times New Roman" w:cs="Arial"/>
                <w:lang w:eastAsia="en-AU"/>
              </w:rPr>
              <w:t>variety</w:t>
            </w:r>
            <w:r w:rsidRPr="00B21CAC">
              <w:rPr>
                <w:rFonts w:eastAsia="Times New Roman" w:cs="Arial"/>
                <w:lang w:eastAsia="en-AU"/>
              </w:rPr>
              <w:t xml:space="preserve"> of shore based and boat based fishing operations </w:t>
            </w:r>
            <w:r w:rsidR="00D10547">
              <w:rPr>
                <w:rFonts w:eastAsia="Times New Roman" w:cs="Arial"/>
                <w:lang w:eastAsia="en-AU"/>
              </w:rPr>
              <w:t>that use different types of</w:t>
            </w:r>
            <w:r w:rsidRPr="00B21CAC">
              <w:rPr>
                <w:rFonts w:eastAsia="Times New Roman" w:cs="Arial"/>
                <w:lang w:eastAsia="en-AU"/>
              </w:rPr>
              <w:t xml:space="preserve"> fishing gear to target regionally important species.</w:t>
            </w:r>
          </w:p>
          <w:p w14:paraId="2F5C39E8" w14:textId="77777777" w:rsidR="00B21CAC" w:rsidRPr="00B21CAC" w:rsidRDefault="00B21CAC" w:rsidP="001F1716">
            <w:pPr>
              <w:spacing w:line="240" w:lineRule="auto"/>
              <w:rPr>
                <w:rFonts w:eastAsia="Times New Roman" w:cs="Arial"/>
                <w:lang w:eastAsia="en-AU"/>
              </w:rPr>
            </w:pPr>
            <w:r w:rsidRPr="00B21CAC">
              <w:rPr>
                <w:rFonts w:eastAsia="Times New Roman" w:cs="Arial"/>
                <w:lang w:eastAsia="en-AU"/>
              </w:rPr>
              <w:t xml:space="preserve">Several </w:t>
            </w:r>
            <w:r w:rsidR="008473F8">
              <w:rPr>
                <w:rFonts w:eastAsia="Times New Roman" w:cs="Arial"/>
                <w:lang w:eastAsia="en-AU"/>
              </w:rPr>
              <w:t xml:space="preserve">different </w:t>
            </w:r>
            <w:r w:rsidRPr="00B21CAC">
              <w:rPr>
                <w:rFonts w:eastAsia="Times New Roman" w:cs="Arial"/>
                <w:lang w:eastAsia="en-AU"/>
              </w:rPr>
              <w:t xml:space="preserve">types of </w:t>
            </w:r>
            <w:r w:rsidRPr="008473F8">
              <w:rPr>
                <w:rFonts w:eastAsia="Times New Roman" w:cs="Arial"/>
                <w:lang w:eastAsia="en-AU"/>
              </w:rPr>
              <w:t>mesh nets</w:t>
            </w:r>
            <w:r w:rsidRPr="00B21CAC">
              <w:rPr>
                <w:rFonts w:eastAsia="Times New Roman" w:cs="Arial"/>
                <w:lang w:eastAsia="en-AU"/>
              </w:rPr>
              <w:t xml:space="preserve"> are used in the</w:t>
            </w:r>
            <w:r w:rsidR="00D10547" w:rsidRPr="00B21CAC">
              <w:rPr>
                <w:rFonts w:eastAsia="Times New Roman" w:cs="Arial"/>
                <w:lang w:eastAsia="en-AU"/>
              </w:rPr>
              <w:t xml:space="preserve"> fishery</w:t>
            </w:r>
            <w:r w:rsidR="00D10547">
              <w:rPr>
                <w:rFonts w:eastAsia="Times New Roman" w:cs="Arial"/>
                <w:lang w:eastAsia="en-AU"/>
              </w:rPr>
              <w:t>. These</w:t>
            </w:r>
            <w:r w:rsidRPr="00B21CAC">
              <w:rPr>
                <w:rFonts w:eastAsia="Times New Roman" w:cs="Arial"/>
                <w:lang w:eastAsia="en-AU"/>
              </w:rPr>
              <w:t xml:space="preserve"> range</w:t>
            </w:r>
            <w:r w:rsidR="00D10547">
              <w:rPr>
                <w:rFonts w:eastAsia="Times New Roman" w:cs="Arial"/>
                <w:lang w:eastAsia="en-AU"/>
              </w:rPr>
              <w:t xml:space="preserve"> from small (25 millimetre</w:t>
            </w:r>
            <w:r w:rsidR="00D10547" w:rsidRPr="00B21CAC">
              <w:rPr>
                <w:rFonts w:eastAsia="Times New Roman" w:cs="Arial"/>
                <w:lang w:eastAsia="en-AU"/>
              </w:rPr>
              <w:t xml:space="preserve">) </w:t>
            </w:r>
            <w:r w:rsidR="00D10547">
              <w:rPr>
                <w:rFonts w:eastAsia="Times New Roman" w:cs="Arial"/>
                <w:lang w:eastAsia="en-AU"/>
              </w:rPr>
              <w:t xml:space="preserve">mesh </w:t>
            </w:r>
            <w:r w:rsidRPr="00B21CAC">
              <w:rPr>
                <w:rFonts w:eastAsia="Times New Roman" w:cs="Arial"/>
                <w:lang w:eastAsia="en-AU"/>
              </w:rPr>
              <w:t xml:space="preserve">nets </w:t>
            </w:r>
            <w:r w:rsidR="005F47C7">
              <w:rPr>
                <w:rFonts w:eastAsia="Times New Roman" w:cs="Arial"/>
                <w:lang w:eastAsia="en-AU"/>
              </w:rPr>
              <w:t xml:space="preserve">used in coastal waters </w:t>
            </w:r>
            <w:r w:rsidRPr="00B21CAC">
              <w:rPr>
                <w:rFonts w:eastAsia="Times New Roman" w:cs="Arial"/>
                <w:lang w:eastAsia="en-AU"/>
              </w:rPr>
              <w:t xml:space="preserve">to large offshore nets that may be up to 1200 metres long and have a maximum mesh size of 165 millimetres. River and foreshore mesh nets are used to target barramundi, blue threadfin and king threadfin. Offshore mesh nets typically target tropical sharks and mackerels. </w:t>
            </w:r>
          </w:p>
          <w:p w14:paraId="2F5C39E9" w14:textId="77777777" w:rsidR="00B21CAC" w:rsidRPr="00B21CAC" w:rsidRDefault="00B21CAC" w:rsidP="001F1716">
            <w:pPr>
              <w:spacing w:line="240" w:lineRule="auto"/>
              <w:rPr>
                <w:rFonts w:eastAsia="Times New Roman" w:cs="Arial"/>
                <w:lang w:eastAsia="en-AU"/>
              </w:rPr>
            </w:pPr>
            <w:r w:rsidRPr="008473F8">
              <w:rPr>
                <w:rFonts w:eastAsia="Times New Roman" w:cs="Arial"/>
                <w:lang w:eastAsia="en-AU"/>
              </w:rPr>
              <w:t>Haul (seine) nets</w:t>
            </w:r>
            <w:r w:rsidRPr="00B21CAC">
              <w:rPr>
                <w:rFonts w:eastAsia="Times New Roman" w:cs="Arial"/>
                <w:lang w:eastAsia="en-AU"/>
              </w:rPr>
              <w:t xml:space="preserve"> are mainly used in the beach netting </w:t>
            </w:r>
            <w:r w:rsidR="007D284C">
              <w:rPr>
                <w:rFonts w:eastAsia="Times New Roman" w:cs="Arial"/>
                <w:lang w:eastAsia="en-AU"/>
              </w:rPr>
              <w:t>sector</w:t>
            </w:r>
            <w:r w:rsidRPr="00B21CAC">
              <w:rPr>
                <w:rFonts w:eastAsia="Times New Roman" w:cs="Arial"/>
                <w:lang w:eastAsia="en-AU"/>
              </w:rPr>
              <w:t xml:space="preserve"> in southern Queensland. This method is commonly used to target mullet, whiting, garfish and tailor. </w:t>
            </w:r>
            <w:r w:rsidR="005F47C7">
              <w:rPr>
                <w:rFonts w:eastAsia="Times New Roman" w:cs="Arial"/>
                <w:lang w:eastAsia="en-AU"/>
              </w:rPr>
              <w:t>Also i</w:t>
            </w:r>
            <w:r w:rsidRPr="00B21CAC">
              <w:rPr>
                <w:rFonts w:eastAsia="Times New Roman" w:cs="Arial"/>
                <w:lang w:eastAsia="en-AU"/>
              </w:rPr>
              <w:t xml:space="preserve">n southern Queensland, some operators use </w:t>
            </w:r>
            <w:r w:rsidRPr="008473F8">
              <w:rPr>
                <w:rFonts w:eastAsia="Times New Roman" w:cs="Arial"/>
                <w:lang w:eastAsia="en-AU"/>
              </w:rPr>
              <w:t>tunnel nets</w:t>
            </w:r>
            <w:r w:rsidRPr="00B21CAC">
              <w:rPr>
                <w:rFonts w:eastAsia="Times New Roman" w:cs="Arial"/>
                <w:lang w:eastAsia="en-AU"/>
              </w:rPr>
              <w:t xml:space="preserve"> to target a variety of fin fish including whiting. The use of turtle excluder devices in tu</w:t>
            </w:r>
            <w:r w:rsidR="00DA29D8">
              <w:rPr>
                <w:rFonts w:eastAsia="Times New Roman" w:cs="Arial"/>
                <w:lang w:eastAsia="en-AU"/>
              </w:rPr>
              <w:t xml:space="preserve">nnel nets became mandatory on 1 </w:t>
            </w:r>
            <w:r w:rsidRPr="00B21CAC">
              <w:rPr>
                <w:rFonts w:eastAsia="Times New Roman" w:cs="Arial"/>
                <w:lang w:eastAsia="en-AU"/>
              </w:rPr>
              <w:t>July 2009.</w:t>
            </w:r>
          </w:p>
          <w:p w14:paraId="2F5C39EA" w14:textId="77777777" w:rsidR="00B21CAC" w:rsidRPr="00B21CAC" w:rsidRDefault="00B21CAC" w:rsidP="001F1716">
            <w:pPr>
              <w:spacing w:line="240" w:lineRule="auto"/>
              <w:rPr>
                <w:rFonts w:eastAsia="Times New Roman" w:cs="Arial"/>
                <w:lang w:eastAsia="en-AU"/>
              </w:rPr>
            </w:pPr>
            <w:r w:rsidRPr="008473F8">
              <w:rPr>
                <w:rFonts w:eastAsia="Times New Roman" w:cs="Arial"/>
                <w:lang w:eastAsia="en-AU"/>
              </w:rPr>
              <w:t>Cast nets</w:t>
            </w:r>
            <w:r w:rsidRPr="00B21CAC">
              <w:rPr>
                <w:rFonts w:eastAsia="Times New Roman" w:cs="Arial"/>
                <w:lang w:eastAsia="en-AU"/>
              </w:rPr>
              <w:t xml:space="preserve"> may also be used by operators with a</w:t>
            </w:r>
            <w:r w:rsidR="001E5E84">
              <w:rPr>
                <w:rFonts w:eastAsia="Times New Roman" w:cs="Arial"/>
                <w:lang w:eastAsia="en-AU"/>
              </w:rPr>
              <w:t xml:space="preserve"> licence </w:t>
            </w:r>
            <w:r w:rsidRPr="00B21CAC">
              <w:rPr>
                <w:rFonts w:eastAsia="Times New Roman" w:cs="Arial"/>
                <w:lang w:eastAsia="en-AU"/>
              </w:rPr>
              <w:t>to fish for bait. These nets are used to target small inshore species such as herring, mullet and garfish.</w:t>
            </w:r>
          </w:p>
          <w:p w14:paraId="2F5C39EB" w14:textId="709C7FA3" w:rsidR="00B21CAC" w:rsidRPr="00B21CAC" w:rsidRDefault="00B21CAC" w:rsidP="001F1716">
            <w:pPr>
              <w:spacing w:line="240" w:lineRule="auto"/>
              <w:rPr>
                <w:rFonts w:eastAsia="Times New Roman" w:cs="Arial"/>
                <w:lang w:eastAsia="en-AU"/>
              </w:rPr>
            </w:pPr>
            <w:r w:rsidRPr="008473F8">
              <w:rPr>
                <w:rFonts w:eastAsia="Times New Roman" w:cs="Arial"/>
                <w:lang w:eastAsia="en-AU"/>
              </w:rPr>
              <w:t>Hook and line</w:t>
            </w:r>
            <w:r w:rsidRPr="00B21CAC">
              <w:rPr>
                <w:rFonts w:eastAsia="Times New Roman" w:cs="Arial"/>
                <w:lang w:eastAsia="en-AU"/>
              </w:rPr>
              <w:t xml:space="preserve"> methods are </w:t>
            </w:r>
            <w:r w:rsidR="00056F19">
              <w:rPr>
                <w:rFonts w:eastAsia="Times New Roman" w:cs="Arial"/>
                <w:lang w:eastAsia="en-AU"/>
              </w:rPr>
              <w:t>used</w:t>
            </w:r>
            <w:r w:rsidRPr="00B21CAC">
              <w:rPr>
                <w:rFonts w:eastAsia="Times New Roman" w:cs="Arial"/>
                <w:lang w:eastAsia="en-AU"/>
              </w:rPr>
              <w:t xml:space="preserve"> to take a variety of fish species</w:t>
            </w:r>
            <w:r w:rsidR="001E2A94">
              <w:rPr>
                <w:rFonts w:eastAsia="Times New Roman" w:cs="Arial"/>
                <w:lang w:eastAsia="en-AU"/>
              </w:rPr>
              <w:t>. A </w:t>
            </w:r>
            <w:r w:rsidR="008473F8">
              <w:rPr>
                <w:rFonts w:eastAsia="Times New Roman" w:cs="Arial"/>
                <w:lang w:eastAsia="en-AU"/>
              </w:rPr>
              <w:t>maximum of six</w:t>
            </w:r>
            <w:r w:rsidRPr="00B21CAC">
              <w:rPr>
                <w:rFonts w:eastAsia="Times New Roman" w:cs="Arial"/>
                <w:lang w:eastAsia="en-AU"/>
              </w:rPr>
              <w:t xml:space="preserve"> hooks </w:t>
            </w:r>
            <w:r w:rsidR="008473F8">
              <w:rPr>
                <w:rFonts w:eastAsia="Times New Roman" w:cs="Arial"/>
                <w:lang w:eastAsia="en-AU"/>
              </w:rPr>
              <w:t>can</w:t>
            </w:r>
            <w:r w:rsidRPr="00B21CAC">
              <w:rPr>
                <w:rFonts w:eastAsia="Times New Roman" w:cs="Arial"/>
                <w:lang w:eastAsia="en-AU"/>
              </w:rPr>
              <w:t xml:space="preserve"> be used on line fis</w:t>
            </w:r>
            <w:r w:rsidR="00D42B87">
              <w:rPr>
                <w:rFonts w:eastAsia="Times New Roman" w:cs="Arial"/>
                <w:lang w:eastAsia="en-AU"/>
              </w:rPr>
              <w:t>hing apparatus</w:t>
            </w:r>
            <w:r w:rsidR="001E2A94">
              <w:rPr>
                <w:rFonts w:eastAsia="Times New Roman" w:cs="Arial"/>
                <w:lang w:eastAsia="en-AU"/>
              </w:rPr>
              <w:t xml:space="preserve"> except in the L8 sector of the fishery which operates outside of the Great Barrier Reef Marine Park</w:t>
            </w:r>
            <w:r w:rsidRPr="00B21CAC">
              <w:rPr>
                <w:rFonts w:eastAsia="Times New Roman" w:cs="Arial"/>
                <w:lang w:eastAsia="en-AU"/>
              </w:rPr>
              <w:t>.</w:t>
            </w:r>
          </w:p>
          <w:p w14:paraId="2F5C39EC" w14:textId="77777777" w:rsidR="00B21CAC" w:rsidRPr="00B21CAC" w:rsidRDefault="00D42B87" w:rsidP="001F1716">
            <w:pPr>
              <w:spacing w:line="240" w:lineRule="auto"/>
              <w:rPr>
                <w:rFonts w:eastAsia="Times New Roman" w:cs="Arial"/>
                <w:lang w:eastAsia="en-AU"/>
              </w:rPr>
            </w:pPr>
            <w:r>
              <w:rPr>
                <w:rFonts w:eastAsia="Times New Roman" w:cs="Arial"/>
                <w:lang w:eastAsia="en-AU"/>
              </w:rPr>
              <w:t xml:space="preserve">Recreational </w:t>
            </w:r>
            <w:r w:rsidR="00997F0B">
              <w:rPr>
                <w:rFonts w:eastAsia="Times New Roman" w:cs="Arial"/>
                <w:lang w:eastAsia="en-AU"/>
              </w:rPr>
              <w:t xml:space="preserve">fishers, </w:t>
            </w:r>
            <w:r>
              <w:rPr>
                <w:rFonts w:eastAsia="Times New Roman" w:cs="Arial"/>
                <w:lang w:eastAsia="en-AU"/>
              </w:rPr>
              <w:t xml:space="preserve">using boat or shore based methods, </w:t>
            </w:r>
            <w:r w:rsidR="00997F0B">
              <w:rPr>
                <w:rFonts w:eastAsia="Times New Roman" w:cs="Arial"/>
                <w:lang w:eastAsia="en-AU"/>
              </w:rPr>
              <w:t>commonly</w:t>
            </w:r>
            <w:r>
              <w:rPr>
                <w:rFonts w:eastAsia="Times New Roman" w:cs="Arial"/>
                <w:lang w:eastAsia="en-AU"/>
              </w:rPr>
              <w:t xml:space="preserve"> </w:t>
            </w:r>
            <w:r w:rsidR="00997F0B">
              <w:rPr>
                <w:rFonts w:eastAsia="Times New Roman" w:cs="Arial"/>
                <w:lang w:eastAsia="en-AU"/>
              </w:rPr>
              <w:t>use</w:t>
            </w:r>
            <w:r>
              <w:rPr>
                <w:rFonts w:eastAsia="Times New Roman" w:cs="Arial"/>
                <w:lang w:eastAsia="en-AU"/>
              </w:rPr>
              <w:t xml:space="preserve"> </w:t>
            </w:r>
            <w:r w:rsidR="00B21CAC" w:rsidRPr="00B21CAC">
              <w:rPr>
                <w:rFonts w:eastAsia="Times New Roman" w:cs="Arial"/>
                <w:lang w:eastAsia="en-AU"/>
              </w:rPr>
              <w:t>cast nets and small haul (seine</w:t>
            </w:r>
            <w:r>
              <w:rPr>
                <w:rFonts w:eastAsia="Times New Roman" w:cs="Arial"/>
                <w:lang w:eastAsia="en-AU"/>
              </w:rPr>
              <w:t>) nets as well as hook and line.</w:t>
            </w:r>
            <w:r w:rsidR="00B21CAC" w:rsidRPr="00B21CAC">
              <w:rPr>
                <w:rFonts w:eastAsia="Times New Roman" w:cs="Arial"/>
                <w:lang w:eastAsia="en-AU"/>
              </w:rPr>
              <w:t xml:space="preserve"> </w:t>
            </w:r>
          </w:p>
          <w:p w14:paraId="2F5C39ED" w14:textId="77777777" w:rsidR="00B6012C" w:rsidRPr="00B21CAC" w:rsidRDefault="00B21CAC" w:rsidP="00997F0B">
            <w:pPr>
              <w:spacing w:line="240" w:lineRule="auto"/>
              <w:rPr>
                <w:rFonts w:eastAsia="Times New Roman" w:cs="Arial"/>
                <w:lang w:eastAsia="en-AU"/>
              </w:rPr>
            </w:pPr>
            <w:r w:rsidRPr="00B21CAC">
              <w:rPr>
                <w:rFonts w:eastAsia="Times New Roman" w:cs="Arial"/>
                <w:lang w:eastAsia="en-AU"/>
              </w:rPr>
              <w:t>In addition to standard recreat</w:t>
            </w:r>
            <w:r w:rsidR="00997F0B">
              <w:rPr>
                <w:rFonts w:eastAsia="Times New Roman" w:cs="Arial"/>
                <w:lang w:eastAsia="en-AU"/>
              </w:rPr>
              <w:t>ional fishing gears</w:t>
            </w:r>
            <w:r w:rsidRPr="00B21CAC">
              <w:rPr>
                <w:rFonts w:eastAsia="Times New Roman" w:cs="Arial"/>
                <w:lang w:eastAsia="en-AU"/>
              </w:rPr>
              <w:t>, Indigenous communities are permitted to use traditional subsistence fishing methods for traditional and customary purposes</w:t>
            </w:r>
            <w:r w:rsidR="00997F0B">
              <w:rPr>
                <w:rFonts w:eastAsia="Times New Roman" w:cs="Arial"/>
                <w:lang w:eastAsia="en-AU"/>
              </w:rPr>
              <w:t>. Product harvested using these methods can only be used or consumed within the community</w:t>
            </w:r>
            <w:r w:rsidRPr="00B21CAC">
              <w:rPr>
                <w:rFonts w:eastAsia="Times New Roman" w:cs="Arial"/>
                <w:lang w:eastAsia="en-AU"/>
              </w:rPr>
              <w:t>.</w:t>
            </w:r>
          </w:p>
        </w:tc>
      </w:tr>
      <w:tr w:rsidR="00B6012C" w:rsidRPr="009B3A55" w14:paraId="2F5C39F2"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9EF" w14:textId="77777777" w:rsidR="00B6012C" w:rsidRPr="009B3A55" w:rsidRDefault="00B6012C" w:rsidP="001955CD">
            <w:pPr>
              <w:rPr>
                <w:rFonts w:cs="Arial"/>
                <w:b/>
                <w:snapToGrid w:val="0"/>
              </w:rPr>
            </w:pPr>
            <w:r w:rsidRPr="009B3A55">
              <w:rPr>
                <w:rFonts w:cs="Arial"/>
                <w:b/>
                <w:snapToGrid w:val="0"/>
              </w:rPr>
              <w:t>Season</w:t>
            </w:r>
          </w:p>
        </w:tc>
        <w:tc>
          <w:tcPr>
            <w:tcW w:w="7444" w:type="dxa"/>
            <w:tcBorders>
              <w:top w:val="single" w:sz="4" w:space="0" w:color="auto"/>
              <w:left w:val="single" w:sz="4" w:space="0" w:color="auto"/>
              <w:bottom w:val="single" w:sz="4" w:space="0" w:color="auto"/>
              <w:right w:val="single" w:sz="4" w:space="0" w:color="auto"/>
            </w:tcBorders>
          </w:tcPr>
          <w:p w14:paraId="2F5C39F0" w14:textId="77777777" w:rsidR="002B7F54" w:rsidRDefault="00DB062F" w:rsidP="002B7F54">
            <w:pPr>
              <w:spacing w:line="240" w:lineRule="auto"/>
              <w:rPr>
                <w:rFonts w:eastAsia="Times New Roman" w:cs="Arial"/>
                <w:lang w:eastAsia="en-AU"/>
              </w:rPr>
            </w:pPr>
            <w:r w:rsidRPr="00443C77">
              <w:rPr>
                <w:rFonts w:eastAsia="Times New Roman" w:cs="Arial"/>
                <w:lang w:eastAsia="en-AU"/>
              </w:rPr>
              <w:t xml:space="preserve">The </w:t>
            </w:r>
            <w:r w:rsidR="00D42B87">
              <w:rPr>
                <w:rFonts w:eastAsia="Times New Roman" w:cs="Arial"/>
                <w:lang w:eastAsia="en-AU"/>
              </w:rPr>
              <w:t>fishery</w:t>
            </w:r>
            <w:r w:rsidRPr="00443C77">
              <w:rPr>
                <w:rFonts w:eastAsia="Times New Roman" w:cs="Arial"/>
                <w:lang w:eastAsia="en-AU"/>
              </w:rPr>
              <w:t xml:space="preserve"> is o</w:t>
            </w:r>
            <w:r w:rsidR="00997F0B">
              <w:rPr>
                <w:rFonts w:eastAsia="Times New Roman" w:cs="Arial"/>
                <w:lang w:eastAsia="en-AU"/>
              </w:rPr>
              <w:t xml:space="preserve">pen year round. </w:t>
            </w:r>
          </w:p>
          <w:p w14:paraId="2F5C39F1" w14:textId="3ED97751" w:rsidR="00B6012C" w:rsidRPr="009B3A55" w:rsidRDefault="00997F0B" w:rsidP="002B7F54">
            <w:pPr>
              <w:spacing w:line="240" w:lineRule="auto"/>
              <w:rPr>
                <w:rFonts w:cs="Arial"/>
                <w:snapToGrid w:val="0"/>
                <w:color w:val="3366FF"/>
              </w:rPr>
            </w:pPr>
            <w:r>
              <w:rPr>
                <w:rFonts w:eastAsia="Times New Roman" w:cs="Arial"/>
                <w:lang w:eastAsia="en-AU"/>
              </w:rPr>
              <w:t>F</w:t>
            </w:r>
            <w:r w:rsidR="00443C77" w:rsidRPr="00443C77">
              <w:rPr>
                <w:rFonts w:eastAsia="Times New Roman" w:cs="Arial"/>
                <w:lang w:eastAsia="en-AU"/>
              </w:rPr>
              <w:t>or management purposes t</w:t>
            </w:r>
            <w:r w:rsidR="00DB68A0" w:rsidRPr="00443C77">
              <w:rPr>
                <w:rFonts w:eastAsia="Times New Roman" w:cs="Arial"/>
                <w:lang w:eastAsia="en-AU"/>
              </w:rPr>
              <w:t>he fishing</w:t>
            </w:r>
            <w:r w:rsidR="00DB68A0" w:rsidRPr="00DB68A0">
              <w:rPr>
                <w:rFonts w:eastAsia="Times New Roman" w:cs="Arial"/>
                <w:lang w:eastAsia="en-AU"/>
              </w:rPr>
              <w:t xml:space="preserve"> season for the shark sub</w:t>
            </w:r>
            <w:r w:rsidR="00CB0801">
              <w:rPr>
                <w:rFonts w:eastAsia="Times New Roman" w:cs="Arial"/>
                <w:lang w:eastAsia="en-AU"/>
              </w:rPr>
              <w:t xml:space="preserve"> </w:t>
            </w:r>
            <w:r w:rsidR="00DB68A0" w:rsidRPr="00DB68A0">
              <w:rPr>
                <w:rFonts w:eastAsia="Times New Roman" w:cs="Arial"/>
                <w:lang w:eastAsia="en-AU"/>
              </w:rPr>
              <w:t>fishery</w:t>
            </w:r>
            <w:r w:rsidR="00DB68A0">
              <w:rPr>
                <w:rFonts w:eastAsia="Times New Roman" w:cs="Arial"/>
                <w:lang w:eastAsia="en-AU"/>
              </w:rPr>
              <w:t xml:space="preserve"> (S symbol)</w:t>
            </w:r>
            <w:r w:rsidR="00DB68A0" w:rsidRPr="00DB68A0">
              <w:rPr>
                <w:rFonts w:eastAsia="Times New Roman" w:cs="Arial"/>
                <w:lang w:eastAsia="en-AU"/>
              </w:rPr>
              <w:t xml:space="preserve"> </w:t>
            </w:r>
            <w:r w:rsidR="002B7F54">
              <w:rPr>
                <w:rFonts w:eastAsia="Times New Roman" w:cs="Arial"/>
                <w:lang w:eastAsia="en-AU"/>
              </w:rPr>
              <w:t>commences annually on</w:t>
            </w:r>
            <w:r w:rsidR="00DB68A0" w:rsidRPr="00DB68A0">
              <w:rPr>
                <w:rFonts w:eastAsia="Times New Roman" w:cs="Arial"/>
                <w:lang w:eastAsia="en-AU"/>
              </w:rPr>
              <w:t xml:space="preserve"> </w:t>
            </w:r>
            <w:r w:rsidR="002B7F54">
              <w:rPr>
                <w:rFonts w:eastAsia="Times New Roman" w:cs="Arial"/>
                <w:lang w:eastAsia="en-AU"/>
              </w:rPr>
              <w:t>1 </w:t>
            </w:r>
            <w:r w:rsidR="00DB68A0" w:rsidRPr="00DB68A0">
              <w:rPr>
                <w:rFonts w:eastAsia="Times New Roman" w:cs="Arial"/>
                <w:lang w:eastAsia="en-AU"/>
              </w:rPr>
              <w:t>July</w:t>
            </w:r>
            <w:r w:rsidR="002B7F54">
              <w:rPr>
                <w:rFonts w:eastAsia="Times New Roman" w:cs="Arial"/>
                <w:lang w:eastAsia="en-AU"/>
              </w:rPr>
              <w:t xml:space="preserve">, while </w:t>
            </w:r>
            <w:r w:rsidR="00DB68A0" w:rsidRPr="00DB68A0">
              <w:rPr>
                <w:rFonts w:eastAsia="Times New Roman" w:cs="Arial"/>
                <w:lang w:eastAsia="en-AU"/>
              </w:rPr>
              <w:t xml:space="preserve">the </w:t>
            </w:r>
            <w:r w:rsidR="002B7F54" w:rsidRPr="00DB68A0">
              <w:rPr>
                <w:rFonts w:eastAsia="Times New Roman" w:cs="Arial"/>
                <w:lang w:eastAsia="en-AU"/>
              </w:rPr>
              <w:t xml:space="preserve">fishing season </w:t>
            </w:r>
            <w:r w:rsidR="002B7F54">
              <w:rPr>
                <w:rFonts w:eastAsia="Times New Roman" w:cs="Arial"/>
                <w:lang w:eastAsia="en-AU"/>
              </w:rPr>
              <w:t xml:space="preserve">for the </w:t>
            </w:r>
            <w:r w:rsidR="00DB68A0" w:rsidRPr="00DB68A0">
              <w:rPr>
                <w:rFonts w:eastAsia="Times New Roman" w:cs="Arial"/>
                <w:lang w:eastAsia="en-AU"/>
              </w:rPr>
              <w:t xml:space="preserve">remainder of the fishery </w:t>
            </w:r>
            <w:r w:rsidR="002B7F54">
              <w:rPr>
                <w:rFonts w:eastAsia="Times New Roman" w:cs="Arial"/>
                <w:lang w:eastAsia="en-AU"/>
              </w:rPr>
              <w:t>commences annually on 1 January</w:t>
            </w:r>
            <w:r w:rsidR="00DB68A0" w:rsidRPr="00DB68A0">
              <w:rPr>
                <w:rFonts w:eastAsia="Times New Roman" w:cs="Arial"/>
                <w:lang w:eastAsia="en-AU"/>
              </w:rPr>
              <w:t xml:space="preserve">. </w:t>
            </w:r>
            <w:r w:rsidR="005A5964">
              <w:rPr>
                <w:rFonts w:eastAsia="Times New Roman" w:cs="Arial"/>
                <w:lang w:eastAsia="en-AU"/>
              </w:rPr>
              <w:t xml:space="preserve">A number of </w:t>
            </w:r>
            <w:r w:rsidR="00D42B87">
              <w:rPr>
                <w:rFonts w:eastAsia="Times New Roman" w:cs="Arial"/>
                <w:lang w:eastAsia="en-AU"/>
              </w:rPr>
              <w:t>seasonal</w:t>
            </w:r>
            <w:r w:rsidR="005A5964">
              <w:rPr>
                <w:rFonts w:eastAsia="Times New Roman" w:cs="Arial"/>
                <w:lang w:eastAsia="en-AU"/>
              </w:rPr>
              <w:t xml:space="preserve"> closures are in place to protect spawning stocks of barramundi and tailor. </w:t>
            </w:r>
          </w:p>
        </w:tc>
      </w:tr>
      <w:tr w:rsidR="00B6012C" w:rsidRPr="009B3A55" w14:paraId="2F5C3A69"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9F3" w14:textId="77777777" w:rsidR="00B6012C" w:rsidRPr="009B3A55" w:rsidRDefault="00B6012C" w:rsidP="005A5964">
            <w:pPr>
              <w:rPr>
                <w:rFonts w:cs="Arial"/>
                <w:b/>
                <w:snapToGrid w:val="0"/>
              </w:rPr>
            </w:pPr>
            <w:r w:rsidRPr="009B3A55">
              <w:rPr>
                <w:rFonts w:cs="Arial"/>
                <w:b/>
                <w:snapToGrid w:val="0"/>
              </w:rPr>
              <w:lastRenderedPageBreak/>
              <w:t xml:space="preserve">Commercial harvest </w:t>
            </w:r>
          </w:p>
        </w:tc>
        <w:tc>
          <w:tcPr>
            <w:tcW w:w="7444" w:type="dxa"/>
            <w:tcBorders>
              <w:top w:val="single" w:sz="4" w:space="0" w:color="auto"/>
              <w:left w:val="single" w:sz="4" w:space="0" w:color="auto"/>
              <w:bottom w:val="single" w:sz="4" w:space="0" w:color="auto"/>
              <w:right w:val="single" w:sz="4" w:space="0" w:color="auto"/>
            </w:tcBorders>
          </w:tcPr>
          <w:p w14:paraId="2F5C39F4" w14:textId="77777777" w:rsidR="00DB062F" w:rsidRDefault="00DB062F" w:rsidP="001F1716">
            <w:pPr>
              <w:spacing w:line="240" w:lineRule="auto"/>
              <w:rPr>
                <w:rFonts w:cs="Arial"/>
                <w:snapToGrid w:val="0"/>
              </w:rPr>
            </w:pPr>
            <w:r w:rsidRPr="00443C77">
              <w:rPr>
                <w:rFonts w:cs="Arial"/>
                <w:snapToGrid w:val="0"/>
              </w:rPr>
              <w:t xml:space="preserve">The total harvest in the </w:t>
            </w:r>
            <w:r w:rsidR="00443C77" w:rsidRPr="00443C77">
              <w:rPr>
                <w:rFonts w:cs="Arial"/>
                <w:snapToGrid w:val="0"/>
              </w:rPr>
              <w:t>East Coast Inshore Fin Fish Fishery</w:t>
            </w:r>
            <w:r w:rsidRPr="00443C77">
              <w:rPr>
                <w:rFonts w:cs="Arial"/>
                <w:snapToGrid w:val="0"/>
              </w:rPr>
              <w:t xml:space="preserve"> has been</w:t>
            </w:r>
            <w:r w:rsidR="00443C77" w:rsidRPr="00443C77">
              <w:rPr>
                <w:rFonts w:cs="Arial"/>
                <w:snapToGrid w:val="0"/>
              </w:rPr>
              <w:t xml:space="preserve"> relatively stable over the past</w:t>
            </w:r>
            <w:r w:rsidRPr="00443C77">
              <w:rPr>
                <w:rFonts w:cs="Arial"/>
                <w:snapToGrid w:val="0"/>
              </w:rPr>
              <w:t xml:space="preserve"> four fishing seasons, although there has been </w:t>
            </w:r>
            <w:r w:rsidR="00443C77" w:rsidRPr="00443C77">
              <w:rPr>
                <w:rFonts w:cs="Arial"/>
                <w:snapToGrid w:val="0"/>
              </w:rPr>
              <w:t xml:space="preserve">some </w:t>
            </w:r>
            <w:r w:rsidRPr="00443C77">
              <w:rPr>
                <w:rFonts w:cs="Arial"/>
                <w:snapToGrid w:val="0"/>
              </w:rPr>
              <w:t>variation in the species composition</w:t>
            </w:r>
            <w:r w:rsidR="00D42B87">
              <w:rPr>
                <w:rFonts w:cs="Arial"/>
                <w:snapToGrid w:val="0"/>
              </w:rPr>
              <w:t xml:space="preserve"> </w:t>
            </w:r>
            <w:r w:rsidR="002B7F54">
              <w:rPr>
                <w:rFonts w:cs="Arial"/>
                <w:snapToGrid w:val="0"/>
              </w:rPr>
              <w:t>of the catch, as shown in the table below</w:t>
            </w:r>
            <w:r w:rsidRPr="00443C77">
              <w:rPr>
                <w:rFonts w:cs="Arial"/>
                <w:snapToGrid w:val="0"/>
              </w:rPr>
              <w:t>.</w:t>
            </w:r>
            <w:r w:rsidR="00443C77">
              <w:rPr>
                <w:rFonts w:cs="Arial"/>
                <w:snapToGrid w:val="0"/>
              </w:rPr>
              <w:t xml:space="preserve"> </w:t>
            </w:r>
          </w:p>
          <w:p w14:paraId="2F5C39F5" w14:textId="77777777" w:rsidR="000B3845" w:rsidRDefault="008648F6" w:rsidP="001F1716">
            <w:pPr>
              <w:spacing w:line="240" w:lineRule="auto"/>
              <w:rPr>
                <w:rFonts w:cs="Arial"/>
                <w:snapToGrid w:val="0"/>
              </w:rPr>
            </w:pPr>
            <w:r w:rsidRPr="00582865">
              <w:rPr>
                <w:rFonts w:cs="Arial"/>
                <w:snapToGrid w:val="0"/>
              </w:rPr>
              <w:t>East Coast Inshore Fin Fish Fishery catch for 2011 to 2014</w:t>
            </w:r>
            <w:r w:rsidR="005E1E3A" w:rsidRPr="00582865">
              <w:rPr>
                <w:rFonts w:cs="Arial"/>
                <w:snapToGrid w:val="0"/>
              </w:rPr>
              <w:t xml:space="preserve"> (tonnes)</w:t>
            </w:r>
            <w:r w:rsidR="00720363">
              <w:rPr>
                <w:rFonts w:cs="Arial"/>
                <w:snapToGrid w:val="0"/>
              </w:rPr>
              <w:t xml:space="preserve"> (Source: Queensland Department of Agriculture and Fisheries, 2016)</w:t>
            </w:r>
          </w:p>
          <w:tbl>
            <w:tblPr>
              <w:tblStyle w:val="TableGrid"/>
              <w:tblW w:w="0" w:type="auto"/>
              <w:tblLayout w:type="fixed"/>
              <w:tblLook w:val="04A0" w:firstRow="1" w:lastRow="0" w:firstColumn="1" w:lastColumn="0" w:noHBand="0" w:noVBand="1"/>
            </w:tblPr>
            <w:tblGrid>
              <w:gridCol w:w="1803"/>
              <w:gridCol w:w="1114"/>
              <w:gridCol w:w="1134"/>
              <w:gridCol w:w="1134"/>
              <w:gridCol w:w="1134"/>
            </w:tblGrid>
            <w:tr w:rsidR="002B7F54" w14:paraId="2F5C39FB" w14:textId="77777777" w:rsidTr="002B7F54">
              <w:trPr>
                <w:cnfStyle w:val="100000000000" w:firstRow="1" w:lastRow="0" w:firstColumn="0" w:lastColumn="0" w:oddVBand="0" w:evenVBand="0" w:oddHBand="0" w:evenHBand="0" w:firstRowFirstColumn="0" w:firstRowLastColumn="0" w:lastRowFirstColumn="0" w:lastRowLastColumn="0"/>
              </w:trPr>
              <w:tc>
                <w:tcPr>
                  <w:tcW w:w="1803" w:type="dxa"/>
                </w:tcPr>
                <w:p w14:paraId="2F5C39F6" w14:textId="77777777" w:rsidR="002B7F54" w:rsidRPr="008648F6" w:rsidRDefault="002B7F54" w:rsidP="002B7F54">
                  <w:pPr>
                    <w:spacing w:line="240" w:lineRule="auto"/>
                    <w:rPr>
                      <w:rFonts w:cs="Arial"/>
                      <w:b/>
                      <w:snapToGrid w:val="0"/>
                    </w:rPr>
                  </w:pPr>
                  <w:r w:rsidRPr="008648F6">
                    <w:rPr>
                      <w:rFonts w:cs="Arial"/>
                      <w:b/>
                      <w:snapToGrid w:val="0"/>
                    </w:rPr>
                    <w:t>Species</w:t>
                  </w:r>
                </w:p>
              </w:tc>
              <w:tc>
                <w:tcPr>
                  <w:tcW w:w="1114" w:type="dxa"/>
                </w:tcPr>
                <w:p w14:paraId="2F5C39F7" w14:textId="77777777" w:rsidR="002B7F54" w:rsidRPr="008648F6" w:rsidRDefault="002B7F54" w:rsidP="002B7F54">
                  <w:pPr>
                    <w:spacing w:line="240" w:lineRule="auto"/>
                    <w:rPr>
                      <w:rFonts w:cs="Arial"/>
                      <w:b/>
                      <w:snapToGrid w:val="0"/>
                    </w:rPr>
                  </w:pPr>
                  <w:r w:rsidRPr="008648F6">
                    <w:rPr>
                      <w:rFonts w:cs="Arial"/>
                      <w:b/>
                      <w:snapToGrid w:val="0"/>
                    </w:rPr>
                    <w:t>2011-12</w:t>
                  </w:r>
                </w:p>
              </w:tc>
              <w:tc>
                <w:tcPr>
                  <w:tcW w:w="1134" w:type="dxa"/>
                </w:tcPr>
                <w:p w14:paraId="2F5C39F8" w14:textId="77777777" w:rsidR="002B7F54" w:rsidRPr="008648F6" w:rsidRDefault="002B7F54" w:rsidP="002B7F54">
                  <w:pPr>
                    <w:spacing w:line="240" w:lineRule="auto"/>
                    <w:rPr>
                      <w:rFonts w:cs="Arial"/>
                      <w:b/>
                      <w:snapToGrid w:val="0"/>
                    </w:rPr>
                  </w:pPr>
                  <w:r w:rsidRPr="008648F6">
                    <w:rPr>
                      <w:rFonts w:cs="Arial"/>
                      <w:b/>
                      <w:snapToGrid w:val="0"/>
                    </w:rPr>
                    <w:t>2012-13</w:t>
                  </w:r>
                </w:p>
              </w:tc>
              <w:tc>
                <w:tcPr>
                  <w:tcW w:w="1134" w:type="dxa"/>
                </w:tcPr>
                <w:p w14:paraId="2F5C39F9" w14:textId="77777777" w:rsidR="002B7F54" w:rsidRPr="008648F6" w:rsidRDefault="002B7F54" w:rsidP="002B7F54">
                  <w:pPr>
                    <w:spacing w:line="240" w:lineRule="auto"/>
                    <w:rPr>
                      <w:rFonts w:cs="Arial"/>
                      <w:b/>
                      <w:snapToGrid w:val="0"/>
                    </w:rPr>
                  </w:pPr>
                  <w:r w:rsidRPr="008648F6">
                    <w:rPr>
                      <w:rFonts w:cs="Arial"/>
                      <w:b/>
                      <w:snapToGrid w:val="0"/>
                    </w:rPr>
                    <w:t>2013-14</w:t>
                  </w:r>
                </w:p>
              </w:tc>
              <w:tc>
                <w:tcPr>
                  <w:tcW w:w="1134" w:type="dxa"/>
                </w:tcPr>
                <w:p w14:paraId="2F5C39FA" w14:textId="77777777" w:rsidR="002B7F54" w:rsidRPr="008648F6" w:rsidRDefault="002B7F54" w:rsidP="002B7F54">
                  <w:pPr>
                    <w:spacing w:line="240" w:lineRule="auto"/>
                    <w:rPr>
                      <w:rFonts w:cs="Arial"/>
                      <w:b/>
                      <w:snapToGrid w:val="0"/>
                    </w:rPr>
                  </w:pPr>
                  <w:r>
                    <w:rPr>
                      <w:rFonts w:cs="Arial"/>
                      <w:b/>
                      <w:snapToGrid w:val="0"/>
                    </w:rPr>
                    <w:t>2014-15</w:t>
                  </w:r>
                </w:p>
              </w:tc>
            </w:tr>
            <w:tr w:rsidR="002B7F54" w14:paraId="2F5C3A01"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9FC" w14:textId="77777777" w:rsidR="002B7F54" w:rsidRPr="008648F6" w:rsidRDefault="002B7F54" w:rsidP="002B7F54">
                  <w:pPr>
                    <w:spacing w:line="240" w:lineRule="auto"/>
                    <w:rPr>
                      <w:rFonts w:cs="Arial"/>
                      <w:b/>
                      <w:snapToGrid w:val="0"/>
                    </w:rPr>
                  </w:pPr>
                  <w:r>
                    <w:rPr>
                      <w:rFonts w:cs="Arial"/>
                      <w:b/>
                      <w:snapToGrid w:val="0"/>
                    </w:rPr>
                    <w:t>Total catch (t)</w:t>
                  </w:r>
                </w:p>
              </w:tc>
              <w:tc>
                <w:tcPr>
                  <w:tcW w:w="1114" w:type="dxa"/>
                </w:tcPr>
                <w:p w14:paraId="2F5C39FD" w14:textId="77777777" w:rsidR="002B7F54" w:rsidRPr="008648F6" w:rsidRDefault="002B7F54" w:rsidP="002B7F54">
                  <w:pPr>
                    <w:spacing w:line="240" w:lineRule="auto"/>
                    <w:rPr>
                      <w:rFonts w:cs="Arial"/>
                      <w:b/>
                      <w:snapToGrid w:val="0"/>
                    </w:rPr>
                  </w:pPr>
                  <w:r>
                    <w:rPr>
                      <w:rFonts w:cs="Arial"/>
                      <w:b/>
                      <w:snapToGrid w:val="0"/>
                    </w:rPr>
                    <w:t>4668</w:t>
                  </w:r>
                </w:p>
              </w:tc>
              <w:tc>
                <w:tcPr>
                  <w:tcW w:w="1134" w:type="dxa"/>
                </w:tcPr>
                <w:p w14:paraId="2F5C39FE" w14:textId="77777777" w:rsidR="002B7F54" w:rsidRPr="008648F6" w:rsidRDefault="002B7F54" w:rsidP="002B7F54">
                  <w:pPr>
                    <w:spacing w:line="240" w:lineRule="auto"/>
                    <w:rPr>
                      <w:rFonts w:cs="Arial"/>
                      <w:b/>
                      <w:snapToGrid w:val="0"/>
                    </w:rPr>
                  </w:pPr>
                  <w:r>
                    <w:rPr>
                      <w:rFonts w:cs="Arial"/>
                      <w:b/>
                      <w:snapToGrid w:val="0"/>
                    </w:rPr>
                    <w:t>4774</w:t>
                  </w:r>
                </w:p>
              </w:tc>
              <w:tc>
                <w:tcPr>
                  <w:tcW w:w="1134" w:type="dxa"/>
                </w:tcPr>
                <w:p w14:paraId="2F5C39FF" w14:textId="77777777" w:rsidR="002B7F54" w:rsidRPr="008648F6" w:rsidRDefault="002B7F54" w:rsidP="002B7F54">
                  <w:pPr>
                    <w:spacing w:line="240" w:lineRule="auto"/>
                    <w:rPr>
                      <w:rFonts w:cs="Arial"/>
                      <w:b/>
                      <w:snapToGrid w:val="0"/>
                    </w:rPr>
                  </w:pPr>
                  <w:r>
                    <w:rPr>
                      <w:rFonts w:cs="Arial"/>
                      <w:b/>
                      <w:snapToGrid w:val="0"/>
                    </w:rPr>
                    <w:t>4787</w:t>
                  </w:r>
                </w:p>
              </w:tc>
              <w:tc>
                <w:tcPr>
                  <w:tcW w:w="1134" w:type="dxa"/>
                </w:tcPr>
                <w:p w14:paraId="2F5C3A00" w14:textId="77777777" w:rsidR="002B7F54" w:rsidRDefault="002B7F54" w:rsidP="002B7F54">
                  <w:pPr>
                    <w:spacing w:line="240" w:lineRule="auto"/>
                    <w:rPr>
                      <w:rFonts w:cs="Arial"/>
                      <w:b/>
                      <w:snapToGrid w:val="0"/>
                    </w:rPr>
                  </w:pPr>
                  <w:r>
                    <w:rPr>
                      <w:rFonts w:cs="Arial"/>
                      <w:b/>
                      <w:snapToGrid w:val="0"/>
                    </w:rPr>
                    <w:t>4608</w:t>
                  </w:r>
                </w:p>
              </w:tc>
            </w:tr>
            <w:tr w:rsidR="002B7F54" w14:paraId="2F5C3A07"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02" w14:textId="77777777" w:rsidR="002B7F54" w:rsidRPr="003F2D85" w:rsidRDefault="002B7F54" w:rsidP="002B7F54">
                  <w:pPr>
                    <w:spacing w:line="240" w:lineRule="auto"/>
                    <w:rPr>
                      <w:rFonts w:cs="Arial"/>
                      <w:snapToGrid w:val="0"/>
                    </w:rPr>
                  </w:pPr>
                  <w:r w:rsidRPr="003F2D85">
                    <w:rPr>
                      <w:rFonts w:cs="Arial"/>
                      <w:snapToGrid w:val="0"/>
                    </w:rPr>
                    <w:t>baitfish</w:t>
                  </w:r>
                </w:p>
              </w:tc>
              <w:tc>
                <w:tcPr>
                  <w:tcW w:w="1114" w:type="dxa"/>
                </w:tcPr>
                <w:p w14:paraId="2F5C3A03" w14:textId="77777777" w:rsidR="002B7F54" w:rsidRPr="003F2D85" w:rsidRDefault="002B7F54" w:rsidP="002B7F54">
                  <w:pPr>
                    <w:spacing w:line="240" w:lineRule="auto"/>
                    <w:rPr>
                      <w:rFonts w:cs="Arial"/>
                      <w:snapToGrid w:val="0"/>
                    </w:rPr>
                  </w:pPr>
                  <w:r>
                    <w:rPr>
                      <w:rFonts w:cs="Arial"/>
                      <w:snapToGrid w:val="0"/>
                    </w:rPr>
                    <w:t>79</w:t>
                  </w:r>
                </w:p>
              </w:tc>
              <w:tc>
                <w:tcPr>
                  <w:tcW w:w="1134" w:type="dxa"/>
                </w:tcPr>
                <w:p w14:paraId="2F5C3A04" w14:textId="77777777" w:rsidR="002B7F54" w:rsidRPr="003F2D85" w:rsidRDefault="002B7F54" w:rsidP="002B7F54">
                  <w:pPr>
                    <w:spacing w:line="240" w:lineRule="auto"/>
                    <w:rPr>
                      <w:rFonts w:cs="Arial"/>
                      <w:snapToGrid w:val="0"/>
                    </w:rPr>
                  </w:pPr>
                  <w:r>
                    <w:rPr>
                      <w:rFonts w:cs="Arial"/>
                      <w:snapToGrid w:val="0"/>
                    </w:rPr>
                    <w:t>69</w:t>
                  </w:r>
                </w:p>
              </w:tc>
              <w:tc>
                <w:tcPr>
                  <w:tcW w:w="1134" w:type="dxa"/>
                </w:tcPr>
                <w:p w14:paraId="2F5C3A05" w14:textId="77777777" w:rsidR="002B7F54" w:rsidRPr="003F2D85" w:rsidRDefault="002B7F54" w:rsidP="002B7F54">
                  <w:pPr>
                    <w:spacing w:line="240" w:lineRule="auto"/>
                    <w:rPr>
                      <w:rFonts w:cs="Arial"/>
                      <w:snapToGrid w:val="0"/>
                    </w:rPr>
                  </w:pPr>
                  <w:r>
                    <w:rPr>
                      <w:rFonts w:cs="Arial"/>
                      <w:snapToGrid w:val="0"/>
                    </w:rPr>
                    <w:t>69</w:t>
                  </w:r>
                </w:p>
              </w:tc>
              <w:tc>
                <w:tcPr>
                  <w:tcW w:w="1134" w:type="dxa"/>
                </w:tcPr>
                <w:p w14:paraId="2F5C3A06" w14:textId="77777777" w:rsidR="002B7F54" w:rsidRPr="003F2D85" w:rsidRDefault="002B7F54" w:rsidP="002B7F54">
                  <w:pPr>
                    <w:spacing w:line="240" w:lineRule="auto"/>
                    <w:rPr>
                      <w:rFonts w:cs="Arial"/>
                      <w:snapToGrid w:val="0"/>
                    </w:rPr>
                  </w:pPr>
                  <w:r>
                    <w:rPr>
                      <w:rFonts w:cs="Arial"/>
                      <w:snapToGrid w:val="0"/>
                    </w:rPr>
                    <w:t>57</w:t>
                  </w:r>
                </w:p>
              </w:tc>
            </w:tr>
            <w:tr w:rsidR="002B7F54" w14:paraId="2F5C3A0D"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08" w14:textId="77777777" w:rsidR="002B7F54" w:rsidRPr="008648F6" w:rsidRDefault="002B7F54" w:rsidP="002B7F54">
                  <w:pPr>
                    <w:spacing w:line="240" w:lineRule="auto"/>
                    <w:rPr>
                      <w:rFonts w:cs="Arial"/>
                      <w:snapToGrid w:val="0"/>
                    </w:rPr>
                  </w:pPr>
                  <w:r w:rsidRPr="008648F6">
                    <w:rPr>
                      <w:rFonts w:cs="Arial"/>
                      <w:snapToGrid w:val="0"/>
                    </w:rPr>
                    <w:t>barramundi</w:t>
                  </w:r>
                </w:p>
              </w:tc>
              <w:tc>
                <w:tcPr>
                  <w:tcW w:w="1114" w:type="dxa"/>
                </w:tcPr>
                <w:p w14:paraId="2F5C3A09" w14:textId="77777777" w:rsidR="002B7F54" w:rsidRPr="008648F6" w:rsidRDefault="002B7F54" w:rsidP="002B7F54">
                  <w:pPr>
                    <w:spacing w:line="240" w:lineRule="auto"/>
                    <w:rPr>
                      <w:rFonts w:cs="Arial"/>
                      <w:snapToGrid w:val="0"/>
                    </w:rPr>
                  </w:pPr>
                  <w:r>
                    <w:rPr>
                      <w:rFonts w:cs="Arial"/>
                      <w:snapToGrid w:val="0"/>
                    </w:rPr>
                    <w:t>555</w:t>
                  </w:r>
                </w:p>
              </w:tc>
              <w:tc>
                <w:tcPr>
                  <w:tcW w:w="1134" w:type="dxa"/>
                </w:tcPr>
                <w:p w14:paraId="2F5C3A0A" w14:textId="77777777" w:rsidR="002B7F54" w:rsidRPr="008648F6" w:rsidRDefault="002B7F54" w:rsidP="002B7F54">
                  <w:pPr>
                    <w:spacing w:line="240" w:lineRule="auto"/>
                    <w:rPr>
                      <w:rFonts w:cs="Arial"/>
                      <w:snapToGrid w:val="0"/>
                    </w:rPr>
                  </w:pPr>
                  <w:r>
                    <w:rPr>
                      <w:rFonts w:cs="Arial"/>
                      <w:snapToGrid w:val="0"/>
                    </w:rPr>
                    <w:t>402</w:t>
                  </w:r>
                </w:p>
              </w:tc>
              <w:tc>
                <w:tcPr>
                  <w:tcW w:w="1134" w:type="dxa"/>
                </w:tcPr>
                <w:p w14:paraId="2F5C3A0B" w14:textId="77777777" w:rsidR="002B7F54" w:rsidRPr="008648F6" w:rsidRDefault="002B7F54" w:rsidP="002B7F54">
                  <w:pPr>
                    <w:spacing w:line="240" w:lineRule="auto"/>
                    <w:rPr>
                      <w:rFonts w:cs="Arial"/>
                      <w:snapToGrid w:val="0"/>
                    </w:rPr>
                  </w:pPr>
                  <w:r>
                    <w:rPr>
                      <w:rFonts w:cs="Arial"/>
                      <w:snapToGrid w:val="0"/>
                    </w:rPr>
                    <w:t>335</w:t>
                  </w:r>
                </w:p>
              </w:tc>
              <w:tc>
                <w:tcPr>
                  <w:tcW w:w="1134" w:type="dxa"/>
                </w:tcPr>
                <w:p w14:paraId="2F5C3A0C" w14:textId="77777777" w:rsidR="002B7F54" w:rsidRDefault="002B7F54" w:rsidP="002B7F54">
                  <w:pPr>
                    <w:spacing w:line="240" w:lineRule="auto"/>
                    <w:rPr>
                      <w:rFonts w:cs="Arial"/>
                      <w:snapToGrid w:val="0"/>
                    </w:rPr>
                  </w:pPr>
                  <w:r>
                    <w:rPr>
                      <w:rFonts w:cs="Arial"/>
                      <w:snapToGrid w:val="0"/>
                    </w:rPr>
                    <w:t>310</w:t>
                  </w:r>
                </w:p>
              </w:tc>
            </w:tr>
            <w:tr w:rsidR="002B7F54" w14:paraId="2F5C3A13"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0E" w14:textId="77777777" w:rsidR="002B7F54" w:rsidRPr="008648F6" w:rsidRDefault="002B7F54" w:rsidP="002B7F54">
                  <w:pPr>
                    <w:spacing w:line="240" w:lineRule="auto"/>
                    <w:rPr>
                      <w:rFonts w:cs="Arial"/>
                      <w:snapToGrid w:val="0"/>
                    </w:rPr>
                  </w:pPr>
                  <w:r w:rsidRPr="008648F6">
                    <w:rPr>
                      <w:rFonts w:cs="Arial"/>
                      <w:snapToGrid w:val="0"/>
                    </w:rPr>
                    <w:t>blacktip shark complex</w:t>
                  </w:r>
                </w:p>
              </w:tc>
              <w:tc>
                <w:tcPr>
                  <w:tcW w:w="1114" w:type="dxa"/>
                </w:tcPr>
                <w:p w14:paraId="2F5C3A0F" w14:textId="77777777" w:rsidR="002B7F54" w:rsidRPr="008648F6" w:rsidRDefault="002B7F54" w:rsidP="002B7F54">
                  <w:pPr>
                    <w:spacing w:line="240" w:lineRule="auto"/>
                    <w:rPr>
                      <w:rFonts w:cs="Arial"/>
                      <w:snapToGrid w:val="0"/>
                    </w:rPr>
                  </w:pPr>
                  <w:r>
                    <w:rPr>
                      <w:rFonts w:cs="Arial"/>
                      <w:snapToGrid w:val="0"/>
                    </w:rPr>
                    <w:t>195</w:t>
                  </w:r>
                </w:p>
              </w:tc>
              <w:tc>
                <w:tcPr>
                  <w:tcW w:w="1134" w:type="dxa"/>
                </w:tcPr>
                <w:p w14:paraId="2F5C3A10" w14:textId="77777777" w:rsidR="002B7F54" w:rsidRPr="008648F6" w:rsidRDefault="002B7F54" w:rsidP="002B7F54">
                  <w:pPr>
                    <w:spacing w:line="240" w:lineRule="auto"/>
                    <w:rPr>
                      <w:rFonts w:cs="Arial"/>
                      <w:snapToGrid w:val="0"/>
                    </w:rPr>
                  </w:pPr>
                  <w:r>
                    <w:rPr>
                      <w:rFonts w:cs="Arial"/>
                      <w:snapToGrid w:val="0"/>
                    </w:rPr>
                    <w:t>133</w:t>
                  </w:r>
                </w:p>
              </w:tc>
              <w:tc>
                <w:tcPr>
                  <w:tcW w:w="1134" w:type="dxa"/>
                </w:tcPr>
                <w:p w14:paraId="2F5C3A11" w14:textId="77777777" w:rsidR="002B7F54" w:rsidRPr="008648F6" w:rsidRDefault="002B7F54" w:rsidP="002B7F54">
                  <w:pPr>
                    <w:spacing w:line="240" w:lineRule="auto"/>
                    <w:rPr>
                      <w:rFonts w:cs="Arial"/>
                      <w:snapToGrid w:val="0"/>
                    </w:rPr>
                  </w:pPr>
                  <w:r>
                    <w:rPr>
                      <w:rFonts w:cs="Arial"/>
                      <w:snapToGrid w:val="0"/>
                    </w:rPr>
                    <w:t>118</w:t>
                  </w:r>
                </w:p>
              </w:tc>
              <w:tc>
                <w:tcPr>
                  <w:tcW w:w="1134" w:type="dxa"/>
                </w:tcPr>
                <w:p w14:paraId="2F5C3A12" w14:textId="77777777" w:rsidR="002B7F54" w:rsidRDefault="002B7F54" w:rsidP="002B7F54">
                  <w:pPr>
                    <w:spacing w:line="240" w:lineRule="auto"/>
                    <w:rPr>
                      <w:rFonts w:cs="Arial"/>
                      <w:snapToGrid w:val="0"/>
                    </w:rPr>
                  </w:pPr>
                  <w:r>
                    <w:rPr>
                      <w:rFonts w:cs="Arial"/>
                      <w:snapToGrid w:val="0"/>
                    </w:rPr>
                    <w:t>224</w:t>
                  </w:r>
                </w:p>
              </w:tc>
            </w:tr>
            <w:tr w:rsidR="002B7F54" w14:paraId="2F5C3A19"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14" w14:textId="77777777" w:rsidR="002B7F54" w:rsidRPr="008648F6" w:rsidRDefault="002B7F54" w:rsidP="002B7F54">
                  <w:pPr>
                    <w:spacing w:line="240" w:lineRule="auto"/>
                    <w:rPr>
                      <w:rFonts w:cs="Arial"/>
                      <w:snapToGrid w:val="0"/>
                    </w:rPr>
                  </w:pPr>
                  <w:r>
                    <w:rPr>
                      <w:rFonts w:cs="Arial"/>
                      <w:snapToGrid w:val="0"/>
                    </w:rPr>
                    <w:t>blue threadfin</w:t>
                  </w:r>
                </w:p>
              </w:tc>
              <w:tc>
                <w:tcPr>
                  <w:tcW w:w="1114" w:type="dxa"/>
                </w:tcPr>
                <w:p w14:paraId="2F5C3A15" w14:textId="77777777" w:rsidR="002B7F54" w:rsidRDefault="002B7F54" w:rsidP="002B7F54">
                  <w:pPr>
                    <w:spacing w:line="240" w:lineRule="auto"/>
                    <w:rPr>
                      <w:rFonts w:cs="Arial"/>
                      <w:snapToGrid w:val="0"/>
                    </w:rPr>
                  </w:pPr>
                  <w:r>
                    <w:rPr>
                      <w:rFonts w:cs="Arial"/>
                      <w:snapToGrid w:val="0"/>
                    </w:rPr>
                    <w:t>159</w:t>
                  </w:r>
                </w:p>
              </w:tc>
              <w:tc>
                <w:tcPr>
                  <w:tcW w:w="1134" w:type="dxa"/>
                </w:tcPr>
                <w:p w14:paraId="2F5C3A16" w14:textId="77777777" w:rsidR="002B7F54" w:rsidRDefault="002B7F54" w:rsidP="002B7F54">
                  <w:pPr>
                    <w:spacing w:line="240" w:lineRule="auto"/>
                    <w:rPr>
                      <w:rFonts w:cs="Arial"/>
                      <w:snapToGrid w:val="0"/>
                    </w:rPr>
                  </w:pPr>
                  <w:r>
                    <w:rPr>
                      <w:rFonts w:cs="Arial"/>
                      <w:snapToGrid w:val="0"/>
                    </w:rPr>
                    <w:t>169</w:t>
                  </w:r>
                </w:p>
              </w:tc>
              <w:tc>
                <w:tcPr>
                  <w:tcW w:w="1134" w:type="dxa"/>
                </w:tcPr>
                <w:p w14:paraId="2F5C3A17" w14:textId="77777777" w:rsidR="002B7F54" w:rsidRDefault="002B7F54" w:rsidP="002B7F54">
                  <w:pPr>
                    <w:spacing w:line="240" w:lineRule="auto"/>
                    <w:rPr>
                      <w:rFonts w:cs="Arial"/>
                      <w:snapToGrid w:val="0"/>
                    </w:rPr>
                  </w:pPr>
                  <w:r>
                    <w:rPr>
                      <w:rFonts w:cs="Arial"/>
                      <w:snapToGrid w:val="0"/>
                    </w:rPr>
                    <w:t>128</w:t>
                  </w:r>
                </w:p>
              </w:tc>
              <w:tc>
                <w:tcPr>
                  <w:tcW w:w="1134" w:type="dxa"/>
                </w:tcPr>
                <w:p w14:paraId="2F5C3A18" w14:textId="77777777" w:rsidR="002B7F54" w:rsidRDefault="002B7F54" w:rsidP="002B7F54">
                  <w:pPr>
                    <w:spacing w:line="240" w:lineRule="auto"/>
                    <w:rPr>
                      <w:rFonts w:cs="Arial"/>
                      <w:snapToGrid w:val="0"/>
                    </w:rPr>
                  </w:pPr>
                  <w:r>
                    <w:rPr>
                      <w:rFonts w:cs="Arial"/>
                      <w:snapToGrid w:val="0"/>
                    </w:rPr>
                    <w:t>104</w:t>
                  </w:r>
                </w:p>
              </w:tc>
            </w:tr>
            <w:tr w:rsidR="002B7F54" w14:paraId="2F5C3A1F"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1A" w14:textId="77777777" w:rsidR="002B7F54" w:rsidRDefault="002B7F54" w:rsidP="002B7F54">
                  <w:pPr>
                    <w:spacing w:line="240" w:lineRule="auto"/>
                    <w:rPr>
                      <w:rFonts w:cs="Arial"/>
                      <w:snapToGrid w:val="0"/>
                    </w:rPr>
                  </w:pPr>
                  <w:r>
                    <w:rPr>
                      <w:rFonts w:cs="Arial"/>
                      <w:snapToGrid w:val="0"/>
                    </w:rPr>
                    <w:t>bream</w:t>
                  </w:r>
                </w:p>
              </w:tc>
              <w:tc>
                <w:tcPr>
                  <w:tcW w:w="1114" w:type="dxa"/>
                </w:tcPr>
                <w:p w14:paraId="2F5C3A1B" w14:textId="77777777" w:rsidR="002B7F54" w:rsidRDefault="002B7F54" w:rsidP="002B7F54">
                  <w:pPr>
                    <w:spacing w:line="240" w:lineRule="auto"/>
                    <w:rPr>
                      <w:rFonts w:cs="Arial"/>
                      <w:snapToGrid w:val="0"/>
                    </w:rPr>
                  </w:pPr>
                  <w:r>
                    <w:rPr>
                      <w:rFonts w:cs="Arial"/>
                      <w:snapToGrid w:val="0"/>
                    </w:rPr>
                    <w:t>125</w:t>
                  </w:r>
                </w:p>
              </w:tc>
              <w:tc>
                <w:tcPr>
                  <w:tcW w:w="1134" w:type="dxa"/>
                </w:tcPr>
                <w:p w14:paraId="2F5C3A1C" w14:textId="77777777" w:rsidR="002B7F54" w:rsidRDefault="002B7F54" w:rsidP="002B7F54">
                  <w:pPr>
                    <w:spacing w:line="240" w:lineRule="auto"/>
                    <w:rPr>
                      <w:rFonts w:cs="Arial"/>
                      <w:snapToGrid w:val="0"/>
                    </w:rPr>
                  </w:pPr>
                  <w:r>
                    <w:rPr>
                      <w:rFonts w:cs="Arial"/>
                      <w:snapToGrid w:val="0"/>
                    </w:rPr>
                    <w:t>151</w:t>
                  </w:r>
                </w:p>
              </w:tc>
              <w:tc>
                <w:tcPr>
                  <w:tcW w:w="1134" w:type="dxa"/>
                </w:tcPr>
                <w:p w14:paraId="2F5C3A1D" w14:textId="77777777" w:rsidR="002B7F54" w:rsidRDefault="002B7F54" w:rsidP="002B7F54">
                  <w:pPr>
                    <w:spacing w:line="240" w:lineRule="auto"/>
                    <w:rPr>
                      <w:rFonts w:cs="Arial"/>
                      <w:snapToGrid w:val="0"/>
                    </w:rPr>
                  </w:pPr>
                  <w:r>
                    <w:rPr>
                      <w:rFonts w:cs="Arial"/>
                      <w:snapToGrid w:val="0"/>
                    </w:rPr>
                    <w:t>126</w:t>
                  </w:r>
                </w:p>
              </w:tc>
              <w:tc>
                <w:tcPr>
                  <w:tcW w:w="1134" w:type="dxa"/>
                </w:tcPr>
                <w:p w14:paraId="2F5C3A1E" w14:textId="77777777" w:rsidR="002B7F54" w:rsidRDefault="002B7F54" w:rsidP="002B7F54">
                  <w:pPr>
                    <w:spacing w:line="240" w:lineRule="auto"/>
                    <w:rPr>
                      <w:rFonts w:cs="Arial"/>
                      <w:snapToGrid w:val="0"/>
                    </w:rPr>
                  </w:pPr>
                  <w:r>
                    <w:rPr>
                      <w:rFonts w:cs="Arial"/>
                      <w:snapToGrid w:val="0"/>
                    </w:rPr>
                    <w:t>153</w:t>
                  </w:r>
                </w:p>
              </w:tc>
            </w:tr>
            <w:tr w:rsidR="002B7F54" w14:paraId="2F5C3A25"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20" w14:textId="77777777" w:rsidR="002B7F54" w:rsidRPr="008648F6" w:rsidRDefault="002B7F54" w:rsidP="002B7F54">
                  <w:pPr>
                    <w:spacing w:line="240" w:lineRule="auto"/>
                    <w:rPr>
                      <w:rFonts w:cs="Arial"/>
                      <w:snapToGrid w:val="0"/>
                    </w:rPr>
                  </w:pPr>
                  <w:r w:rsidRPr="008648F6">
                    <w:rPr>
                      <w:rFonts w:cs="Arial"/>
                      <w:snapToGrid w:val="0"/>
                    </w:rPr>
                    <w:t>dusky flathead</w:t>
                  </w:r>
                </w:p>
              </w:tc>
              <w:tc>
                <w:tcPr>
                  <w:tcW w:w="1114" w:type="dxa"/>
                </w:tcPr>
                <w:p w14:paraId="2F5C3A21" w14:textId="77777777" w:rsidR="002B7F54" w:rsidRPr="008648F6" w:rsidRDefault="002B7F54" w:rsidP="002B7F54">
                  <w:pPr>
                    <w:spacing w:line="240" w:lineRule="auto"/>
                    <w:rPr>
                      <w:rFonts w:cs="Arial"/>
                      <w:snapToGrid w:val="0"/>
                    </w:rPr>
                  </w:pPr>
                  <w:r>
                    <w:rPr>
                      <w:rFonts w:cs="Arial"/>
                      <w:snapToGrid w:val="0"/>
                    </w:rPr>
                    <w:t>65</w:t>
                  </w:r>
                </w:p>
              </w:tc>
              <w:tc>
                <w:tcPr>
                  <w:tcW w:w="1134" w:type="dxa"/>
                </w:tcPr>
                <w:p w14:paraId="2F5C3A22" w14:textId="77777777" w:rsidR="002B7F54" w:rsidRPr="008648F6" w:rsidRDefault="002B7F54" w:rsidP="002B7F54">
                  <w:pPr>
                    <w:spacing w:line="240" w:lineRule="auto"/>
                    <w:rPr>
                      <w:rFonts w:cs="Arial"/>
                      <w:snapToGrid w:val="0"/>
                    </w:rPr>
                  </w:pPr>
                  <w:r>
                    <w:rPr>
                      <w:rFonts w:cs="Arial"/>
                      <w:snapToGrid w:val="0"/>
                    </w:rPr>
                    <w:t>61</w:t>
                  </w:r>
                </w:p>
              </w:tc>
              <w:tc>
                <w:tcPr>
                  <w:tcW w:w="1134" w:type="dxa"/>
                </w:tcPr>
                <w:p w14:paraId="2F5C3A23" w14:textId="77777777" w:rsidR="002B7F54" w:rsidRPr="008648F6" w:rsidRDefault="002B7F54" w:rsidP="002B7F54">
                  <w:pPr>
                    <w:spacing w:line="240" w:lineRule="auto"/>
                    <w:rPr>
                      <w:rFonts w:cs="Arial"/>
                      <w:snapToGrid w:val="0"/>
                    </w:rPr>
                  </w:pPr>
                  <w:r>
                    <w:rPr>
                      <w:rFonts w:cs="Arial"/>
                      <w:snapToGrid w:val="0"/>
                    </w:rPr>
                    <w:t>50</w:t>
                  </w:r>
                </w:p>
              </w:tc>
              <w:tc>
                <w:tcPr>
                  <w:tcW w:w="1134" w:type="dxa"/>
                </w:tcPr>
                <w:p w14:paraId="2F5C3A24" w14:textId="77777777" w:rsidR="002B7F54" w:rsidRDefault="002B7F54" w:rsidP="002B7F54">
                  <w:pPr>
                    <w:spacing w:line="240" w:lineRule="auto"/>
                    <w:rPr>
                      <w:rFonts w:cs="Arial"/>
                      <w:snapToGrid w:val="0"/>
                    </w:rPr>
                  </w:pPr>
                  <w:r>
                    <w:rPr>
                      <w:rFonts w:cs="Arial"/>
                      <w:snapToGrid w:val="0"/>
                    </w:rPr>
                    <w:t>42</w:t>
                  </w:r>
                </w:p>
              </w:tc>
            </w:tr>
            <w:tr w:rsidR="002B7F54" w14:paraId="2F5C3A2B"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26" w14:textId="77777777" w:rsidR="002B7F54" w:rsidRPr="008648F6" w:rsidRDefault="002B7F54" w:rsidP="002B7F54">
                  <w:pPr>
                    <w:spacing w:line="240" w:lineRule="auto"/>
                    <w:rPr>
                      <w:rFonts w:cs="Arial"/>
                      <w:snapToGrid w:val="0"/>
                    </w:rPr>
                  </w:pPr>
                  <w:r w:rsidRPr="008648F6">
                    <w:rPr>
                      <w:rFonts w:cs="Arial"/>
                      <w:snapToGrid w:val="0"/>
                    </w:rPr>
                    <w:t>grey mackerel</w:t>
                  </w:r>
                </w:p>
              </w:tc>
              <w:tc>
                <w:tcPr>
                  <w:tcW w:w="1114" w:type="dxa"/>
                </w:tcPr>
                <w:p w14:paraId="2F5C3A27" w14:textId="77777777" w:rsidR="002B7F54" w:rsidRPr="008648F6" w:rsidRDefault="002B7F54" w:rsidP="002B7F54">
                  <w:pPr>
                    <w:spacing w:line="240" w:lineRule="auto"/>
                    <w:rPr>
                      <w:rFonts w:cs="Arial"/>
                      <w:snapToGrid w:val="0"/>
                    </w:rPr>
                  </w:pPr>
                  <w:r>
                    <w:rPr>
                      <w:rFonts w:cs="Arial"/>
                      <w:snapToGrid w:val="0"/>
                    </w:rPr>
                    <w:t>224</w:t>
                  </w:r>
                </w:p>
              </w:tc>
              <w:tc>
                <w:tcPr>
                  <w:tcW w:w="1134" w:type="dxa"/>
                </w:tcPr>
                <w:p w14:paraId="2F5C3A28" w14:textId="77777777" w:rsidR="002B7F54" w:rsidRPr="008648F6" w:rsidRDefault="002B7F54" w:rsidP="002B7F54">
                  <w:pPr>
                    <w:spacing w:line="240" w:lineRule="auto"/>
                    <w:rPr>
                      <w:rFonts w:cs="Arial"/>
                      <w:snapToGrid w:val="0"/>
                    </w:rPr>
                  </w:pPr>
                  <w:r>
                    <w:rPr>
                      <w:rFonts w:cs="Arial"/>
                      <w:snapToGrid w:val="0"/>
                    </w:rPr>
                    <w:t>189</w:t>
                  </w:r>
                </w:p>
              </w:tc>
              <w:tc>
                <w:tcPr>
                  <w:tcW w:w="1134" w:type="dxa"/>
                </w:tcPr>
                <w:p w14:paraId="2F5C3A29" w14:textId="77777777" w:rsidR="002B7F54" w:rsidRPr="008648F6" w:rsidRDefault="002B7F54" w:rsidP="002B7F54">
                  <w:pPr>
                    <w:spacing w:line="240" w:lineRule="auto"/>
                    <w:rPr>
                      <w:rFonts w:cs="Arial"/>
                      <w:snapToGrid w:val="0"/>
                    </w:rPr>
                  </w:pPr>
                  <w:r>
                    <w:rPr>
                      <w:rFonts w:cs="Arial"/>
                      <w:snapToGrid w:val="0"/>
                    </w:rPr>
                    <w:t>192</w:t>
                  </w:r>
                </w:p>
              </w:tc>
              <w:tc>
                <w:tcPr>
                  <w:tcW w:w="1134" w:type="dxa"/>
                </w:tcPr>
                <w:p w14:paraId="2F5C3A2A" w14:textId="77777777" w:rsidR="002B7F54" w:rsidRDefault="002B7F54" w:rsidP="002B7F54">
                  <w:pPr>
                    <w:spacing w:line="240" w:lineRule="auto"/>
                    <w:rPr>
                      <w:rFonts w:cs="Arial"/>
                      <w:snapToGrid w:val="0"/>
                    </w:rPr>
                  </w:pPr>
                  <w:r>
                    <w:rPr>
                      <w:rFonts w:cs="Arial"/>
                      <w:snapToGrid w:val="0"/>
                    </w:rPr>
                    <w:t>130</w:t>
                  </w:r>
                </w:p>
              </w:tc>
            </w:tr>
            <w:tr w:rsidR="002B7F54" w14:paraId="2F5C3A31"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2C" w14:textId="77777777" w:rsidR="002B7F54" w:rsidRPr="008648F6" w:rsidRDefault="002B7F54" w:rsidP="002B7F54">
                  <w:pPr>
                    <w:spacing w:line="240" w:lineRule="auto"/>
                    <w:rPr>
                      <w:rFonts w:cs="Arial"/>
                      <w:snapToGrid w:val="0"/>
                    </w:rPr>
                  </w:pPr>
                  <w:r>
                    <w:rPr>
                      <w:rFonts w:cs="Arial"/>
                      <w:snapToGrid w:val="0"/>
                    </w:rPr>
                    <w:t>grunter/javelin</w:t>
                  </w:r>
                </w:p>
              </w:tc>
              <w:tc>
                <w:tcPr>
                  <w:tcW w:w="1114" w:type="dxa"/>
                </w:tcPr>
                <w:p w14:paraId="2F5C3A2D" w14:textId="77777777" w:rsidR="002B7F54" w:rsidRDefault="002B7F54" w:rsidP="002B7F54">
                  <w:pPr>
                    <w:spacing w:line="240" w:lineRule="auto"/>
                    <w:rPr>
                      <w:rFonts w:cs="Arial"/>
                      <w:snapToGrid w:val="0"/>
                    </w:rPr>
                  </w:pPr>
                  <w:r>
                    <w:rPr>
                      <w:rFonts w:cs="Arial"/>
                      <w:snapToGrid w:val="0"/>
                    </w:rPr>
                    <w:t>27</w:t>
                  </w:r>
                </w:p>
              </w:tc>
              <w:tc>
                <w:tcPr>
                  <w:tcW w:w="1134" w:type="dxa"/>
                </w:tcPr>
                <w:p w14:paraId="2F5C3A2E" w14:textId="77777777" w:rsidR="002B7F54" w:rsidRDefault="002B7F54" w:rsidP="002B7F54">
                  <w:pPr>
                    <w:spacing w:line="240" w:lineRule="auto"/>
                    <w:rPr>
                      <w:rFonts w:cs="Arial"/>
                      <w:snapToGrid w:val="0"/>
                    </w:rPr>
                  </w:pPr>
                  <w:r>
                    <w:rPr>
                      <w:rFonts w:cs="Arial"/>
                      <w:snapToGrid w:val="0"/>
                    </w:rPr>
                    <w:t>31</w:t>
                  </w:r>
                </w:p>
              </w:tc>
              <w:tc>
                <w:tcPr>
                  <w:tcW w:w="1134" w:type="dxa"/>
                </w:tcPr>
                <w:p w14:paraId="2F5C3A2F" w14:textId="77777777" w:rsidR="002B7F54" w:rsidRDefault="002B7F54" w:rsidP="002B7F54">
                  <w:pPr>
                    <w:spacing w:line="240" w:lineRule="auto"/>
                    <w:rPr>
                      <w:rFonts w:cs="Arial"/>
                      <w:snapToGrid w:val="0"/>
                    </w:rPr>
                  </w:pPr>
                  <w:r>
                    <w:rPr>
                      <w:rFonts w:cs="Arial"/>
                      <w:snapToGrid w:val="0"/>
                    </w:rPr>
                    <w:t>34</w:t>
                  </w:r>
                </w:p>
              </w:tc>
              <w:tc>
                <w:tcPr>
                  <w:tcW w:w="1134" w:type="dxa"/>
                </w:tcPr>
                <w:p w14:paraId="2F5C3A30" w14:textId="77777777" w:rsidR="002B7F54" w:rsidRDefault="002B7F54" w:rsidP="002B7F54">
                  <w:pPr>
                    <w:spacing w:line="240" w:lineRule="auto"/>
                    <w:rPr>
                      <w:rFonts w:cs="Arial"/>
                      <w:snapToGrid w:val="0"/>
                    </w:rPr>
                  </w:pPr>
                  <w:r>
                    <w:rPr>
                      <w:rFonts w:cs="Arial"/>
                      <w:snapToGrid w:val="0"/>
                    </w:rPr>
                    <w:t>35</w:t>
                  </w:r>
                </w:p>
              </w:tc>
            </w:tr>
            <w:tr w:rsidR="002B7F54" w14:paraId="2F5C3A37"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32" w14:textId="77777777" w:rsidR="002B7F54" w:rsidRPr="008648F6" w:rsidRDefault="002B7F54" w:rsidP="002B7F54">
                  <w:pPr>
                    <w:spacing w:line="240" w:lineRule="auto"/>
                    <w:rPr>
                      <w:rFonts w:cs="Arial"/>
                      <w:snapToGrid w:val="0"/>
                    </w:rPr>
                  </w:pPr>
                  <w:r>
                    <w:rPr>
                      <w:rFonts w:cs="Arial"/>
                      <w:snapToGrid w:val="0"/>
                    </w:rPr>
                    <w:t>hammerhead shark</w:t>
                  </w:r>
                </w:p>
              </w:tc>
              <w:tc>
                <w:tcPr>
                  <w:tcW w:w="1114" w:type="dxa"/>
                  <w:shd w:val="clear" w:color="auto" w:fill="auto"/>
                </w:tcPr>
                <w:p w14:paraId="2F5C3A33" w14:textId="77777777" w:rsidR="002B7F54" w:rsidRPr="009720F2" w:rsidRDefault="002B7F54" w:rsidP="002B7F54">
                  <w:pPr>
                    <w:spacing w:line="240" w:lineRule="auto"/>
                    <w:rPr>
                      <w:rFonts w:cs="Arial"/>
                      <w:snapToGrid w:val="0"/>
                    </w:rPr>
                  </w:pPr>
                  <w:r w:rsidRPr="009720F2">
                    <w:rPr>
                      <w:rFonts w:cs="Arial"/>
                      <w:snapToGrid w:val="0"/>
                    </w:rPr>
                    <w:t>52</w:t>
                  </w:r>
                </w:p>
              </w:tc>
              <w:tc>
                <w:tcPr>
                  <w:tcW w:w="1134" w:type="dxa"/>
                  <w:shd w:val="clear" w:color="auto" w:fill="auto"/>
                </w:tcPr>
                <w:p w14:paraId="2F5C3A34" w14:textId="77777777" w:rsidR="002B7F54" w:rsidRPr="009720F2" w:rsidRDefault="002B7F54" w:rsidP="002B7F54">
                  <w:pPr>
                    <w:spacing w:line="240" w:lineRule="auto"/>
                    <w:rPr>
                      <w:rFonts w:cs="Arial"/>
                      <w:snapToGrid w:val="0"/>
                    </w:rPr>
                  </w:pPr>
                  <w:r w:rsidRPr="009720F2">
                    <w:rPr>
                      <w:rFonts w:cs="Arial"/>
                      <w:snapToGrid w:val="0"/>
                    </w:rPr>
                    <w:t>92</w:t>
                  </w:r>
                </w:p>
              </w:tc>
              <w:tc>
                <w:tcPr>
                  <w:tcW w:w="1134" w:type="dxa"/>
                </w:tcPr>
                <w:p w14:paraId="2F5C3A35" w14:textId="77777777" w:rsidR="002B7F54" w:rsidRDefault="002B7F54" w:rsidP="002B7F54">
                  <w:pPr>
                    <w:spacing w:line="240" w:lineRule="auto"/>
                    <w:rPr>
                      <w:rFonts w:cs="Arial"/>
                      <w:snapToGrid w:val="0"/>
                    </w:rPr>
                  </w:pPr>
                  <w:r>
                    <w:rPr>
                      <w:rFonts w:cs="Arial"/>
                      <w:snapToGrid w:val="0"/>
                    </w:rPr>
                    <w:t>97</w:t>
                  </w:r>
                </w:p>
              </w:tc>
              <w:tc>
                <w:tcPr>
                  <w:tcW w:w="1134" w:type="dxa"/>
                </w:tcPr>
                <w:p w14:paraId="2F5C3A36" w14:textId="77777777" w:rsidR="002B7F54" w:rsidRDefault="002B7F54" w:rsidP="002B7F54">
                  <w:pPr>
                    <w:spacing w:line="240" w:lineRule="auto"/>
                    <w:rPr>
                      <w:rFonts w:cs="Arial"/>
                      <w:snapToGrid w:val="0"/>
                    </w:rPr>
                  </w:pPr>
                  <w:r>
                    <w:rPr>
                      <w:rFonts w:cs="Arial"/>
                      <w:snapToGrid w:val="0"/>
                    </w:rPr>
                    <w:t>69</w:t>
                  </w:r>
                </w:p>
              </w:tc>
            </w:tr>
            <w:tr w:rsidR="002B7F54" w14:paraId="2F5C3A3D"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38" w14:textId="77777777" w:rsidR="002B7F54" w:rsidRPr="008648F6" w:rsidRDefault="002B7F54" w:rsidP="002B7F54">
                  <w:pPr>
                    <w:spacing w:line="240" w:lineRule="auto"/>
                    <w:rPr>
                      <w:rFonts w:cs="Arial"/>
                      <w:snapToGrid w:val="0"/>
                    </w:rPr>
                  </w:pPr>
                  <w:r w:rsidRPr="008648F6">
                    <w:rPr>
                      <w:rFonts w:cs="Arial"/>
                      <w:snapToGrid w:val="0"/>
                    </w:rPr>
                    <w:t>king threadfin</w:t>
                  </w:r>
                </w:p>
              </w:tc>
              <w:tc>
                <w:tcPr>
                  <w:tcW w:w="1114" w:type="dxa"/>
                </w:tcPr>
                <w:p w14:paraId="2F5C3A39" w14:textId="77777777" w:rsidR="002B7F54" w:rsidRPr="008648F6" w:rsidRDefault="002B7F54" w:rsidP="002B7F54">
                  <w:pPr>
                    <w:spacing w:line="240" w:lineRule="auto"/>
                    <w:rPr>
                      <w:rFonts w:cs="Arial"/>
                      <w:snapToGrid w:val="0"/>
                    </w:rPr>
                  </w:pPr>
                  <w:r>
                    <w:rPr>
                      <w:rFonts w:cs="Arial"/>
                      <w:snapToGrid w:val="0"/>
                    </w:rPr>
                    <w:t>219</w:t>
                  </w:r>
                </w:p>
              </w:tc>
              <w:tc>
                <w:tcPr>
                  <w:tcW w:w="1134" w:type="dxa"/>
                </w:tcPr>
                <w:p w14:paraId="2F5C3A3A" w14:textId="77777777" w:rsidR="002B7F54" w:rsidRPr="008648F6" w:rsidRDefault="002B7F54" w:rsidP="002B7F54">
                  <w:pPr>
                    <w:spacing w:line="240" w:lineRule="auto"/>
                    <w:rPr>
                      <w:rFonts w:cs="Arial"/>
                      <w:snapToGrid w:val="0"/>
                    </w:rPr>
                  </w:pPr>
                  <w:r>
                    <w:rPr>
                      <w:rFonts w:cs="Arial"/>
                      <w:snapToGrid w:val="0"/>
                    </w:rPr>
                    <w:t>207</w:t>
                  </w:r>
                </w:p>
              </w:tc>
              <w:tc>
                <w:tcPr>
                  <w:tcW w:w="1134" w:type="dxa"/>
                </w:tcPr>
                <w:p w14:paraId="2F5C3A3B" w14:textId="77777777" w:rsidR="002B7F54" w:rsidRPr="008648F6" w:rsidRDefault="002B7F54" w:rsidP="002B7F54">
                  <w:pPr>
                    <w:spacing w:line="240" w:lineRule="auto"/>
                    <w:rPr>
                      <w:rFonts w:cs="Arial"/>
                      <w:snapToGrid w:val="0"/>
                    </w:rPr>
                  </w:pPr>
                  <w:r>
                    <w:rPr>
                      <w:rFonts w:cs="Arial"/>
                      <w:snapToGrid w:val="0"/>
                    </w:rPr>
                    <w:t>176</w:t>
                  </w:r>
                </w:p>
              </w:tc>
              <w:tc>
                <w:tcPr>
                  <w:tcW w:w="1134" w:type="dxa"/>
                </w:tcPr>
                <w:p w14:paraId="2F5C3A3C" w14:textId="77777777" w:rsidR="002B7F54" w:rsidRDefault="002B7F54" w:rsidP="002B7F54">
                  <w:pPr>
                    <w:spacing w:line="240" w:lineRule="auto"/>
                    <w:rPr>
                      <w:rFonts w:cs="Arial"/>
                      <w:snapToGrid w:val="0"/>
                    </w:rPr>
                  </w:pPr>
                  <w:r>
                    <w:rPr>
                      <w:rFonts w:cs="Arial"/>
                      <w:snapToGrid w:val="0"/>
                    </w:rPr>
                    <w:t>192</w:t>
                  </w:r>
                </w:p>
              </w:tc>
            </w:tr>
            <w:tr w:rsidR="002B7F54" w14:paraId="2F5C3A43"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3E" w14:textId="77777777" w:rsidR="002B7F54" w:rsidRPr="008648F6" w:rsidRDefault="002B7F54" w:rsidP="002B7F54">
                  <w:pPr>
                    <w:spacing w:line="240" w:lineRule="auto"/>
                    <w:rPr>
                      <w:rFonts w:cs="Arial"/>
                      <w:snapToGrid w:val="0"/>
                    </w:rPr>
                  </w:pPr>
                  <w:r>
                    <w:rPr>
                      <w:rFonts w:cs="Arial"/>
                      <w:snapToGrid w:val="0"/>
                    </w:rPr>
                    <w:t>queenfish</w:t>
                  </w:r>
                </w:p>
              </w:tc>
              <w:tc>
                <w:tcPr>
                  <w:tcW w:w="1114" w:type="dxa"/>
                </w:tcPr>
                <w:p w14:paraId="2F5C3A3F" w14:textId="77777777" w:rsidR="002B7F54" w:rsidRDefault="002B7F54" w:rsidP="002B7F54">
                  <w:pPr>
                    <w:spacing w:line="240" w:lineRule="auto"/>
                    <w:rPr>
                      <w:rFonts w:cs="Arial"/>
                      <w:snapToGrid w:val="0"/>
                    </w:rPr>
                  </w:pPr>
                  <w:r>
                    <w:rPr>
                      <w:rFonts w:cs="Arial"/>
                      <w:snapToGrid w:val="0"/>
                    </w:rPr>
                    <w:t>131</w:t>
                  </w:r>
                </w:p>
              </w:tc>
              <w:tc>
                <w:tcPr>
                  <w:tcW w:w="1134" w:type="dxa"/>
                </w:tcPr>
                <w:p w14:paraId="2F5C3A40" w14:textId="77777777" w:rsidR="002B7F54" w:rsidRDefault="002B7F54" w:rsidP="002B7F54">
                  <w:pPr>
                    <w:spacing w:line="240" w:lineRule="auto"/>
                    <w:rPr>
                      <w:rFonts w:cs="Arial"/>
                      <w:snapToGrid w:val="0"/>
                    </w:rPr>
                  </w:pPr>
                  <w:r>
                    <w:rPr>
                      <w:rFonts w:cs="Arial"/>
                      <w:snapToGrid w:val="0"/>
                    </w:rPr>
                    <w:t>128</w:t>
                  </w:r>
                </w:p>
              </w:tc>
              <w:tc>
                <w:tcPr>
                  <w:tcW w:w="1134" w:type="dxa"/>
                </w:tcPr>
                <w:p w14:paraId="2F5C3A41" w14:textId="77777777" w:rsidR="002B7F54" w:rsidRDefault="002B7F54" w:rsidP="002B7F54">
                  <w:pPr>
                    <w:spacing w:line="240" w:lineRule="auto"/>
                    <w:rPr>
                      <w:rFonts w:cs="Arial"/>
                      <w:snapToGrid w:val="0"/>
                    </w:rPr>
                  </w:pPr>
                  <w:r>
                    <w:rPr>
                      <w:rFonts w:cs="Arial"/>
                      <w:snapToGrid w:val="0"/>
                    </w:rPr>
                    <w:t>90</w:t>
                  </w:r>
                </w:p>
              </w:tc>
              <w:tc>
                <w:tcPr>
                  <w:tcW w:w="1134" w:type="dxa"/>
                </w:tcPr>
                <w:p w14:paraId="2F5C3A42" w14:textId="77777777" w:rsidR="002B7F54" w:rsidRDefault="002B7F54" w:rsidP="002B7F54">
                  <w:pPr>
                    <w:spacing w:line="240" w:lineRule="auto"/>
                    <w:rPr>
                      <w:rFonts w:cs="Arial"/>
                      <w:snapToGrid w:val="0"/>
                    </w:rPr>
                  </w:pPr>
                  <w:r>
                    <w:rPr>
                      <w:rFonts w:cs="Arial"/>
                      <w:snapToGrid w:val="0"/>
                    </w:rPr>
                    <w:t>94</w:t>
                  </w:r>
                </w:p>
              </w:tc>
            </w:tr>
            <w:tr w:rsidR="002B7F54" w14:paraId="2F5C3A49"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44" w14:textId="77777777" w:rsidR="002B7F54" w:rsidRPr="008648F6" w:rsidRDefault="002B7F54" w:rsidP="002B7F54">
                  <w:pPr>
                    <w:spacing w:line="240" w:lineRule="auto"/>
                    <w:rPr>
                      <w:rFonts w:cs="Arial"/>
                      <w:snapToGrid w:val="0"/>
                    </w:rPr>
                  </w:pPr>
                  <w:r w:rsidRPr="008648F6">
                    <w:rPr>
                      <w:rFonts w:cs="Arial"/>
                      <w:snapToGrid w:val="0"/>
                    </w:rPr>
                    <w:t>sea mullet</w:t>
                  </w:r>
                </w:p>
              </w:tc>
              <w:tc>
                <w:tcPr>
                  <w:tcW w:w="1114" w:type="dxa"/>
                </w:tcPr>
                <w:p w14:paraId="2F5C3A45" w14:textId="77777777" w:rsidR="002B7F54" w:rsidRPr="008648F6" w:rsidRDefault="002B7F54" w:rsidP="002B7F54">
                  <w:pPr>
                    <w:spacing w:line="240" w:lineRule="auto"/>
                    <w:rPr>
                      <w:rFonts w:cs="Arial"/>
                      <w:snapToGrid w:val="0"/>
                    </w:rPr>
                  </w:pPr>
                  <w:r>
                    <w:rPr>
                      <w:rFonts w:cs="Arial"/>
                      <w:snapToGrid w:val="0"/>
                    </w:rPr>
                    <w:t>1725</w:t>
                  </w:r>
                </w:p>
              </w:tc>
              <w:tc>
                <w:tcPr>
                  <w:tcW w:w="1134" w:type="dxa"/>
                </w:tcPr>
                <w:p w14:paraId="2F5C3A46" w14:textId="77777777" w:rsidR="002B7F54" w:rsidRPr="008648F6" w:rsidRDefault="002B7F54" w:rsidP="002B7F54">
                  <w:pPr>
                    <w:spacing w:line="240" w:lineRule="auto"/>
                    <w:rPr>
                      <w:rFonts w:cs="Arial"/>
                      <w:snapToGrid w:val="0"/>
                    </w:rPr>
                  </w:pPr>
                  <w:r>
                    <w:rPr>
                      <w:rFonts w:cs="Arial"/>
                      <w:snapToGrid w:val="0"/>
                    </w:rPr>
                    <w:t>2067</w:t>
                  </w:r>
                </w:p>
              </w:tc>
              <w:tc>
                <w:tcPr>
                  <w:tcW w:w="1134" w:type="dxa"/>
                </w:tcPr>
                <w:p w14:paraId="2F5C3A47" w14:textId="77777777" w:rsidR="002B7F54" w:rsidRPr="008648F6" w:rsidRDefault="002B7F54" w:rsidP="002B7F54">
                  <w:pPr>
                    <w:spacing w:line="240" w:lineRule="auto"/>
                    <w:rPr>
                      <w:rFonts w:cs="Arial"/>
                      <w:snapToGrid w:val="0"/>
                    </w:rPr>
                  </w:pPr>
                  <w:r>
                    <w:rPr>
                      <w:rFonts w:cs="Arial"/>
                      <w:snapToGrid w:val="0"/>
                    </w:rPr>
                    <w:t>1549</w:t>
                  </w:r>
                </w:p>
              </w:tc>
              <w:tc>
                <w:tcPr>
                  <w:tcW w:w="1134" w:type="dxa"/>
                </w:tcPr>
                <w:p w14:paraId="2F5C3A48" w14:textId="77777777" w:rsidR="002B7F54" w:rsidRDefault="002B7F54" w:rsidP="002B7F54">
                  <w:pPr>
                    <w:spacing w:line="240" w:lineRule="auto"/>
                    <w:rPr>
                      <w:rFonts w:cs="Arial"/>
                      <w:snapToGrid w:val="0"/>
                    </w:rPr>
                  </w:pPr>
                  <w:r>
                    <w:rPr>
                      <w:rFonts w:cs="Arial"/>
                      <w:snapToGrid w:val="0"/>
                    </w:rPr>
                    <w:t>2085</w:t>
                  </w:r>
                </w:p>
              </w:tc>
            </w:tr>
            <w:tr w:rsidR="002B7F54" w14:paraId="2F5C3A4F"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4A" w14:textId="77777777" w:rsidR="002B7F54" w:rsidRPr="008648F6" w:rsidRDefault="002B7F54" w:rsidP="002B7F54">
                  <w:pPr>
                    <w:spacing w:line="240" w:lineRule="auto"/>
                    <w:rPr>
                      <w:rFonts w:cs="Arial"/>
                      <w:snapToGrid w:val="0"/>
                    </w:rPr>
                  </w:pPr>
                  <w:r w:rsidRPr="008648F6">
                    <w:rPr>
                      <w:rFonts w:cs="Arial"/>
                      <w:snapToGrid w:val="0"/>
                    </w:rPr>
                    <w:t>shark (other)</w:t>
                  </w:r>
                </w:p>
              </w:tc>
              <w:tc>
                <w:tcPr>
                  <w:tcW w:w="1114" w:type="dxa"/>
                  <w:shd w:val="clear" w:color="auto" w:fill="auto"/>
                </w:tcPr>
                <w:p w14:paraId="2F5C3A4B" w14:textId="77777777" w:rsidR="002B7F54" w:rsidRPr="008648F6" w:rsidRDefault="002B7F54" w:rsidP="002B7F54">
                  <w:pPr>
                    <w:spacing w:line="240" w:lineRule="auto"/>
                    <w:rPr>
                      <w:rFonts w:cs="Arial"/>
                      <w:snapToGrid w:val="0"/>
                    </w:rPr>
                  </w:pPr>
                  <w:r>
                    <w:rPr>
                      <w:rFonts w:cs="Arial"/>
                      <w:snapToGrid w:val="0"/>
                    </w:rPr>
                    <w:t>Not available</w:t>
                  </w:r>
                </w:p>
              </w:tc>
              <w:tc>
                <w:tcPr>
                  <w:tcW w:w="1134" w:type="dxa"/>
                  <w:shd w:val="clear" w:color="auto" w:fill="auto"/>
                </w:tcPr>
                <w:p w14:paraId="2F5C3A4C" w14:textId="77777777" w:rsidR="002B7F54" w:rsidRPr="008648F6" w:rsidRDefault="002B7F54" w:rsidP="002B7F54">
                  <w:pPr>
                    <w:spacing w:line="240" w:lineRule="auto"/>
                    <w:rPr>
                      <w:rFonts w:cs="Arial"/>
                      <w:snapToGrid w:val="0"/>
                    </w:rPr>
                  </w:pPr>
                  <w:r>
                    <w:rPr>
                      <w:rFonts w:cs="Arial"/>
                      <w:snapToGrid w:val="0"/>
                    </w:rPr>
                    <w:t>Not available</w:t>
                  </w:r>
                </w:p>
              </w:tc>
              <w:tc>
                <w:tcPr>
                  <w:tcW w:w="1134" w:type="dxa"/>
                </w:tcPr>
                <w:p w14:paraId="2F5C3A4D" w14:textId="77777777" w:rsidR="002B7F54" w:rsidRPr="008648F6" w:rsidRDefault="002B7F54" w:rsidP="002B7F54">
                  <w:pPr>
                    <w:spacing w:line="240" w:lineRule="auto"/>
                    <w:rPr>
                      <w:rFonts w:cs="Arial"/>
                      <w:snapToGrid w:val="0"/>
                    </w:rPr>
                  </w:pPr>
                  <w:r>
                    <w:rPr>
                      <w:rFonts w:cs="Arial"/>
                      <w:snapToGrid w:val="0"/>
                    </w:rPr>
                    <w:t>146</w:t>
                  </w:r>
                </w:p>
              </w:tc>
              <w:tc>
                <w:tcPr>
                  <w:tcW w:w="1134" w:type="dxa"/>
                </w:tcPr>
                <w:p w14:paraId="2F5C3A4E" w14:textId="77777777" w:rsidR="002B7F54" w:rsidRDefault="002B7F54" w:rsidP="002B7F54">
                  <w:pPr>
                    <w:spacing w:line="240" w:lineRule="auto"/>
                    <w:rPr>
                      <w:rFonts w:cs="Arial"/>
                      <w:snapToGrid w:val="0"/>
                    </w:rPr>
                  </w:pPr>
                  <w:r>
                    <w:rPr>
                      <w:rFonts w:cs="Arial"/>
                      <w:snapToGrid w:val="0"/>
                    </w:rPr>
                    <w:t>129</w:t>
                  </w:r>
                </w:p>
              </w:tc>
            </w:tr>
            <w:tr w:rsidR="002B7F54" w14:paraId="2F5C3A55"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50" w14:textId="77777777" w:rsidR="002B7F54" w:rsidRPr="008648F6" w:rsidRDefault="002B7F54" w:rsidP="002B7F54">
                  <w:pPr>
                    <w:spacing w:line="240" w:lineRule="auto"/>
                    <w:rPr>
                      <w:rFonts w:cs="Arial"/>
                      <w:snapToGrid w:val="0"/>
                    </w:rPr>
                  </w:pPr>
                  <w:r w:rsidRPr="008648F6">
                    <w:rPr>
                      <w:rFonts w:cs="Arial"/>
                      <w:snapToGrid w:val="0"/>
                    </w:rPr>
                    <w:t>spotted mackerel</w:t>
                  </w:r>
                </w:p>
              </w:tc>
              <w:tc>
                <w:tcPr>
                  <w:tcW w:w="1114" w:type="dxa"/>
                </w:tcPr>
                <w:p w14:paraId="2F5C3A51" w14:textId="77777777" w:rsidR="002B7F54" w:rsidRPr="008648F6" w:rsidRDefault="002B7F54" w:rsidP="002B7F54">
                  <w:pPr>
                    <w:spacing w:line="240" w:lineRule="auto"/>
                    <w:rPr>
                      <w:rFonts w:cs="Arial"/>
                      <w:snapToGrid w:val="0"/>
                    </w:rPr>
                  </w:pPr>
                  <w:r>
                    <w:rPr>
                      <w:rFonts w:cs="Arial"/>
                      <w:snapToGrid w:val="0"/>
                    </w:rPr>
                    <w:t>44</w:t>
                  </w:r>
                </w:p>
              </w:tc>
              <w:tc>
                <w:tcPr>
                  <w:tcW w:w="1134" w:type="dxa"/>
                </w:tcPr>
                <w:p w14:paraId="2F5C3A52" w14:textId="77777777" w:rsidR="002B7F54" w:rsidRPr="008648F6" w:rsidRDefault="002B7F54" w:rsidP="002B7F54">
                  <w:pPr>
                    <w:spacing w:line="240" w:lineRule="auto"/>
                    <w:rPr>
                      <w:rFonts w:cs="Arial"/>
                      <w:snapToGrid w:val="0"/>
                    </w:rPr>
                  </w:pPr>
                  <w:r>
                    <w:rPr>
                      <w:rFonts w:cs="Arial"/>
                      <w:snapToGrid w:val="0"/>
                    </w:rPr>
                    <w:t>79</w:t>
                  </w:r>
                </w:p>
              </w:tc>
              <w:tc>
                <w:tcPr>
                  <w:tcW w:w="1134" w:type="dxa"/>
                </w:tcPr>
                <w:p w14:paraId="2F5C3A53" w14:textId="77777777" w:rsidR="002B7F54" w:rsidRPr="008648F6" w:rsidRDefault="002B7F54" w:rsidP="002B7F54">
                  <w:pPr>
                    <w:spacing w:line="240" w:lineRule="auto"/>
                    <w:rPr>
                      <w:rFonts w:cs="Arial"/>
                      <w:snapToGrid w:val="0"/>
                    </w:rPr>
                  </w:pPr>
                  <w:r>
                    <w:rPr>
                      <w:rFonts w:cs="Arial"/>
                      <w:snapToGrid w:val="0"/>
                    </w:rPr>
                    <w:t>90</w:t>
                  </w:r>
                </w:p>
              </w:tc>
              <w:tc>
                <w:tcPr>
                  <w:tcW w:w="1134" w:type="dxa"/>
                </w:tcPr>
                <w:p w14:paraId="2F5C3A54" w14:textId="77777777" w:rsidR="002B7F54" w:rsidRDefault="002B7F54" w:rsidP="002B7F54">
                  <w:pPr>
                    <w:spacing w:line="240" w:lineRule="auto"/>
                    <w:rPr>
                      <w:rFonts w:cs="Arial"/>
                      <w:snapToGrid w:val="0"/>
                    </w:rPr>
                  </w:pPr>
                  <w:r>
                    <w:rPr>
                      <w:rFonts w:cs="Arial"/>
                      <w:snapToGrid w:val="0"/>
                    </w:rPr>
                    <w:t>83</w:t>
                  </w:r>
                </w:p>
              </w:tc>
            </w:tr>
            <w:tr w:rsidR="002B7F54" w14:paraId="2F5C3A5B"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56" w14:textId="77777777" w:rsidR="002B7F54" w:rsidRPr="008648F6" w:rsidRDefault="002B7F54" w:rsidP="002B7F54">
                  <w:pPr>
                    <w:spacing w:line="240" w:lineRule="auto"/>
                    <w:rPr>
                      <w:rFonts w:cs="Arial"/>
                      <w:snapToGrid w:val="0"/>
                    </w:rPr>
                  </w:pPr>
                  <w:r w:rsidRPr="008648F6">
                    <w:rPr>
                      <w:rFonts w:cs="Arial"/>
                      <w:snapToGrid w:val="0"/>
                    </w:rPr>
                    <w:t>tailor</w:t>
                  </w:r>
                </w:p>
              </w:tc>
              <w:tc>
                <w:tcPr>
                  <w:tcW w:w="1114" w:type="dxa"/>
                </w:tcPr>
                <w:p w14:paraId="2F5C3A57" w14:textId="77777777" w:rsidR="002B7F54" w:rsidRPr="008648F6" w:rsidRDefault="002B7F54" w:rsidP="002B7F54">
                  <w:pPr>
                    <w:spacing w:line="240" w:lineRule="auto"/>
                    <w:rPr>
                      <w:rFonts w:cs="Arial"/>
                      <w:snapToGrid w:val="0"/>
                    </w:rPr>
                  </w:pPr>
                  <w:r>
                    <w:rPr>
                      <w:rFonts w:cs="Arial"/>
                      <w:snapToGrid w:val="0"/>
                    </w:rPr>
                    <w:t>54</w:t>
                  </w:r>
                </w:p>
              </w:tc>
              <w:tc>
                <w:tcPr>
                  <w:tcW w:w="1134" w:type="dxa"/>
                </w:tcPr>
                <w:p w14:paraId="2F5C3A58" w14:textId="77777777" w:rsidR="002B7F54" w:rsidRPr="008648F6" w:rsidRDefault="002B7F54" w:rsidP="002B7F54">
                  <w:pPr>
                    <w:spacing w:line="240" w:lineRule="auto"/>
                    <w:rPr>
                      <w:rFonts w:cs="Arial"/>
                      <w:snapToGrid w:val="0"/>
                    </w:rPr>
                  </w:pPr>
                  <w:r>
                    <w:rPr>
                      <w:rFonts w:cs="Arial"/>
                      <w:snapToGrid w:val="0"/>
                    </w:rPr>
                    <w:t>58</w:t>
                  </w:r>
                </w:p>
              </w:tc>
              <w:tc>
                <w:tcPr>
                  <w:tcW w:w="1134" w:type="dxa"/>
                </w:tcPr>
                <w:p w14:paraId="2F5C3A59" w14:textId="77777777" w:rsidR="002B7F54" w:rsidRPr="008648F6" w:rsidRDefault="002B7F54" w:rsidP="002B7F54">
                  <w:pPr>
                    <w:spacing w:line="240" w:lineRule="auto"/>
                    <w:rPr>
                      <w:rFonts w:cs="Arial"/>
                      <w:snapToGrid w:val="0"/>
                    </w:rPr>
                  </w:pPr>
                  <w:r>
                    <w:rPr>
                      <w:rFonts w:cs="Arial"/>
                      <w:snapToGrid w:val="0"/>
                    </w:rPr>
                    <w:t>41</w:t>
                  </w:r>
                </w:p>
              </w:tc>
              <w:tc>
                <w:tcPr>
                  <w:tcW w:w="1134" w:type="dxa"/>
                </w:tcPr>
                <w:p w14:paraId="2F5C3A5A" w14:textId="77777777" w:rsidR="002B7F54" w:rsidRDefault="002B7F54" w:rsidP="002B7F54">
                  <w:pPr>
                    <w:spacing w:line="240" w:lineRule="auto"/>
                    <w:rPr>
                      <w:rFonts w:cs="Arial"/>
                      <w:snapToGrid w:val="0"/>
                    </w:rPr>
                  </w:pPr>
                  <w:r>
                    <w:rPr>
                      <w:rFonts w:cs="Arial"/>
                      <w:snapToGrid w:val="0"/>
                    </w:rPr>
                    <w:t>48</w:t>
                  </w:r>
                </w:p>
              </w:tc>
            </w:tr>
            <w:tr w:rsidR="002B7F54" w14:paraId="2F5C3A61" w14:textId="77777777" w:rsidTr="002B7F54">
              <w:trPr>
                <w:cnfStyle w:val="000000100000" w:firstRow="0" w:lastRow="0" w:firstColumn="0" w:lastColumn="0" w:oddVBand="0" w:evenVBand="0" w:oddHBand="1" w:evenHBand="0" w:firstRowFirstColumn="0" w:firstRowLastColumn="0" w:lastRowFirstColumn="0" w:lastRowLastColumn="0"/>
              </w:trPr>
              <w:tc>
                <w:tcPr>
                  <w:tcW w:w="1803" w:type="dxa"/>
                </w:tcPr>
                <w:p w14:paraId="2F5C3A5C" w14:textId="77777777" w:rsidR="002B7F54" w:rsidRPr="008648F6" w:rsidRDefault="002B7F54" w:rsidP="002B7F54">
                  <w:pPr>
                    <w:spacing w:line="240" w:lineRule="auto"/>
                    <w:rPr>
                      <w:rFonts w:cs="Arial"/>
                      <w:snapToGrid w:val="0"/>
                    </w:rPr>
                  </w:pPr>
                  <w:r>
                    <w:rPr>
                      <w:rFonts w:cs="Arial"/>
                      <w:snapToGrid w:val="0"/>
                    </w:rPr>
                    <w:t>trevally</w:t>
                  </w:r>
                </w:p>
              </w:tc>
              <w:tc>
                <w:tcPr>
                  <w:tcW w:w="1114" w:type="dxa"/>
                </w:tcPr>
                <w:p w14:paraId="2F5C3A5D" w14:textId="77777777" w:rsidR="002B7F54" w:rsidRDefault="002B7F54" w:rsidP="002B7F54">
                  <w:pPr>
                    <w:spacing w:line="240" w:lineRule="auto"/>
                    <w:rPr>
                      <w:rFonts w:cs="Arial"/>
                      <w:snapToGrid w:val="0"/>
                    </w:rPr>
                  </w:pPr>
                  <w:r>
                    <w:rPr>
                      <w:rFonts w:cs="Arial"/>
                      <w:snapToGrid w:val="0"/>
                    </w:rPr>
                    <w:t>95</w:t>
                  </w:r>
                </w:p>
              </w:tc>
              <w:tc>
                <w:tcPr>
                  <w:tcW w:w="1134" w:type="dxa"/>
                </w:tcPr>
                <w:p w14:paraId="2F5C3A5E" w14:textId="77777777" w:rsidR="002B7F54" w:rsidRDefault="002B7F54" w:rsidP="002B7F54">
                  <w:pPr>
                    <w:spacing w:line="240" w:lineRule="auto"/>
                    <w:rPr>
                      <w:rFonts w:cs="Arial"/>
                      <w:snapToGrid w:val="0"/>
                    </w:rPr>
                  </w:pPr>
                  <w:r>
                    <w:rPr>
                      <w:rFonts w:cs="Arial"/>
                      <w:snapToGrid w:val="0"/>
                    </w:rPr>
                    <w:t>100</w:t>
                  </w:r>
                </w:p>
              </w:tc>
              <w:tc>
                <w:tcPr>
                  <w:tcW w:w="1134" w:type="dxa"/>
                </w:tcPr>
                <w:p w14:paraId="2F5C3A5F" w14:textId="77777777" w:rsidR="002B7F54" w:rsidRDefault="002B7F54" w:rsidP="002B7F54">
                  <w:pPr>
                    <w:spacing w:line="240" w:lineRule="auto"/>
                    <w:rPr>
                      <w:rFonts w:cs="Arial"/>
                      <w:snapToGrid w:val="0"/>
                    </w:rPr>
                  </w:pPr>
                  <w:r>
                    <w:rPr>
                      <w:rFonts w:cs="Arial"/>
                      <w:snapToGrid w:val="0"/>
                    </w:rPr>
                    <w:t>101</w:t>
                  </w:r>
                </w:p>
              </w:tc>
              <w:tc>
                <w:tcPr>
                  <w:tcW w:w="1134" w:type="dxa"/>
                </w:tcPr>
                <w:p w14:paraId="2F5C3A60" w14:textId="77777777" w:rsidR="002B7F54" w:rsidRDefault="002B7F54" w:rsidP="002B7F54">
                  <w:pPr>
                    <w:spacing w:line="240" w:lineRule="auto"/>
                    <w:rPr>
                      <w:rFonts w:cs="Arial"/>
                      <w:snapToGrid w:val="0"/>
                    </w:rPr>
                  </w:pPr>
                  <w:r>
                    <w:rPr>
                      <w:rFonts w:cs="Arial"/>
                      <w:snapToGrid w:val="0"/>
                    </w:rPr>
                    <w:t>94</w:t>
                  </w:r>
                </w:p>
              </w:tc>
            </w:tr>
            <w:tr w:rsidR="002B7F54" w14:paraId="2F5C3A67" w14:textId="77777777" w:rsidTr="002B7F54">
              <w:trPr>
                <w:cnfStyle w:val="000000010000" w:firstRow="0" w:lastRow="0" w:firstColumn="0" w:lastColumn="0" w:oddVBand="0" w:evenVBand="0" w:oddHBand="0" w:evenHBand="1" w:firstRowFirstColumn="0" w:firstRowLastColumn="0" w:lastRowFirstColumn="0" w:lastRowLastColumn="0"/>
              </w:trPr>
              <w:tc>
                <w:tcPr>
                  <w:tcW w:w="1803" w:type="dxa"/>
                </w:tcPr>
                <w:p w14:paraId="2F5C3A62" w14:textId="77777777" w:rsidR="002B7F54" w:rsidRPr="008648F6" w:rsidRDefault="002B7F54" w:rsidP="002B7F54">
                  <w:pPr>
                    <w:spacing w:line="240" w:lineRule="auto"/>
                    <w:rPr>
                      <w:rFonts w:cs="Arial"/>
                      <w:snapToGrid w:val="0"/>
                    </w:rPr>
                  </w:pPr>
                  <w:r w:rsidRPr="008648F6">
                    <w:rPr>
                      <w:rFonts w:cs="Arial"/>
                      <w:snapToGrid w:val="0"/>
                    </w:rPr>
                    <w:t>whiting</w:t>
                  </w:r>
                </w:p>
              </w:tc>
              <w:tc>
                <w:tcPr>
                  <w:tcW w:w="1114" w:type="dxa"/>
                </w:tcPr>
                <w:p w14:paraId="2F5C3A63" w14:textId="77777777" w:rsidR="002B7F54" w:rsidRPr="008648F6" w:rsidRDefault="002B7F54" w:rsidP="002B7F54">
                  <w:pPr>
                    <w:spacing w:line="240" w:lineRule="auto"/>
                    <w:rPr>
                      <w:rFonts w:cs="Arial"/>
                      <w:snapToGrid w:val="0"/>
                    </w:rPr>
                  </w:pPr>
                  <w:r>
                    <w:rPr>
                      <w:rFonts w:cs="Arial"/>
                      <w:snapToGrid w:val="0"/>
                    </w:rPr>
                    <w:t>267</w:t>
                  </w:r>
                </w:p>
              </w:tc>
              <w:tc>
                <w:tcPr>
                  <w:tcW w:w="1134" w:type="dxa"/>
                </w:tcPr>
                <w:p w14:paraId="2F5C3A64" w14:textId="77777777" w:rsidR="002B7F54" w:rsidRPr="008648F6" w:rsidRDefault="002B7F54" w:rsidP="002B7F54">
                  <w:pPr>
                    <w:spacing w:line="240" w:lineRule="auto"/>
                    <w:rPr>
                      <w:rFonts w:cs="Arial"/>
                      <w:snapToGrid w:val="0"/>
                    </w:rPr>
                  </w:pPr>
                  <w:r>
                    <w:rPr>
                      <w:rFonts w:cs="Arial"/>
                      <w:snapToGrid w:val="0"/>
                    </w:rPr>
                    <w:t>275</w:t>
                  </w:r>
                </w:p>
              </w:tc>
              <w:tc>
                <w:tcPr>
                  <w:tcW w:w="1134" w:type="dxa"/>
                </w:tcPr>
                <w:p w14:paraId="2F5C3A65" w14:textId="77777777" w:rsidR="002B7F54" w:rsidRPr="008648F6" w:rsidRDefault="002B7F54" w:rsidP="002B7F54">
                  <w:pPr>
                    <w:spacing w:line="240" w:lineRule="auto"/>
                    <w:rPr>
                      <w:rFonts w:cs="Arial"/>
                      <w:snapToGrid w:val="0"/>
                    </w:rPr>
                  </w:pPr>
                  <w:r>
                    <w:rPr>
                      <w:rFonts w:cs="Arial"/>
                      <w:snapToGrid w:val="0"/>
                    </w:rPr>
                    <w:t>226</w:t>
                  </w:r>
                </w:p>
              </w:tc>
              <w:tc>
                <w:tcPr>
                  <w:tcW w:w="1134" w:type="dxa"/>
                </w:tcPr>
                <w:p w14:paraId="2F5C3A66" w14:textId="77777777" w:rsidR="002B7F54" w:rsidRDefault="002B7F54" w:rsidP="002B7F54">
                  <w:pPr>
                    <w:spacing w:line="240" w:lineRule="auto"/>
                    <w:rPr>
                      <w:rFonts w:cs="Arial"/>
                      <w:snapToGrid w:val="0"/>
                    </w:rPr>
                  </w:pPr>
                  <w:r>
                    <w:rPr>
                      <w:rFonts w:cs="Arial"/>
                      <w:snapToGrid w:val="0"/>
                    </w:rPr>
                    <w:t>212</w:t>
                  </w:r>
                </w:p>
              </w:tc>
            </w:tr>
          </w:tbl>
          <w:p w14:paraId="2F5C3A68" w14:textId="77777777" w:rsidR="00B6012C" w:rsidRPr="009B3A55" w:rsidRDefault="00B6012C" w:rsidP="001F1716">
            <w:pPr>
              <w:spacing w:line="240" w:lineRule="auto"/>
              <w:rPr>
                <w:rFonts w:cs="Arial"/>
                <w:snapToGrid w:val="0"/>
                <w:color w:val="3366FF"/>
              </w:rPr>
            </w:pPr>
          </w:p>
        </w:tc>
      </w:tr>
      <w:tr w:rsidR="00B6012C" w:rsidRPr="009B3A55" w14:paraId="2F5C3A6C"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A6A" w14:textId="77777777" w:rsidR="00B6012C" w:rsidRPr="009B3A55" w:rsidRDefault="00B6012C" w:rsidP="00980846">
            <w:pPr>
              <w:rPr>
                <w:rFonts w:cs="Arial"/>
                <w:b/>
                <w:snapToGrid w:val="0"/>
              </w:rPr>
            </w:pPr>
            <w:r w:rsidRPr="009B3A55">
              <w:rPr>
                <w:rFonts w:cs="Arial"/>
                <w:b/>
                <w:snapToGrid w:val="0"/>
              </w:rPr>
              <w:t xml:space="preserve">Value of commercial harvest </w:t>
            </w:r>
          </w:p>
        </w:tc>
        <w:tc>
          <w:tcPr>
            <w:tcW w:w="7444" w:type="dxa"/>
            <w:tcBorders>
              <w:top w:val="single" w:sz="4" w:space="0" w:color="auto"/>
              <w:left w:val="single" w:sz="4" w:space="0" w:color="auto"/>
              <w:bottom w:val="single" w:sz="4" w:space="0" w:color="auto"/>
              <w:right w:val="single" w:sz="4" w:space="0" w:color="auto"/>
            </w:tcBorders>
          </w:tcPr>
          <w:p w14:paraId="2F5C3A6B" w14:textId="77777777" w:rsidR="00B6012C" w:rsidRPr="009B3A55" w:rsidRDefault="00980846" w:rsidP="002B7F54">
            <w:pPr>
              <w:spacing w:line="240" w:lineRule="auto"/>
              <w:rPr>
                <w:rFonts w:cs="Arial"/>
                <w:snapToGrid w:val="0"/>
                <w:color w:val="3366FF"/>
              </w:rPr>
            </w:pPr>
            <w:r>
              <w:rPr>
                <w:rFonts w:cs="Arial"/>
              </w:rPr>
              <w:t xml:space="preserve">The value of commercial harvest </w:t>
            </w:r>
            <w:r w:rsidR="002B7F54">
              <w:t>in 2014</w:t>
            </w:r>
            <w:r w:rsidR="00C5700C">
              <w:t xml:space="preserve"> </w:t>
            </w:r>
            <w:r w:rsidR="00240379">
              <w:rPr>
                <w:rFonts w:cs="Arial"/>
              </w:rPr>
              <w:t>was</w:t>
            </w:r>
            <w:r>
              <w:rPr>
                <w:rFonts w:cs="Arial"/>
              </w:rPr>
              <w:t xml:space="preserve"> estimated to be approximately $</w:t>
            </w:r>
            <w:r w:rsidRPr="00980846">
              <w:t>20</w:t>
            </w:r>
            <w:r>
              <w:t> </w:t>
            </w:r>
            <w:r w:rsidRPr="00980846">
              <w:t>million</w:t>
            </w:r>
            <w:r>
              <w:t xml:space="preserve">. </w:t>
            </w:r>
          </w:p>
        </w:tc>
      </w:tr>
      <w:tr w:rsidR="00B6012C" w:rsidRPr="009B3A55" w14:paraId="2F5C3A73"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A6D" w14:textId="77777777" w:rsidR="00B6012C" w:rsidRPr="009B3A55" w:rsidRDefault="00B6012C" w:rsidP="001955CD">
            <w:pPr>
              <w:rPr>
                <w:rFonts w:cs="Arial"/>
                <w:b/>
                <w:snapToGrid w:val="0"/>
              </w:rPr>
            </w:pPr>
            <w:r w:rsidRPr="009B3A55">
              <w:rPr>
                <w:rFonts w:cs="Arial"/>
                <w:b/>
                <w:snapToGrid w:val="0"/>
              </w:rPr>
              <w:lastRenderedPageBreak/>
              <w:t xml:space="preserve">Take by other sectors </w:t>
            </w:r>
          </w:p>
        </w:tc>
        <w:tc>
          <w:tcPr>
            <w:tcW w:w="7444" w:type="dxa"/>
            <w:tcBorders>
              <w:top w:val="single" w:sz="4" w:space="0" w:color="auto"/>
              <w:left w:val="single" w:sz="4" w:space="0" w:color="auto"/>
              <w:bottom w:val="single" w:sz="4" w:space="0" w:color="auto"/>
              <w:right w:val="single" w:sz="4" w:space="0" w:color="auto"/>
            </w:tcBorders>
          </w:tcPr>
          <w:p w14:paraId="2F5C3A6E" w14:textId="77777777" w:rsidR="00980846" w:rsidRPr="00980846" w:rsidRDefault="00980846" w:rsidP="001F1716">
            <w:pPr>
              <w:spacing w:line="240" w:lineRule="auto"/>
              <w:rPr>
                <w:rFonts w:cs="Arial"/>
              </w:rPr>
            </w:pPr>
            <w:r w:rsidRPr="00980846">
              <w:rPr>
                <w:rFonts w:cs="Arial"/>
              </w:rPr>
              <w:t xml:space="preserve">Some species targeted in the </w:t>
            </w:r>
            <w:r w:rsidR="00A05BFA">
              <w:rPr>
                <w:rFonts w:cs="Arial"/>
              </w:rPr>
              <w:t>East Coast Inshore Fin Fish Fishery</w:t>
            </w:r>
            <w:r w:rsidRPr="00980846">
              <w:rPr>
                <w:rFonts w:cs="Arial"/>
              </w:rPr>
              <w:t xml:space="preserve"> are also taken in other Queensland fisheries and in fisheries managed by the </w:t>
            </w:r>
            <w:r w:rsidR="00D42B87">
              <w:rPr>
                <w:rFonts w:cs="Arial"/>
              </w:rPr>
              <w:t>N</w:t>
            </w:r>
            <w:r w:rsidR="002B7F54">
              <w:rPr>
                <w:rFonts w:cs="Arial"/>
              </w:rPr>
              <w:t xml:space="preserve">ew </w:t>
            </w:r>
            <w:r w:rsidR="00D42B87">
              <w:rPr>
                <w:rFonts w:cs="Arial"/>
              </w:rPr>
              <w:t>S</w:t>
            </w:r>
            <w:r w:rsidR="002B7F54">
              <w:rPr>
                <w:rFonts w:cs="Arial"/>
              </w:rPr>
              <w:t xml:space="preserve">outh </w:t>
            </w:r>
            <w:r w:rsidR="00D42B87">
              <w:rPr>
                <w:rFonts w:cs="Arial"/>
              </w:rPr>
              <w:t>W</w:t>
            </w:r>
            <w:r w:rsidR="002B7F54">
              <w:rPr>
                <w:rFonts w:cs="Arial"/>
              </w:rPr>
              <w:t>ales</w:t>
            </w:r>
            <w:r w:rsidR="00582DA7">
              <w:rPr>
                <w:rFonts w:cs="Arial"/>
              </w:rPr>
              <w:t xml:space="preserve"> (NSW)</w:t>
            </w:r>
            <w:r w:rsidRPr="00980846">
              <w:rPr>
                <w:rFonts w:cs="Arial"/>
              </w:rPr>
              <w:t>, N</w:t>
            </w:r>
            <w:r w:rsidR="002B7F54">
              <w:rPr>
                <w:rFonts w:cs="Arial"/>
              </w:rPr>
              <w:t xml:space="preserve">orthern </w:t>
            </w:r>
            <w:r w:rsidRPr="00980846">
              <w:rPr>
                <w:rFonts w:cs="Arial"/>
              </w:rPr>
              <w:t>T</w:t>
            </w:r>
            <w:r w:rsidR="002B7F54">
              <w:rPr>
                <w:rFonts w:cs="Arial"/>
              </w:rPr>
              <w:t>erritory</w:t>
            </w:r>
            <w:r w:rsidRPr="00980846">
              <w:rPr>
                <w:rFonts w:cs="Arial"/>
              </w:rPr>
              <w:t xml:space="preserve"> and Australian governments. </w:t>
            </w:r>
            <w:r w:rsidR="001E5E84">
              <w:rPr>
                <w:rFonts w:cs="Arial"/>
              </w:rPr>
              <w:t xml:space="preserve">The </w:t>
            </w:r>
            <w:r w:rsidR="001E5E84">
              <w:rPr>
                <w:snapToGrid w:val="0"/>
              </w:rPr>
              <w:t>Queensland Department of Agriculture and Fisheries</w:t>
            </w:r>
            <w:r w:rsidR="001E5E84" w:rsidRPr="00980846">
              <w:rPr>
                <w:rFonts w:cs="Arial"/>
              </w:rPr>
              <w:t xml:space="preserve"> </w:t>
            </w:r>
            <w:r w:rsidR="00582DA7">
              <w:rPr>
                <w:rFonts w:cs="Arial"/>
              </w:rPr>
              <w:t>collaborates</w:t>
            </w:r>
            <w:r w:rsidRPr="00980846">
              <w:rPr>
                <w:rFonts w:cs="Arial"/>
              </w:rPr>
              <w:t xml:space="preserve"> with the </w:t>
            </w:r>
            <w:r w:rsidR="00D42B87">
              <w:rPr>
                <w:rFonts w:cs="Arial"/>
              </w:rPr>
              <w:t>NSW</w:t>
            </w:r>
            <w:r w:rsidRPr="00980846">
              <w:rPr>
                <w:rFonts w:cs="Arial"/>
              </w:rPr>
              <w:t xml:space="preserve"> Department of Primary Industries </w:t>
            </w:r>
            <w:r w:rsidR="00582DA7">
              <w:rPr>
                <w:rFonts w:cs="Arial"/>
              </w:rPr>
              <w:t>when undertaking</w:t>
            </w:r>
            <w:r w:rsidRPr="00980846">
              <w:rPr>
                <w:rFonts w:cs="Arial"/>
              </w:rPr>
              <w:t xml:space="preserve"> stock status assessments for species</w:t>
            </w:r>
            <w:r w:rsidR="00C5700C">
              <w:rPr>
                <w:rFonts w:cs="Arial"/>
              </w:rPr>
              <w:t xml:space="preserve"> also caught in NSW fisheries</w:t>
            </w:r>
            <w:r w:rsidRPr="00980846">
              <w:rPr>
                <w:rFonts w:cs="Arial"/>
              </w:rPr>
              <w:t>.</w:t>
            </w:r>
          </w:p>
          <w:p w14:paraId="2F5C3A6F" w14:textId="77777777" w:rsidR="00980846" w:rsidRPr="00980846" w:rsidRDefault="00980846" w:rsidP="001F1716">
            <w:pPr>
              <w:spacing w:line="240" w:lineRule="auto"/>
              <w:rPr>
                <w:rFonts w:cs="Arial"/>
              </w:rPr>
            </w:pPr>
            <w:r w:rsidRPr="00980846">
              <w:rPr>
                <w:rFonts w:cs="Arial"/>
              </w:rPr>
              <w:t>Recreational fishers frequently target barramundi, mangrove jack, whiting, bream, mullet, tailor, mackerel, trevally and flathead. Size limits and recreational possession limits apply to many of the common recreational species.</w:t>
            </w:r>
          </w:p>
          <w:p w14:paraId="2F5C3A70" w14:textId="77777777" w:rsidR="002D0E6C" w:rsidRDefault="00582DA7" w:rsidP="001F1716">
            <w:pPr>
              <w:spacing w:line="240" w:lineRule="auto"/>
              <w:rPr>
                <w:rFonts w:cs="Arial"/>
              </w:rPr>
            </w:pPr>
            <w:r>
              <w:rPr>
                <w:rFonts w:cs="Arial"/>
              </w:rPr>
              <w:t xml:space="preserve">Catch retained by recreational fishers in Queensland is greater than the total catch retained by the East Coast Inshore Fin Fish Fishery. </w:t>
            </w:r>
            <w:r w:rsidR="00980846" w:rsidRPr="00980846">
              <w:rPr>
                <w:rFonts w:cs="Arial"/>
              </w:rPr>
              <w:t>I</w:t>
            </w:r>
            <w:r w:rsidR="00CE4CB4">
              <w:rPr>
                <w:rFonts w:cs="Arial"/>
              </w:rPr>
              <w:t>n 2014</w:t>
            </w:r>
            <w:r w:rsidR="00980846" w:rsidRPr="00980846">
              <w:rPr>
                <w:rFonts w:cs="Arial"/>
              </w:rPr>
              <w:t xml:space="preserve"> the total recreational harvest (retai</w:t>
            </w:r>
            <w:r w:rsidR="00CE4CB4">
              <w:rPr>
                <w:rFonts w:cs="Arial"/>
              </w:rPr>
              <w:t xml:space="preserve">ned catch) </w:t>
            </w:r>
            <w:r w:rsidR="00E4795B">
              <w:rPr>
                <w:rFonts w:cs="Arial"/>
              </w:rPr>
              <w:t>for all of</w:t>
            </w:r>
            <w:r w:rsidR="00240379">
              <w:rPr>
                <w:rFonts w:cs="Arial"/>
              </w:rPr>
              <w:t xml:space="preserve"> Queensland </w:t>
            </w:r>
            <w:r w:rsidR="00CE4CB4">
              <w:rPr>
                <w:rFonts w:cs="Arial"/>
              </w:rPr>
              <w:t>was estimated at 6276</w:t>
            </w:r>
            <w:r w:rsidR="00980846" w:rsidRPr="00980846">
              <w:rPr>
                <w:rFonts w:cs="Arial"/>
              </w:rPr>
              <w:t xml:space="preserve"> tonnes</w:t>
            </w:r>
            <w:r w:rsidR="00CE4CB4">
              <w:rPr>
                <w:rFonts w:cs="Arial"/>
              </w:rPr>
              <w:t xml:space="preserve"> </w:t>
            </w:r>
            <w:r w:rsidR="00980846" w:rsidRPr="00980846">
              <w:rPr>
                <w:rFonts w:cs="Arial"/>
              </w:rPr>
              <w:t>(</w:t>
            </w:r>
            <w:r w:rsidR="00887731">
              <w:rPr>
                <w:rFonts w:cs="Arial"/>
              </w:rPr>
              <w:t xml:space="preserve">Webley </w:t>
            </w:r>
            <w:r w:rsidR="00887731" w:rsidRPr="00887731">
              <w:rPr>
                <w:rFonts w:cs="Arial"/>
                <w:i/>
              </w:rPr>
              <w:t>et al</w:t>
            </w:r>
            <w:r w:rsidR="00887731">
              <w:rPr>
                <w:rFonts w:cs="Arial"/>
              </w:rPr>
              <w:t>, 2015</w:t>
            </w:r>
            <w:r w:rsidR="00980846" w:rsidRPr="00980846">
              <w:rPr>
                <w:rFonts w:cs="Arial"/>
              </w:rPr>
              <w:t xml:space="preserve">). The most commonly harvested species were </w:t>
            </w:r>
            <w:r w:rsidR="00887731">
              <w:rPr>
                <w:rFonts w:cs="Arial"/>
              </w:rPr>
              <w:t>sand whiting (482</w:t>
            </w:r>
            <w:r w:rsidR="00980846" w:rsidRPr="00980846">
              <w:rPr>
                <w:rFonts w:cs="Arial"/>
              </w:rPr>
              <w:t xml:space="preserve"> tonnes), </w:t>
            </w:r>
            <w:r w:rsidR="00887731">
              <w:rPr>
                <w:rFonts w:cs="Arial"/>
              </w:rPr>
              <w:t>yellowfin bream (323</w:t>
            </w:r>
            <w:r w:rsidR="00980846" w:rsidRPr="00980846">
              <w:rPr>
                <w:rFonts w:cs="Arial"/>
              </w:rPr>
              <w:t> tonnes)</w:t>
            </w:r>
            <w:r w:rsidR="002D0E6C">
              <w:rPr>
                <w:rFonts w:cs="Arial"/>
              </w:rPr>
              <w:t>,</w:t>
            </w:r>
            <w:r w:rsidR="00980846" w:rsidRPr="00980846">
              <w:rPr>
                <w:rFonts w:cs="Arial"/>
              </w:rPr>
              <w:t xml:space="preserve"> </w:t>
            </w:r>
            <w:r w:rsidR="00887731">
              <w:rPr>
                <w:rFonts w:cs="Arial"/>
              </w:rPr>
              <w:t>flathead (117 tonnes) and tailor (111</w:t>
            </w:r>
            <w:r w:rsidR="005424CA">
              <w:rPr>
                <w:rFonts w:cs="Arial"/>
              </w:rPr>
              <w:t> </w:t>
            </w:r>
            <w:r w:rsidR="00980846" w:rsidRPr="00980846">
              <w:rPr>
                <w:rFonts w:cs="Arial"/>
              </w:rPr>
              <w:t>tonnes).</w:t>
            </w:r>
            <w:r w:rsidR="002D0E6C">
              <w:rPr>
                <w:rFonts w:cs="Arial"/>
              </w:rPr>
              <w:t xml:space="preserve"> T</w:t>
            </w:r>
            <w:r w:rsidR="00980846" w:rsidRPr="00980846">
              <w:rPr>
                <w:rFonts w:cs="Arial"/>
              </w:rPr>
              <w:t xml:space="preserve">he recreational harvest </w:t>
            </w:r>
            <w:r w:rsidR="002D0E6C" w:rsidRPr="00980846">
              <w:rPr>
                <w:rFonts w:cs="Arial"/>
              </w:rPr>
              <w:t>for</w:t>
            </w:r>
            <w:r w:rsidR="002D0E6C">
              <w:rPr>
                <w:rFonts w:cs="Arial"/>
              </w:rPr>
              <w:t xml:space="preserve"> dusky flathead</w:t>
            </w:r>
            <w:r w:rsidR="002D0E6C" w:rsidRPr="00980846">
              <w:rPr>
                <w:rFonts w:cs="Arial"/>
              </w:rPr>
              <w:t xml:space="preserve"> </w:t>
            </w:r>
            <w:r w:rsidR="00980846" w:rsidRPr="00980846">
              <w:rPr>
                <w:rFonts w:cs="Arial"/>
              </w:rPr>
              <w:t xml:space="preserve">is </w:t>
            </w:r>
            <w:r w:rsidR="002D0E6C">
              <w:rPr>
                <w:rFonts w:cs="Arial"/>
              </w:rPr>
              <w:t xml:space="preserve">also </w:t>
            </w:r>
            <w:r w:rsidR="00980846" w:rsidRPr="00980846">
              <w:rPr>
                <w:rFonts w:cs="Arial"/>
              </w:rPr>
              <w:t>likely to substantially exceed the commercial harvest</w:t>
            </w:r>
            <w:r w:rsidR="002D0E6C">
              <w:rPr>
                <w:rFonts w:cs="Arial"/>
              </w:rPr>
              <w:t xml:space="preserve"> (Webley </w:t>
            </w:r>
            <w:r w:rsidR="002D0E6C" w:rsidRPr="002D0E6C">
              <w:rPr>
                <w:rFonts w:cs="Arial"/>
                <w:i/>
              </w:rPr>
              <w:t>et al</w:t>
            </w:r>
            <w:r w:rsidR="002D0E6C">
              <w:rPr>
                <w:rFonts w:cs="Arial"/>
              </w:rPr>
              <w:t>, 2015)</w:t>
            </w:r>
          </w:p>
          <w:p w14:paraId="2F5C3A71" w14:textId="77777777" w:rsidR="00980846" w:rsidRPr="00980846" w:rsidRDefault="00980846" w:rsidP="001F1716">
            <w:pPr>
              <w:spacing w:line="240" w:lineRule="auto"/>
              <w:rPr>
                <w:rFonts w:cs="Arial"/>
              </w:rPr>
            </w:pPr>
            <w:r w:rsidRPr="00980846">
              <w:rPr>
                <w:rFonts w:cs="Arial"/>
              </w:rPr>
              <w:t xml:space="preserve">Catch in the </w:t>
            </w:r>
            <w:r w:rsidR="00DB062F">
              <w:rPr>
                <w:rFonts w:cs="Arial"/>
              </w:rPr>
              <w:t xml:space="preserve">fishing tour </w:t>
            </w:r>
            <w:r w:rsidRPr="00980846">
              <w:rPr>
                <w:rFonts w:cs="Arial"/>
              </w:rPr>
              <w:t xml:space="preserve">charter sector is reported in charter sector logbooks. </w:t>
            </w:r>
            <w:r w:rsidR="00C5700C">
              <w:rPr>
                <w:rFonts w:cs="Arial"/>
              </w:rPr>
              <w:t>I</w:t>
            </w:r>
            <w:r w:rsidR="000171C7">
              <w:rPr>
                <w:rFonts w:cs="Arial"/>
              </w:rPr>
              <w:t>n 2009-10 this</w:t>
            </w:r>
            <w:r w:rsidRPr="00980846">
              <w:rPr>
                <w:rFonts w:cs="Arial"/>
              </w:rPr>
              <w:t xml:space="preserve"> sector retained approximately 85 tonnes with app</w:t>
            </w:r>
            <w:r w:rsidR="00DB062F">
              <w:rPr>
                <w:rFonts w:cs="Arial"/>
              </w:rPr>
              <w:t xml:space="preserve">roximately 100 tonnes released. </w:t>
            </w:r>
            <w:r w:rsidRPr="00980846">
              <w:rPr>
                <w:rFonts w:cs="Arial"/>
              </w:rPr>
              <w:t>Trevally, mackerel species, tuna and barramundi were the species most often caught and retained.</w:t>
            </w:r>
          </w:p>
          <w:p w14:paraId="2F5C3A72" w14:textId="77777777" w:rsidR="00B6012C" w:rsidRPr="009B3A55" w:rsidRDefault="00980846" w:rsidP="002D0E6C">
            <w:pPr>
              <w:spacing w:line="240" w:lineRule="auto"/>
              <w:rPr>
                <w:rFonts w:cs="Arial"/>
                <w:color w:val="3366FF"/>
              </w:rPr>
            </w:pPr>
            <w:r w:rsidRPr="00980846">
              <w:rPr>
                <w:rFonts w:cs="Arial"/>
              </w:rPr>
              <w:t>There are no recent or reliable estimates of Indigenous catch of East Coast Inshore Fin Fish Fishery species. Based on the results of the National Recreational and Indigenous Fis</w:t>
            </w:r>
            <w:r w:rsidR="00871EEE">
              <w:rPr>
                <w:rFonts w:cs="Arial"/>
              </w:rPr>
              <w:t xml:space="preserve">hing Survey conducted in </w:t>
            </w:r>
            <w:r w:rsidR="002D0E6C">
              <w:rPr>
                <w:rFonts w:cs="Arial"/>
              </w:rPr>
              <w:br/>
            </w:r>
            <w:r w:rsidR="00871EEE">
              <w:rPr>
                <w:rFonts w:cs="Arial"/>
              </w:rPr>
              <w:t>2000-</w:t>
            </w:r>
            <w:r w:rsidRPr="00980846">
              <w:rPr>
                <w:rFonts w:cs="Arial"/>
              </w:rPr>
              <w:t xml:space="preserve">01 (Henry &amp; Lyle 2003), the Indigenous harvest of species </w:t>
            </w:r>
            <w:r w:rsidR="000171C7">
              <w:rPr>
                <w:rFonts w:cs="Arial"/>
              </w:rPr>
              <w:t xml:space="preserve">harvested in the fishery </w:t>
            </w:r>
            <w:r w:rsidRPr="00980846">
              <w:rPr>
                <w:rFonts w:cs="Arial"/>
              </w:rPr>
              <w:t xml:space="preserve">is </w:t>
            </w:r>
            <w:r w:rsidR="00116158">
              <w:rPr>
                <w:rFonts w:cs="Arial"/>
              </w:rPr>
              <w:t xml:space="preserve">considered </w:t>
            </w:r>
            <w:r w:rsidRPr="00980846">
              <w:rPr>
                <w:rFonts w:cs="Arial"/>
              </w:rPr>
              <w:t>low relative to other sectors.</w:t>
            </w:r>
          </w:p>
        </w:tc>
      </w:tr>
      <w:tr w:rsidR="00B6012C" w:rsidRPr="009B3A55" w14:paraId="2F5C3A78"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A74" w14:textId="77777777" w:rsidR="00B6012C" w:rsidRPr="009B3A55" w:rsidRDefault="00B6012C" w:rsidP="001955CD">
            <w:pPr>
              <w:rPr>
                <w:rFonts w:cs="Arial"/>
                <w:b/>
                <w:snapToGrid w:val="0"/>
              </w:rPr>
            </w:pPr>
            <w:r w:rsidRPr="009B3A55">
              <w:rPr>
                <w:rFonts w:cs="Arial"/>
                <w:b/>
                <w:snapToGrid w:val="0"/>
              </w:rPr>
              <w:t>Commercial licences issued</w:t>
            </w:r>
          </w:p>
        </w:tc>
        <w:tc>
          <w:tcPr>
            <w:tcW w:w="7444" w:type="dxa"/>
            <w:tcBorders>
              <w:top w:val="single" w:sz="4" w:space="0" w:color="auto"/>
              <w:left w:val="single" w:sz="4" w:space="0" w:color="auto"/>
              <w:bottom w:val="single" w:sz="4" w:space="0" w:color="auto"/>
              <w:right w:val="single" w:sz="4" w:space="0" w:color="auto"/>
            </w:tcBorders>
          </w:tcPr>
          <w:p w14:paraId="2F5C3A75" w14:textId="77777777" w:rsidR="00C62561" w:rsidRDefault="00C62561" w:rsidP="001F1716">
            <w:pPr>
              <w:spacing w:line="240" w:lineRule="auto"/>
              <w:rPr>
                <w:snapToGrid w:val="0"/>
              </w:rPr>
            </w:pPr>
            <w:r>
              <w:rPr>
                <w:snapToGrid w:val="0"/>
              </w:rPr>
              <w:t xml:space="preserve">In 2012, 381 licences with net fishery symbols and 321 with line fishery symbols </w:t>
            </w:r>
            <w:r w:rsidR="00DB062F">
              <w:rPr>
                <w:snapToGrid w:val="0"/>
              </w:rPr>
              <w:t>were active in</w:t>
            </w:r>
            <w:r>
              <w:rPr>
                <w:snapToGrid w:val="0"/>
              </w:rPr>
              <w:t xml:space="preserve"> the fishery. </w:t>
            </w:r>
          </w:p>
          <w:p w14:paraId="2F5C3A76" w14:textId="77777777" w:rsidR="00B6012C" w:rsidRDefault="00582865" w:rsidP="001F1716">
            <w:pPr>
              <w:spacing w:line="240" w:lineRule="auto"/>
              <w:rPr>
                <w:snapToGrid w:val="0"/>
              </w:rPr>
            </w:pPr>
            <w:r>
              <w:rPr>
                <w:snapToGrid w:val="0"/>
              </w:rPr>
              <w:t xml:space="preserve">In 2013, 375 licences with net fishery symbols and 294 with line fishery symbols </w:t>
            </w:r>
            <w:r w:rsidR="00DB062F">
              <w:rPr>
                <w:snapToGrid w:val="0"/>
              </w:rPr>
              <w:t>were active in</w:t>
            </w:r>
            <w:r>
              <w:rPr>
                <w:snapToGrid w:val="0"/>
              </w:rPr>
              <w:t xml:space="preserve"> the fishery</w:t>
            </w:r>
            <w:r w:rsidR="00C62561">
              <w:rPr>
                <w:snapToGrid w:val="0"/>
              </w:rPr>
              <w:t xml:space="preserve">. </w:t>
            </w:r>
          </w:p>
          <w:p w14:paraId="37C335DE" w14:textId="77777777" w:rsidR="001E2A94" w:rsidRDefault="001E2A94" w:rsidP="001F1716">
            <w:pPr>
              <w:spacing w:line="240" w:lineRule="auto"/>
              <w:rPr>
                <w:snapToGrid w:val="0"/>
              </w:rPr>
            </w:pPr>
            <w:r>
              <w:rPr>
                <w:snapToGrid w:val="0"/>
              </w:rPr>
              <w:t xml:space="preserve">In 2014, 353 licences with net fishery symbols and 340 with line fishery symbols were active in the fishery. </w:t>
            </w:r>
          </w:p>
          <w:p w14:paraId="56F65E83" w14:textId="17746E71" w:rsidR="001E2A94" w:rsidRDefault="001E2A94" w:rsidP="001F1716">
            <w:pPr>
              <w:spacing w:line="240" w:lineRule="auto"/>
              <w:rPr>
                <w:snapToGrid w:val="0"/>
              </w:rPr>
            </w:pPr>
            <w:r>
              <w:rPr>
                <w:snapToGrid w:val="0"/>
              </w:rPr>
              <w:t xml:space="preserve">In 2015, 312 licences with net fishery symbols and 335 with line fishery symbols were active in the fishery. </w:t>
            </w:r>
          </w:p>
          <w:p w14:paraId="2F5C3A77" w14:textId="4F5B2972" w:rsidR="00C62561" w:rsidRPr="009B3A55" w:rsidRDefault="00C62561" w:rsidP="001F1716">
            <w:pPr>
              <w:spacing w:line="240" w:lineRule="auto"/>
              <w:rPr>
                <w:rFonts w:cs="Arial"/>
                <w:snapToGrid w:val="0"/>
                <w:color w:val="3366FF"/>
              </w:rPr>
            </w:pPr>
          </w:p>
        </w:tc>
      </w:tr>
      <w:tr w:rsidR="00B6012C" w:rsidRPr="009B3A55" w14:paraId="2F5C3A8E"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A79" w14:textId="4494B1C3"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444" w:type="dxa"/>
            <w:tcBorders>
              <w:top w:val="single" w:sz="4" w:space="0" w:color="auto"/>
              <w:left w:val="single" w:sz="4" w:space="0" w:color="auto"/>
              <w:bottom w:val="single" w:sz="4" w:space="0" w:color="auto"/>
              <w:right w:val="single" w:sz="4" w:space="0" w:color="auto"/>
            </w:tcBorders>
          </w:tcPr>
          <w:p w14:paraId="2F5C3A7A" w14:textId="77777777" w:rsidR="00986AFC" w:rsidRPr="00154540" w:rsidRDefault="00C62561" w:rsidP="001F1716">
            <w:pPr>
              <w:spacing w:line="240" w:lineRule="auto"/>
              <w:rPr>
                <w:snapToGrid w:val="0"/>
              </w:rPr>
            </w:pPr>
            <w:r w:rsidRPr="00154540">
              <w:rPr>
                <w:snapToGrid w:val="0"/>
              </w:rPr>
              <w:t xml:space="preserve">The </w:t>
            </w:r>
            <w:r w:rsidR="00A05BFA">
              <w:rPr>
                <w:snapToGrid w:val="0"/>
              </w:rPr>
              <w:t>East Coast Inshore Fin Fish Fishery</w:t>
            </w:r>
            <w:r w:rsidRPr="00154540">
              <w:rPr>
                <w:snapToGrid w:val="0"/>
              </w:rPr>
              <w:t xml:space="preserve"> is managed by </w:t>
            </w:r>
            <w:r w:rsidR="00154540" w:rsidRPr="00154540">
              <w:rPr>
                <w:snapToGrid w:val="0"/>
              </w:rPr>
              <w:t xml:space="preserve">the </w:t>
            </w:r>
            <w:r w:rsidR="00154540">
              <w:rPr>
                <w:snapToGrid w:val="0"/>
              </w:rPr>
              <w:t>Queensland Department of Agriculture and Fisheries</w:t>
            </w:r>
            <w:r w:rsidR="00154540" w:rsidRPr="00154540">
              <w:rPr>
                <w:snapToGrid w:val="0"/>
              </w:rPr>
              <w:t xml:space="preserve"> </w:t>
            </w:r>
            <w:r w:rsidRPr="00154540">
              <w:rPr>
                <w:snapToGrid w:val="0"/>
              </w:rPr>
              <w:t xml:space="preserve">under the Queensland </w:t>
            </w:r>
            <w:r w:rsidRPr="00154540">
              <w:rPr>
                <w:i/>
                <w:snapToGrid w:val="0"/>
              </w:rPr>
              <w:t>Fisheries Act 1994</w:t>
            </w:r>
            <w:r w:rsidRPr="00154540">
              <w:rPr>
                <w:snapToGrid w:val="0"/>
              </w:rPr>
              <w:t xml:space="preserve"> and the Queensland Fisheries Regulations 2008. </w:t>
            </w:r>
          </w:p>
          <w:p w14:paraId="2F5C3A7B" w14:textId="77777777" w:rsidR="00C62561" w:rsidRPr="00154540" w:rsidRDefault="00871EEE" w:rsidP="001F1716">
            <w:pPr>
              <w:spacing w:line="240" w:lineRule="auto"/>
              <w:rPr>
                <w:snapToGrid w:val="0"/>
              </w:rPr>
            </w:pPr>
            <w:r>
              <w:rPr>
                <w:snapToGrid w:val="0"/>
              </w:rPr>
              <w:t>M</w:t>
            </w:r>
            <w:r w:rsidR="00C62561" w:rsidRPr="00154540">
              <w:rPr>
                <w:snapToGrid w:val="0"/>
              </w:rPr>
              <w:t>anagement arrangements for the fishery include:</w:t>
            </w:r>
          </w:p>
          <w:p w14:paraId="2F5C3A7C" w14:textId="77777777" w:rsidR="00C62561" w:rsidRPr="00154540" w:rsidRDefault="00C62561" w:rsidP="000171C7">
            <w:pPr>
              <w:spacing w:after="0" w:line="240" w:lineRule="auto"/>
              <w:ind w:left="113"/>
              <w:rPr>
                <w:snapToGrid w:val="0"/>
              </w:rPr>
            </w:pPr>
            <w:r w:rsidRPr="00154540">
              <w:rPr>
                <w:snapToGrid w:val="0"/>
              </w:rPr>
              <w:t>Input Controls:</w:t>
            </w:r>
          </w:p>
          <w:p w14:paraId="2F5C3A7D" w14:textId="77777777" w:rsidR="00C62561" w:rsidRPr="00154540" w:rsidRDefault="00C62561" w:rsidP="001F1716">
            <w:pPr>
              <w:numPr>
                <w:ilvl w:val="0"/>
                <w:numId w:val="38"/>
              </w:numPr>
              <w:spacing w:line="240" w:lineRule="auto"/>
              <w:ind w:left="567" w:hanging="357"/>
              <w:contextualSpacing/>
              <w:rPr>
                <w:snapToGrid w:val="0"/>
              </w:rPr>
            </w:pPr>
            <w:r w:rsidRPr="00154540">
              <w:rPr>
                <w:snapToGrid w:val="0"/>
              </w:rPr>
              <w:t>limited entry</w:t>
            </w:r>
          </w:p>
          <w:p w14:paraId="2F5C3A7E" w14:textId="77777777" w:rsidR="00C62561" w:rsidRPr="00154540" w:rsidRDefault="00C62561" w:rsidP="001F1716">
            <w:pPr>
              <w:numPr>
                <w:ilvl w:val="0"/>
                <w:numId w:val="38"/>
              </w:numPr>
              <w:spacing w:line="240" w:lineRule="auto"/>
              <w:ind w:left="567" w:hanging="357"/>
              <w:contextualSpacing/>
              <w:rPr>
                <w:snapToGrid w:val="0"/>
              </w:rPr>
            </w:pPr>
            <w:r w:rsidRPr="00154540">
              <w:rPr>
                <w:snapToGrid w:val="0"/>
              </w:rPr>
              <w:t>licensing symbols</w:t>
            </w:r>
            <w:r w:rsidR="005424CA">
              <w:rPr>
                <w:snapToGrid w:val="0"/>
              </w:rPr>
              <w:t xml:space="preserve"> -</w:t>
            </w:r>
            <w:r w:rsidRPr="00154540">
              <w:rPr>
                <w:snapToGrid w:val="0"/>
              </w:rPr>
              <w:t xml:space="preserve"> each symbol allows different gear to be used c</w:t>
            </w:r>
            <w:r w:rsidR="00871EEE">
              <w:rPr>
                <w:snapToGrid w:val="0"/>
              </w:rPr>
              <w:t>ommercially in different areas</w:t>
            </w:r>
          </w:p>
          <w:p w14:paraId="2F5C3A7F" w14:textId="77777777" w:rsidR="00C62561" w:rsidRPr="00154540" w:rsidRDefault="00C62561" w:rsidP="001F1716">
            <w:pPr>
              <w:numPr>
                <w:ilvl w:val="0"/>
                <w:numId w:val="38"/>
              </w:numPr>
              <w:spacing w:line="240" w:lineRule="auto"/>
              <w:ind w:left="567" w:hanging="357"/>
              <w:contextualSpacing/>
              <w:rPr>
                <w:snapToGrid w:val="0"/>
              </w:rPr>
            </w:pPr>
            <w:r w:rsidRPr="00154540">
              <w:rPr>
                <w:snapToGrid w:val="0"/>
              </w:rPr>
              <w:t>allocation of a limited number of ‘S’ symbols to co</w:t>
            </w:r>
            <w:r w:rsidR="00986AFC" w:rsidRPr="00154540">
              <w:rPr>
                <w:snapToGrid w:val="0"/>
              </w:rPr>
              <w:t>nstrain the number of operators</w:t>
            </w:r>
            <w:r w:rsidRPr="00154540">
              <w:rPr>
                <w:snapToGrid w:val="0"/>
              </w:rPr>
              <w:t xml:space="preserve"> authorised to take sharks and rays </w:t>
            </w:r>
          </w:p>
          <w:p w14:paraId="2F5C3A80" w14:textId="77777777" w:rsidR="00C62561" w:rsidRPr="00154540" w:rsidRDefault="00C62561" w:rsidP="001F1716">
            <w:pPr>
              <w:numPr>
                <w:ilvl w:val="0"/>
                <w:numId w:val="38"/>
              </w:numPr>
              <w:spacing w:line="240" w:lineRule="auto"/>
              <w:ind w:left="567" w:hanging="357"/>
              <w:contextualSpacing/>
              <w:rPr>
                <w:snapToGrid w:val="0"/>
              </w:rPr>
            </w:pPr>
            <w:r w:rsidRPr="00154540">
              <w:rPr>
                <w:snapToGrid w:val="0"/>
              </w:rPr>
              <w:lastRenderedPageBreak/>
              <w:t xml:space="preserve">limits on </w:t>
            </w:r>
            <w:r w:rsidR="00871EEE">
              <w:rPr>
                <w:snapToGrid w:val="0"/>
              </w:rPr>
              <w:t xml:space="preserve">the </w:t>
            </w:r>
            <w:r w:rsidRPr="00154540">
              <w:rPr>
                <w:snapToGrid w:val="0"/>
              </w:rPr>
              <w:t xml:space="preserve">types of nets, net lengths and mesh sizes for nearshore, inshore and offshore operations, </w:t>
            </w:r>
            <w:r w:rsidR="00904107">
              <w:rPr>
                <w:snapToGrid w:val="0"/>
              </w:rPr>
              <w:t>with requirements for fishers to be in close proximity to their nets,</w:t>
            </w:r>
            <w:r w:rsidR="00116158">
              <w:rPr>
                <w:snapToGrid w:val="0"/>
              </w:rPr>
              <w:t xml:space="preserve"> to allow the release of protected species</w:t>
            </w:r>
            <w:r w:rsidR="000171C7">
              <w:rPr>
                <w:snapToGrid w:val="0"/>
              </w:rPr>
              <w:t xml:space="preserve"> caught accidently</w:t>
            </w:r>
          </w:p>
          <w:p w14:paraId="2F5C3A81" w14:textId="77777777" w:rsidR="00C62561" w:rsidRPr="00154540" w:rsidRDefault="00C62561" w:rsidP="001F1716">
            <w:pPr>
              <w:numPr>
                <w:ilvl w:val="0"/>
                <w:numId w:val="38"/>
              </w:numPr>
              <w:spacing w:line="240" w:lineRule="auto"/>
              <w:ind w:left="567" w:hanging="357"/>
              <w:contextualSpacing/>
              <w:rPr>
                <w:snapToGrid w:val="0"/>
              </w:rPr>
            </w:pPr>
            <w:r w:rsidRPr="00154540">
              <w:rPr>
                <w:snapToGrid w:val="0"/>
              </w:rPr>
              <w:t>seasonal and area closures</w:t>
            </w:r>
            <w:r w:rsidR="00C26916">
              <w:rPr>
                <w:snapToGrid w:val="0"/>
              </w:rPr>
              <w:t>,</w:t>
            </w:r>
            <w:r w:rsidRPr="00154540">
              <w:rPr>
                <w:snapToGrid w:val="0"/>
              </w:rPr>
              <w:t xml:space="preserve"> and </w:t>
            </w:r>
          </w:p>
          <w:p w14:paraId="2F5C3A82" w14:textId="77777777" w:rsidR="00C62561" w:rsidRPr="00154540" w:rsidRDefault="00C62561" w:rsidP="001F1716">
            <w:pPr>
              <w:numPr>
                <w:ilvl w:val="0"/>
                <w:numId w:val="38"/>
              </w:numPr>
              <w:spacing w:before="120" w:line="240" w:lineRule="auto"/>
              <w:ind w:left="567"/>
              <w:contextualSpacing/>
              <w:rPr>
                <w:snapToGrid w:val="0"/>
              </w:rPr>
            </w:pPr>
            <w:r w:rsidRPr="00154540">
              <w:rPr>
                <w:snapToGrid w:val="0"/>
              </w:rPr>
              <w:t>gear limits for recreational fishers.</w:t>
            </w:r>
          </w:p>
          <w:p w14:paraId="2F5C3A83" w14:textId="77777777" w:rsidR="00C62561" w:rsidRPr="00154540" w:rsidRDefault="00C62561" w:rsidP="000171C7">
            <w:pPr>
              <w:spacing w:before="360" w:after="0" w:line="240" w:lineRule="auto"/>
              <w:ind w:left="113"/>
              <w:rPr>
                <w:snapToGrid w:val="0"/>
              </w:rPr>
            </w:pPr>
            <w:r w:rsidRPr="00154540">
              <w:rPr>
                <w:snapToGrid w:val="0"/>
              </w:rPr>
              <w:t>Output Controls:</w:t>
            </w:r>
          </w:p>
          <w:p w14:paraId="2F5C3A84" w14:textId="77777777" w:rsidR="00C62561" w:rsidRPr="00154540" w:rsidRDefault="00C62561" w:rsidP="000171C7">
            <w:pPr>
              <w:numPr>
                <w:ilvl w:val="0"/>
                <w:numId w:val="38"/>
              </w:numPr>
              <w:spacing w:after="0" w:line="240" w:lineRule="auto"/>
              <w:ind w:left="567" w:hanging="357"/>
              <w:rPr>
                <w:snapToGrid w:val="0"/>
              </w:rPr>
            </w:pPr>
            <w:r w:rsidRPr="00154540">
              <w:rPr>
                <w:snapToGrid w:val="0"/>
              </w:rPr>
              <w:t>total allowable commercial catch limits:</w:t>
            </w:r>
          </w:p>
          <w:p w14:paraId="2F5C3A85" w14:textId="77777777" w:rsidR="00C62561" w:rsidRPr="00154540" w:rsidRDefault="00C62561" w:rsidP="001F1716">
            <w:pPr>
              <w:numPr>
                <w:ilvl w:val="1"/>
                <w:numId w:val="38"/>
              </w:numPr>
              <w:spacing w:line="240" w:lineRule="auto"/>
              <w:ind w:left="1134" w:hanging="357"/>
              <w:rPr>
                <w:snapToGrid w:val="0"/>
              </w:rPr>
            </w:pPr>
            <w:r w:rsidRPr="00154540">
              <w:rPr>
                <w:snapToGrid w:val="0"/>
              </w:rPr>
              <w:t>sharks and rays - 600 tonnes, divided into a 480 tonne northern component and a 120 tonne southern component</w:t>
            </w:r>
          </w:p>
          <w:p w14:paraId="2F5C3A86" w14:textId="77777777" w:rsidR="00C62561" w:rsidRPr="00154540" w:rsidRDefault="00C62561" w:rsidP="001F1716">
            <w:pPr>
              <w:numPr>
                <w:ilvl w:val="1"/>
                <w:numId w:val="38"/>
              </w:numPr>
              <w:spacing w:line="240" w:lineRule="auto"/>
              <w:ind w:left="1134" w:hanging="357"/>
              <w:rPr>
                <w:snapToGrid w:val="0"/>
              </w:rPr>
            </w:pPr>
            <w:r w:rsidRPr="00154540">
              <w:rPr>
                <w:snapToGrid w:val="0"/>
              </w:rPr>
              <w:t>grey mackerel - 250 tonnes</w:t>
            </w:r>
          </w:p>
          <w:p w14:paraId="2F5C3A87" w14:textId="77777777" w:rsidR="00C62561" w:rsidRPr="00154540" w:rsidRDefault="00C62561" w:rsidP="001F1716">
            <w:pPr>
              <w:numPr>
                <w:ilvl w:val="1"/>
                <w:numId w:val="38"/>
              </w:numPr>
              <w:spacing w:line="240" w:lineRule="auto"/>
              <w:ind w:left="1134" w:hanging="357"/>
              <w:rPr>
                <w:snapToGrid w:val="0"/>
              </w:rPr>
            </w:pPr>
            <w:r w:rsidRPr="00154540">
              <w:rPr>
                <w:snapToGrid w:val="0"/>
              </w:rPr>
              <w:t xml:space="preserve">spotted mackerel - 240 tonnes, and </w:t>
            </w:r>
          </w:p>
          <w:p w14:paraId="2F5C3A88" w14:textId="77777777" w:rsidR="00154540" w:rsidRPr="000171C7" w:rsidRDefault="00C62561" w:rsidP="000171C7">
            <w:pPr>
              <w:numPr>
                <w:ilvl w:val="1"/>
                <w:numId w:val="38"/>
              </w:numPr>
              <w:spacing w:after="0" w:line="240" w:lineRule="auto"/>
              <w:ind w:left="1134"/>
              <w:contextualSpacing/>
              <w:rPr>
                <w:snapToGrid w:val="0"/>
              </w:rPr>
            </w:pPr>
            <w:r w:rsidRPr="00154540">
              <w:rPr>
                <w:snapToGrid w:val="0"/>
              </w:rPr>
              <w:t>tailor - 120 tonnes</w:t>
            </w:r>
          </w:p>
          <w:p w14:paraId="2F5C3A89" w14:textId="77777777" w:rsidR="00C62561" w:rsidRPr="00154540" w:rsidRDefault="00904107" w:rsidP="001F1716">
            <w:pPr>
              <w:numPr>
                <w:ilvl w:val="0"/>
                <w:numId w:val="38"/>
              </w:numPr>
              <w:spacing w:line="240" w:lineRule="auto"/>
              <w:ind w:left="567"/>
              <w:contextualSpacing/>
              <w:rPr>
                <w:snapToGrid w:val="0"/>
              </w:rPr>
            </w:pPr>
            <w:r>
              <w:rPr>
                <w:snapToGrid w:val="0"/>
              </w:rPr>
              <w:t>possession limits (ten net-caught sharks and four line-</w:t>
            </w:r>
            <w:r w:rsidR="00C62561" w:rsidRPr="00154540">
              <w:rPr>
                <w:snapToGrid w:val="0"/>
              </w:rPr>
              <w:t xml:space="preserve">caught sharks) and maximum size limit </w:t>
            </w:r>
            <w:r w:rsidR="00184C58">
              <w:rPr>
                <w:snapToGrid w:val="0"/>
              </w:rPr>
              <w:t xml:space="preserve">for sharks </w:t>
            </w:r>
            <w:r w:rsidR="00C62561" w:rsidRPr="00154540">
              <w:rPr>
                <w:snapToGrid w:val="0"/>
              </w:rPr>
              <w:t>(150 centimetres total length), for all fishers except those holding an ‘S’ symbol</w:t>
            </w:r>
            <w:r w:rsidR="00871EEE" w:rsidRPr="00154540">
              <w:rPr>
                <w:snapToGrid w:val="0"/>
                <w:vertAlign w:val="superscript"/>
              </w:rPr>
              <w:footnoteReference w:id="1"/>
            </w:r>
            <w:r w:rsidR="00184C58">
              <w:rPr>
                <w:snapToGrid w:val="0"/>
              </w:rPr>
              <w:t>,</w:t>
            </w:r>
            <w:r w:rsidR="00184C58" w:rsidRPr="00154540">
              <w:rPr>
                <w:snapToGrid w:val="0"/>
              </w:rPr>
              <w:t xml:space="preserve"> to protect breeding females</w:t>
            </w:r>
          </w:p>
          <w:p w14:paraId="2F5C3A8A" w14:textId="77777777" w:rsidR="00C62561" w:rsidRPr="00154540" w:rsidRDefault="00986AFC" w:rsidP="001F1716">
            <w:pPr>
              <w:numPr>
                <w:ilvl w:val="0"/>
                <w:numId w:val="38"/>
              </w:numPr>
              <w:spacing w:before="120" w:line="240" w:lineRule="auto"/>
              <w:ind w:left="567"/>
              <w:contextualSpacing/>
              <w:rPr>
                <w:snapToGrid w:val="0"/>
              </w:rPr>
            </w:pPr>
            <w:r w:rsidRPr="00154540">
              <w:rPr>
                <w:snapToGrid w:val="0"/>
              </w:rPr>
              <w:t xml:space="preserve">some </w:t>
            </w:r>
            <w:r w:rsidR="00C62561" w:rsidRPr="00154540">
              <w:rPr>
                <w:snapToGrid w:val="0"/>
              </w:rPr>
              <w:t xml:space="preserve">restrictions on the form in which sharks can be retained and landed to prevent illegal </w:t>
            </w:r>
            <w:r w:rsidR="00184C58">
              <w:rPr>
                <w:snapToGrid w:val="0"/>
              </w:rPr>
              <w:t>removal of shark fins</w:t>
            </w:r>
          </w:p>
          <w:p w14:paraId="2F5C3A8B" w14:textId="77777777" w:rsidR="00C62561" w:rsidRPr="00154540" w:rsidRDefault="00C62561" w:rsidP="001F1716">
            <w:pPr>
              <w:numPr>
                <w:ilvl w:val="0"/>
                <w:numId w:val="38"/>
              </w:numPr>
              <w:spacing w:before="120" w:line="240" w:lineRule="auto"/>
              <w:ind w:left="567"/>
              <w:contextualSpacing/>
              <w:rPr>
                <w:snapToGrid w:val="0"/>
              </w:rPr>
            </w:pPr>
            <w:r w:rsidRPr="00154540">
              <w:rPr>
                <w:snapToGrid w:val="0"/>
              </w:rPr>
              <w:t>possession limits for many species and maximum size limits for some species, for both commercial and recreational fishers</w:t>
            </w:r>
          </w:p>
          <w:p w14:paraId="2F5C3A8C" w14:textId="77777777" w:rsidR="00C62561" w:rsidRPr="00154540" w:rsidRDefault="00C62561" w:rsidP="001F1716">
            <w:pPr>
              <w:numPr>
                <w:ilvl w:val="0"/>
                <w:numId w:val="38"/>
              </w:numPr>
              <w:spacing w:before="120" w:line="240" w:lineRule="auto"/>
              <w:ind w:left="567"/>
              <w:contextualSpacing/>
              <w:rPr>
                <w:snapToGrid w:val="0"/>
              </w:rPr>
            </w:pPr>
            <w:r w:rsidRPr="00154540">
              <w:rPr>
                <w:snapToGrid w:val="0"/>
              </w:rPr>
              <w:t xml:space="preserve">protection or restricted take of </w:t>
            </w:r>
            <w:r w:rsidR="00986AFC" w:rsidRPr="00154540">
              <w:rPr>
                <w:snapToGrid w:val="0"/>
              </w:rPr>
              <w:t xml:space="preserve">some </w:t>
            </w:r>
            <w:r w:rsidRPr="00154540">
              <w:rPr>
                <w:snapToGrid w:val="0"/>
              </w:rPr>
              <w:t>high risk species, and</w:t>
            </w:r>
          </w:p>
          <w:p w14:paraId="2F5C3A8D" w14:textId="77777777" w:rsidR="00B6012C" w:rsidRPr="00904107" w:rsidRDefault="00C62561" w:rsidP="001F1716">
            <w:pPr>
              <w:numPr>
                <w:ilvl w:val="0"/>
                <w:numId w:val="38"/>
              </w:numPr>
              <w:spacing w:line="240" w:lineRule="auto"/>
              <w:ind w:left="567" w:hanging="357"/>
              <w:rPr>
                <w:snapToGrid w:val="0"/>
              </w:rPr>
            </w:pPr>
            <w:r w:rsidRPr="00154540">
              <w:rPr>
                <w:snapToGrid w:val="0"/>
              </w:rPr>
              <w:t>recreational bag limits for some species.</w:t>
            </w:r>
          </w:p>
        </w:tc>
      </w:tr>
      <w:tr w:rsidR="00B6012C" w:rsidRPr="009B3A55" w14:paraId="2F5C3A93"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A8F" w14:textId="77777777" w:rsidR="00B6012C" w:rsidRPr="009B3A55" w:rsidRDefault="00B6012C" w:rsidP="001955CD">
            <w:pPr>
              <w:rPr>
                <w:rFonts w:cs="Arial"/>
                <w:b/>
                <w:snapToGrid w:val="0"/>
              </w:rPr>
            </w:pPr>
            <w:r w:rsidRPr="009B3A55">
              <w:rPr>
                <w:rFonts w:cs="Arial"/>
                <w:b/>
                <w:snapToGrid w:val="0"/>
              </w:rPr>
              <w:lastRenderedPageBreak/>
              <w:t>Bycatch</w:t>
            </w:r>
          </w:p>
        </w:tc>
        <w:tc>
          <w:tcPr>
            <w:tcW w:w="7444" w:type="dxa"/>
            <w:tcBorders>
              <w:top w:val="single" w:sz="4" w:space="0" w:color="auto"/>
              <w:left w:val="single" w:sz="4" w:space="0" w:color="auto"/>
              <w:bottom w:val="single" w:sz="4" w:space="0" w:color="auto"/>
              <w:right w:val="single" w:sz="4" w:space="0" w:color="auto"/>
            </w:tcBorders>
          </w:tcPr>
          <w:p w14:paraId="2F5C3A90" w14:textId="77777777" w:rsidR="00480A7B" w:rsidRDefault="00480A7B" w:rsidP="001F1716">
            <w:pPr>
              <w:spacing w:line="240" w:lineRule="auto"/>
              <w:rPr>
                <w:snapToGrid w:val="0"/>
              </w:rPr>
            </w:pPr>
            <w:r>
              <w:rPr>
                <w:snapToGrid w:val="0"/>
              </w:rPr>
              <w:t xml:space="preserve">Bycatch for the hook and line sector </w:t>
            </w:r>
            <w:r w:rsidRPr="00A6364C">
              <w:rPr>
                <w:snapToGrid w:val="0"/>
              </w:rPr>
              <w:t xml:space="preserve">in the </w:t>
            </w:r>
            <w:r w:rsidR="00A05BFA">
              <w:rPr>
                <w:snapToGrid w:val="0"/>
              </w:rPr>
              <w:t>East Coast Inshore Fin Fish Fishery</w:t>
            </w:r>
            <w:r>
              <w:rPr>
                <w:snapToGrid w:val="0"/>
              </w:rPr>
              <w:t xml:space="preserve"> is considered minimal, </w:t>
            </w:r>
            <w:r w:rsidR="00184C58">
              <w:rPr>
                <w:snapToGrid w:val="0"/>
              </w:rPr>
              <w:t>with</w:t>
            </w:r>
            <w:r>
              <w:rPr>
                <w:snapToGrid w:val="0"/>
              </w:rPr>
              <w:t xml:space="preserve"> most unwanted bycatch </w:t>
            </w:r>
            <w:r w:rsidR="00184C58">
              <w:rPr>
                <w:snapToGrid w:val="0"/>
              </w:rPr>
              <w:t>able to</w:t>
            </w:r>
            <w:r>
              <w:rPr>
                <w:snapToGrid w:val="0"/>
              </w:rPr>
              <w:t xml:space="preserve"> be released unharmed. </w:t>
            </w:r>
          </w:p>
          <w:p w14:paraId="2F5C3A91" w14:textId="77777777" w:rsidR="00A6364C" w:rsidRPr="00A6364C" w:rsidRDefault="00480A7B" w:rsidP="001F1716">
            <w:pPr>
              <w:spacing w:line="240" w:lineRule="auto"/>
              <w:rPr>
                <w:snapToGrid w:val="0"/>
              </w:rPr>
            </w:pPr>
            <w:r>
              <w:rPr>
                <w:snapToGrid w:val="0"/>
              </w:rPr>
              <w:t>Within the net sectors of the fishery, b</w:t>
            </w:r>
            <w:r w:rsidR="00A6364C" w:rsidRPr="00A6364C">
              <w:rPr>
                <w:snapToGrid w:val="0"/>
              </w:rPr>
              <w:t xml:space="preserve">ycatch has previously been estimated at less than 20 per cent </w:t>
            </w:r>
            <w:r w:rsidR="00184C58">
              <w:rPr>
                <w:snapToGrid w:val="0"/>
              </w:rPr>
              <w:t xml:space="preserve">of the total catch </w:t>
            </w:r>
            <w:r w:rsidR="00A6364C" w:rsidRPr="00A6364C">
              <w:rPr>
                <w:snapToGrid w:val="0"/>
              </w:rPr>
              <w:t xml:space="preserve">for netting operations targeting mullet, whiting, small mackerels, barramundi and mixed estuary species; and at 28 per cent for operations targeting sand whiting (Halliday </w:t>
            </w:r>
            <w:r w:rsidR="00A6364C" w:rsidRPr="00A32FEC">
              <w:rPr>
                <w:i/>
                <w:snapToGrid w:val="0"/>
              </w:rPr>
              <w:t>et al</w:t>
            </w:r>
            <w:r w:rsidR="00A32FEC">
              <w:rPr>
                <w:snapToGrid w:val="0"/>
              </w:rPr>
              <w:t>,</w:t>
            </w:r>
            <w:r w:rsidR="00A6364C" w:rsidRPr="00A6364C">
              <w:rPr>
                <w:snapToGrid w:val="0"/>
              </w:rPr>
              <w:t xml:space="preserve"> 2001). </w:t>
            </w:r>
            <w:r w:rsidR="007B71D5">
              <w:rPr>
                <w:snapToGrid w:val="0"/>
              </w:rPr>
              <w:t xml:space="preserve">Bycatch </w:t>
            </w:r>
            <w:r w:rsidR="00184C58">
              <w:rPr>
                <w:snapToGrid w:val="0"/>
              </w:rPr>
              <w:t>consists of</w:t>
            </w:r>
            <w:r w:rsidR="007B71D5">
              <w:rPr>
                <w:snapToGrid w:val="0"/>
              </w:rPr>
              <w:t xml:space="preserve"> mainly juvenile fish and non-marketable species</w:t>
            </w:r>
            <w:r w:rsidR="00184C58">
              <w:rPr>
                <w:snapToGrid w:val="0"/>
              </w:rPr>
              <w:t>.</w:t>
            </w:r>
            <w:r w:rsidR="007B71D5">
              <w:rPr>
                <w:snapToGrid w:val="0"/>
              </w:rPr>
              <w:t xml:space="preserve"> </w:t>
            </w:r>
            <w:r w:rsidR="00184C58">
              <w:rPr>
                <w:snapToGrid w:val="0"/>
              </w:rPr>
              <w:t xml:space="preserve">Some </w:t>
            </w:r>
            <w:r w:rsidR="007B71D5">
              <w:rPr>
                <w:snapToGrid w:val="0"/>
              </w:rPr>
              <w:t xml:space="preserve">EPBC Act protected species are also </w:t>
            </w:r>
            <w:r w:rsidR="005B7BF3">
              <w:rPr>
                <w:snapToGrid w:val="0"/>
              </w:rPr>
              <w:t>reported</w:t>
            </w:r>
            <w:r w:rsidR="007B71D5">
              <w:rPr>
                <w:snapToGrid w:val="0"/>
              </w:rPr>
              <w:t xml:space="preserve"> as bycatch. </w:t>
            </w:r>
            <w:r w:rsidR="00184C58">
              <w:rPr>
                <w:snapToGrid w:val="0"/>
              </w:rPr>
              <w:t>(</w:t>
            </w:r>
            <w:r w:rsidR="007B71D5">
              <w:rPr>
                <w:snapToGrid w:val="0"/>
              </w:rPr>
              <w:t xml:space="preserve">See </w:t>
            </w:r>
            <w:r w:rsidR="008664FE">
              <w:rPr>
                <w:b/>
                <w:snapToGrid w:val="0"/>
              </w:rPr>
              <w:t>Interactions with protected s</w:t>
            </w:r>
            <w:r w:rsidR="007B71D5" w:rsidRPr="0064749D">
              <w:rPr>
                <w:b/>
                <w:snapToGrid w:val="0"/>
              </w:rPr>
              <w:t>pecies</w:t>
            </w:r>
            <w:r w:rsidR="007B71D5">
              <w:rPr>
                <w:snapToGrid w:val="0"/>
              </w:rPr>
              <w:t xml:space="preserve"> section for further analysis.</w:t>
            </w:r>
            <w:r w:rsidR="00184C58">
              <w:rPr>
                <w:snapToGrid w:val="0"/>
              </w:rPr>
              <w:t>)</w:t>
            </w:r>
            <w:r w:rsidR="007B71D5">
              <w:rPr>
                <w:snapToGrid w:val="0"/>
              </w:rPr>
              <w:t xml:space="preserve"> </w:t>
            </w:r>
          </w:p>
          <w:p w14:paraId="2F5C3A92" w14:textId="77777777" w:rsidR="00A6364C" w:rsidRPr="00A6364C" w:rsidRDefault="00A6364C" w:rsidP="00D65FE5">
            <w:pPr>
              <w:spacing w:line="240" w:lineRule="auto"/>
              <w:rPr>
                <w:snapToGrid w:val="0"/>
              </w:rPr>
            </w:pPr>
            <w:r w:rsidRPr="00A6364C">
              <w:rPr>
                <w:snapToGrid w:val="0"/>
              </w:rPr>
              <w:t xml:space="preserve">Bycatch mitigation </w:t>
            </w:r>
            <w:r w:rsidR="00D65FE5">
              <w:rPr>
                <w:snapToGrid w:val="0"/>
              </w:rPr>
              <w:t>measures</w:t>
            </w:r>
            <w:r w:rsidRPr="00A6364C">
              <w:rPr>
                <w:snapToGrid w:val="0"/>
              </w:rPr>
              <w:t xml:space="preserve"> currently </w:t>
            </w:r>
            <w:r w:rsidR="00D65FE5">
              <w:rPr>
                <w:snapToGrid w:val="0"/>
              </w:rPr>
              <w:t>in place</w:t>
            </w:r>
            <w:r>
              <w:rPr>
                <w:snapToGrid w:val="0"/>
              </w:rPr>
              <w:t xml:space="preserve"> </w:t>
            </w:r>
            <w:r w:rsidRPr="00A6364C">
              <w:rPr>
                <w:snapToGrid w:val="0"/>
              </w:rPr>
              <w:t xml:space="preserve">include </w:t>
            </w:r>
            <w:r w:rsidR="00D65FE5">
              <w:rPr>
                <w:snapToGrid w:val="0"/>
              </w:rPr>
              <w:t xml:space="preserve">restrictions on </w:t>
            </w:r>
            <w:r w:rsidRPr="00A6364C">
              <w:rPr>
                <w:snapToGrid w:val="0"/>
              </w:rPr>
              <w:t xml:space="preserve">net type, length and mesh size for mesh nets, net attendance rules and the use of turtle excluder devices in tunnel nets. </w:t>
            </w:r>
          </w:p>
        </w:tc>
      </w:tr>
      <w:tr w:rsidR="00B6012C" w:rsidRPr="009B3A55" w14:paraId="2F5C3A9F"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A94" w14:textId="77777777" w:rsidR="00B6012C" w:rsidRPr="009B3A55" w:rsidRDefault="00904107" w:rsidP="001955CD">
            <w:pPr>
              <w:rPr>
                <w:rFonts w:cs="Arial"/>
                <w:b/>
                <w:snapToGrid w:val="0"/>
              </w:rPr>
            </w:pPr>
            <w:r>
              <w:rPr>
                <w:rFonts w:cs="Arial"/>
                <w:b/>
                <w:snapToGrid w:val="0"/>
              </w:rPr>
              <w:t>Interaction with protected s</w:t>
            </w:r>
            <w:r w:rsidR="00B6012C" w:rsidRPr="009B3A55">
              <w:rPr>
                <w:rFonts w:cs="Arial"/>
                <w:b/>
                <w:snapToGrid w:val="0"/>
              </w:rPr>
              <w:t>pecies</w:t>
            </w:r>
            <w:r w:rsidR="00B6012C" w:rsidRPr="009B3A55">
              <w:rPr>
                <w:rStyle w:val="FootnoteReference"/>
                <w:rFonts w:cs="Arial"/>
                <w:b/>
                <w:snapToGrid w:val="0"/>
              </w:rPr>
              <w:footnoteReference w:id="2"/>
            </w:r>
          </w:p>
        </w:tc>
        <w:tc>
          <w:tcPr>
            <w:tcW w:w="7444" w:type="dxa"/>
            <w:tcBorders>
              <w:top w:val="single" w:sz="4" w:space="0" w:color="auto"/>
              <w:left w:val="single" w:sz="4" w:space="0" w:color="auto"/>
              <w:bottom w:val="single" w:sz="4" w:space="0" w:color="auto"/>
              <w:right w:val="single" w:sz="4" w:space="0" w:color="auto"/>
            </w:tcBorders>
          </w:tcPr>
          <w:p w14:paraId="2F5C3A95" w14:textId="77777777" w:rsidR="00A6364C" w:rsidRPr="00A32FEC" w:rsidRDefault="00A6364C" w:rsidP="001F1716">
            <w:pPr>
              <w:spacing w:line="240" w:lineRule="auto"/>
              <w:rPr>
                <w:snapToGrid w:val="0"/>
              </w:rPr>
            </w:pPr>
            <w:r w:rsidRPr="00A32FEC">
              <w:rPr>
                <w:snapToGrid w:val="0"/>
              </w:rPr>
              <w:t xml:space="preserve">Interactions with protected species are reported in logbooks by fishers and submitted to the Queensland Department of Agriculture and Fisheries within a month </w:t>
            </w:r>
            <w:r w:rsidR="00D65FE5">
              <w:rPr>
                <w:snapToGrid w:val="0"/>
              </w:rPr>
              <w:t>after</w:t>
            </w:r>
            <w:r w:rsidRPr="00A32FEC">
              <w:rPr>
                <w:snapToGrid w:val="0"/>
              </w:rPr>
              <w:t xml:space="preserve"> cessation of </w:t>
            </w:r>
            <w:r w:rsidR="00D65FE5">
              <w:rPr>
                <w:snapToGrid w:val="0"/>
              </w:rPr>
              <w:t>each fishing trip</w:t>
            </w:r>
            <w:r w:rsidRPr="00A32FEC">
              <w:rPr>
                <w:snapToGrid w:val="0"/>
              </w:rPr>
              <w:t xml:space="preserve">. Reports of protected species interactions are sent to the Department </w:t>
            </w:r>
            <w:r w:rsidR="008664FE">
              <w:rPr>
                <w:snapToGrid w:val="0"/>
              </w:rPr>
              <w:t xml:space="preserve">of the Environment and Energy </w:t>
            </w:r>
            <w:r w:rsidRPr="00A32FEC">
              <w:rPr>
                <w:snapToGrid w:val="0"/>
              </w:rPr>
              <w:t xml:space="preserve">on a quarterly basis. Protected species that are known to interact with the fishery include </w:t>
            </w:r>
            <w:r w:rsidR="00873B29" w:rsidRPr="00A32FEC">
              <w:rPr>
                <w:snapToGrid w:val="0"/>
              </w:rPr>
              <w:t>turtles, crocodiles</w:t>
            </w:r>
            <w:r w:rsidR="008664FE">
              <w:rPr>
                <w:snapToGrid w:val="0"/>
              </w:rPr>
              <w:t xml:space="preserve"> and</w:t>
            </w:r>
            <w:r w:rsidR="00720363">
              <w:rPr>
                <w:snapToGrid w:val="0"/>
              </w:rPr>
              <w:t xml:space="preserve"> </w:t>
            </w:r>
            <w:r w:rsidR="00D65FE5">
              <w:rPr>
                <w:snapToGrid w:val="0"/>
              </w:rPr>
              <w:t>dugong</w:t>
            </w:r>
            <w:r w:rsidR="00184C58">
              <w:rPr>
                <w:snapToGrid w:val="0"/>
              </w:rPr>
              <w:t>.</w:t>
            </w:r>
            <w:r w:rsidR="008664FE">
              <w:rPr>
                <w:snapToGrid w:val="0"/>
              </w:rPr>
              <w:t xml:space="preserve"> </w:t>
            </w:r>
            <w:r w:rsidR="00184C58">
              <w:rPr>
                <w:snapToGrid w:val="0"/>
              </w:rPr>
              <w:t>T</w:t>
            </w:r>
            <w:r w:rsidR="008664FE">
              <w:rPr>
                <w:snapToGrid w:val="0"/>
              </w:rPr>
              <w:t xml:space="preserve">here are also some </w:t>
            </w:r>
            <w:r w:rsidR="00184C58">
              <w:rPr>
                <w:snapToGrid w:val="0"/>
              </w:rPr>
              <w:t xml:space="preserve">anecdotal </w:t>
            </w:r>
            <w:r w:rsidR="008664FE">
              <w:rPr>
                <w:snapToGrid w:val="0"/>
              </w:rPr>
              <w:t>reports the fishery may interact with</w:t>
            </w:r>
            <w:r w:rsidR="00A92D5C">
              <w:rPr>
                <w:snapToGrid w:val="0"/>
              </w:rPr>
              <w:t xml:space="preserve"> inshore dolphins</w:t>
            </w:r>
            <w:r w:rsidRPr="00A32FEC">
              <w:rPr>
                <w:snapToGrid w:val="0"/>
              </w:rPr>
              <w:t xml:space="preserve">. The most </w:t>
            </w:r>
            <w:r w:rsidR="008664FE">
              <w:rPr>
                <w:snapToGrid w:val="0"/>
              </w:rPr>
              <w:t>commonly</w:t>
            </w:r>
            <w:r w:rsidRPr="00A32FEC">
              <w:rPr>
                <w:snapToGrid w:val="0"/>
              </w:rPr>
              <w:t xml:space="preserve"> </w:t>
            </w:r>
            <w:r w:rsidR="00873B29" w:rsidRPr="00A32FEC">
              <w:rPr>
                <w:snapToGrid w:val="0"/>
              </w:rPr>
              <w:t xml:space="preserve">reported </w:t>
            </w:r>
            <w:r w:rsidRPr="00A32FEC">
              <w:rPr>
                <w:snapToGrid w:val="0"/>
              </w:rPr>
              <w:t>interaction</w:t>
            </w:r>
            <w:r w:rsidR="00D65FE5">
              <w:rPr>
                <w:snapToGrid w:val="0"/>
              </w:rPr>
              <w:t>s are with dugong</w:t>
            </w:r>
            <w:r w:rsidRPr="00A32FEC">
              <w:rPr>
                <w:snapToGrid w:val="0"/>
              </w:rPr>
              <w:t xml:space="preserve"> </w:t>
            </w:r>
            <w:r w:rsidR="00873B29" w:rsidRPr="00A32FEC">
              <w:rPr>
                <w:snapToGrid w:val="0"/>
              </w:rPr>
              <w:t xml:space="preserve">and turtles </w:t>
            </w:r>
            <w:r w:rsidRPr="00A32FEC">
              <w:rPr>
                <w:snapToGrid w:val="0"/>
              </w:rPr>
              <w:t xml:space="preserve">in the </w:t>
            </w:r>
            <w:r w:rsidR="00D65FE5">
              <w:rPr>
                <w:snapToGrid w:val="0"/>
              </w:rPr>
              <w:t>fishery’</w:t>
            </w:r>
            <w:r w:rsidR="00184C58">
              <w:rPr>
                <w:snapToGrid w:val="0"/>
              </w:rPr>
              <w:t xml:space="preserve">s </w:t>
            </w:r>
            <w:r w:rsidRPr="00A32FEC">
              <w:rPr>
                <w:snapToGrid w:val="0"/>
              </w:rPr>
              <w:t xml:space="preserve">net </w:t>
            </w:r>
            <w:r w:rsidR="007D284C">
              <w:rPr>
                <w:snapToGrid w:val="0"/>
              </w:rPr>
              <w:t>sector</w:t>
            </w:r>
            <w:r w:rsidRPr="00A32FEC">
              <w:rPr>
                <w:snapToGrid w:val="0"/>
              </w:rPr>
              <w:t>.</w:t>
            </w:r>
          </w:p>
          <w:p w14:paraId="2F5C3A96" w14:textId="77777777" w:rsidR="00877335" w:rsidRPr="00A32FEC" w:rsidRDefault="00877335" w:rsidP="001F1716">
            <w:pPr>
              <w:spacing w:line="240" w:lineRule="auto"/>
              <w:rPr>
                <w:snapToGrid w:val="0"/>
              </w:rPr>
            </w:pPr>
            <w:r w:rsidRPr="00A32FEC">
              <w:rPr>
                <w:snapToGrid w:val="0"/>
              </w:rPr>
              <w:lastRenderedPageBreak/>
              <w:t>In t</w:t>
            </w:r>
            <w:r w:rsidR="00873B29" w:rsidRPr="00A32FEC">
              <w:rPr>
                <w:snapToGrid w:val="0"/>
              </w:rPr>
              <w:t xml:space="preserve">he ‘2013 Species of Conservation Interest (SOCI) Report’ </w:t>
            </w:r>
            <w:r w:rsidRPr="00A32FEC">
              <w:rPr>
                <w:snapToGrid w:val="0"/>
              </w:rPr>
              <w:t xml:space="preserve">the Queensland Department of Agriculture and Fisheries </w:t>
            </w:r>
            <w:r w:rsidR="00873B29" w:rsidRPr="00A32FEC">
              <w:rPr>
                <w:snapToGrid w:val="0"/>
              </w:rPr>
              <w:t>reported interactions</w:t>
            </w:r>
            <w:r w:rsidRPr="00A32FEC">
              <w:rPr>
                <w:snapToGrid w:val="0"/>
              </w:rPr>
              <w:t xml:space="preserve"> with</w:t>
            </w:r>
            <w:r w:rsidR="00184C58">
              <w:rPr>
                <w:snapToGrid w:val="0"/>
              </w:rPr>
              <w:t xml:space="preserve"> the following EPBC Act protected species</w:t>
            </w:r>
            <w:r w:rsidRPr="00A32FEC">
              <w:rPr>
                <w:snapToGrid w:val="0"/>
              </w:rPr>
              <w:t xml:space="preserve">: </w:t>
            </w:r>
          </w:p>
          <w:p w14:paraId="2F5C3A97" w14:textId="77777777" w:rsidR="00877335" w:rsidRPr="00A32FEC" w:rsidRDefault="00877335" w:rsidP="001F1716">
            <w:pPr>
              <w:spacing w:line="240" w:lineRule="auto"/>
              <w:rPr>
                <w:snapToGrid w:val="0"/>
              </w:rPr>
            </w:pPr>
            <w:r w:rsidRPr="00A32FEC">
              <w:rPr>
                <w:snapToGrid w:val="0"/>
              </w:rPr>
              <w:t>- green turtle</w:t>
            </w:r>
            <w:r w:rsidR="008664FE">
              <w:rPr>
                <w:snapToGrid w:val="0"/>
              </w:rPr>
              <w:t>s</w:t>
            </w:r>
            <w:r w:rsidR="00D65FE5">
              <w:rPr>
                <w:snapToGrid w:val="0"/>
              </w:rPr>
              <w:t xml:space="preserve"> (listed as vulnerable),12 released alive and </w:t>
            </w:r>
            <w:r w:rsidR="00C2270B">
              <w:rPr>
                <w:snapToGrid w:val="0"/>
              </w:rPr>
              <w:t>2</w:t>
            </w:r>
            <w:r w:rsidR="00D65FE5">
              <w:rPr>
                <w:snapToGrid w:val="0"/>
              </w:rPr>
              <w:t xml:space="preserve"> dead</w:t>
            </w:r>
            <w:r w:rsidR="00184C58">
              <w:rPr>
                <w:snapToGrid w:val="0"/>
              </w:rPr>
              <w:t xml:space="preserve"> </w:t>
            </w:r>
          </w:p>
          <w:p w14:paraId="2F5C3A98" w14:textId="77777777" w:rsidR="00877335" w:rsidRPr="00A32FEC" w:rsidRDefault="00877335" w:rsidP="001F1716">
            <w:pPr>
              <w:spacing w:line="240" w:lineRule="auto"/>
              <w:rPr>
                <w:snapToGrid w:val="0"/>
              </w:rPr>
            </w:pPr>
            <w:r w:rsidRPr="00A32FEC">
              <w:rPr>
                <w:snapToGrid w:val="0"/>
              </w:rPr>
              <w:t>- hawksbill turtle</w:t>
            </w:r>
            <w:r w:rsidR="008664FE">
              <w:rPr>
                <w:snapToGrid w:val="0"/>
              </w:rPr>
              <w:t>s</w:t>
            </w:r>
            <w:r w:rsidR="00D65FE5">
              <w:rPr>
                <w:snapToGrid w:val="0"/>
              </w:rPr>
              <w:t xml:space="preserve"> (listed as vulnerable), 3 released alive</w:t>
            </w:r>
            <w:r w:rsidR="00184C58">
              <w:rPr>
                <w:snapToGrid w:val="0"/>
              </w:rPr>
              <w:t xml:space="preserve"> </w:t>
            </w:r>
          </w:p>
          <w:p w14:paraId="2F5C3A99" w14:textId="77777777" w:rsidR="00877335" w:rsidRPr="00A32FEC" w:rsidRDefault="00877335" w:rsidP="001F1716">
            <w:pPr>
              <w:spacing w:line="240" w:lineRule="auto"/>
              <w:rPr>
                <w:snapToGrid w:val="0"/>
              </w:rPr>
            </w:pPr>
            <w:r w:rsidRPr="00A32FEC">
              <w:rPr>
                <w:snapToGrid w:val="0"/>
              </w:rPr>
              <w:t>- loggerhead turtle</w:t>
            </w:r>
            <w:r w:rsidR="008664FE">
              <w:rPr>
                <w:snapToGrid w:val="0"/>
              </w:rPr>
              <w:t>s</w:t>
            </w:r>
            <w:r w:rsidRPr="00A32FEC">
              <w:rPr>
                <w:snapToGrid w:val="0"/>
              </w:rPr>
              <w:t xml:space="preserve"> </w:t>
            </w:r>
            <w:r w:rsidR="00D65FE5">
              <w:rPr>
                <w:snapToGrid w:val="0"/>
              </w:rPr>
              <w:t>(listed as endangered),1 released alive</w:t>
            </w:r>
          </w:p>
          <w:p w14:paraId="2F5C3A9A" w14:textId="77777777" w:rsidR="00877335" w:rsidRPr="00A32FEC" w:rsidRDefault="00877335" w:rsidP="001F1716">
            <w:pPr>
              <w:spacing w:line="240" w:lineRule="auto"/>
              <w:rPr>
                <w:snapToGrid w:val="0"/>
              </w:rPr>
            </w:pPr>
            <w:r w:rsidRPr="00A32FEC">
              <w:rPr>
                <w:snapToGrid w:val="0"/>
              </w:rPr>
              <w:t xml:space="preserve">- crocodile </w:t>
            </w:r>
            <w:r w:rsidR="00C2270B">
              <w:rPr>
                <w:snapToGrid w:val="0"/>
              </w:rPr>
              <w:t>(listed as migratory),</w:t>
            </w:r>
            <w:r w:rsidR="00C2270B" w:rsidRPr="00A32FEC">
              <w:rPr>
                <w:snapToGrid w:val="0"/>
              </w:rPr>
              <w:t xml:space="preserve"> </w:t>
            </w:r>
            <w:r w:rsidR="00C2270B">
              <w:rPr>
                <w:snapToGrid w:val="0"/>
              </w:rPr>
              <w:t>1 released alive</w:t>
            </w:r>
            <w:r w:rsidR="00184C58">
              <w:rPr>
                <w:snapToGrid w:val="0"/>
              </w:rPr>
              <w:t xml:space="preserve"> </w:t>
            </w:r>
          </w:p>
          <w:p w14:paraId="2F5C3A9B" w14:textId="77777777" w:rsidR="00873B29" w:rsidRPr="00A32FEC" w:rsidRDefault="00877335" w:rsidP="001F1716">
            <w:pPr>
              <w:spacing w:line="240" w:lineRule="auto"/>
              <w:rPr>
                <w:snapToGrid w:val="0"/>
              </w:rPr>
            </w:pPr>
            <w:r w:rsidRPr="00A32FEC">
              <w:rPr>
                <w:snapToGrid w:val="0"/>
              </w:rPr>
              <w:t>- dugong</w:t>
            </w:r>
            <w:r w:rsidR="00C2270B">
              <w:rPr>
                <w:snapToGrid w:val="0"/>
              </w:rPr>
              <w:t xml:space="preserve"> (listed as migratory), 5 released alive</w:t>
            </w:r>
            <w:r w:rsidR="00184C58">
              <w:rPr>
                <w:snapToGrid w:val="0"/>
              </w:rPr>
              <w:t xml:space="preserve"> </w:t>
            </w:r>
          </w:p>
          <w:p w14:paraId="2F5C3A9C" w14:textId="77777777" w:rsidR="00EB4A65" w:rsidRDefault="00EB4A65" w:rsidP="001F1716">
            <w:pPr>
              <w:spacing w:line="240" w:lineRule="auto"/>
            </w:pPr>
            <w:r>
              <w:t>The Australian Government Threatened Species Scientific Committee</w:t>
            </w:r>
            <w:r w:rsidRPr="00F12EC8">
              <w:t xml:space="preserve"> </w:t>
            </w:r>
            <w:r>
              <w:t xml:space="preserve">(the Committee) </w:t>
            </w:r>
            <w:r w:rsidRPr="00F12EC8">
              <w:t xml:space="preserve">is </w:t>
            </w:r>
            <w:r>
              <w:t>currently assessing</w:t>
            </w:r>
            <w:r w:rsidR="00C2270B">
              <w:t xml:space="preserve"> the eligibility of</w:t>
            </w:r>
            <w:r w:rsidRPr="00F12EC8">
              <w:t xml:space="preserve"> three species of hammerhead shark</w:t>
            </w:r>
            <w:r>
              <w:t>s</w:t>
            </w:r>
            <w:r w:rsidRPr="00F12EC8">
              <w:t xml:space="preserve"> </w:t>
            </w:r>
            <w:r>
              <w:t>(scalloped, great and</w:t>
            </w:r>
            <w:r w:rsidRPr="00F12EC8">
              <w:t xml:space="preserve"> smooth) for </w:t>
            </w:r>
            <w:r w:rsidR="00C2270B">
              <w:t xml:space="preserve">listing as </w:t>
            </w:r>
            <w:r w:rsidRPr="00F12EC8">
              <w:t xml:space="preserve">threatened species </w:t>
            </w:r>
            <w:r>
              <w:t>under the EPBC Act.</w:t>
            </w:r>
            <w:r w:rsidRPr="00F12EC8">
              <w:t xml:space="preserve"> </w:t>
            </w:r>
            <w:r>
              <w:t>T</w:t>
            </w:r>
            <w:r w:rsidRPr="00F12EC8">
              <w:t xml:space="preserve">he </w:t>
            </w:r>
            <w:r>
              <w:t>Committee’s advice is due to the Australian Government Minister for the Environment and Energy by September </w:t>
            </w:r>
            <w:r w:rsidRPr="00F12EC8">
              <w:t>2017.</w:t>
            </w:r>
          </w:p>
          <w:p w14:paraId="2F5C3A9D" w14:textId="77777777" w:rsidR="00FA3025" w:rsidRPr="00A32FEC" w:rsidRDefault="00FA3025" w:rsidP="001F1716">
            <w:pPr>
              <w:spacing w:line="240" w:lineRule="auto"/>
              <w:rPr>
                <w:b/>
                <w:snapToGrid w:val="0"/>
              </w:rPr>
            </w:pPr>
            <w:r w:rsidRPr="00A32FEC">
              <w:rPr>
                <w:b/>
                <w:snapToGrid w:val="0"/>
              </w:rPr>
              <w:t>Reporting of interactions with protected species in Commonwealth waters</w:t>
            </w:r>
          </w:p>
          <w:p w14:paraId="2F5C3A9E" w14:textId="77777777" w:rsidR="00B6012C" w:rsidRPr="00A32FEC" w:rsidRDefault="00C3303B" w:rsidP="006C7924">
            <w:pPr>
              <w:spacing w:line="240" w:lineRule="auto"/>
              <w:rPr>
                <w:snapToGrid w:val="0"/>
              </w:rPr>
            </w:pPr>
            <w:r w:rsidRPr="00A32FEC">
              <w:rPr>
                <w:snapToGrid w:val="0"/>
              </w:rPr>
              <w:t xml:space="preserve">Under the EPBC Act, persons who interact with a protected species must report that interaction within seven days of the incident occurring to the </w:t>
            </w:r>
            <w:r w:rsidR="008C74BB">
              <w:rPr>
                <w:snapToGrid w:val="0"/>
              </w:rPr>
              <w:t>Department of the Environment and Energy</w:t>
            </w:r>
            <w:r w:rsidRPr="00A32FEC">
              <w:rPr>
                <w:snapToGrid w:val="0"/>
              </w:rPr>
              <w:t xml:space="preserve">. A memorandum of understanding between the Queensland Department of Agriculture and Fisheries and the Department for the </w:t>
            </w:r>
            <w:r w:rsidR="006C7924">
              <w:rPr>
                <w:snapToGrid w:val="0"/>
              </w:rPr>
              <w:t xml:space="preserve">streamlined </w:t>
            </w:r>
            <w:r w:rsidRPr="00A32FEC">
              <w:rPr>
                <w:snapToGrid w:val="0"/>
              </w:rPr>
              <w:t>reporting of fisheries interactions with protected species is in place</w:t>
            </w:r>
            <w:r w:rsidR="006C7924">
              <w:rPr>
                <w:snapToGrid w:val="0"/>
              </w:rPr>
              <w:t xml:space="preserve">, </w:t>
            </w:r>
            <w:r w:rsidRPr="00A32FEC">
              <w:rPr>
                <w:snapToGrid w:val="0"/>
              </w:rPr>
              <w:t xml:space="preserve">assisting fishers in meeting their requirements under the EPBC Act. </w:t>
            </w:r>
          </w:p>
        </w:tc>
      </w:tr>
      <w:tr w:rsidR="00B6012C" w:rsidRPr="009B3A55" w14:paraId="2F5C3AA5" w14:textId="77777777" w:rsidTr="0023283B">
        <w:trPr>
          <w:jc w:val="center"/>
        </w:trPr>
        <w:tc>
          <w:tcPr>
            <w:tcW w:w="2520" w:type="dxa"/>
            <w:tcBorders>
              <w:top w:val="single" w:sz="4" w:space="0" w:color="auto"/>
              <w:left w:val="single" w:sz="4" w:space="0" w:color="auto"/>
              <w:bottom w:val="single" w:sz="4" w:space="0" w:color="auto"/>
              <w:right w:val="single" w:sz="4" w:space="0" w:color="auto"/>
            </w:tcBorders>
          </w:tcPr>
          <w:p w14:paraId="2F5C3AA0" w14:textId="77777777" w:rsidR="00B6012C" w:rsidRPr="009B3A55" w:rsidRDefault="00631951" w:rsidP="001955CD">
            <w:pPr>
              <w:rPr>
                <w:rFonts w:cs="Arial"/>
                <w:b/>
                <w:snapToGrid w:val="0"/>
              </w:rPr>
            </w:pPr>
            <w:r>
              <w:rPr>
                <w:rFonts w:cs="Arial"/>
                <w:b/>
                <w:snapToGrid w:val="0"/>
              </w:rPr>
              <w:lastRenderedPageBreak/>
              <w:t>Ecosystem i</w:t>
            </w:r>
            <w:r w:rsidR="00B6012C" w:rsidRPr="009B3A55">
              <w:rPr>
                <w:rFonts w:cs="Arial"/>
                <w:b/>
                <w:snapToGrid w:val="0"/>
              </w:rPr>
              <w:t>mpacts</w:t>
            </w:r>
          </w:p>
        </w:tc>
        <w:tc>
          <w:tcPr>
            <w:tcW w:w="7444" w:type="dxa"/>
            <w:tcBorders>
              <w:top w:val="single" w:sz="4" w:space="0" w:color="auto"/>
              <w:left w:val="single" w:sz="4" w:space="0" w:color="auto"/>
              <w:bottom w:val="single" w:sz="4" w:space="0" w:color="auto"/>
              <w:right w:val="single" w:sz="4" w:space="0" w:color="auto"/>
            </w:tcBorders>
          </w:tcPr>
          <w:p w14:paraId="2F5C3AA1" w14:textId="77777777" w:rsidR="006C7924" w:rsidRDefault="0010081A" w:rsidP="001F1716">
            <w:pPr>
              <w:spacing w:line="240" w:lineRule="auto"/>
              <w:rPr>
                <w:rFonts w:cs="Arial"/>
              </w:rPr>
            </w:pPr>
            <w:r w:rsidRPr="00C3303B">
              <w:rPr>
                <w:rFonts w:cs="Arial"/>
              </w:rPr>
              <w:t xml:space="preserve">The nature of the fishing gear used in the </w:t>
            </w:r>
            <w:r w:rsidR="00A05BFA">
              <w:rPr>
                <w:rFonts w:cs="Arial"/>
              </w:rPr>
              <w:t>East Coast Inshore Fin Fish Fishery</w:t>
            </w:r>
            <w:r w:rsidRPr="00C3303B">
              <w:rPr>
                <w:rFonts w:cs="Arial"/>
              </w:rPr>
              <w:t xml:space="preserve"> (net and line) means that </w:t>
            </w:r>
            <w:r w:rsidR="00C2270B">
              <w:rPr>
                <w:rFonts w:cs="Arial"/>
              </w:rPr>
              <w:t xml:space="preserve">minimal </w:t>
            </w:r>
            <w:r w:rsidR="001478A9">
              <w:rPr>
                <w:rFonts w:cs="Arial"/>
              </w:rPr>
              <w:t>contact</w:t>
            </w:r>
            <w:r w:rsidR="001478A9" w:rsidRPr="00C3303B">
              <w:rPr>
                <w:rFonts w:cs="Arial"/>
              </w:rPr>
              <w:t xml:space="preserve"> </w:t>
            </w:r>
            <w:r w:rsidRPr="00C3303B">
              <w:rPr>
                <w:rFonts w:cs="Arial"/>
              </w:rPr>
              <w:t>with the seabed and associated habitat occur</w:t>
            </w:r>
            <w:r w:rsidR="001478A9">
              <w:rPr>
                <w:rFonts w:cs="Arial"/>
              </w:rPr>
              <w:t>s</w:t>
            </w:r>
            <w:r w:rsidRPr="00C3303B">
              <w:rPr>
                <w:rFonts w:cs="Arial"/>
              </w:rPr>
              <w:t>. Impacts on seabed communities and ecosystem structures are</w:t>
            </w:r>
            <w:r w:rsidR="001478A9">
              <w:rPr>
                <w:rFonts w:cs="Arial"/>
              </w:rPr>
              <w:t xml:space="preserve"> therefore</w:t>
            </w:r>
            <w:r w:rsidRPr="00C3303B">
              <w:rPr>
                <w:rFonts w:cs="Arial"/>
              </w:rPr>
              <w:t xml:space="preserve"> likely to be negligible</w:t>
            </w:r>
            <w:r w:rsidR="006C7924">
              <w:rPr>
                <w:rFonts w:cs="Arial"/>
              </w:rPr>
              <w:t>.</w:t>
            </w:r>
            <w:r w:rsidRPr="00C3303B">
              <w:rPr>
                <w:rFonts w:cs="Arial"/>
              </w:rPr>
              <w:t xml:space="preserve"> </w:t>
            </w:r>
          </w:p>
          <w:p w14:paraId="2F5C3AA2" w14:textId="77777777" w:rsidR="00B6012C" w:rsidRDefault="00C2270B" w:rsidP="001F1716">
            <w:pPr>
              <w:spacing w:line="240" w:lineRule="auto"/>
              <w:rPr>
                <w:rFonts w:cs="Arial"/>
              </w:rPr>
            </w:pPr>
            <w:r>
              <w:rPr>
                <w:rFonts w:cs="Arial"/>
              </w:rPr>
              <w:t>T</w:t>
            </w:r>
            <w:r w:rsidR="006A551A">
              <w:rPr>
                <w:rFonts w:cs="Arial"/>
              </w:rPr>
              <w:t>he</w:t>
            </w:r>
            <w:r w:rsidR="0010081A" w:rsidRPr="00C3303B">
              <w:rPr>
                <w:rFonts w:cs="Arial"/>
              </w:rPr>
              <w:t xml:space="preserve"> removal of high order predators (</w:t>
            </w:r>
            <w:r>
              <w:rPr>
                <w:rFonts w:cs="Arial"/>
              </w:rPr>
              <w:t>such as</w:t>
            </w:r>
            <w:r w:rsidR="0010081A" w:rsidRPr="00C3303B">
              <w:rPr>
                <w:rFonts w:cs="Arial"/>
              </w:rPr>
              <w:t xml:space="preserve"> s</w:t>
            </w:r>
            <w:r>
              <w:rPr>
                <w:rFonts w:cs="Arial"/>
              </w:rPr>
              <w:t xml:space="preserve">harks, barramundi and mackerel) can potentially impact </w:t>
            </w:r>
            <w:r w:rsidR="0010081A" w:rsidRPr="00C3303B">
              <w:rPr>
                <w:rFonts w:cs="Arial"/>
              </w:rPr>
              <w:t>food webs and species assemblages</w:t>
            </w:r>
            <w:r>
              <w:rPr>
                <w:rFonts w:cs="Arial"/>
              </w:rPr>
              <w:t>. While these impacts have not been</w:t>
            </w:r>
            <w:r w:rsidR="0010081A" w:rsidRPr="00C3303B">
              <w:rPr>
                <w:rFonts w:cs="Arial"/>
              </w:rPr>
              <w:t xml:space="preserve"> quantified</w:t>
            </w:r>
            <w:r w:rsidR="002967B3" w:rsidRPr="00C3303B">
              <w:rPr>
                <w:rFonts w:cs="Arial"/>
              </w:rPr>
              <w:t xml:space="preserve"> for the </w:t>
            </w:r>
            <w:r w:rsidR="00A05BFA">
              <w:rPr>
                <w:rFonts w:cs="Arial"/>
              </w:rPr>
              <w:t>East Coast Inshore Fin Fish Fishery</w:t>
            </w:r>
            <w:r>
              <w:rPr>
                <w:rFonts w:cs="Arial"/>
              </w:rPr>
              <w:t>, m</w:t>
            </w:r>
            <w:r w:rsidR="0010081A" w:rsidRPr="00C3303B">
              <w:rPr>
                <w:rFonts w:cs="Arial"/>
              </w:rPr>
              <w:t>anagement of the fishery aims to ensure that sustainable populations of target species are maintained.</w:t>
            </w:r>
          </w:p>
          <w:p w14:paraId="2F5C3AA3" w14:textId="77777777" w:rsidR="00664051" w:rsidRDefault="00392223" w:rsidP="005B0866">
            <w:pPr>
              <w:spacing w:line="240" w:lineRule="auto"/>
              <w:rPr>
                <w:lang w:eastAsia="en-AU"/>
              </w:rPr>
            </w:pPr>
            <w:r w:rsidRPr="00392223">
              <w:rPr>
                <w:rFonts w:eastAsia="Times New Roman" w:cs="Arial"/>
                <w:lang w:eastAsia="en-AU"/>
              </w:rPr>
              <w:t xml:space="preserve">The </w:t>
            </w:r>
            <w:r w:rsidRPr="00392223">
              <w:rPr>
                <w:rFonts w:eastAsia="Times New Roman" w:cs="Arial"/>
                <w:i/>
                <w:lang w:eastAsia="en-AU"/>
              </w:rPr>
              <w:t>Marine bioregional plan for the Temperate East Marine Region 2012</w:t>
            </w:r>
            <w:r w:rsidRPr="00392223">
              <w:rPr>
                <w:rFonts w:eastAsia="Times New Roman" w:cs="Arial"/>
                <w:lang w:eastAsia="en-AU"/>
              </w:rPr>
              <w:t xml:space="preserve"> has identified that</w:t>
            </w:r>
            <w:r w:rsidR="00664051">
              <w:rPr>
                <w:rFonts w:eastAsia="Times New Roman" w:cs="Arial"/>
                <w:lang w:eastAsia="en-AU"/>
              </w:rPr>
              <w:t xml:space="preserve"> </w:t>
            </w:r>
            <w:r w:rsidRPr="00392223">
              <w:rPr>
                <w:lang w:eastAsia="en-AU"/>
              </w:rPr>
              <w:t xml:space="preserve">there are </w:t>
            </w:r>
            <w:r w:rsidR="00664051">
              <w:rPr>
                <w:lang w:eastAsia="en-AU"/>
              </w:rPr>
              <w:t xml:space="preserve">four </w:t>
            </w:r>
            <w:r w:rsidRPr="00392223">
              <w:rPr>
                <w:lang w:eastAsia="en-AU"/>
              </w:rPr>
              <w:t>key ecological features pres</w:t>
            </w:r>
            <w:r w:rsidR="008B7625">
              <w:rPr>
                <w:lang w:eastAsia="en-AU"/>
              </w:rPr>
              <w:t>ent in the area of the fishery</w:t>
            </w:r>
            <w:r w:rsidR="00664051">
              <w:rPr>
                <w:lang w:eastAsia="en-AU"/>
              </w:rPr>
              <w:t xml:space="preserve">. These are </w:t>
            </w:r>
            <w:r w:rsidRPr="00392223">
              <w:rPr>
                <w:lang w:eastAsia="en-AU"/>
              </w:rPr>
              <w:t xml:space="preserve">shelf rocky reefs, </w:t>
            </w:r>
            <w:r w:rsidR="00664051">
              <w:rPr>
                <w:lang w:eastAsia="en-AU"/>
              </w:rPr>
              <w:t xml:space="preserve">the </w:t>
            </w:r>
            <w:r w:rsidRPr="00392223">
              <w:rPr>
                <w:lang w:eastAsia="en-AU"/>
              </w:rPr>
              <w:t>canyons on the eastern continental slope</w:t>
            </w:r>
            <w:r w:rsidR="00E665DB">
              <w:rPr>
                <w:lang w:eastAsia="en-AU"/>
              </w:rPr>
              <w:t>, the Tasmantid seamount chain</w:t>
            </w:r>
            <w:r w:rsidRPr="00392223">
              <w:rPr>
                <w:lang w:eastAsia="en-AU"/>
              </w:rPr>
              <w:t xml:space="preserve"> a</w:t>
            </w:r>
            <w:r w:rsidR="008B7625">
              <w:rPr>
                <w:lang w:eastAsia="en-AU"/>
              </w:rPr>
              <w:t xml:space="preserve">nd </w:t>
            </w:r>
            <w:r w:rsidR="00664051">
              <w:rPr>
                <w:lang w:eastAsia="en-AU"/>
              </w:rPr>
              <w:t>the upwelling off Fraser Island</w:t>
            </w:r>
            <w:r w:rsidR="008B7625">
              <w:rPr>
                <w:lang w:eastAsia="en-AU"/>
              </w:rPr>
              <w:t xml:space="preserve">. </w:t>
            </w:r>
            <w:r w:rsidR="005B0866">
              <w:rPr>
                <w:lang w:eastAsia="en-AU"/>
              </w:rPr>
              <w:t>However, d</w:t>
            </w:r>
            <w:r w:rsidR="00664051" w:rsidRPr="00BB524F">
              <w:rPr>
                <w:rFonts w:cs="Arial"/>
              </w:rPr>
              <w:t>ue to the low impact harvesting method</w:t>
            </w:r>
            <w:r w:rsidR="00664051">
              <w:rPr>
                <w:rFonts w:cs="Arial"/>
              </w:rPr>
              <w:t>s</w:t>
            </w:r>
            <w:r w:rsidR="00664051" w:rsidRPr="00BB524F">
              <w:rPr>
                <w:rFonts w:cs="Arial"/>
              </w:rPr>
              <w:t xml:space="preserve"> used in the fishery (</w:t>
            </w:r>
            <w:r w:rsidR="00664051">
              <w:rPr>
                <w:rFonts w:cs="Arial"/>
              </w:rPr>
              <w:t>gillnet and line</w:t>
            </w:r>
            <w:r w:rsidR="00664051" w:rsidRPr="00BB524F">
              <w:rPr>
                <w:rFonts w:cs="Arial"/>
              </w:rPr>
              <w:t xml:space="preserve">), impacts to the physical ecosystem </w:t>
            </w:r>
            <w:r w:rsidR="00664051">
              <w:rPr>
                <w:rFonts w:cs="Arial"/>
              </w:rPr>
              <w:t xml:space="preserve">such as the canyons, rocky reefs and the Tasmantid seamount chain </w:t>
            </w:r>
            <w:r w:rsidR="00664051" w:rsidRPr="00BB524F">
              <w:rPr>
                <w:rFonts w:cs="Arial"/>
              </w:rPr>
              <w:t xml:space="preserve">are </w:t>
            </w:r>
            <w:r w:rsidR="005B0866">
              <w:rPr>
                <w:rFonts w:cs="Arial"/>
              </w:rPr>
              <w:t xml:space="preserve">likely </w:t>
            </w:r>
            <w:r w:rsidR="00664051">
              <w:rPr>
                <w:rFonts w:cs="Arial"/>
              </w:rPr>
              <w:t>to be low</w:t>
            </w:r>
            <w:r w:rsidR="00664051" w:rsidRPr="00BB524F">
              <w:rPr>
                <w:rFonts w:cs="Arial"/>
              </w:rPr>
              <w:t>.</w:t>
            </w:r>
          </w:p>
          <w:p w14:paraId="2F5C3AA4" w14:textId="77777777" w:rsidR="00631951" w:rsidRPr="00392223" w:rsidRDefault="0099446C" w:rsidP="00C5700C">
            <w:pPr>
              <w:pStyle w:val="ListBullet"/>
              <w:numPr>
                <w:ilvl w:val="0"/>
                <w:numId w:val="0"/>
              </w:numPr>
              <w:spacing w:line="240" w:lineRule="auto"/>
              <w:rPr>
                <w:lang w:eastAsia="en-AU"/>
              </w:rPr>
            </w:pPr>
            <w:r>
              <w:rPr>
                <w:lang w:eastAsia="en-AU"/>
              </w:rPr>
              <w:t xml:space="preserve">While the Department recognises there may be </w:t>
            </w:r>
            <w:r w:rsidR="00852265">
              <w:rPr>
                <w:lang w:eastAsia="en-AU"/>
              </w:rPr>
              <w:t>some bycatch of EPBC </w:t>
            </w:r>
            <w:r>
              <w:rPr>
                <w:lang w:eastAsia="en-AU"/>
              </w:rPr>
              <w:t>Act protected species, the management arrangements currently in place in the fishery and the conditions</w:t>
            </w:r>
            <w:r w:rsidR="00852265">
              <w:rPr>
                <w:lang w:eastAsia="en-AU"/>
              </w:rPr>
              <w:t xml:space="preserve"> in T</w:t>
            </w:r>
            <w:r>
              <w:rPr>
                <w:lang w:eastAsia="en-AU"/>
              </w:rPr>
              <w:t xml:space="preserve">able </w:t>
            </w:r>
            <w:r w:rsidR="00C5700C">
              <w:rPr>
                <w:lang w:eastAsia="en-AU"/>
              </w:rPr>
              <w:t>3</w:t>
            </w:r>
            <w:r w:rsidR="005B30FD">
              <w:rPr>
                <w:lang w:eastAsia="en-AU"/>
              </w:rPr>
              <w:t>,</w:t>
            </w:r>
            <w:r>
              <w:rPr>
                <w:lang w:eastAsia="en-AU"/>
              </w:rPr>
              <w:t xml:space="preserve"> </w:t>
            </w:r>
            <w:r w:rsidR="00C5700C">
              <w:rPr>
                <w:lang w:eastAsia="en-AU"/>
              </w:rPr>
              <w:t>should</w:t>
            </w:r>
            <w:r>
              <w:rPr>
                <w:lang w:eastAsia="en-AU"/>
              </w:rPr>
              <w:t xml:space="preserve"> ensure that any impacts on bycatch species are </w:t>
            </w:r>
            <w:r w:rsidR="0017274E">
              <w:rPr>
                <w:lang w:eastAsia="en-AU"/>
              </w:rPr>
              <w:t>minimised</w:t>
            </w:r>
            <w:r>
              <w:rPr>
                <w:lang w:eastAsia="en-AU"/>
              </w:rPr>
              <w:t xml:space="preserve">. </w:t>
            </w:r>
          </w:p>
        </w:tc>
      </w:tr>
      <w:tr w:rsidR="006C7102" w:rsidRPr="009B3A55" w14:paraId="2F5C3AC5"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AA6" w14:textId="77777777" w:rsidR="006C7102" w:rsidRPr="009B3A55" w:rsidRDefault="006C7102" w:rsidP="00392223">
            <w:pPr>
              <w:rPr>
                <w:rFonts w:cs="Arial"/>
                <w:b/>
                <w:snapToGrid w:val="0"/>
                <w:highlight w:val="cyan"/>
              </w:rPr>
            </w:pPr>
            <w:r w:rsidRPr="00FD71BF">
              <w:rPr>
                <w:rFonts w:cs="Arial"/>
                <w:b/>
                <w:snapToGrid w:val="0"/>
              </w:rPr>
              <w:lastRenderedPageBreak/>
              <w:t xml:space="preserve">Impacts on </w:t>
            </w:r>
            <w:r w:rsidR="00631951">
              <w:rPr>
                <w:rFonts w:cs="Arial"/>
                <w:b/>
                <w:snapToGrid w:val="0"/>
              </w:rPr>
              <w:t>(</w:t>
            </w:r>
            <w:r w:rsidR="00631951" w:rsidRPr="00392223">
              <w:rPr>
                <w:rFonts w:cs="Arial"/>
                <w:b/>
                <w:snapToGrid w:val="0"/>
              </w:rPr>
              <w:t>Convention on</w:t>
            </w:r>
            <w:r w:rsidR="007D284C" w:rsidRPr="00392223">
              <w:rPr>
                <w:rFonts w:cs="Arial"/>
                <w:b/>
                <w:snapToGrid w:val="0"/>
              </w:rPr>
              <w:t xml:space="preserve"> International Trade </w:t>
            </w:r>
            <w:r w:rsidR="00392223" w:rsidRPr="00392223">
              <w:rPr>
                <w:rFonts w:cs="Arial"/>
                <w:b/>
                <w:snapToGrid w:val="0"/>
              </w:rPr>
              <w:t>in endangered Species of Wild Fauna and Flora</w:t>
            </w:r>
            <w:r w:rsidR="00631951" w:rsidRPr="00392223">
              <w:rPr>
                <w:rFonts w:cs="Arial"/>
                <w:b/>
                <w:snapToGrid w:val="0"/>
              </w:rPr>
              <w:t xml:space="preserve">) </w:t>
            </w:r>
            <w:r w:rsidRPr="00392223">
              <w:rPr>
                <w:rFonts w:cs="Arial"/>
                <w:b/>
                <w:snapToGrid w:val="0"/>
              </w:rPr>
              <w:t>CITES</w:t>
            </w:r>
            <w:r w:rsidRPr="00FD71BF">
              <w:rPr>
                <w:rFonts w:cs="Arial"/>
                <w:b/>
                <w:snapToGrid w:val="0"/>
              </w:rPr>
              <w:t xml:space="preserve"> species </w:t>
            </w:r>
          </w:p>
        </w:tc>
        <w:tc>
          <w:tcPr>
            <w:tcW w:w="7444" w:type="dxa"/>
            <w:tcBorders>
              <w:top w:val="single" w:sz="4" w:space="0" w:color="auto"/>
              <w:left w:val="single" w:sz="4" w:space="0" w:color="auto"/>
              <w:bottom w:val="single" w:sz="4" w:space="0" w:color="auto"/>
              <w:right w:val="single" w:sz="4" w:space="0" w:color="auto"/>
            </w:tcBorders>
          </w:tcPr>
          <w:p w14:paraId="2F5C3AA7" w14:textId="77777777" w:rsidR="0017274E" w:rsidRDefault="006C7102" w:rsidP="005113CA">
            <w:pPr>
              <w:spacing w:line="240" w:lineRule="auto"/>
              <w:rPr>
                <w:rFonts w:cs="Arial"/>
              </w:rPr>
            </w:pPr>
            <w:r w:rsidRPr="007453D6">
              <w:rPr>
                <w:rFonts w:cs="Arial"/>
              </w:rPr>
              <w:t xml:space="preserve">The </w:t>
            </w:r>
            <w:r w:rsidR="0017274E">
              <w:rPr>
                <w:rFonts w:cs="Arial"/>
              </w:rPr>
              <w:t xml:space="preserve">Department’s </w:t>
            </w:r>
            <w:r w:rsidRPr="007453D6">
              <w:rPr>
                <w:rFonts w:cs="Arial"/>
              </w:rPr>
              <w:t xml:space="preserve">assessment </w:t>
            </w:r>
            <w:r w:rsidR="005113CA">
              <w:rPr>
                <w:rFonts w:cs="Arial"/>
              </w:rPr>
              <w:t>considered the fishery’s impact on great hammerhead (</w:t>
            </w:r>
            <w:r w:rsidR="005113CA" w:rsidRPr="005B0866">
              <w:rPr>
                <w:rFonts w:cs="Arial"/>
                <w:i/>
              </w:rPr>
              <w:t>Sphyrna mokarran</w:t>
            </w:r>
            <w:r w:rsidR="005113CA">
              <w:rPr>
                <w:rFonts w:cs="Arial"/>
              </w:rPr>
              <w:t>), smooth hammerhead (</w:t>
            </w:r>
            <w:r w:rsidR="005113CA" w:rsidRPr="005B0866">
              <w:rPr>
                <w:rFonts w:cs="Arial"/>
                <w:i/>
              </w:rPr>
              <w:t>S. lewini</w:t>
            </w:r>
            <w:r w:rsidR="005113CA">
              <w:rPr>
                <w:rFonts w:cs="Arial"/>
              </w:rPr>
              <w:t>) and smooth hammerhead (</w:t>
            </w:r>
            <w:r w:rsidR="005113CA" w:rsidRPr="005B0866">
              <w:rPr>
                <w:rFonts w:cs="Arial"/>
                <w:i/>
              </w:rPr>
              <w:t>S.zygaena</w:t>
            </w:r>
            <w:r w:rsidR="005113CA">
              <w:rPr>
                <w:rFonts w:cs="Arial"/>
              </w:rPr>
              <w:t xml:space="preserve">) sharks, which are listed under Appendix II of CITES. Australia gives effect to the </w:t>
            </w:r>
            <w:r w:rsidR="005B0866">
              <w:rPr>
                <w:rFonts w:cs="Arial"/>
              </w:rPr>
              <w:t xml:space="preserve">provisions of </w:t>
            </w:r>
            <w:r w:rsidR="005113CA">
              <w:rPr>
                <w:rFonts w:cs="Arial"/>
              </w:rPr>
              <w:t xml:space="preserve">CITES through Part 13A of the EPBC Act. Under these provisions, export of hammerheads and other CITES listed species may only occur where a permit, supported by a non-detriment finding, has been issued by Australia’s CITES </w:t>
            </w:r>
            <w:r w:rsidR="00C5700C">
              <w:rPr>
                <w:rFonts w:cs="Arial"/>
              </w:rPr>
              <w:t>Management</w:t>
            </w:r>
            <w:r w:rsidR="005113CA">
              <w:rPr>
                <w:rFonts w:cs="Arial"/>
              </w:rPr>
              <w:t xml:space="preserve"> Authority. </w:t>
            </w:r>
          </w:p>
          <w:p w14:paraId="2F5C3AA8" w14:textId="77777777" w:rsidR="005113CA" w:rsidRDefault="005113CA" w:rsidP="005113CA">
            <w:pPr>
              <w:spacing w:line="240" w:lineRule="auto"/>
              <w:rPr>
                <w:rFonts w:cs="Arial"/>
              </w:rPr>
            </w:pPr>
            <w:r>
              <w:rPr>
                <w:rFonts w:cs="Arial"/>
              </w:rPr>
              <w:t xml:space="preserve">In 2014, Australia’s CITES Scientific Authority determined that Australia’s national take of hammerhead sharks would not be detrimental to the survival </w:t>
            </w:r>
            <w:r w:rsidR="00C07E6C">
              <w:rPr>
                <w:rFonts w:cs="Arial"/>
              </w:rPr>
              <w:t xml:space="preserve">of the species if catch was restricted to historical levels. In the East Coast Inshore Fin Fish Fishery, hammerhead shark catch is reported to species level (scalloped hammerhead) and Family level (scalloped, great and smooth hammerhead). </w:t>
            </w:r>
          </w:p>
          <w:p w14:paraId="2F5C3AA9" w14:textId="77777777" w:rsidR="006C7102" w:rsidRDefault="006C7102" w:rsidP="001F1716">
            <w:pPr>
              <w:spacing w:line="240" w:lineRule="auto"/>
              <w:rPr>
                <w:rFonts w:cs="Arial"/>
              </w:rPr>
            </w:pPr>
            <w:r>
              <w:rPr>
                <w:rFonts w:cs="Arial"/>
              </w:rPr>
              <w:t xml:space="preserve">Catch of hammerhead sharks in the </w:t>
            </w:r>
            <w:r w:rsidR="0017274E">
              <w:rPr>
                <w:rFonts w:cs="Arial"/>
              </w:rPr>
              <w:t>f</w:t>
            </w:r>
            <w:r>
              <w:rPr>
                <w:rFonts w:cs="Arial"/>
              </w:rPr>
              <w:t xml:space="preserve">ishery </w:t>
            </w:r>
            <w:r w:rsidR="0017274E">
              <w:rPr>
                <w:rFonts w:cs="Arial"/>
              </w:rPr>
              <w:t>since 2012 is listed below</w:t>
            </w:r>
            <w:r>
              <w:rPr>
                <w:rFonts w:cs="Arial"/>
              </w:rPr>
              <w:t>:</w:t>
            </w:r>
          </w:p>
          <w:tbl>
            <w:tblPr>
              <w:tblStyle w:val="TableGrid"/>
              <w:tblW w:w="0" w:type="auto"/>
              <w:tblLayout w:type="fixed"/>
              <w:tblLook w:val="04A0" w:firstRow="1" w:lastRow="0" w:firstColumn="1" w:lastColumn="0" w:noHBand="0" w:noVBand="1"/>
            </w:tblPr>
            <w:tblGrid>
              <w:gridCol w:w="1742"/>
              <w:gridCol w:w="1742"/>
              <w:gridCol w:w="1742"/>
              <w:gridCol w:w="1743"/>
            </w:tblGrid>
            <w:tr w:rsidR="006C7102" w14:paraId="2F5C3AAE" w14:textId="77777777" w:rsidTr="006C7102">
              <w:trPr>
                <w:cnfStyle w:val="100000000000" w:firstRow="1" w:lastRow="0" w:firstColumn="0" w:lastColumn="0" w:oddVBand="0" w:evenVBand="0" w:oddHBand="0" w:evenHBand="0" w:firstRowFirstColumn="0" w:firstRowLastColumn="0" w:lastRowFirstColumn="0" w:lastRowLastColumn="0"/>
              </w:trPr>
              <w:tc>
                <w:tcPr>
                  <w:tcW w:w="1742" w:type="dxa"/>
                </w:tcPr>
                <w:p w14:paraId="2F5C3AAA" w14:textId="77777777" w:rsidR="006C7102" w:rsidRPr="002E3A00" w:rsidRDefault="006C7102" w:rsidP="001F1716">
                  <w:pPr>
                    <w:spacing w:after="0" w:line="240" w:lineRule="auto"/>
                    <w:rPr>
                      <w:rFonts w:cs="Arial"/>
                      <w:b/>
                    </w:rPr>
                  </w:pPr>
                  <w:r w:rsidRPr="002E3A00">
                    <w:rPr>
                      <w:rFonts w:cs="Arial"/>
                      <w:b/>
                    </w:rPr>
                    <w:t>Year</w:t>
                  </w:r>
                </w:p>
              </w:tc>
              <w:tc>
                <w:tcPr>
                  <w:tcW w:w="1742" w:type="dxa"/>
                </w:tcPr>
                <w:p w14:paraId="2F5C3AAB" w14:textId="77777777" w:rsidR="006C7102" w:rsidRPr="002E3A00" w:rsidRDefault="00A018EF" w:rsidP="001F1716">
                  <w:pPr>
                    <w:spacing w:after="0" w:line="240" w:lineRule="auto"/>
                    <w:rPr>
                      <w:rFonts w:cs="Arial"/>
                      <w:b/>
                    </w:rPr>
                  </w:pPr>
                  <w:r>
                    <w:rPr>
                      <w:rFonts w:cs="Arial"/>
                      <w:b/>
                    </w:rPr>
                    <w:t>Hammerhead shark</w:t>
                  </w:r>
                </w:p>
              </w:tc>
              <w:tc>
                <w:tcPr>
                  <w:tcW w:w="1742" w:type="dxa"/>
                </w:tcPr>
                <w:p w14:paraId="2F5C3AAC" w14:textId="77777777" w:rsidR="006C7102" w:rsidRPr="002E3A00" w:rsidRDefault="00A018EF" w:rsidP="001F1716">
                  <w:pPr>
                    <w:spacing w:after="0" w:line="240" w:lineRule="auto"/>
                    <w:rPr>
                      <w:rFonts w:cs="Arial"/>
                      <w:b/>
                    </w:rPr>
                  </w:pPr>
                  <w:r>
                    <w:rPr>
                      <w:rFonts w:cs="Arial"/>
                      <w:b/>
                    </w:rPr>
                    <w:t>Scalloped hammerhead</w:t>
                  </w:r>
                </w:p>
              </w:tc>
              <w:tc>
                <w:tcPr>
                  <w:tcW w:w="1743" w:type="dxa"/>
                </w:tcPr>
                <w:p w14:paraId="2F5C3AAD" w14:textId="77777777" w:rsidR="006C7102" w:rsidRPr="002E3A00" w:rsidRDefault="006C7102" w:rsidP="001F1716">
                  <w:pPr>
                    <w:spacing w:after="0" w:line="240" w:lineRule="auto"/>
                    <w:rPr>
                      <w:rFonts w:cs="Arial"/>
                      <w:b/>
                    </w:rPr>
                  </w:pPr>
                  <w:r w:rsidRPr="002E3A00">
                    <w:rPr>
                      <w:rFonts w:cs="Arial"/>
                      <w:b/>
                    </w:rPr>
                    <w:t>Total (t)</w:t>
                  </w:r>
                </w:p>
              </w:tc>
            </w:tr>
            <w:tr w:rsidR="006C7102" w14:paraId="2F5C3AB3" w14:textId="77777777" w:rsidTr="006C7102">
              <w:trPr>
                <w:cnfStyle w:val="000000100000" w:firstRow="0" w:lastRow="0" w:firstColumn="0" w:lastColumn="0" w:oddVBand="0" w:evenVBand="0" w:oddHBand="1" w:evenHBand="0" w:firstRowFirstColumn="0" w:firstRowLastColumn="0" w:lastRowFirstColumn="0" w:lastRowLastColumn="0"/>
              </w:trPr>
              <w:tc>
                <w:tcPr>
                  <w:tcW w:w="1742" w:type="dxa"/>
                </w:tcPr>
                <w:p w14:paraId="2F5C3AAF" w14:textId="77777777" w:rsidR="006C7102" w:rsidRDefault="00A018EF" w:rsidP="001F1716">
                  <w:pPr>
                    <w:spacing w:after="0" w:line="240" w:lineRule="auto"/>
                    <w:rPr>
                      <w:rFonts w:cs="Arial"/>
                    </w:rPr>
                  </w:pPr>
                  <w:r>
                    <w:rPr>
                      <w:rFonts w:cs="Arial"/>
                    </w:rPr>
                    <w:t>2012</w:t>
                  </w:r>
                </w:p>
              </w:tc>
              <w:tc>
                <w:tcPr>
                  <w:tcW w:w="1742" w:type="dxa"/>
                </w:tcPr>
                <w:p w14:paraId="2F5C3AB0" w14:textId="77777777" w:rsidR="006C7102" w:rsidRDefault="00A018EF" w:rsidP="001F1716">
                  <w:pPr>
                    <w:spacing w:after="0" w:line="240" w:lineRule="auto"/>
                    <w:rPr>
                      <w:rFonts w:cs="Arial"/>
                    </w:rPr>
                  </w:pPr>
                  <w:r>
                    <w:rPr>
                      <w:rFonts w:cs="Arial"/>
                    </w:rPr>
                    <w:t>43.20</w:t>
                  </w:r>
                </w:p>
              </w:tc>
              <w:tc>
                <w:tcPr>
                  <w:tcW w:w="1742" w:type="dxa"/>
                </w:tcPr>
                <w:p w14:paraId="2F5C3AB1" w14:textId="77777777" w:rsidR="006C7102" w:rsidRDefault="00A018EF" w:rsidP="001F1716">
                  <w:pPr>
                    <w:spacing w:after="0" w:line="240" w:lineRule="auto"/>
                    <w:rPr>
                      <w:rFonts w:cs="Arial"/>
                    </w:rPr>
                  </w:pPr>
                  <w:r>
                    <w:rPr>
                      <w:rFonts w:cs="Arial"/>
                    </w:rPr>
                    <w:t>8.94</w:t>
                  </w:r>
                </w:p>
              </w:tc>
              <w:tc>
                <w:tcPr>
                  <w:tcW w:w="1743" w:type="dxa"/>
                </w:tcPr>
                <w:p w14:paraId="2F5C3AB2" w14:textId="77777777" w:rsidR="006C7102" w:rsidRPr="002E3A00" w:rsidRDefault="00A018EF" w:rsidP="001F1716">
                  <w:pPr>
                    <w:spacing w:after="0" w:line="240" w:lineRule="auto"/>
                    <w:rPr>
                      <w:rFonts w:cs="Arial"/>
                      <w:b/>
                    </w:rPr>
                  </w:pPr>
                  <w:r>
                    <w:rPr>
                      <w:rFonts w:cs="Arial"/>
                      <w:b/>
                    </w:rPr>
                    <w:t>52.14</w:t>
                  </w:r>
                </w:p>
              </w:tc>
            </w:tr>
            <w:tr w:rsidR="006C7102" w14:paraId="2F5C3AB8" w14:textId="77777777" w:rsidTr="006C7102">
              <w:trPr>
                <w:cnfStyle w:val="000000010000" w:firstRow="0" w:lastRow="0" w:firstColumn="0" w:lastColumn="0" w:oddVBand="0" w:evenVBand="0" w:oddHBand="0" w:evenHBand="1" w:firstRowFirstColumn="0" w:firstRowLastColumn="0" w:lastRowFirstColumn="0" w:lastRowLastColumn="0"/>
              </w:trPr>
              <w:tc>
                <w:tcPr>
                  <w:tcW w:w="1742" w:type="dxa"/>
                </w:tcPr>
                <w:p w14:paraId="2F5C3AB4" w14:textId="77777777" w:rsidR="006C7102" w:rsidRDefault="00A018EF" w:rsidP="001F1716">
                  <w:pPr>
                    <w:spacing w:after="0" w:line="240" w:lineRule="auto"/>
                    <w:rPr>
                      <w:rFonts w:cs="Arial"/>
                    </w:rPr>
                  </w:pPr>
                  <w:r>
                    <w:rPr>
                      <w:rFonts w:cs="Arial"/>
                    </w:rPr>
                    <w:t>2013</w:t>
                  </w:r>
                </w:p>
              </w:tc>
              <w:tc>
                <w:tcPr>
                  <w:tcW w:w="1742" w:type="dxa"/>
                </w:tcPr>
                <w:p w14:paraId="2F5C3AB5" w14:textId="77777777" w:rsidR="006C7102" w:rsidRDefault="00A018EF" w:rsidP="001F1716">
                  <w:pPr>
                    <w:spacing w:after="0" w:line="240" w:lineRule="auto"/>
                    <w:rPr>
                      <w:rFonts w:cs="Arial"/>
                    </w:rPr>
                  </w:pPr>
                  <w:r>
                    <w:rPr>
                      <w:rFonts w:cs="Arial"/>
                    </w:rPr>
                    <w:t>81.00</w:t>
                  </w:r>
                </w:p>
              </w:tc>
              <w:tc>
                <w:tcPr>
                  <w:tcW w:w="1742" w:type="dxa"/>
                </w:tcPr>
                <w:p w14:paraId="2F5C3AB6" w14:textId="77777777" w:rsidR="006C7102" w:rsidRDefault="00A018EF" w:rsidP="001F1716">
                  <w:pPr>
                    <w:spacing w:after="0" w:line="240" w:lineRule="auto"/>
                    <w:rPr>
                      <w:rFonts w:cs="Arial"/>
                    </w:rPr>
                  </w:pPr>
                  <w:r>
                    <w:rPr>
                      <w:rFonts w:cs="Arial"/>
                    </w:rPr>
                    <w:t>11.55</w:t>
                  </w:r>
                </w:p>
              </w:tc>
              <w:tc>
                <w:tcPr>
                  <w:tcW w:w="1743" w:type="dxa"/>
                </w:tcPr>
                <w:p w14:paraId="2F5C3AB7" w14:textId="77777777" w:rsidR="006C7102" w:rsidRPr="002E3A00" w:rsidRDefault="00A018EF" w:rsidP="001F1716">
                  <w:pPr>
                    <w:spacing w:after="0" w:line="240" w:lineRule="auto"/>
                    <w:rPr>
                      <w:rFonts w:cs="Arial"/>
                      <w:b/>
                    </w:rPr>
                  </w:pPr>
                  <w:r>
                    <w:rPr>
                      <w:rFonts w:cs="Arial"/>
                      <w:b/>
                    </w:rPr>
                    <w:t>92.55</w:t>
                  </w:r>
                </w:p>
              </w:tc>
            </w:tr>
            <w:tr w:rsidR="006C7102" w14:paraId="2F5C3ABD" w14:textId="77777777" w:rsidTr="006C7102">
              <w:trPr>
                <w:cnfStyle w:val="000000100000" w:firstRow="0" w:lastRow="0" w:firstColumn="0" w:lastColumn="0" w:oddVBand="0" w:evenVBand="0" w:oddHBand="1" w:evenHBand="0" w:firstRowFirstColumn="0" w:firstRowLastColumn="0" w:lastRowFirstColumn="0" w:lastRowLastColumn="0"/>
              </w:trPr>
              <w:tc>
                <w:tcPr>
                  <w:tcW w:w="1742" w:type="dxa"/>
                </w:tcPr>
                <w:p w14:paraId="2F5C3AB9" w14:textId="77777777" w:rsidR="006C7102" w:rsidRDefault="00A018EF" w:rsidP="001F1716">
                  <w:pPr>
                    <w:spacing w:after="0" w:line="240" w:lineRule="auto"/>
                    <w:rPr>
                      <w:rFonts w:cs="Arial"/>
                    </w:rPr>
                  </w:pPr>
                  <w:r>
                    <w:rPr>
                      <w:rFonts w:cs="Arial"/>
                    </w:rPr>
                    <w:t>2014</w:t>
                  </w:r>
                </w:p>
              </w:tc>
              <w:tc>
                <w:tcPr>
                  <w:tcW w:w="1742" w:type="dxa"/>
                </w:tcPr>
                <w:p w14:paraId="2F5C3ABA" w14:textId="77777777" w:rsidR="006C7102" w:rsidRDefault="00A018EF" w:rsidP="001F1716">
                  <w:pPr>
                    <w:spacing w:after="0" w:line="240" w:lineRule="auto"/>
                    <w:rPr>
                      <w:rFonts w:cs="Arial"/>
                    </w:rPr>
                  </w:pPr>
                  <w:r>
                    <w:rPr>
                      <w:rFonts w:cs="Arial"/>
                    </w:rPr>
                    <w:t>87.40</w:t>
                  </w:r>
                </w:p>
              </w:tc>
              <w:tc>
                <w:tcPr>
                  <w:tcW w:w="1742" w:type="dxa"/>
                </w:tcPr>
                <w:p w14:paraId="2F5C3ABB" w14:textId="77777777" w:rsidR="006C7102" w:rsidRDefault="00A018EF" w:rsidP="001F1716">
                  <w:pPr>
                    <w:spacing w:after="0" w:line="240" w:lineRule="auto"/>
                    <w:rPr>
                      <w:rFonts w:cs="Arial"/>
                    </w:rPr>
                  </w:pPr>
                  <w:r>
                    <w:rPr>
                      <w:rFonts w:cs="Arial"/>
                    </w:rPr>
                    <w:t>9.97</w:t>
                  </w:r>
                </w:p>
              </w:tc>
              <w:tc>
                <w:tcPr>
                  <w:tcW w:w="1743" w:type="dxa"/>
                </w:tcPr>
                <w:p w14:paraId="2F5C3ABC" w14:textId="77777777" w:rsidR="006C7102" w:rsidRPr="002E3A00" w:rsidRDefault="00A018EF" w:rsidP="001F1716">
                  <w:pPr>
                    <w:spacing w:after="0" w:line="240" w:lineRule="auto"/>
                    <w:rPr>
                      <w:rFonts w:cs="Arial"/>
                      <w:b/>
                    </w:rPr>
                  </w:pPr>
                  <w:r>
                    <w:rPr>
                      <w:rFonts w:cs="Arial"/>
                      <w:b/>
                    </w:rPr>
                    <w:t>97.38</w:t>
                  </w:r>
                </w:p>
              </w:tc>
            </w:tr>
            <w:tr w:rsidR="006C7102" w14:paraId="2F5C3AC2" w14:textId="77777777" w:rsidTr="006C7102">
              <w:trPr>
                <w:cnfStyle w:val="000000010000" w:firstRow="0" w:lastRow="0" w:firstColumn="0" w:lastColumn="0" w:oddVBand="0" w:evenVBand="0" w:oddHBand="0" w:evenHBand="1" w:firstRowFirstColumn="0" w:firstRowLastColumn="0" w:lastRowFirstColumn="0" w:lastRowLastColumn="0"/>
              </w:trPr>
              <w:tc>
                <w:tcPr>
                  <w:tcW w:w="1742" w:type="dxa"/>
                </w:tcPr>
                <w:p w14:paraId="2F5C3ABE" w14:textId="77777777" w:rsidR="006C7102" w:rsidRDefault="00A018EF" w:rsidP="001F1716">
                  <w:pPr>
                    <w:spacing w:after="0" w:line="240" w:lineRule="auto"/>
                    <w:rPr>
                      <w:rFonts w:cs="Arial"/>
                    </w:rPr>
                  </w:pPr>
                  <w:r>
                    <w:rPr>
                      <w:rFonts w:cs="Arial"/>
                    </w:rPr>
                    <w:t>2015</w:t>
                  </w:r>
                </w:p>
              </w:tc>
              <w:tc>
                <w:tcPr>
                  <w:tcW w:w="1742" w:type="dxa"/>
                </w:tcPr>
                <w:p w14:paraId="2F5C3ABF" w14:textId="77777777" w:rsidR="006C7102" w:rsidRDefault="00A018EF" w:rsidP="001F1716">
                  <w:pPr>
                    <w:spacing w:after="0" w:line="240" w:lineRule="auto"/>
                    <w:rPr>
                      <w:rFonts w:cs="Arial"/>
                    </w:rPr>
                  </w:pPr>
                  <w:r>
                    <w:rPr>
                      <w:rFonts w:cs="Arial"/>
                    </w:rPr>
                    <w:t>52.10</w:t>
                  </w:r>
                </w:p>
              </w:tc>
              <w:tc>
                <w:tcPr>
                  <w:tcW w:w="1742" w:type="dxa"/>
                </w:tcPr>
                <w:p w14:paraId="2F5C3AC0" w14:textId="77777777" w:rsidR="006C7102" w:rsidRDefault="00A018EF" w:rsidP="001F1716">
                  <w:pPr>
                    <w:spacing w:after="0" w:line="240" w:lineRule="auto"/>
                    <w:rPr>
                      <w:rFonts w:cs="Arial"/>
                    </w:rPr>
                  </w:pPr>
                  <w:r>
                    <w:rPr>
                      <w:rFonts w:cs="Arial"/>
                    </w:rPr>
                    <w:t>17.16</w:t>
                  </w:r>
                </w:p>
              </w:tc>
              <w:tc>
                <w:tcPr>
                  <w:tcW w:w="1743" w:type="dxa"/>
                </w:tcPr>
                <w:p w14:paraId="2F5C3AC1" w14:textId="77777777" w:rsidR="006C7102" w:rsidRPr="002E3A00" w:rsidRDefault="00A018EF" w:rsidP="001F1716">
                  <w:pPr>
                    <w:spacing w:after="0" w:line="240" w:lineRule="auto"/>
                    <w:rPr>
                      <w:rFonts w:cs="Arial"/>
                      <w:b/>
                    </w:rPr>
                  </w:pPr>
                  <w:r>
                    <w:rPr>
                      <w:rFonts w:cs="Arial"/>
                      <w:b/>
                    </w:rPr>
                    <w:t>69.26</w:t>
                  </w:r>
                </w:p>
              </w:tc>
            </w:tr>
          </w:tbl>
          <w:p w14:paraId="2F5C3AC3" w14:textId="77777777" w:rsidR="006C7102" w:rsidRDefault="006C7102" w:rsidP="001F1716">
            <w:pPr>
              <w:spacing w:after="0" w:line="240" w:lineRule="auto"/>
              <w:rPr>
                <w:rFonts w:cs="Arial"/>
              </w:rPr>
            </w:pPr>
          </w:p>
          <w:p w14:paraId="2F5C3AC4" w14:textId="77777777" w:rsidR="006C7102" w:rsidRPr="00970B6F" w:rsidRDefault="006C7102" w:rsidP="00C07E6C">
            <w:pPr>
              <w:spacing w:line="240" w:lineRule="auto"/>
              <w:rPr>
                <w:rFonts w:cs="Arial"/>
              </w:rPr>
            </w:pPr>
            <w:r>
              <w:rPr>
                <w:rFonts w:cs="Arial"/>
              </w:rPr>
              <w:t>Th</w:t>
            </w:r>
            <w:r w:rsidR="00C07E6C">
              <w:rPr>
                <w:rFonts w:cs="Arial"/>
              </w:rPr>
              <w:t xml:space="preserve">e Department therefore considers that the harvest of hammerhead sharks in the East Coast Inshore Fin Fish Fishery is sustainable. </w:t>
            </w:r>
          </w:p>
        </w:tc>
      </w:tr>
      <w:tr w:rsidR="00B6012C" w:rsidRPr="009B3A55" w14:paraId="2F5C3ACB" w14:textId="77777777" w:rsidTr="0023283B">
        <w:trPr>
          <w:cantSplit/>
          <w:jc w:val="center"/>
        </w:trPr>
        <w:tc>
          <w:tcPr>
            <w:tcW w:w="2520" w:type="dxa"/>
            <w:tcBorders>
              <w:top w:val="single" w:sz="4" w:space="0" w:color="auto"/>
              <w:left w:val="single" w:sz="4" w:space="0" w:color="auto"/>
              <w:bottom w:val="single" w:sz="4" w:space="0" w:color="auto"/>
              <w:right w:val="single" w:sz="4" w:space="0" w:color="auto"/>
            </w:tcBorders>
          </w:tcPr>
          <w:p w14:paraId="2F5C3AC6" w14:textId="77777777" w:rsidR="00B6012C" w:rsidRPr="009B3A55" w:rsidRDefault="00B6012C" w:rsidP="001955CD">
            <w:pPr>
              <w:rPr>
                <w:rFonts w:cs="Arial"/>
                <w:b/>
                <w:snapToGrid w:val="0"/>
              </w:rPr>
            </w:pPr>
            <w:r w:rsidRPr="00FD71BF">
              <w:rPr>
                <w:rFonts w:cs="Arial"/>
                <w:b/>
                <w:snapToGrid w:val="0"/>
              </w:rPr>
              <w:lastRenderedPageBreak/>
              <w:t>Impacts on World Heritage property/RAMSAR site</w:t>
            </w:r>
          </w:p>
        </w:tc>
        <w:tc>
          <w:tcPr>
            <w:tcW w:w="7444" w:type="dxa"/>
            <w:tcBorders>
              <w:top w:val="single" w:sz="4" w:space="0" w:color="auto"/>
              <w:left w:val="single" w:sz="4" w:space="0" w:color="auto"/>
              <w:bottom w:val="single" w:sz="4" w:space="0" w:color="auto"/>
              <w:right w:val="single" w:sz="4" w:space="0" w:color="auto"/>
            </w:tcBorders>
          </w:tcPr>
          <w:p w14:paraId="2F5C3AC7" w14:textId="77777777" w:rsidR="00FD71BF" w:rsidRPr="00FD71BF" w:rsidRDefault="00C07E6C" w:rsidP="001F1716">
            <w:pPr>
              <w:spacing w:line="240" w:lineRule="auto"/>
              <w:rPr>
                <w:rFonts w:cs="Arial"/>
              </w:rPr>
            </w:pPr>
            <w:r>
              <w:rPr>
                <w:rFonts w:cs="Arial"/>
              </w:rPr>
              <w:t>The Department’s</w:t>
            </w:r>
            <w:r w:rsidR="00FD71BF" w:rsidRPr="00FD71BF">
              <w:rPr>
                <w:rFonts w:cs="Arial"/>
              </w:rPr>
              <w:t xml:space="preserve"> assessment considered the possible impacts of the </w:t>
            </w:r>
            <w:r>
              <w:rPr>
                <w:rFonts w:cs="Arial"/>
              </w:rPr>
              <w:t>f</w:t>
            </w:r>
            <w:r w:rsidR="00A05BFA">
              <w:rPr>
                <w:rFonts w:cs="Arial"/>
              </w:rPr>
              <w:t>ishery</w:t>
            </w:r>
            <w:r w:rsidR="00FD71BF" w:rsidRPr="00FD71BF">
              <w:rPr>
                <w:rFonts w:cs="Arial"/>
              </w:rPr>
              <w:t xml:space="preserve"> on the World Heritage values of the Great Barrier Reef World Heritage Area and on the Great Barrier Reef Marine Park. Much of the fishing effort in the East Coast Inshore Fin Fish Fishery occurs within the</w:t>
            </w:r>
            <w:r>
              <w:rPr>
                <w:rFonts w:cs="Arial"/>
              </w:rPr>
              <w:t>se areas.</w:t>
            </w:r>
            <w:r w:rsidR="00FD71BF" w:rsidRPr="00FD71BF">
              <w:rPr>
                <w:rFonts w:cs="Arial"/>
              </w:rPr>
              <w:t xml:space="preserve"> </w:t>
            </w:r>
          </w:p>
          <w:p w14:paraId="2F5C3AC8" w14:textId="77777777" w:rsidR="00FD71BF" w:rsidRPr="00FD71BF" w:rsidRDefault="00FD71BF" w:rsidP="001F1716">
            <w:pPr>
              <w:spacing w:line="240" w:lineRule="auto"/>
              <w:rPr>
                <w:rFonts w:cs="Arial"/>
              </w:rPr>
            </w:pPr>
            <w:r w:rsidRPr="00FD71BF">
              <w:rPr>
                <w:rFonts w:cs="Arial"/>
              </w:rPr>
              <w:t>The Great Barrier Reef Marine Park is subject to spatial zoning arrangements that are designed to protect the biodiversity and health of the marine park. Approximately 33 per cent of the marine park is closed to fishing. Due to the implementation of a</w:t>
            </w:r>
            <w:r w:rsidR="00720363">
              <w:rPr>
                <w:rFonts w:cs="Arial"/>
              </w:rPr>
              <w:t>rea and seasonal closures, gear</w:t>
            </w:r>
            <w:r w:rsidRPr="00FD71BF">
              <w:rPr>
                <w:rFonts w:cs="Arial"/>
              </w:rPr>
              <w:t xml:space="preserve"> size</w:t>
            </w:r>
            <w:r w:rsidR="0038461A">
              <w:rPr>
                <w:rFonts w:cs="Arial"/>
              </w:rPr>
              <w:t xml:space="preserve">, </w:t>
            </w:r>
            <w:r w:rsidRPr="00FD71BF">
              <w:rPr>
                <w:rFonts w:cs="Arial"/>
              </w:rPr>
              <w:t>harvest restrictions and the harvesting method</w:t>
            </w:r>
            <w:r w:rsidR="00720363">
              <w:rPr>
                <w:rFonts w:cs="Arial"/>
              </w:rPr>
              <w:t>s</w:t>
            </w:r>
            <w:r w:rsidRPr="00FD71BF">
              <w:rPr>
                <w:rFonts w:cs="Arial"/>
              </w:rPr>
              <w:t xml:space="preserve"> used in the fishery, significant impacts on the Great Barrier Reef Marine Park or the World Heritage values of the Great Barrier Reef World Heritage Area are considered unlikely. </w:t>
            </w:r>
          </w:p>
          <w:p w14:paraId="2F5C3AC9" w14:textId="77777777" w:rsidR="00B6012C" w:rsidRDefault="00FD71BF" w:rsidP="001F1716">
            <w:pPr>
              <w:spacing w:line="240" w:lineRule="auto"/>
              <w:rPr>
                <w:rFonts w:cs="Arial"/>
              </w:rPr>
            </w:pPr>
            <w:r>
              <w:rPr>
                <w:rFonts w:cs="Arial"/>
              </w:rPr>
              <w:t>On this basis the D</w:t>
            </w:r>
            <w:r w:rsidRPr="00FD71BF">
              <w:rPr>
                <w:rFonts w:cs="Arial"/>
              </w:rPr>
              <w:t xml:space="preserve">epartment considers that an action taken by an individual fisher, acting in accordance with the </w:t>
            </w:r>
            <w:r w:rsidR="00A05BFA">
              <w:rPr>
                <w:rFonts w:cs="Arial"/>
              </w:rPr>
              <w:t>East Coast Inshore Fin Fish Fishery</w:t>
            </w:r>
            <w:r w:rsidRPr="00FD71BF">
              <w:rPr>
                <w:rFonts w:cs="Arial"/>
              </w:rPr>
              <w:t xml:space="preserve"> management arrangements in force under the Queensland </w:t>
            </w:r>
            <w:r w:rsidRPr="00FD71BF">
              <w:rPr>
                <w:rFonts w:cs="Arial"/>
                <w:i/>
              </w:rPr>
              <w:t>Fisheries Act 1994</w:t>
            </w:r>
            <w:r w:rsidRPr="00FD71BF">
              <w:rPr>
                <w:rFonts w:cs="Arial"/>
              </w:rPr>
              <w:t xml:space="preserve"> and the Queensland Fisheries Regulation 2008, would not be expected to have a significant impact on the Great Barrier Reef Marine Park or the World Heritage values of the Great Barrier Reef World Heritage Area.</w:t>
            </w:r>
          </w:p>
          <w:p w14:paraId="2F5C3ACA" w14:textId="77777777" w:rsidR="00124A21" w:rsidRPr="00FD71BF" w:rsidRDefault="00124A21" w:rsidP="00C07E6C">
            <w:pPr>
              <w:spacing w:line="240" w:lineRule="auto"/>
              <w:rPr>
                <w:rFonts w:cs="Arial"/>
              </w:rPr>
            </w:pPr>
            <w:r>
              <w:rPr>
                <w:rFonts w:cs="Arial"/>
              </w:rPr>
              <w:t>This assessment</w:t>
            </w:r>
            <w:r w:rsidRPr="00124A21">
              <w:rPr>
                <w:rFonts w:cs="Arial"/>
              </w:rPr>
              <w:t xml:space="preserve"> also considered the possible impacts of the fishery on the ecological character of the Moreton Bay Ramsar Wetland, Great Sandy Strait Ramsar Wetland, Shoalwater and </w:t>
            </w:r>
            <w:r w:rsidRPr="00D67360">
              <w:rPr>
                <w:rFonts w:cs="Arial"/>
              </w:rPr>
              <w:t>Corio Bays</w:t>
            </w:r>
            <w:r w:rsidRPr="00124A21">
              <w:rPr>
                <w:rFonts w:cs="Arial"/>
              </w:rPr>
              <w:t xml:space="preserve"> Ramsar Wetland and the Bowling Green Bay Ramsar Wetland. </w:t>
            </w:r>
            <w:r w:rsidR="00BB6E18">
              <w:rPr>
                <w:rFonts w:cs="Arial"/>
              </w:rPr>
              <w:t>The Department</w:t>
            </w:r>
            <w:r w:rsidRPr="00124A21">
              <w:rPr>
                <w:rFonts w:cs="Arial"/>
              </w:rPr>
              <w:t xml:space="preserve"> consider</w:t>
            </w:r>
            <w:r w:rsidR="00BB6E18">
              <w:rPr>
                <w:rFonts w:cs="Arial"/>
              </w:rPr>
              <w:t>s</w:t>
            </w:r>
            <w:r w:rsidRPr="00124A21">
              <w:rPr>
                <w:rFonts w:cs="Arial"/>
              </w:rPr>
              <w:t xml:space="preserve"> that an action taken by an individual fisher, acting in accordance with the management regime for the East Coast Inshore Fin Fish Fishery, would not be expected to have a significant impact on the ecological character of a Wetland of International Importance.</w:t>
            </w:r>
          </w:p>
        </w:tc>
      </w:tr>
    </w:tbl>
    <w:p w14:paraId="2F5C3ACC" w14:textId="77777777" w:rsidR="00B6012C" w:rsidRPr="00F6308F" w:rsidRDefault="00B6012C" w:rsidP="001955CD">
      <w:pPr>
        <w:tabs>
          <w:tab w:val="left" w:pos="360"/>
        </w:tabs>
        <w:rPr>
          <w:rFonts w:cs="Arial"/>
        </w:rPr>
      </w:pPr>
    </w:p>
    <w:p w14:paraId="2F5C3ACD" w14:textId="77777777" w:rsidR="00B6012C" w:rsidRPr="00F6308F" w:rsidRDefault="00B6012C" w:rsidP="001955CD">
      <w:pPr>
        <w:rPr>
          <w:rFonts w:cs="Arial"/>
          <w:b/>
        </w:rPr>
        <w:sectPr w:rsidR="00B6012C" w:rsidRPr="00F6308F" w:rsidSect="001955CD">
          <w:footerReference w:type="default" r:id="rId16"/>
          <w:footerReference w:type="first" r:id="rId17"/>
          <w:pgSz w:w="11906" w:h="16838" w:code="9"/>
          <w:pgMar w:top="1134" w:right="1418" w:bottom="1134" w:left="1418" w:header="709" w:footer="709" w:gutter="0"/>
          <w:pgNumType w:start="1"/>
          <w:cols w:space="708"/>
          <w:docGrid w:linePitch="360"/>
        </w:sectPr>
      </w:pPr>
    </w:p>
    <w:p w14:paraId="2F5C3ACE" w14:textId="77777777" w:rsidR="007430E0" w:rsidRPr="00B065BF" w:rsidRDefault="007F5002" w:rsidP="00B065BF">
      <w:pPr>
        <w:pStyle w:val="Heading1"/>
      </w:pPr>
      <w:bookmarkStart w:id="2" w:name="_Toc316301050"/>
      <w:r>
        <w:rPr>
          <w:rStyle w:val="Emphasis"/>
          <w:i w:val="0"/>
          <w:iCs w:val="0"/>
        </w:rPr>
        <w:lastRenderedPageBreak/>
        <w:t>Table 2</w:t>
      </w:r>
      <w:r w:rsidR="00B6012C" w:rsidRPr="007430E0">
        <w:rPr>
          <w:rStyle w:val="Emphasis"/>
          <w:i w:val="0"/>
          <w:iCs w:val="0"/>
        </w:rPr>
        <w:t xml:space="preserve">: </w:t>
      </w:r>
      <w:r w:rsidR="00B065BF" w:rsidRPr="007430E0">
        <w:rPr>
          <w:rStyle w:val="Emphasis"/>
          <w:i w:val="0"/>
          <w:iCs w:val="0"/>
          <w:caps w:val="0"/>
        </w:rPr>
        <w:t xml:space="preserve">The </w:t>
      </w:r>
      <w:r w:rsidR="00B065BF">
        <w:rPr>
          <w:rStyle w:val="Emphasis"/>
          <w:i w:val="0"/>
          <w:iCs w:val="0"/>
          <w:caps w:val="0"/>
        </w:rPr>
        <w:t>Department of the Environment and Energy</w:t>
      </w:r>
      <w:r w:rsidR="00B065BF" w:rsidRPr="007430E0">
        <w:rPr>
          <w:rStyle w:val="Emphasis"/>
          <w:i w:val="0"/>
          <w:iCs w:val="0"/>
          <w:caps w:val="0"/>
        </w:rPr>
        <w:t>’s assessment of the</w:t>
      </w:r>
      <w:r w:rsidR="00B6012C" w:rsidRPr="007430E0">
        <w:rPr>
          <w:rStyle w:val="Emphasis"/>
          <w:i w:val="0"/>
          <w:iCs w:val="0"/>
        </w:rPr>
        <w:t xml:space="preserve"> </w:t>
      </w:r>
      <w:r w:rsidR="00B065BF">
        <w:rPr>
          <w:rStyle w:val="Emphasis"/>
          <w:i w:val="0"/>
          <w:iCs w:val="0"/>
          <w:caps w:val="0"/>
        </w:rPr>
        <w:t>Queensland East Coast Inshore Fin Fish Fishery</w:t>
      </w:r>
      <w:r w:rsidR="00B065BF" w:rsidRPr="007430E0">
        <w:rPr>
          <w:rStyle w:val="Emphasis"/>
          <w:i w:val="0"/>
          <w:iCs w:val="0"/>
          <w:caps w:val="0"/>
        </w:rPr>
        <w:t xml:space="preserve"> against the requirements of the EPBC</w:t>
      </w:r>
      <w:r w:rsidR="00B065BF">
        <w:rPr>
          <w:rStyle w:val="Emphasis"/>
          <w:i w:val="0"/>
          <w:iCs w:val="0"/>
          <w:caps w:val="0"/>
        </w:rPr>
        <w:t xml:space="preserve"> A</w:t>
      </w:r>
      <w:r w:rsidR="00B065BF" w:rsidRPr="007430E0">
        <w:rPr>
          <w:rStyle w:val="Emphasis"/>
          <w:i w:val="0"/>
          <w:iCs w:val="0"/>
          <w:caps w:val="0"/>
        </w:rPr>
        <w:t>ct r</w:t>
      </w:r>
      <w:r w:rsidR="00B065BF">
        <w:rPr>
          <w:rStyle w:val="Emphasis"/>
          <w:i w:val="0"/>
          <w:iCs w:val="0"/>
          <w:caps w:val="0"/>
        </w:rPr>
        <w:t>elated to decisions made under P</w:t>
      </w:r>
      <w:r w:rsidR="00B065BF" w:rsidRPr="006E1897">
        <w:rPr>
          <w:rStyle w:val="Emphasis"/>
          <w:i w:val="0"/>
          <w:iCs w:val="0"/>
          <w:caps w:val="0"/>
        </w:rPr>
        <w:t>art 13</w:t>
      </w:r>
      <w:r w:rsidR="00B065BF">
        <w:rPr>
          <w:rStyle w:val="Emphasis"/>
          <w:i w:val="0"/>
          <w:iCs w:val="0"/>
          <w:caps w:val="0"/>
        </w:rPr>
        <w:t xml:space="preserve"> and Part 13A</w:t>
      </w:r>
      <w:r w:rsidR="00B065BF" w:rsidRPr="007430E0">
        <w:rPr>
          <w:rStyle w:val="Emphasis"/>
          <w:i w:val="0"/>
          <w:iCs w:val="0"/>
          <w:caps w:val="0"/>
        </w:rPr>
        <w:t>.</w:t>
      </w:r>
      <w:bookmarkEnd w:id="2"/>
    </w:p>
    <w:p w14:paraId="2F5C3ACF" w14:textId="77777777"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Act. It is intended as a summary of relevant sections and components of the EPBC Act to provide advice on the fishery</w:t>
      </w:r>
      <w:r w:rsidR="00712220">
        <w:rPr>
          <w:rFonts w:cs="Arial"/>
        </w:rPr>
        <w:t xml:space="preserve"> in relation to decisions under </w:t>
      </w:r>
      <w:r w:rsidRPr="00712220">
        <w:rPr>
          <w:rFonts w:cs="Arial"/>
        </w:rPr>
        <w:t>Part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14:paraId="2F5C3AD0" w14:textId="77777777" w:rsidR="00B6012C" w:rsidRPr="00F6308F" w:rsidRDefault="00B6012C" w:rsidP="001955CD">
      <w:pPr>
        <w:rPr>
          <w:rFonts w:cs="Arial"/>
          <w:b/>
        </w:rPr>
      </w:pPr>
      <w:r w:rsidRPr="00F6308F">
        <w:rPr>
          <w:rFonts w:cs="Arial"/>
          <w:b/>
        </w:rPr>
        <w:t>Part 13</w:t>
      </w:r>
      <w:r w:rsidR="007F5002">
        <w:rPr>
          <w:rFonts w:cs="Arial"/>
          <w:b/>
        </w:rPr>
        <w:t xml:space="preserve"> Species and communities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7052"/>
      </w:tblGrid>
      <w:tr w:rsidR="00B6012C" w:rsidRPr="00F6308F" w14:paraId="2F5C3AD4" w14:textId="77777777" w:rsidTr="001955CD">
        <w:tc>
          <w:tcPr>
            <w:tcW w:w="7087" w:type="dxa"/>
          </w:tcPr>
          <w:p w14:paraId="2F5C3AD1" w14:textId="77777777" w:rsidR="00B6012C" w:rsidRPr="00F6308F" w:rsidRDefault="00B6012C" w:rsidP="001955CD">
            <w:pPr>
              <w:rPr>
                <w:rFonts w:cs="Arial"/>
                <w:b/>
              </w:rPr>
            </w:pPr>
            <w:r w:rsidRPr="00F6308F">
              <w:rPr>
                <w:rFonts w:cs="Arial"/>
                <w:b/>
              </w:rPr>
              <w:t xml:space="preserve">Division </w:t>
            </w:r>
            <w:r w:rsidR="007F5002">
              <w:rPr>
                <w:rFonts w:cs="Arial"/>
                <w:b/>
              </w:rPr>
              <w:t>8</w:t>
            </w:r>
            <w:r w:rsidRPr="00F6308F">
              <w:rPr>
                <w:rFonts w:cs="Arial"/>
                <w:b/>
              </w:rPr>
              <w:t xml:space="preserve"> </w:t>
            </w:r>
            <w:r w:rsidR="007F5002">
              <w:rPr>
                <w:rFonts w:cs="Arial"/>
                <w:b/>
              </w:rPr>
              <w:t>Miscellaneous</w:t>
            </w:r>
          </w:p>
          <w:p w14:paraId="2F5C3AD2" w14:textId="77777777" w:rsidR="00B6012C" w:rsidRPr="00F6308F" w:rsidRDefault="00B6012C" w:rsidP="0064610B">
            <w:pPr>
              <w:spacing w:after="0"/>
              <w:rPr>
                <w:rFonts w:cs="Arial"/>
                <w:b/>
              </w:rPr>
            </w:pPr>
            <w:r w:rsidRPr="00F6308F">
              <w:rPr>
                <w:rFonts w:cs="Arial"/>
                <w:b/>
              </w:rPr>
              <w:t xml:space="preserve">Section </w:t>
            </w:r>
            <w:r w:rsidR="007F5002">
              <w:rPr>
                <w:rFonts w:cs="Arial"/>
                <w:b/>
              </w:rPr>
              <w:t>303A</w:t>
            </w:r>
            <w:r w:rsidRPr="00F6308F">
              <w:rPr>
                <w:rFonts w:cs="Arial"/>
                <w:b/>
              </w:rPr>
              <w:t xml:space="preserve">A </w:t>
            </w:r>
            <w:r w:rsidR="00BB7FA7">
              <w:rPr>
                <w:rFonts w:cs="Arial"/>
                <w:b/>
              </w:rPr>
              <w:t xml:space="preserve">Conditions relating to accreditation of plans, </w:t>
            </w:r>
            <w:r w:rsidRPr="00F6308F">
              <w:rPr>
                <w:rFonts w:cs="Arial"/>
                <w:b/>
              </w:rPr>
              <w:t>regimes</w:t>
            </w:r>
            <w:r w:rsidR="00BB7FA7">
              <w:rPr>
                <w:rFonts w:cs="Arial"/>
                <w:b/>
              </w:rPr>
              <w:t xml:space="preserve"> and policies</w:t>
            </w:r>
          </w:p>
        </w:tc>
        <w:tc>
          <w:tcPr>
            <w:tcW w:w="7087" w:type="dxa"/>
          </w:tcPr>
          <w:p w14:paraId="2F5C3AD3"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712220" w:rsidRPr="00712220">
              <w:rPr>
                <w:rFonts w:cs="Arial"/>
                <w:b/>
              </w:rPr>
              <w:t>Queensland East Coast Inshore Fin Fish Fishery</w:t>
            </w:r>
          </w:p>
        </w:tc>
      </w:tr>
      <w:tr w:rsidR="00E97F25" w:rsidRPr="00F6308F" w14:paraId="2F5C3AD7" w14:textId="77777777" w:rsidTr="001955CD">
        <w:tc>
          <w:tcPr>
            <w:tcW w:w="7087" w:type="dxa"/>
          </w:tcPr>
          <w:p w14:paraId="2F5C3AD5" w14:textId="77777777" w:rsidR="00E97F25" w:rsidRPr="00BB7FA7" w:rsidRDefault="00E97F25" w:rsidP="00125F5B">
            <w:pPr>
              <w:ind w:left="426" w:hanging="426"/>
              <w:rPr>
                <w:rFonts w:cs="Arial"/>
              </w:rPr>
            </w:pPr>
            <w:r w:rsidRPr="00BB7FA7">
              <w:rPr>
                <w:rFonts w:cs="Arial"/>
              </w:rPr>
              <w:t>(1)  This section applies to an accreditation of a plan, regime or policy under section 208A, 222A, 245 or 265.</w:t>
            </w:r>
          </w:p>
        </w:tc>
        <w:tc>
          <w:tcPr>
            <w:tcW w:w="7087" w:type="dxa"/>
          </w:tcPr>
          <w:p w14:paraId="2F5C3AD6" w14:textId="77777777" w:rsidR="00E97F25" w:rsidRDefault="00E97F25" w:rsidP="00FA1EA5">
            <w:r>
              <w:t>The East Coast Inshore Fin Fish Fishery requires accreditation under section 208A, 222A, 245 and 265 for incidental interactions with EPBC Act listed protected species.</w:t>
            </w:r>
          </w:p>
        </w:tc>
      </w:tr>
      <w:tr w:rsidR="00E97F25" w:rsidRPr="00F6308F" w14:paraId="2F5C3AE4" w14:textId="77777777" w:rsidTr="001955CD">
        <w:tc>
          <w:tcPr>
            <w:tcW w:w="7087" w:type="dxa"/>
          </w:tcPr>
          <w:p w14:paraId="2F5C3AD8" w14:textId="77777777" w:rsidR="00E97F25" w:rsidRPr="00BB7FA7" w:rsidRDefault="00E97F25" w:rsidP="00125F5B">
            <w:pPr>
              <w:ind w:left="426" w:hanging="426"/>
              <w:rPr>
                <w:rFonts w:cs="Arial"/>
              </w:rPr>
            </w:pPr>
            <w:r w:rsidRPr="00BB7FA7">
              <w:rPr>
                <w:rFonts w:cs="Arial"/>
              </w:rPr>
              <w:t>(2)  The Minister may accredit a plan, regime or policy under that section even though he or she considers that the plan, regime or policy should be accredited only:</w:t>
            </w:r>
          </w:p>
          <w:p w14:paraId="2F5C3AD9" w14:textId="77777777" w:rsidR="00E97F25" w:rsidRPr="00BB7FA7" w:rsidRDefault="00E97F25" w:rsidP="00E97F25">
            <w:pPr>
              <w:rPr>
                <w:rFonts w:cs="Arial"/>
              </w:rPr>
            </w:pPr>
            <w:r w:rsidRPr="00BB7FA7">
              <w:rPr>
                <w:rFonts w:cs="Arial"/>
              </w:rPr>
              <w:t>                     (a)  during a particular period; or</w:t>
            </w:r>
          </w:p>
          <w:p w14:paraId="2F5C3ADA" w14:textId="77777777" w:rsidR="00E97F25" w:rsidRPr="00BB7FA7" w:rsidRDefault="00E97F25" w:rsidP="00E97F25">
            <w:pPr>
              <w:rPr>
                <w:rFonts w:cs="Arial"/>
              </w:rPr>
            </w:pPr>
            <w:r w:rsidRPr="00BB7FA7">
              <w:rPr>
                <w:rFonts w:cs="Arial"/>
              </w:rPr>
              <w:t>                     (b)  while certain circumstances exist; or</w:t>
            </w:r>
          </w:p>
          <w:p w14:paraId="2F5C3ADB" w14:textId="77777777" w:rsidR="00E97F25" w:rsidRPr="00BB7FA7" w:rsidRDefault="00E97F25" w:rsidP="00E97F25">
            <w:pPr>
              <w:rPr>
                <w:rFonts w:cs="Arial"/>
              </w:rPr>
            </w:pPr>
            <w:r w:rsidRPr="00BB7FA7">
              <w:rPr>
                <w:rFonts w:cs="Arial"/>
              </w:rPr>
              <w:t>                     (c)  while a certain condition is complied with.</w:t>
            </w:r>
          </w:p>
          <w:p w14:paraId="2F5C3ADC" w14:textId="77777777" w:rsidR="00E97F25" w:rsidRPr="00BB7FA7" w:rsidRDefault="00E97F25" w:rsidP="00125F5B">
            <w:pPr>
              <w:ind w:left="426"/>
              <w:rPr>
                <w:rFonts w:cs="Arial"/>
              </w:rPr>
            </w:pPr>
            <w:r w:rsidRPr="00BB7FA7">
              <w:rPr>
                <w:rFonts w:cs="Arial"/>
              </w:rPr>
              <w:t>In such a case, the instrument of accreditation is to specify the period, circumstances or condition.</w:t>
            </w:r>
          </w:p>
        </w:tc>
        <w:tc>
          <w:tcPr>
            <w:tcW w:w="7087" w:type="dxa"/>
          </w:tcPr>
          <w:p w14:paraId="2F5C3ADD" w14:textId="77777777" w:rsidR="00FA1EA5" w:rsidRDefault="00FA1EA5" w:rsidP="00FA1EA5">
            <w:r>
              <w:t>T</w:t>
            </w:r>
            <w:r w:rsidRPr="00D14E21">
              <w:t xml:space="preserve">he </w:t>
            </w:r>
            <w:r>
              <w:t>management regime for the East Coast Inshore Fin Fish Fishery</w:t>
            </w:r>
            <w:r w:rsidRPr="00D14E21">
              <w:t xml:space="preserve"> </w:t>
            </w:r>
            <w:r>
              <w:t xml:space="preserve">was last accredited by the then Minister in February 2012, subject to certain conditions </w:t>
            </w:r>
            <w:r w:rsidR="0012559B">
              <w:t>that required</w:t>
            </w:r>
            <w:r>
              <w:t xml:space="preserve"> the Queensland Department of Agriculture and Fisheries to:</w:t>
            </w:r>
          </w:p>
          <w:p w14:paraId="2F5C3ADE" w14:textId="77777777" w:rsidR="00FA1EA5" w:rsidRDefault="00FA1EA5" w:rsidP="00FA1EA5">
            <w:pPr>
              <w:pStyle w:val="ListBullet"/>
            </w:pPr>
            <w:r>
              <w:t>continue to improve knowledge of the number and rate of interactions with species of conservation interest in the fishery</w:t>
            </w:r>
            <w:r w:rsidR="00A66B0D">
              <w:t>, including the recognition of important habitats and identification of locations, areas or regions with higher risk of interactions and/or mortalities occurring</w:t>
            </w:r>
          </w:p>
          <w:p w14:paraId="2F5C3ADF" w14:textId="77777777" w:rsidR="00A66B0D" w:rsidRDefault="00A66B0D" w:rsidP="00FA1EA5">
            <w:pPr>
              <w:pStyle w:val="ListBullet"/>
            </w:pPr>
            <w:r>
              <w:t>support relevant research into methods to reduce fishing related mortalities of species of conservation interest</w:t>
            </w:r>
          </w:p>
          <w:p w14:paraId="2F5C3AE0" w14:textId="77777777" w:rsidR="00A66B0D" w:rsidRDefault="00A66B0D" w:rsidP="00FA1EA5">
            <w:pPr>
              <w:pStyle w:val="ListBullet"/>
            </w:pPr>
            <w:r>
              <w:t>continue to work with industry and all relevant stakeholders to identify and implement appropriate gear selectivity and operational improvements and /or other management measures that minimise capture and mortality of species of conservation interest</w:t>
            </w:r>
          </w:p>
          <w:p w14:paraId="2F5C3AE1" w14:textId="77777777" w:rsidR="00D67360" w:rsidRDefault="00D67360" w:rsidP="00D67360">
            <w:pPr>
              <w:pStyle w:val="ListBullet"/>
              <w:numPr>
                <w:ilvl w:val="0"/>
                <w:numId w:val="0"/>
              </w:numPr>
              <w:ind w:left="369"/>
            </w:pPr>
          </w:p>
          <w:p w14:paraId="2F5C3AE2" w14:textId="77777777" w:rsidR="00A66B0D" w:rsidRDefault="00A66B0D" w:rsidP="00FA1EA5">
            <w:pPr>
              <w:pStyle w:val="ListBullet"/>
            </w:pPr>
            <w:r>
              <w:t>in conjunction with relevant stakeholders develop a framework to enable implementation of measure to avoid interactions and/or reduce mortalities at an appropriate spatial scale</w:t>
            </w:r>
          </w:p>
          <w:p w14:paraId="2F5C3AE3" w14:textId="77777777" w:rsidR="00E97F25" w:rsidRDefault="00A66B0D" w:rsidP="00561132">
            <w:pPr>
              <w:pStyle w:val="ListBullet"/>
            </w:pPr>
            <w:r>
              <w:t>implement appropriate management measures identified above to ensure</w:t>
            </w:r>
            <w:r w:rsidR="00561132">
              <w:t xml:space="preserve"> that risks to species of conservation interest in the fishery are minimised.</w:t>
            </w:r>
          </w:p>
        </w:tc>
      </w:tr>
      <w:tr w:rsidR="00E97F25" w:rsidRPr="00F6308F" w14:paraId="2F5C3AE7" w14:textId="77777777" w:rsidTr="001955CD">
        <w:tc>
          <w:tcPr>
            <w:tcW w:w="7087" w:type="dxa"/>
          </w:tcPr>
          <w:p w14:paraId="2F5C3AE5" w14:textId="77777777" w:rsidR="00E97F25" w:rsidRPr="00BB7FA7" w:rsidRDefault="00FA1EA5" w:rsidP="00125F5B">
            <w:pPr>
              <w:ind w:left="426" w:hanging="426"/>
              <w:rPr>
                <w:rFonts w:cs="Arial"/>
              </w:rPr>
            </w:pPr>
            <w:r w:rsidRPr="00BB7FA7">
              <w:rPr>
                <w:rFonts w:cs="Arial"/>
              </w:rPr>
              <w:lastRenderedPageBreak/>
              <w:t>(3)  If an accreditation specifies a particular period as mentioned in subsection (2), the accreditation ceases to be in force at the end of that period.</w:t>
            </w:r>
          </w:p>
        </w:tc>
        <w:tc>
          <w:tcPr>
            <w:tcW w:w="7087" w:type="dxa"/>
          </w:tcPr>
          <w:p w14:paraId="2F5C3AE6" w14:textId="77777777" w:rsidR="00E97F25" w:rsidRDefault="00FA1EA5" w:rsidP="00BB7FA7">
            <w:pPr>
              <w:spacing w:after="360"/>
            </w:pPr>
            <w:r>
              <w:t>The previous accreditation did not specify a particular period and therefore remains in place.</w:t>
            </w:r>
          </w:p>
        </w:tc>
      </w:tr>
      <w:tr w:rsidR="00E97F25" w:rsidRPr="00F6308F" w14:paraId="2F5C3AEA" w14:textId="77777777" w:rsidTr="001955CD">
        <w:tc>
          <w:tcPr>
            <w:tcW w:w="7087" w:type="dxa"/>
          </w:tcPr>
          <w:p w14:paraId="2F5C3AE8" w14:textId="77777777" w:rsidR="00E97F25" w:rsidRPr="00BB7FA7" w:rsidRDefault="00FA1EA5" w:rsidP="00125F5B">
            <w:pPr>
              <w:ind w:left="426" w:hanging="426"/>
              <w:rPr>
                <w:rFonts w:cs="Arial"/>
              </w:rPr>
            </w:pPr>
            <w:r w:rsidRPr="00BB7FA7">
              <w:rPr>
                <w:rFonts w:cs="Arial"/>
              </w:rPr>
              <w:t>(4)  If an accreditation specifies circumstances as mentioned in subsection (2), the Minister must, in writing, revoke the accreditation if he or she is satisfied that those circumstances have ceased to exist.</w:t>
            </w:r>
          </w:p>
        </w:tc>
        <w:tc>
          <w:tcPr>
            <w:tcW w:w="7087" w:type="dxa"/>
          </w:tcPr>
          <w:p w14:paraId="2F5C3AE9" w14:textId="77777777" w:rsidR="00E97F25" w:rsidRDefault="00FA1EA5" w:rsidP="00BB7FA7">
            <w:pPr>
              <w:spacing w:after="360"/>
            </w:pPr>
            <w:r>
              <w:t>The accreditation has not been revoked.</w:t>
            </w:r>
          </w:p>
        </w:tc>
      </w:tr>
      <w:tr w:rsidR="00E97F25" w:rsidRPr="00F6308F" w14:paraId="2F5C3AF5" w14:textId="77777777" w:rsidTr="001955CD">
        <w:tc>
          <w:tcPr>
            <w:tcW w:w="7087" w:type="dxa"/>
          </w:tcPr>
          <w:p w14:paraId="2F5C3AEB" w14:textId="77777777" w:rsidR="00FA1EA5" w:rsidRPr="00BB7FA7" w:rsidRDefault="00FA1EA5" w:rsidP="00FA1EA5">
            <w:pPr>
              <w:rPr>
                <w:rFonts w:cs="Arial"/>
              </w:rPr>
            </w:pPr>
            <w:r w:rsidRPr="00BB7FA7">
              <w:rPr>
                <w:rFonts w:cs="Arial"/>
              </w:rPr>
              <w:t>(5)  The Minister may, in writing, vary an accreditation by:</w:t>
            </w:r>
          </w:p>
          <w:p w14:paraId="2F5C3AEC" w14:textId="77777777" w:rsidR="00FA1EA5" w:rsidRPr="00BB7FA7" w:rsidRDefault="00125F5B" w:rsidP="00FA1EA5">
            <w:pPr>
              <w:rPr>
                <w:rFonts w:cs="Arial"/>
              </w:rPr>
            </w:pPr>
            <w:r>
              <w:rPr>
                <w:rFonts w:cs="Arial"/>
              </w:rPr>
              <w:t>      </w:t>
            </w:r>
            <w:r w:rsidR="00FA1EA5" w:rsidRPr="00BB7FA7">
              <w:rPr>
                <w:rFonts w:cs="Arial"/>
              </w:rPr>
              <w:t xml:space="preserve"> (a)  specifying one or more conditions (or further conditions) to which the accreditation is subject; or</w:t>
            </w:r>
          </w:p>
          <w:p w14:paraId="2F5C3AED" w14:textId="77777777" w:rsidR="00FA1EA5" w:rsidRPr="00BB7FA7" w:rsidRDefault="00125F5B" w:rsidP="00FA1EA5">
            <w:pPr>
              <w:rPr>
                <w:rFonts w:cs="Arial"/>
              </w:rPr>
            </w:pPr>
            <w:r>
              <w:rPr>
                <w:rFonts w:cs="Arial"/>
              </w:rPr>
              <w:t>       </w:t>
            </w:r>
            <w:r w:rsidR="00FA1EA5" w:rsidRPr="00BB7FA7">
              <w:rPr>
                <w:rFonts w:cs="Arial"/>
              </w:rPr>
              <w:t>(b)  revoking or varying a condition:</w:t>
            </w:r>
          </w:p>
          <w:p w14:paraId="2F5C3AEE" w14:textId="77777777" w:rsidR="00FA1EA5" w:rsidRPr="00BB7FA7" w:rsidRDefault="0012559B" w:rsidP="00FA1EA5">
            <w:pPr>
              <w:rPr>
                <w:rFonts w:cs="Arial"/>
              </w:rPr>
            </w:pPr>
            <w:r>
              <w:rPr>
                <w:rFonts w:cs="Arial"/>
              </w:rPr>
              <w:t>                </w:t>
            </w:r>
            <w:r w:rsidR="00FA1EA5" w:rsidRPr="00BB7FA7">
              <w:rPr>
                <w:rFonts w:cs="Arial"/>
              </w:rPr>
              <w:t>(i)  specified in the instrument of accreditation; or</w:t>
            </w:r>
          </w:p>
          <w:p w14:paraId="2F5C3AEF" w14:textId="77777777" w:rsidR="00E97F25" w:rsidRPr="00BB7FA7" w:rsidRDefault="0012559B" w:rsidP="00FA1EA5">
            <w:pPr>
              <w:rPr>
                <w:rFonts w:cs="Arial"/>
              </w:rPr>
            </w:pPr>
            <w:r>
              <w:rPr>
                <w:rFonts w:cs="Arial"/>
              </w:rPr>
              <w:t>                </w:t>
            </w:r>
            <w:r w:rsidR="00FA1EA5" w:rsidRPr="00BB7FA7">
              <w:rPr>
                <w:rFonts w:cs="Arial"/>
              </w:rPr>
              <w:t>(ii)  specified under paragraph (a).</w:t>
            </w:r>
          </w:p>
        </w:tc>
        <w:tc>
          <w:tcPr>
            <w:tcW w:w="7087" w:type="dxa"/>
          </w:tcPr>
          <w:p w14:paraId="2F5C3AF0" w14:textId="77777777" w:rsidR="00FA1EA5" w:rsidRDefault="00FA1EA5" w:rsidP="00FA1EA5">
            <w:pPr>
              <w:spacing w:after="360"/>
            </w:pPr>
            <w:r>
              <w:t xml:space="preserve">While the Department considers the existing accreditation should remain in place, it recommends that you revoke the conditions applied in 2012 and specify new, consolidated conditions that are more suitable to the state of the fishery in 2016. </w:t>
            </w:r>
          </w:p>
          <w:p w14:paraId="2F5C3AF1" w14:textId="77777777" w:rsidR="00FA1EA5" w:rsidRPr="00031A58" w:rsidRDefault="00FA1EA5" w:rsidP="00FA1EA5">
            <w:pPr>
              <w:spacing w:after="360"/>
              <w:rPr>
                <w:rFonts w:cs="Arial"/>
              </w:rPr>
            </w:pPr>
            <w:r>
              <w:t xml:space="preserve">The </w:t>
            </w:r>
            <w:r>
              <w:rPr>
                <w:rFonts w:cs="Arial"/>
              </w:rPr>
              <w:t>Department proposes the new conditions should require</w:t>
            </w:r>
            <w:r w:rsidRPr="00031A58">
              <w:rPr>
                <w:rFonts w:cs="Arial"/>
              </w:rPr>
              <w:t xml:space="preserve"> the Queensland Department of Agriculture and Fisheries to:</w:t>
            </w:r>
          </w:p>
          <w:p w14:paraId="2F5C3AF2" w14:textId="77777777" w:rsidR="00FA1EA5" w:rsidRDefault="00FA1EA5" w:rsidP="00FA1EA5">
            <w:pPr>
              <w:pStyle w:val="ListParagraph"/>
              <w:numPr>
                <w:ilvl w:val="0"/>
                <w:numId w:val="47"/>
              </w:numPr>
              <w:rPr>
                <w:rFonts w:cs="Arial"/>
              </w:rPr>
            </w:pPr>
            <w:r w:rsidRPr="00031A58">
              <w:rPr>
                <w:rFonts w:cs="Arial"/>
              </w:rPr>
              <w:t>work with relevant stakeholders to determine an improved data collection and validation approach that can</w:t>
            </w:r>
            <w:r w:rsidRPr="00031A58">
              <w:rPr>
                <w:rFonts w:cs="Arial"/>
                <w:sz w:val="20"/>
                <w:szCs w:val="20"/>
              </w:rPr>
              <w:t xml:space="preserve"> </w:t>
            </w:r>
            <w:r w:rsidRPr="00031A58">
              <w:rPr>
                <w:rFonts w:cs="Arial"/>
              </w:rPr>
              <w:t xml:space="preserve">validate the number of interactions with all bycatch, which will include </w:t>
            </w:r>
            <w:r>
              <w:rPr>
                <w:rFonts w:cs="Arial"/>
              </w:rPr>
              <w:t>protected</w:t>
            </w:r>
            <w:r w:rsidRPr="00031A58">
              <w:rPr>
                <w:rFonts w:cs="Arial"/>
              </w:rPr>
              <w:t xml:space="preserve"> species, and</w:t>
            </w:r>
          </w:p>
          <w:p w14:paraId="2F5C3AF3" w14:textId="77777777" w:rsidR="00E97F25" w:rsidRDefault="00FA1EA5" w:rsidP="00FA1EA5">
            <w:pPr>
              <w:pStyle w:val="ListParagraph"/>
              <w:numPr>
                <w:ilvl w:val="0"/>
                <w:numId w:val="47"/>
              </w:numPr>
              <w:rPr>
                <w:rFonts w:cs="Arial"/>
              </w:rPr>
            </w:pPr>
            <w:r w:rsidRPr="00FA1EA5">
              <w:rPr>
                <w:rFonts w:cs="Arial"/>
              </w:rPr>
              <w:t>implement appropriate mitigation measures to ensure interactions with all bycatch, which will include protected species, are kept to a minimum.</w:t>
            </w:r>
          </w:p>
          <w:p w14:paraId="2F5C3AF4" w14:textId="77777777" w:rsidR="0043493F" w:rsidRPr="0043493F" w:rsidRDefault="0043493F" w:rsidP="0043493F">
            <w:pPr>
              <w:rPr>
                <w:rFonts w:cs="Arial"/>
              </w:rPr>
            </w:pPr>
            <w:r>
              <w:rPr>
                <w:rFonts w:cs="Arial"/>
              </w:rPr>
              <w:lastRenderedPageBreak/>
              <w:t xml:space="preserve">These new conditions are described in full at </w:t>
            </w:r>
            <w:r w:rsidRPr="00E7760B">
              <w:rPr>
                <w:rFonts w:cs="Arial"/>
                <w:b/>
              </w:rPr>
              <w:t>Table 3</w:t>
            </w:r>
            <w:r>
              <w:rPr>
                <w:rFonts w:cs="Arial"/>
              </w:rPr>
              <w:t>.</w:t>
            </w:r>
          </w:p>
        </w:tc>
      </w:tr>
      <w:tr w:rsidR="00E97F25" w:rsidRPr="00F6308F" w14:paraId="2F5C3AF8" w14:textId="77777777" w:rsidTr="001955CD">
        <w:tc>
          <w:tcPr>
            <w:tcW w:w="7087" w:type="dxa"/>
          </w:tcPr>
          <w:p w14:paraId="2F5C3AF6" w14:textId="77777777" w:rsidR="00E97F25" w:rsidRPr="00BB7FA7" w:rsidRDefault="00FA1EA5" w:rsidP="00BB7FA7">
            <w:pPr>
              <w:rPr>
                <w:rFonts w:cs="Arial"/>
              </w:rPr>
            </w:pPr>
            <w:r w:rsidRPr="00BB7FA7">
              <w:rPr>
                <w:rFonts w:cs="Arial"/>
              </w:rPr>
              <w:lastRenderedPageBreak/>
              <w:t>(6)  A condition may relate to reporting or monitoring.</w:t>
            </w:r>
          </w:p>
        </w:tc>
        <w:tc>
          <w:tcPr>
            <w:tcW w:w="7087" w:type="dxa"/>
          </w:tcPr>
          <w:p w14:paraId="2F5C3AF7" w14:textId="77777777" w:rsidR="00E97F25" w:rsidRPr="00561132" w:rsidRDefault="00FA1EA5" w:rsidP="00561132">
            <w:pPr>
              <w:spacing w:after="120" w:line="240" w:lineRule="auto"/>
              <w:rPr>
                <w:rFonts w:cs="Arial"/>
              </w:rPr>
            </w:pPr>
            <w:r>
              <w:rPr>
                <w:rFonts w:cs="Arial"/>
              </w:rPr>
              <w:t>Part (a) of the proposed condition relates to reporting and monitoring.</w:t>
            </w:r>
          </w:p>
        </w:tc>
      </w:tr>
      <w:tr w:rsidR="00B6012C" w:rsidRPr="00F6308F" w14:paraId="2F5C3AFB" w14:textId="77777777" w:rsidTr="001955CD">
        <w:tc>
          <w:tcPr>
            <w:tcW w:w="7087" w:type="dxa"/>
          </w:tcPr>
          <w:p w14:paraId="2F5C3AF9" w14:textId="77777777" w:rsidR="00B6012C" w:rsidRPr="002A476F" w:rsidRDefault="00BB7FA7" w:rsidP="00125F5B">
            <w:pPr>
              <w:ind w:left="426" w:hanging="426"/>
              <w:rPr>
                <w:rFonts w:cs="Arial"/>
              </w:rPr>
            </w:pPr>
            <w:r w:rsidRPr="00BB7FA7">
              <w:rPr>
                <w:rFonts w:cs="Arial"/>
              </w:rPr>
              <w:t>(7)  The Minister must, in writing, revoke an accreditation if he or she is satisfied that a condition of the accreditation has been contravened.</w:t>
            </w:r>
          </w:p>
        </w:tc>
        <w:tc>
          <w:tcPr>
            <w:tcW w:w="7087" w:type="dxa"/>
          </w:tcPr>
          <w:p w14:paraId="2F5C3AFA" w14:textId="77777777" w:rsidR="00CA4CB9" w:rsidRPr="002A476F" w:rsidRDefault="00CA4CB9" w:rsidP="00FA1EA5">
            <w:pPr>
              <w:spacing w:after="120" w:line="240" w:lineRule="auto"/>
              <w:rPr>
                <w:rFonts w:cs="Arial"/>
              </w:rPr>
            </w:pPr>
            <w:r>
              <w:rPr>
                <w:rFonts w:cs="Arial"/>
              </w:rPr>
              <w:t xml:space="preserve">The Department will advise you if the proposed new conditions </w:t>
            </w:r>
            <w:r w:rsidR="00FA1EA5">
              <w:rPr>
                <w:rFonts w:cs="Arial"/>
              </w:rPr>
              <w:t>are</w:t>
            </w:r>
            <w:r>
              <w:rPr>
                <w:rFonts w:cs="Arial"/>
              </w:rPr>
              <w:t xml:space="preserve"> contravened.</w:t>
            </w:r>
          </w:p>
        </w:tc>
      </w:tr>
    </w:tbl>
    <w:p w14:paraId="2F5C3AFC" w14:textId="77777777" w:rsidR="00B6012C" w:rsidRDefault="00B6012C" w:rsidP="001955CD">
      <w:pPr>
        <w:rPr>
          <w:rFonts w:cs="Arial"/>
          <w:highlight w:val="cyan"/>
        </w:rPr>
      </w:pPr>
    </w:p>
    <w:p w14:paraId="2F5C3AFD" w14:textId="77777777"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B6012C" w:rsidRPr="00F6308F" w14:paraId="2F5C3AFF" w14:textId="77777777" w:rsidTr="001955CD">
        <w:tc>
          <w:tcPr>
            <w:tcW w:w="14332" w:type="dxa"/>
          </w:tcPr>
          <w:p w14:paraId="2F5C3AFE" w14:textId="77777777"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14:paraId="2F5C3B08" w14:textId="77777777" w:rsidTr="001955CD">
        <w:tc>
          <w:tcPr>
            <w:tcW w:w="14332" w:type="dxa"/>
          </w:tcPr>
          <w:p w14:paraId="2F5C3B00" w14:textId="77777777" w:rsidR="00B6012C" w:rsidRPr="00F6308F" w:rsidRDefault="00B6012C" w:rsidP="00D34583">
            <w:pPr>
              <w:numPr>
                <w:ilvl w:val="0"/>
                <w:numId w:val="26"/>
              </w:numPr>
              <w:tabs>
                <w:tab w:val="clear" w:pos="720"/>
                <w:tab w:val="num" w:pos="360"/>
              </w:tabs>
              <w:spacing w:before="200" w:line="240" w:lineRule="auto"/>
              <w:ind w:hanging="720"/>
              <w:rPr>
                <w:rFonts w:cs="Arial"/>
                <w:noProof/>
              </w:rPr>
            </w:pPr>
            <w:r w:rsidRPr="00F6308F">
              <w:rPr>
                <w:rFonts w:cs="Arial"/>
                <w:noProof/>
              </w:rPr>
              <w:t>The objects of this Part are as follows:</w:t>
            </w:r>
          </w:p>
          <w:p w14:paraId="2F5C3B01"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3"/>
            </w:r>
            <w:r w:rsidRPr="00F6308F">
              <w:rPr>
                <w:rFonts w:cs="Arial"/>
                <w:noProof/>
              </w:rPr>
              <w:t xml:space="preserve"> and the Biodiversity Convention;</w:t>
            </w:r>
          </w:p>
          <w:p w14:paraId="2F5C3B02"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protect wildlife that may be adversely affected by trade;</w:t>
            </w:r>
          </w:p>
          <w:p w14:paraId="2F5C3B03"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promote the conservation of biodiversity in Australia and other countries;</w:t>
            </w:r>
          </w:p>
          <w:p w14:paraId="2F5C3B04"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14:paraId="2F5C3B05"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promote the humane treatment of wildlife;</w:t>
            </w:r>
          </w:p>
          <w:p w14:paraId="2F5C3B06" w14:textId="77777777" w:rsidR="00B6012C" w:rsidRPr="00F6308F" w:rsidRDefault="00B6012C" w:rsidP="00D34583">
            <w:pPr>
              <w:numPr>
                <w:ilvl w:val="0"/>
                <w:numId w:val="27"/>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14:paraId="2F5C3B07" w14:textId="77777777" w:rsidR="00B6012C" w:rsidRPr="00F6308F" w:rsidRDefault="00B6012C" w:rsidP="00D34583">
            <w:pPr>
              <w:numPr>
                <w:ilvl w:val="0"/>
                <w:numId w:val="28"/>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14:paraId="2F5C3B09" w14:textId="77777777" w:rsidR="00B6012C" w:rsidRPr="00F6308F" w:rsidRDefault="00B6012C" w:rsidP="001955CD">
      <w:pPr>
        <w:rPr>
          <w:rFonts w:cs="Arial"/>
          <w:b/>
        </w:rPr>
      </w:pPr>
    </w:p>
    <w:p w14:paraId="2F5C3B0A" w14:textId="77777777"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14:paraId="2F5C3B0B" w14:textId="77777777"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3"/>
        <w:gridCol w:w="7043"/>
      </w:tblGrid>
      <w:tr w:rsidR="00B6012C" w:rsidRPr="00F6308F" w14:paraId="2F5C3B0E" w14:textId="77777777" w:rsidTr="001955CD">
        <w:tc>
          <w:tcPr>
            <w:tcW w:w="7166" w:type="dxa"/>
            <w:tcMar>
              <w:top w:w="0" w:type="dxa"/>
              <w:bottom w:w="0" w:type="dxa"/>
            </w:tcMar>
          </w:tcPr>
          <w:p w14:paraId="2F5C3B0C" w14:textId="77777777" w:rsidR="00B6012C" w:rsidRPr="00F6308F" w:rsidRDefault="00B6012C" w:rsidP="001955CD">
            <w:pPr>
              <w:rPr>
                <w:rFonts w:cs="Arial"/>
                <w:b/>
              </w:rPr>
            </w:pPr>
            <w:r w:rsidRPr="00F6308F">
              <w:rPr>
                <w:rFonts w:cs="Arial"/>
                <w:b/>
              </w:rPr>
              <w:t>Section 303FT Additional provisions relating to declarations</w:t>
            </w:r>
          </w:p>
        </w:tc>
        <w:tc>
          <w:tcPr>
            <w:tcW w:w="7166" w:type="dxa"/>
            <w:tcMar>
              <w:top w:w="0" w:type="dxa"/>
              <w:bottom w:w="0" w:type="dxa"/>
            </w:tcMar>
          </w:tcPr>
          <w:p w14:paraId="2F5C3B0D" w14:textId="77777777" w:rsidR="00B6012C" w:rsidRPr="00F6308F" w:rsidRDefault="00712220" w:rsidP="001955CD">
            <w:pPr>
              <w:rPr>
                <w:rFonts w:cs="Arial"/>
                <w:b/>
              </w:rPr>
            </w:pPr>
            <w:r>
              <w:rPr>
                <w:rFonts w:cs="Arial"/>
                <w:b/>
              </w:rPr>
              <w:t>The D</w:t>
            </w:r>
            <w:r w:rsidRPr="00F6308F">
              <w:rPr>
                <w:rFonts w:cs="Arial"/>
                <w:b/>
              </w:rPr>
              <w:t xml:space="preserve">epartment’s assessment of the </w:t>
            </w:r>
            <w:r w:rsidRPr="00712220">
              <w:rPr>
                <w:rFonts w:cs="Arial"/>
                <w:b/>
              </w:rPr>
              <w:t>Queensland East Coast Inshore Fin Fish Fishery</w:t>
            </w:r>
          </w:p>
        </w:tc>
      </w:tr>
      <w:tr w:rsidR="00B6012C" w:rsidRPr="00F6308F" w14:paraId="2F5C3B11" w14:textId="77777777" w:rsidTr="001955CD">
        <w:tc>
          <w:tcPr>
            <w:tcW w:w="7166" w:type="dxa"/>
            <w:tcMar>
              <w:top w:w="57" w:type="dxa"/>
              <w:bottom w:w="57" w:type="dxa"/>
            </w:tcMar>
          </w:tcPr>
          <w:p w14:paraId="2F5C3B0F" w14:textId="77777777"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14:paraId="2F5C3B10" w14:textId="77777777" w:rsidR="00CC54F2" w:rsidRPr="002A476F" w:rsidRDefault="00B6012C" w:rsidP="00645154">
            <w:pPr>
              <w:rPr>
                <w:rFonts w:cs="Arial"/>
              </w:rPr>
            </w:pPr>
            <w:r w:rsidRPr="002A476F">
              <w:rPr>
                <w:rFonts w:cs="Arial"/>
              </w:rPr>
              <w:t xml:space="preserve">A declaration for the </w:t>
            </w:r>
            <w:r w:rsidR="00A05BFA">
              <w:t>East Coast Inshore Fin Fish Fishery</w:t>
            </w:r>
            <w:r w:rsidRPr="002A476F">
              <w:rPr>
                <w:rFonts w:cs="Arial"/>
              </w:rPr>
              <w:t xml:space="preserve"> </w:t>
            </w:r>
            <w:r w:rsidR="00125F5B">
              <w:rPr>
                <w:rFonts w:cs="Arial"/>
              </w:rPr>
              <w:t>was</w:t>
            </w:r>
            <w:r w:rsidRPr="002A476F">
              <w:rPr>
                <w:rFonts w:cs="Arial"/>
              </w:rPr>
              <w:t xml:space="preserve"> made under section 303FN</w:t>
            </w:r>
            <w:r w:rsidR="00125F5B">
              <w:rPr>
                <w:rFonts w:cs="Arial"/>
              </w:rPr>
              <w:t xml:space="preserve"> in </w:t>
            </w:r>
            <w:r w:rsidR="00BC5D2A">
              <w:rPr>
                <w:rFonts w:cs="Arial"/>
              </w:rPr>
              <w:t>October 2015</w:t>
            </w:r>
            <w:r w:rsidRPr="002A476F">
              <w:rPr>
                <w:rFonts w:cs="Arial"/>
              </w:rPr>
              <w:t>.</w:t>
            </w:r>
            <w:r w:rsidR="00CC54F2">
              <w:rPr>
                <w:rFonts w:cs="Arial"/>
              </w:rPr>
              <w:t xml:space="preserve"> </w:t>
            </w:r>
            <w:r w:rsidR="0012559B">
              <w:rPr>
                <w:rFonts w:cs="Arial"/>
              </w:rPr>
              <w:t>This declaration was made by t</w:t>
            </w:r>
            <w:r w:rsidR="00645154">
              <w:rPr>
                <w:rFonts w:cs="Arial"/>
              </w:rPr>
              <w:t>he then Minister’s delegate following two periods of public consultation. All public comments received were considered in the making of the declaration.</w:t>
            </w:r>
          </w:p>
        </w:tc>
      </w:tr>
      <w:tr w:rsidR="00B6012C" w:rsidRPr="00F6308F" w14:paraId="2F5C3B19" w14:textId="77777777" w:rsidTr="001955CD">
        <w:tc>
          <w:tcPr>
            <w:tcW w:w="7166" w:type="dxa"/>
            <w:tcMar>
              <w:top w:w="57" w:type="dxa"/>
              <w:bottom w:w="57" w:type="dxa"/>
            </w:tcMar>
          </w:tcPr>
          <w:p w14:paraId="2F5C3B12" w14:textId="77777777"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14:paraId="2F5C3B13" w14:textId="77777777" w:rsidR="00B6012C" w:rsidRPr="002A476F" w:rsidRDefault="00B6012C" w:rsidP="00D34583">
            <w:pPr>
              <w:numPr>
                <w:ilvl w:val="0"/>
                <w:numId w:val="23"/>
              </w:numPr>
              <w:spacing w:after="0"/>
              <w:rPr>
                <w:rFonts w:cs="Arial"/>
              </w:rPr>
            </w:pPr>
            <w:r w:rsidRPr="002A476F">
              <w:rPr>
                <w:rFonts w:cs="Arial"/>
              </w:rPr>
              <w:t>during a particular period; or</w:t>
            </w:r>
          </w:p>
          <w:p w14:paraId="2F5C3B14" w14:textId="77777777" w:rsidR="00B6012C" w:rsidRPr="002A476F" w:rsidRDefault="00B6012C" w:rsidP="00D34583">
            <w:pPr>
              <w:numPr>
                <w:ilvl w:val="0"/>
                <w:numId w:val="23"/>
              </w:numPr>
              <w:spacing w:after="0"/>
              <w:rPr>
                <w:rFonts w:cs="Arial"/>
              </w:rPr>
            </w:pPr>
            <w:r w:rsidRPr="002A476F">
              <w:rPr>
                <w:rFonts w:cs="Arial"/>
              </w:rPr>
              <w:t>while certain circumstances exist; or</w:t>
            </w:r>
          </w:p>
          <w:p w14:paraId="2F5C3B15" w14:textId="77777777" w:rsidR="00B6012C" w:rsidRPr="002A476F" w:rsidRDefault="00B6012C" w:rsidP="00D34583">
            <w:pPr>
              <w:numPr>
                <w:ilvl w:val="0"/>
                <w:numId w:val="23"/>
              </w:numPr>
              <w:spacing w:after="0"/>
              <w:rPr>
                <w:rFonts w:cs="Arial"/>
              </w:rPr>
            </w:pPr>
            <w:r w:rsidRPr="002A476F">
              <w:rPr>
                <w:rFonts w:cs="Arial"/>
              </w:rPr>
              <w:t>while a certain condition is complied with.</w:t>
            </w:r>
          </w:p>
          <w:p w14:paraId="2F5C3B16" w14:textId="77777777" w:rsidR="00B6012C" w:rsidRPr="002A476F" w:rsidRDefault="00B6012C" w:rsidP="001955CD">
            <w:pPr>
              <w:ind w:left="540"/>
              <w:rPr>
                <w:rFonts w:cs="Arial"/>
              </w:rPr>
            </w:pPr>
          </w:p>
          <w:p w14:paraId="2F5C3B17" w14:textId="77777777"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14:paraId="2F5C3B18" w14:textId="77777777" w:rsidR="00B6012C" w:rsidRPr="002A476F" w:rsidRDefault="00BC5D2A" w:rsidP="0012559B">
            <w:pPr>
              <w:spacing w:after="120"/>
              <w:rPr>
                <w:rFonts w:cs="Arial"/>
                <w:highlight w:val="green"/>
              </w:rPr>
            </w:pPr>
            <w:r>
              <w:rPr>
                <w:rFonts w:cs="Arial"/>
              </w:rPr>
              <w:t xml:space="preserve">This declaration, made by </w:t>
            </w:r>
            <w:r w:rsidR="0012559B">
              <w:rPr>
                <w:rFonts w:cs="Arial"/>
              </w:rPr>
              <w:t>the then Minister’s delegate</w:t>
            </w:r>
            <w:r>
              <w:rPr>
                <w:rFonts w:cs="Arial"/>
              </w:rPr>
              <w:t>, was limited to a particular period</w:t>
            </w:r>
            <w:r w:rsidR="00B179BE">
              <w:rPr>
                <w:rFonts w:cs="Arial"/>
              </w:rPr>
              <w:t xml:space="preserve"> by a condition on the instrument of declaration</w:t>
            </w:r>
            <w:r>
              <w:rPr>
                <w:rFonts w:cs="Arial"/>
              </w:rPr>
              <w:t>.</w:t>
            </w:r>
          </w:p>
        </w:tc>
      </w:tr>
      <w:tr w:rsidR="00125F5B" w:rsidRPr="00F6308F" w14:paraId="2F5C3B1C" w14:textId="77777777" w:rsidTr="001955CD">
        <w:tc>
          <w:tcPr>
            <w:tcW w:w="7166" w:type="dxa"/>
            <w:tcMar>
              <w:top w:w="57" w:type="dxa"/>
              <w:bottom w:w="57" w:type="dxa"/>
            </w:tcMar>
          </w:tcPr>
          <w:p w14:paraId="2F5C3B1A" w14:textId="77777777" w:rsidR="00125F5B" w:rsidRPr="00125F5B" w:rsidRDefault="00125F5B" w:rsidP="00125F5B">
            <w:pPr>
              <w:ind w:left="426" w:hanging="426"/>
              <w:rPr>
                <w:rFonts w:cs="Arial"/>
              </w:rPr>
            </w:pPr>
            <w:r w:rsidRPr="00125F5B">
              <w:rPr>
                <w:rFonts w:cs="Arial"/>
              </w:rPr>
              <w:t>(5)  If a declaration specifies a particular period as mentioned in subsection (4), the declaration ceases to be in force at the end of that period.</w:t>
            </w:r>
          </w:p>
        </w:tc>
        <w:tc>
          <w:tcPr>
            <w:tcW w:w="7166" w:type="dxa"/>
            <w:tcMar>
              <w:top w:w="57" w:type="dxa"/>
              <w:bottom w:w="57" w:type="dxa"/>
            </w:tcMar>
          </w:tcPr>
          <w:p w14:paraId="2F5C3B1B" w14:textId="77777777" w:rsidR="00125F5B" w:rsidRPr="002A476F" w:rsidRDefault="00BC5D2A" w:rsidP="00BC5D2A">
            <w:pPr>
              <w:spacing w:after="120"/>
              <w:rPr>
                <w:rFonts w:cs="Arial"/>
              </w:rPr>
            </w:pPr>
            <w:r>
              <w:rPr>
                <w:rFonts w:cs="Arial"/>
              </w:rPr>
              <w:t>Under the current condition that specifies a particular period, the declaration will cease to be in force on 16 September 2016.</w:t>
            </w:r>
          </w:p>
        </w:tc>
      </w:tr>
      <w:tr w:rsidR="00125F5B" w:rsidRPr="00F6308F" w14:paraId="2F5C3B1F" w14:textId="77777777" w:rsidTr="001955CD">
        <w:tc>
          <w:tcPr>
            <w:tcW w:w="7166" w:type="dxa"/>
            <w:tcMar>
              <w:top w:w="57" w:type="dxa"/>
              <w:bottom w:w="57" w:type="dxa"/>
            </w:tcMar>
          </w:tcPr>
          <w:p w14:paraId="2F5C3B1D" w14:textId="77777777" w:rsidR="00125F5B" w:rsidRPr="00125F5B" w:rsidRDefault="00125F5B" w:rsidP="00125F5B">
            <w:pPr>
              <w:ind w:left="426" w:hanging="426"/>
              <w:rPr>
                <w:rFonts w:cs="Arial"/>
              </w:rPr>
            </w:pPr>
            <w:r w:rsidRPr="00125F5B">
              <w:rPr>
                <w:rFonts w:cs="Arial"/>
              </w:rPr>
              <w:t xml:space="preserve">(6)  If a declaration specifies circumstances as mentioned in subsection (4), the Minister must, by instrument published in the </w:t>
            </w:r>
            <w:r w:rsidRPr="00125F5B">
              <w:rPr>
                <w:rFonts w:cs="Arial"/>
                <w:i/>
                <w:iCs/>
              </w:rPr>
              <w:t>Gazette</w:t>
            </w:r>
            <w:r w:rsidRPr="00125F5B">
              <w:rPr>
                <w:rFonts w:cs="Arial"/>
              </w:rPr>
              <w:t>, revoke the declaration if he or she is satisfied that those circumstances have ceased to exist.</w:t>
            </w:r>
          </w:p>
        </w:tc>
        <w:tc>
          <w:tcPr>
            <w:tcW w:w="7166" w:type="dxa"/>
            <w:tcMar>
              <w:top w:w="57" w:type="dxa"/>
              <w:bottom w:w="57" w:type="dxa"/>
            </w:tcMar>
          </w:tcPr>
          <w:p w14:paraId="2F5C3B1E" w14:textId="77777777" w:rsidR="00125F5B" w:rsidRPr="002A476F" w:rsidRDefault="00BC5D2A" w:rsidP="001955CD">
            <w:pPr>
              <w:spacing w:after="120"/>
              <w:rPr>
                <w:rFonts w:cs="Arial"/>
              </w:rPr>
            </w:pPr>
            <w:r>
              <w:rPr>
                <w:rFonts w:cs="Arial"/>
              </w:rPr>
              <w:t xml:space="preserve">No other circumstances are currently specified on the </w:t>
            </w:r>
            <w:r w:rsidR="00B179BE">
              <w:rPr>
                <w:rFonts w:cs="Arial"/>
              </w:rPr>
              <w:t xml:space="preserve">instrument of </w:t>
            </w:r>
            <w:r>
              <w:rPr>
                <w:rFonts w:cs="Arial"/>
              </w:rPr>
              <w:t>declaration.</w:t>
            </w:r>
          </w:p>
        </w:tc>
      </w:tr>
    </w:tbl>
    <w:p w14:paraId="2F5C3B20" w14:textId="77777777" w:rsidR="00645154" w:rsidRDefault="0064515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gridCol w:w="7050"/>
      </w:tblGrid>
      <w:tr w:rsidR="00125F5B" w:rsidRPr="00F6308F" w14:paraId="2F5C3B33" w14:textId="77777777" w:rsidTr="001955CD">
        <w:tc>
          <w:tcPr>
            <w:tcW w:w="7166" w:type="dxa"/>
            <w:tcMar>
              <w:top w:w="57" w:type="dxa"/>
              <w:bottom w:w="57" w:type="dxa"/>
            </w:tcMar>
          </w:tcPr>
          <w:p w14:paraId="2F5C3B21" w14:textId="77777777" w:rsidR="00125F5B" w:rsidRPr="00125F5B" w:rsidRDefault="00125F5B" w:rsidP="003A3A6F">
            <w:pPr>
              <w:spacing w:after="0"/>
              <w:ind w:left="540" w:hanging="540"/>
              <w:rPr>
                <w:rFonts w:cs="Arial"/>
              </w:rPr>
            </w:pPr>
            <w:r w:rsidRPr="00125F5B">
              <w:rPr>
                <w:rFonts w:cs="Arial"/>
              </w:rPr>
              <w:lastRenderedPageBreak/>
              <w:t xml:space="preserve">(7)  The Minister may, by instrument published in the </w:t>
            </w:r>
            <w:r w:rsidRPr="00125F5B">
              <w:rPr>
                <w:rFonts w:cs="Arial"/>
                <w:i/>
                <w:iCs/>
              </w:rPr>
              <w:t>Gazette</w:t>
            </w:r>
            <w:r w:rsidRPr="00125F5B">
              <w:rPr>
                <w:rFonts w:cs="Arial"/>
              </w:rPr>
              <w:t>, vary a declaration by:</w:t>
            </w:r>
          </w:p>
          <w:p w14:paraId="2F5C3B22" w14:textId="77777777" w:rsidR="00125F5B" w:rsidRPr="00125F5B" w:rsidRDefault="00125F5B" w:rsidP="00125F5B">
            <w:pPr>
              <w:ind w:left="540" w:hanging="540"/>
              <w:rPr>
                <w:rFonts w:cs="Arial"/>
              </w:rPr>
            </w:pPr>
            <w:r>
              <w:rPr>
                <w:rFonts w:cs="Arial"/>
              </w:rPr>
              <w:t>         </w:t>
            </w:r>
            <w:r w:rsidRPr="00125F5B">
              <w:rPr>
                <w:rFonts w:cs="Arial"/>
              </w:rPr>
              <w:t>(a)  specifying one or more conditions (or further conditions) to which the declaration is subject; or</w:t>
            </w:r>
          </w:p>
          <w:p w14:paraId="2F5C3B23" w14:textId="77777777" w:rsidR="00125F5B" w:rsidRPr="00125F5B" w:rsidRDefault="00125F5B" w:rsidP="00125F5B">
            <w:pPr>
              <w:ind w:left="540" w:hanging="540"/>
              <w:rPr>
                <w:rFonts w:cs="Arial"/>
              </w:rPr>
            </w:pPr>
            <w:r>
              <w:rPr>
                <w:rFonts w:cs="Arial"/>
              </w:rPr>
              <w:t>         </w:t>
            </w:r>
            <w:r w:rsidRPr="00125F5B">
              <w:rPr>
                <w:rFonts w:cs="Arial"/>
              </w:rPr>
              <w:t>(b)  revoking or varying a condition:</w:t>
            </w:r>
          </w:p>
          <w:p w14:paraId="2F5C3B24" w14:textId="77777777" w:rsidR="00125F5B" w:rsidRPr="00125F5B" w:rsidRDefault="0071410C" w:rsidP="00125F5B">
            <w:pPr>
              <w:ind w:left="540" w:hanging="540"/>
              <w:rPr>
                <w:rFonts w:cs="Arial"/>
              </w:rPr>
            </w:pPr>
            <w:r>
              <w:rPr>
                <w:rFonts w:cs="Arial"/>
              </w:rPr>
              <w:t xml:space="preserve">                 </w:t>
            </w:r>
            <w:r w:rsidR="00125F5B" w:rsidRPr="00125F5B">
              <w:rPr>
                <w:rFonts w:cs="Arial"/>
              </w:rPr>
              <w:t>(i)  specified in the instrument of declaration; or</w:t>
            </w:r>
          </w:p>
          <w:p w14:paraId="2F5C3B25" w14:textId="77777777" w:rsidR="00125F5B" w:rsidRPr="00125F5B" w:rsidRDefault="0071410C" w:rsidP="00125F5B">
            <w:pPr>
              <w:ind w:left="540" w:hanging="540"/>
              <w:rPr>
                <w:rFonts w:cs="Arial"/>
              </w:rPr>
            </w:pPr>
            <w:r>
              <w:rPr>
                <w:rFonts w:cs="Arial"/>
              </w:rPr>
              <w:t xml:space="preserve">                 </w:t>
            </w:r>
            <w:r w:rsidR="00125F5B" w:rsidRPr="00125F5B">
              <w:rPr>
                <w:rFonts w:cs="Arial"/>
              </w:rPr>
              <w:t>(ii)  specified under paragraph (a).</w:t>
            </w:r>
          </w:p>
        </w:tc>
        <w:tc>
          <w:tcPr>
            <w:tcW w:w="7166" w:type="dxa"/>
            <w:tcMar>
              <w:top w:w="57" w:type="dxa"/>
              <w:bottom w:w="57" w:type="dxa"/>
            </w:tcMar>
          </w:tcPr>
          <w:p w14:paraId="2F5C3B26" w14:textId="77777777" w:rsidR="00645154" w:rsidRDefault="00645154" w:rsidP="00B179BE">
            <w:pPr>
              <w:spacing w:after="0"/>
            </w:pPr>
            <w:r>
              <w:t xml:space="preserve">The Department recommends that you vary the existing declaration </w:t>
            </w:r>
            <w:r w:rsidR="00B179BE">
              <w:t xml:space="preserve">instrument </w:t>
            </w:r>
            <w:r>
              <w:t>by:</w:t>
            </w:r>
          </w:p>
          <w:p w14:paraId="2F5C3B27" w14:textId="77777777" w:rsidR="00645154" w:rsidRDefault="00645154" w:rsidP="00645154">
            <w:pPr>
              <w:pStyle w:val="ListParagraph"/>
              <w:numPr>
                <w:ilvl w:val="0"/>
                <w:numId w:val="59"/>
              </w:numPr>
              <w:spacing w:after="360"/>
            </w:pPr>
            <w:r>
              <w:t xml:space="preserve">specifying seven new conditions, and </w:t>
            </w:r>
          </w:p>
          <w:p w14:paraId="2F5C3B28" w14:textId="77777777" w:rsidR="00645154" w:rsidRDefault="00645154" w:rsidP="00645154">
            <w:pPr>
              <w:pStyle w:val="ListParagraph"/>
              <w:numPr>
                <w:ilvl w:val="0"/>
                <w:numId w:val="59"/>
              </w:numPr>
              <w:spacing w:after="360"/>
            </w:pPr>
            <w:r>
              <w:t>varying the existing condition that specifies the period of the declaration</w:t>
            </w:r>
            <w:r w:rsidR="009200C2">
              <w:t>,</w:t>
            </w:r>
            <w:r>
              <w:t xml:space="preserve"> to extend this period </w:t>
            </w:r>
            <w:r w:rsidR="009200C2">
              <w:t>to 28 September 2018</w:t>
            </w:r>
            <w:r>
              <w:t xml:space="preserve">. </w:t>
            </w:r>
          </w:p>
          <w:p w14:paraId="2F5C3B29" w14:textId="77777777" w:rsidR="009200C2" w:rsidRDefault="009200C2" w:rsidP="00645154">
            <w:pPr>
              <w:spacing w:after="360"/>
            </w:pPr>
            <w:r>
              <w:t>Extending the period of the declaration will allow export of the product harvested in the fishery to continue for a further two years. The new conditions will require action from the Queensland Department of Agriculture and Fisheries to improve particular management arrangements in the fishery over this period, in order to retain this export approval.</w:t>
            </w:r>
          </w:p>
          <w:p w14:paraId="2F5C3B2A" w14:textId="77777777" w:rsidR="00645154" w:rsidRDefault="00645154" w:rsidP="003A3A6F">
            <w:pPr>
              <w:spacing w:after="0"/>
              <w:rPr>
                <w:rFonts w:cs="Arial"/>
              </w:rPr>
            </w:pPr>
            <w:r>
              <w:t xml:space="preserve">The </w:t>
            </w:r>
            <w:r>
              <w:rPr>
                <w:rFonts w:cs="Arial"/>
              </w:rPr>
              <w:t xml:space="preserve">Department proposes the </w:t>
            </w:r>
            <w:r w:rsidR="009200C2">
              <w:rPr>
                <w:rFonts w:cs="Arial"/>
              </w:rPr>
              <w:t xml:space="preserve">seven </w:t>
            </w:r>
            <w:r>
              <w:rPr>
                <w:rFonts w:cs="Arial"/>
              </w:rPr>
              <w:t>new conditions should require</w:t>
            </w:r>
            <w:r w:rsidRPr="00031A58">
              <w:rPr>
                <w:rFonts w:cs="Arial"/>
              </w:rPr>
              <w:t xml:space="preserve"> the Queensland Department of Agriculture and Fisheries to:</w:t>
            </w:r>
          </w:p>
          <w:p w14:paraId="2F5C3B2B" w14:textId="77777777" w:rsidR="00267552" w:rsidRDefault="00267552" w:rsidP="00E7760B">
            <w:pPr>
              <w:pStyle w:val="ListParagraph"/>
              <w:numPr>
                <w:ilvl w:val="0"/>
                <w:numId w:val="60"/>
              </w:numPr>
              <w:spacing w:line="240" w:lineRule="auto"/>
              <w:ind w:left="631" w:hanging="426"/>
              <w:rPr>
                <w:rFonts w:cs="Arial"/>
              </w:rPr>
            </w:pPr>
            <w:r>
              <w:rPr>
                <w:rFonts w:cs="Arial"/>
              </w:rPr>
              <w:t>continue operation of the fishery in accordance with appropriate legislation</w:t>
            </w:r>
          </w:p>
          <w:p w14:paraId="2F5C3B2C" w14:textId="77777777" w:rsidR="00267552" w:rsidRDefault="00267552" w:rsidP="00E7760B">
            <w:pPr>
              <w:pStyle w:val="ListParagraph"/>
              <w:numPr>
                <w:ilvl w:val="0"/>
                <w:numId w:val="60"/>
              </w:numPr>
              <w:spacing w:line="240" w:lineRule="auto"/>
              <w:ind w:left="631" w:hanging="426"/>
              <w:rPr>
                <w:rFonts w:cs="Arial"/>
              </w:rPr>
            </w:pPr>
            <w:r>
              <w:rPr>
                <w:rFonts w:cs="Arial"/>
              </w:rPr>
              <w:t>inform the Department of any significant changes in management arrangements</w:t>
            </w:r>
          </w:p>
          <w:p w14:paraId="2F5C3B2D" w14:textId="77777777" w:rsidR="00267552" w:rsidRDefault="00267552" w:rsidP="00E7760B">
            <w:pPr>
              <w:pStyle w:val="ListParagraph"/>
              <w:numPr>
                <w:ilvl w:val="0"/>
                <w:numId w:val="60"/>
              </w:numPr>
              <w:spacing w:line="240" w:lineRule="auto"/>
              <w:ind w:left="631" w:hanging="426"/>
              <w:rPr>
                <w:rFonts w:cs="Arial"/>
              </w:rPr>
            </w:pPr>
            <w:r>
              <w:rPr>
                <w:rFonts w:cs="Arial"/>
              </w:rPr>
              <w:t>provide annual reports to the Department on the fishery’s environmental performance</w:t>
            </w:r>
          </w:p>
          <w:p w14:paraId="2F5C3B2E" w14:textId="77777777" w:rsidR="00267552" w:rsidRDefault="00267552" w:rsidP="00E7760B">
            <w:pPr>
              <w:pStyle w:val="ListParagraph"/>
              <w:numPr>
                <w:ilvl w:val="0"/>
                <w:numId w:val="60"/>
              </w:numPr>
              <w:spacing w:line="240" w:lineRule="auto"/>
              <w:ind w:left="631" w:hanging="426"/>
              <w:rPr>
                <w:rFonts w:cs="Arial"/>
              </w:rPr>
            </w:pPr>
            <w:r>
              <w:rPr>
                <w:rFonts w:cs="Arial"/>
              </w:rPr>
              <w:t xml:space="preserve">develop a harvest strategy for key fish and </w:t>
            </w:r>
            <w:r w:rsidR="00E7760B">
              <w:rPr>
                <w:rFonts w:cs="Arial"/>
              </w:rPr>
              <w:t>shark species</w:t>
            </w:r>
          </w:p>
          <w:p w14:paraId="2F5C3B2F" w14:textId="77777777" w:rsidR="00267552" w:rsidRDefault="00267552" w:rsidP="00E7760B">
            <w:pPr>
              <w:pStyle w:val="ListParagraph"/>
              <w:numPr>
                <w:ilvl w:val="0"/>
                <w:numId w:val="60"/>
              </w:numPr>
              <w:spacing w:line="240" w:lineRule="auto"/>
              <w:ind w:left="631" w:hanging="426"/>
              <w:rPr>
                <w:rFonts w:cs="Arial"/>
              </w:rPr>
            </w:pPr>
            <w:r>
              <w:rPr>
                <w:rFonts w:cs="Arial"/>
              </w:rPr>
              <w:t>improve data collection and validation</w:t>
            </w:r>
            <w:r w:rsidR="003A3A6F">
              <w:rPr>
                <w:rFonts w:cs="Arial"/>
              </w:rPr>
              <w:t xml:space="preserve"> to allow evaluation of the harvest strategy and the fishery’s risk to bycatch species</w:t>
            </w:r>
          </w:p>
          <w:p w14:paraId="2F5C3B30" w14:textId="77777777" w:rsidR="003A3A6F" w:rsidRDefault="003A3A6F" w:rsidP="00E7760B">
            <w:pPr>
              <w:pStyle w:val="ListParagraph"/>
              <w:numPr>
                <w:ilvl w:val="0"/>
                <w:numId w:val="60"/>
              </w:numPr>
              <w:spacing w:line="240" w:lineRule="auto"/>
              <w:ind w:left="631" w:hanging="426"/>
              <w:rPr>
                <w:rFonts w:cs="Arial"/>
              </w:rPr>
            </w:pPr>
            <w:r>
              <w:rPr>
                <w:rFonts w:cs="Arial"/>
              </w:rPr>
              <w:t>provide education tools to assist fishers with species specific identification for sharks and commence management changes for the processing of sharks at sea</w:t>
            </w:r>
          </w:p>
          <w:p w14:paraId="2F5C3B31" w14:textId="77777777" w:rsidR="00267552" w:rsidRPr="00E7760B" w:rsidRDefault="003A3A6F" w:rsidP="00E7760B">
            <w:pPr>
              <w:pStyle w:val="ListParagraph"/>
              <w:numPr>
                <w:ilvl w:val="0"/>
                <w:numId w:val="60"/>
              </w:numPr>
              <w:spacing w:line="240" w:lineRule="auto"/>
              <w:ind w:left="631" w:hanging="426"/>
              <w:rPr>
                <w:rFonts w:cs="Arial"/>
              </w:rPr>
            </w:pPr>
            <w:r>
              <w:rPr>
                <w:rFonts w:cs="Arial"/>
              </w:rPr>
              <w:t>improve understanding of the stock status of significant species currently classified as ‘undefined’ or ‘not assessed’</w:t>
            </w:r>
            <w:r w:rsidR="00267552" w:rsidRPr="003A3A6F">
              <w:rPr>
                <w:rFonts w:eastAsia="Times New Roman" w:cs="Arial"/>
              </w:rPr>
              <w:t xml:space="preserve"> </w:t>
            </w:r>
          </w:p>
          <w:p w14:paraId="2F5C3B32" w14:textId="77777777" w:rsidR="00E7760B" w:rsidRPr="00E7760B" w:rsidRDefault="00E7760B" w:rsidP="00E7760B">
            <w:pPr>
              <w:spacing w:line="240" w:lineRule="auto"/>
              <w:rPr>
                <w:rFonts w:cs="Arial"/>
              </w:rPr>
            </w:pPr>
            <w:r>
              <w:rPr>
                <w:rFonts w:cs="Arial"/>
              </w:rPr>
              <w:lastRenderedPageBreak/>
              <w:t xml:space="preserve">These proposed seven new conditions, and the rationale for each, are described in full at </w:t>
            </w:r>
            <w:r w:rsidRPr="00E7760B">
              <w:rPr>
                <w:rFonts w:cs="Arial"/>
                <w:b/>
              </w:rPr>
              <w:t>Table 3</w:t>
            </w:r>
            <w:r>
              <w:rPr>
                <w:rFonts w:cs="Arial"/>
              </w:rPr>
              <w:t>.</w:t>
            </w:r>
          </w:p>
        </w:tc>
      </w:tr>
      <w:tr w:rsidR="00B6012C" w:rsidRPr="00F6308F" w14:paraId="2F5C3B36" w14:textId="77777777" w:rsidTr="001955CD">
        <w:tc>
          <w:tcPr>
            <w:tcW w:w="7166" w:type="dxa"/>
            <w:tcMar>
              <w:top w:w="57" w:type="dxa"/>
              <w:bottom w:w="57" w:type="dxa"/>
            </w:tcMar>
          </w:tcPr>
          <w:p w14:paraId="2F5C3B34" w14:textId="77777777" w:rsidR="00B6012C" w:rsidRPr="002A476F" w:rsidRDefault="00B6012C" w:rsidP="001955CD">
            <w:pPr>
              <w:ind w:left="540" w:hanging="540"/>
              <w:rPr>
                <w:rFonts w:cs="Arial"/>
              </w:rPr>
            </w:pPr>
            <w:r w:rsidRPr="002A476F">
              <w:rPr>
                <w:rFonts w:cs="Arial"/>
              </w:rPr>
              <w:lastRenderedPageBreak/>
              <w:t>(8)</w:t>
            </w:r>
            <w:r w:rsidRPr="002A476F">
              <w:rPr>
                <w:rFonts w:cs="Arial"/>
              </w:rPr>
              <w:tab/>
              <w:t>A condition may relate to reporting or monitoring.</w:t>
            </w:r>
          </w:p>
        </w:tc>
        <w:tc>
          <w:tcPr>
            <w:tcW w:w="7166" w:type="dxa"/>
            <w:tcMar>
              <w:top w:w="57" w:type="dxa"/>
              <w:bottom w:w="57" w:type="dxa"/>
            </w:tcMar>
          </w:tcPr>
          <w:p w14:paraId="2F5C3B35" w14:textId="77777777" w:rsidR="00B6012C" w:rsidRPr="002A476F" w:rsidRDefault="00B179BE" w:rsidP="001955CD">
            <w:pPr>
              <w:spacing w:after="120"/>
              <w:rPr>
                <w:rFonts w:cs="Arial"/>
              </w:rPr>
            </w:pPr>
            <w:r>
              <w:rPr>
                <w:rFonts w:cs="Arial"/>
              </w:rPr>
              <w:t xml:space="preserve">The proposed </w:t>
            </w:r>
            <w:r w:rsidRPr="00B179BE">
              <w:rPr>
                <w:rFonts w:cs="Arial"/>
                <w:b/>
              </w:rPr>
              <w:t>Condition 3</w:t>
            </w:r>
            <w:r>
              <w:rPr>
                <w:rFonts w:cs="Arial"/>
              </w:rPr>
              <w:t xml:space="preserve"> and </w:t>
            </w:r>
            <w:r w:rsidRPr="00B179BE">
              <w:rPr>
                <w:rFonts w:cs="Arial"/>
                <w:b/>
              </w:rPr>
              <w:t>Condition 5</w:t>
            </w:r>
            <w:r>
              <w:rPr>
                <w:rFonts w:cs="Arial"/>
              </w:rPr>
              <w:t xml:space="preserve"> relate</w:t>
            </w:r>
            <w:r w:rsidR="00B6012C" w:rsidRPr="002A476F">
              <w:rPr>
                <w:rFonts w:cs="Arial"/>
              </w:rPr>
              <w:t xml:space="preserve"> to reporting.</w:t>
            </w:r>
          </w:p>
        </w:tc>
      </w:tr>
      <w:tr w:rsidR="00B6012C" w:rsidRPr="00F6308F" w14:paraId="2F5C3B39" w14:textId="77777777" w:rsidTr="001955CD">
        <w:tc>
          <w:tcPr>
            <w:tcW w:w="7166" w:type="dxa"/>
            <w:tcMar>
              <w:top w:w="57" w:type="dxa"/>
              <w:bottom w:w="57" w:type="dxa"/>
            </w:tcMar>
          </w:tcPr>
          <w:p w14:paraId="2F5C3B37" w14:textId="77777777" w:rsidR="00B6012C" w:rsidRPr="002A476F" w:rsidRDefault="00B6012C" w:rsidP="001955CD">
            <w:pPr>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14:paraId="2F5C3B38" w14:textId="77777777" w:rsidR="00B6012C" w:rsidRPr="002A476F" w:rsidRDefault="00DE40FE" w:rsidP="001955CD">
            <w:pPr>
              <w:rPr>
                <w:rFonts w:cs="Arial"/>
              </w:rPr>
            </w:pPr>
            <w:r>
              <w:rPr>
                <w:rFonts w:cs="Arial"/>
              </w:rPr>
              <w:t>The Department will advise you if the proposed new conditions are contravened.</w:t>
            </w:r>
          </w:p>
        </w:tc>
      </w:tr>
      <w:tr w:rsidR="00DE40FE" w:rsidRPr="00F6308F" w14:paraId="2F5C3B3C" w14:textId="77777777" w:rsidTr="001955CD">
        <w:tc>
          <w:tcPr>
            <w:tcW w:w="7166" w:type="dxa"/>
            <w:tcMar>
              <w:top w:w="57" w:type="dxa"/>
              <w:bottom w:w="57" w:type="dxa"/>
            </w:tcMar>
          </w:tcPr>
          <w:p w14:paraId="2F5C3B3A" w14:textId="77777777" w:rsidR="00DE40FE" w:rsidRPr="002A476F" w:rsidRDefault="00DE40FE" w:rsidP="00DE40FE">
            <w:pPr>
              <w:ind w:left="540" w:hanging="540"/>
              <w:rPr>
                <w:rFonts w:cs="Arial"/>
              </w:rPr>
            </w:pPr>
            <w:r w:rsidRPr="00DE40FE">
              <w:rPr>
                <w:rFonts w:cs="Arial"/>
              </w:rPr>
              <w:t xml:space="preserve">(10)  The Minister may, by instrument published in the </w:t>
            </w:r>
            <w:r w:rsidRPr="00DE40FE">
              <w:rPr>
                <w:rFonts w:cs="Arial"/>
                <w:i/>
                <w:iCs/>
              </w:rPr>
              <w:t>Gazette</w:t>
            </w:r>
            <w:r w:rsidRPr="00DE40FE">
              <w:rPr>
                <w:rFonts w:cs="Arial"/>
              </w:rPr>
              <w:t>, revoke a declaration at any time.</w:t>
            </w:r>
          </w:p>
        </w:tc>
        <w:tc>
          <w:tcPr>
            <w:tcW w:w="7166" w:type="dxa"/>
            <w:tcMar>
              <w:top w:w="57" w:type="dxa"/>
              <w:bottom w:w="57" w:type="dxa"/>
            </w:tcMar>
          </w:tcPr>
          <w:p w14:paraId="2F5C3B3B" w14:textId="77777777" w:rsidR="00DE40FE" w:rsidRPr="002A476F" w:rsidRDefault="00DE40FE" w:rsidP="001955CD">
            <w:pPr>
              <w:spacing w:after="120"/>
              <w:rPr>
                <w:rFonts w:cs="Arial"/>
              </w:rPr>
            </w:pPr>
          </w:p>
        </w:tc>
      </w:tr>
      <w:tr w:rsidR="00B6012C" w:rsidRPr="00F6308F" w14:paraId="2F5C3B3F" w14:textId="77777777" w:rsidTr="001955CD">
        <w:tc>
          <w:tcPr>
            <w:tcW w:w="7166" w:type="dxa"/>
            <w:tcMar>
              <w:top w:w="57" w:type="dxa"/>
              <w:bottom w:w="57" w:type="dxa"/>
            </w:tcMar>
          </w:tcPr>
          <w:p w14:paraId="2F5C3B3D" w14:textId="77777777"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166" w:type="dxa"/>
            <w:tcMar>
              <w:top w:w="57" w:type="dxa"/>
              <w:bottom w:w="57" w:type="dxa"/>
            </w:tcMar>
          </w:tcPr>
          <w:p w14:paraId="2F5C3B3E" w14:textId="77777777" w:rsidR="00B6012C" w:rsidRPr="002A476F" w:rsidRDefault="00B6012C" w:rsidP="001955CD">
            <w:pPr>
              <w:spacing w:after="120"/>
              <w:rPr>
                <w:rFonts w:cs="Arial"/>
              </w:rPr>
            </w:pPr>
            <w:r w:rsidRPr="002A476F">
              <w:rPr>
                <w:rFonts w:cs="Arial"/>
              </w:rPr>
              <w:t xml:space="preserve">The instrument for the </w:t>
            </w:r>
            <w:r w:rsidR="00A05BFA">
              <w:t>East Coast Inshore Fin Fish Fishery</w:t>
            </w:r>
            <w:r w:rsidRPr="002A476F">
              <w:rPr>
                <w:rFonts w:cs="Arial"/>
              </w:rPr>
              <w:t xml:space="preserve"> made under sections 303FN and the conditions under section 303FT will b</w:t>
            </w:r>
            <w:r w:rsidR="005037E3">
              <w:rPr>
                <w:rFonts w:cs="Arial"/>
              </w:rPr>
              <w:t>e gazetted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14:paraId="2F5C3B40" w14:textId="77777777" w:rsidR="00196778" w:rsidRPr="00F6308F" w:rsidRDefault="00196778" w:rsidP="001955CD">
      <w:pPr>
        <w:rPr>
          <w:rFonts w:cs="Arial"/>
          <w:b/>
        </w:rPr>
        <w:sectPr w:rsidR="00196778" w:rsidRPr="00F6308F">
          <w:pgSz w:w="16838" w:h="11906" w:orient="landscape"/>
          <w:pgMar w:top="899" w:right="1361" w:bottom="899" w:left="1361" w:header="709" w:footer="528" w:gutter="0"/>
          <w:cols w:space="708"/>
          <w:docGrid w:linePitch="360"/>
        </w:sectPr>
      </w:pPr>
    </w:p>
    <w:p w14:paraId="2F5C3B41" w14:textId="77777777" w:rsidR="00B6012C" w:rsidRPr="002A476F" w:rsidRDefault="00B6012C" w:rsidP="00C1093F">
      <w:pPr>
        <w:spacing w:after="120"/>
        <w:rPr>
          <w:rFonts w:cs="Arial"/>
          <w:b/>
        </w:rPr>
      </w:pPr>
    </w:p>
    <w:p w14:paraId="2F5C3B42" w14:textId="77777777" w:rsidR="00B6012C" w:rsidRPr="002A476F" w:rsidRDefault="00B6012C" w:rsidP="001955CD">
      <w:pPr>
        <w:spacing w:after="120"/>
        <w:rPr>
          <w:rFonts w:cs="Arial"/>
          <w:b/>
        </w:rPr>
      </w:pPr>
      <w:r w:rsidRPr="002A476F">
        <w:rPr>
          <w:rFonts w:cs="Arial"/>
          <w:b/>
        </w:rPr>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7163"/>
      </w:tblGrid>
      <w:tr w:rsidR="00B6012C" w:rsidRPr="00927CC5" w14:paraId="2F5C3B45" w14:textId="77777777" w:rsidTr="001955CD">
        <w:trPr>
          <w:jc w:val="center"/>
        </w:trPr>
        <w:tc>
          <w:tcPr>
            <w:tcW w:w="7004" w:type="dxa"/>
          </w:tcPr>
          <w:p w14:paraId="2F5C3B43" w14:textId="77777777" w:rsidR="00B6012C" w:rsidRPr="00C27D5A" w:rsidRDefault="00B6012C" w:rsidP="001955CD">
            <w:pPr>
              <w:tabs>
                <w:tab w:val="left" w:pos="360"/>
              </w:tabs>
              <w:rPr>
                <w:rFonts w:cs="Arial"/>
              </w:rPr>
            </w:pPr>
            <w:r w:rsidRPr="00C27D5A">
              <w:rPr>
                <w:rFonts w:cs="Arial"/>
                <w:b/>
              </w:rPr>
              <w:t>Section 176 Bioregional Plans</w:t>
            </w:r>
          </w:p>
        </w:tc>
        <w:tc>
          <w:tcPr>
            <w:tcW w:w="7228" w:type="dxa"/>
          </w:tcPr>
          <w:p w14:paraId="2F5C3B44" w14:textId="77777777" w:rsidR="00B6012C" w:rsidRPr="00C27D5A" w:rsidRDefault="00712220" w:rsidP="001955CD">
            <w:pPr>
              <w:tabs>
                <w:tab w:val="left" w:pos="360"/>
              </w:tabs>
              <w:rPr>
                <w:rFonts w:cs="Arial"/>
              </w:rPr>
            </w:pPr>
            <w:r w:rsidRPr="00C27D5A">
              <w:rPr>
                <w:rFonts w:cs="Arial"/>
                <w:b/>
              </w:rPr>
              <w:t>The Department’s assessment of the Queensland East Coast Inshore Fin Fish Fishery</w:t>
            </w:r>
          </w:p>
        </w:tc>
      </w:tr>
      <w:tr w:rsidR="00B6012C" w:rsidRPr="00927CC5" w14:paraId="2F5C3B4B" w14:textId="77777777" w:rsidTr="001955CD">
        <w:trPr>
          <w:jc w:val="center"/>
        </w:trPr>
        <w:tc>
          <w:tcPr>
            <w:tcW w:w="7004" w:type="dxa"/>
          </w:tcPr>
          <w:p w14:paraId="2F5C3B46" w14:textId="77777777" w:rsidR="00B6012C" w:rsidRPr="00C27D5A" w:rsidRDefault="00B6012C" w:rsidP="001955CD">
            <w:pPr>
              <w:tabs>
                <w:tab w:val="left" w:pos="517"/>
              </w:tabs>
              <w:spacing w:after="120"/>
              <w:ind w:left="516" w:hanging="516"/>
              <w:rPr>
                <w:rFonts w:cs="Arial"/>
              </w:rPr>
            </w:pPr>
            <w:r w:rsidRPr="00C27D5A">
              <w:rPr>
                <w:rFonts w:cs="Arial"/>
                <w:color w:val="000000"/>
              </w:rPr>
              <w:t>(5)    Subject to this Act, the Minister must have regard to a bioregional plan in making any decision under this Act to which the plan is relevant.</w:t>
            </w:r>
          </w:p>
        </w:tc>
        <w:tc>
          <w:tcPr>
            <w:tcW w:w="7228" w:type="dxa"/>
          </w:tcPr>
          <w:p w14:paraId="2F5C3B47" w14:textId="77777777" w:rsidR="001B700E" w:rsidRDefault="00B6012C" w:rsidP="00C1093F">
            <w:pPr>
              <w:spacing w:after="120"/>
              <w:rPr>
                <w:rFonts w:cs="Arial"/>
              </w:rPr>
            </w:pPr>
            <w:r w:rsidRPr="00C27D5A">
              <w:rPr>
                <w:rFonts w:cs="Arial"/>
              </w:rPr>
              <w:t xml:space="preserve">The Marine bioregional plan for the Temperate East Marine Region has been considered in the preparation of </w:t>
            </w:r>
            <w:r w:rsidRPr="00C27D5A">
              <w:rPr>
                <w:rFonts w:cs="Arial"/>
                <w:iCs/>
              </w:rPr>
              <w:t>advice in relation to decisions under section 303</w:t>
            </w:r>
            <w:r w:rsidR="00C1093F">
              <w:rPr>
                <w:rFonts w:cs="Arial"/>
                <w:iCs/>
              </w:rPr>
              <w:t>AA</w:t>
            </w:r>
            <w:r w:rsidRPr="00C27D5A">
              <w:rPr>
                <w:rFonts w:cs="Arial"/>
                <w:iCs/>
              </w:rPr>
              <w:t xml:space="preserve"> and section 303F</w:t>
            </w:r>
            <w:r w:rsidR="00C1093F">
              <w:rPr>
                <w:rFonts w:cs="Arial"/>
                <w:iCs/>
              </w:rPr>
              <w:t>T</w:t>
            </w:r>
            <w:r w:rsidR="001B700E">
              <w:rPr>
                <w:rFonts w:cs="Arial"/>
              </w:rPr>
              <w:t xml:space="preserve">, as </w:t>
            </w:r>
            <w:r w:rsidR="001B700E" w:rsidRPr="001B700E">
              <w:rPr>
                <w:rFonts w:cs="Arial"/>
              </w:rPr>
              <w:t>t</w:t>
            </w:r>
            <w:r w:rsidR="001B700E">
              <w:rPr>
                <w:rFonts w:cs="Arial"/>
                <w:bCs/>
              </w:rPr>
              <w:t>he Temperate East Marine R</w:t>
            </w:r>
            <w:r w:rsidR="001B700E" w:rsidRPr="001B700E">
              <w:rPr>
                <w:rFonts w:cs="Arial"/>
                <w:bCs/>
              </w:rPr>
              <w:t>egion overlaps with the southern part of the fishery.</w:t>
            </w:r>
            <w:r w:rsidR="001B700E">
              <w:rPr>
                <w:rFonts w:cs="Arial"/>
                <w:b/>
                <w:bCs/>
              </w:rPr>
              <w:t xml:space="preserve"> </w:t>
            </w:r>
            <w:r w:rsidR="00297D0B" w:rsidRPr="008C4B2D">
              <w:rPr>
                <w:rFonts w:cs="Arial"/>
                <w:bCs/>
              </w:rPr>
              <w:t>This plan identifies</w:t>
            </w:r>
            <w:r w:rsidR="00297D0B" w:rsidRPr="00BB524F">
              <w:rPr>
                <w:rFonts w:cs="Arial"/>
              </w:rPr>
              <w:t xml:space="preserve"> three key ecological features present in </w:t>
            </w:r>
            <w:r w:rsidR="00297D0B">
              <w:rPr>
                <w:rFonts w:cs="Arial"/>
              </w:rPr>
              <w:t>the</w:t>
            </w:r>
            <w:r w:rsidR="00297D0B" w:rsidRPr="00BB524F">
              <w:rPr>
                <w:rFonts w:cs="Arial"/>
              </w:rPr>
              <w:t xml:space="preserve"> area of the fishery</w:t>
            </w:r>
            <w:r w:rsidR="00297D0B">
              <w:rPr>
                <w:rFonts w:cs="Arial"/>
              </w:rPr>
              <w:t xml:space="preserve">, the </w:t>
            </w:r>
            <w:r w:rsidR="001B700E">
              <w:rPr>
                <w:rFonts w:cs="Arial"/>
              </w:rPr>
              <w:t xml:space="preserve">upwelling off Fraser Island, the canyons on the eastern continental slope and the Tasmantid seamount chain. </w:t>
            </w:r>
            <w:r w:rsidR="00297D0B" w:rsidRPr="00BB524F">
              <w:rPr>
                <w:rFonts w:cs="Arial"/>
              </w:rPr>
              <w:t xml:space="preserve"> </w:t>
            </w:r>
          </w:p>
          <w:p w14:paraId="2F5C3B48" w14:textId="77777777" w:rsidR="00A42C2C" w:rsidRDefault="00B6012C" w:rsidP="00C1093F">
            <w:pPr>
              <w:spacing w:after="120"/>
              <w:rPr>
                <w:rFonts w:cs="Arial"/>
                <w:bCs/>
              </w:rPr>
            </w:pPr>
            <w:r w:rsidRPr="00C27D5A">
              <w:rPr>
                <w:rFonts w:cs="Arial"/>
                <w:bCs/>
              </w:rPr>
              <w:t xml:space="preserve">Extraction of living resources </w:t>
            </w:r>
            <w:r w:rsidR="001B700E">
              <w:rPr>
                <w:rFonts w:cs="Arial"/>
                <w:bCs/>
              </w:rPr>
              <w:t xml:space="preserve">by commercial fishing </w:t>
            </w:r>
            <w:r w:rsidR="00A42C2C">
              <w:rPr>
                <w:rFonts w:cs="Arial"/>
                <w:bCs/>
              </w:rPr>
              <w:t>has</w:t>
            </w:r>
            <w:r w:rsidR="009A1BA6">
              <w:rPr>
                <w:rFonts w:cs="Arial"/>
                <w:bCs/>
              </w:rPr>
              <w:t xml:space="preserve"> been identified as</w:t>
            </w:r>
            <w:r w:rsidR="00A42C2C">
              <w:rPr>
                <w:rFonts w:cs="Arial"/>
                <w:bCs/>
              </w:rPr>
              <w:t xml:space="preserve"> a</w:t>
            </w:r>
            <w:r w:rsidR="009A1BA6">
              <w:rPr>
                <w:rFonts w:cs="Arial"/>
                <w:bCs/>
              </w:rPr>
              <w:t xml:space="preserve"> </w:t>
            </w:r>
            <w:r w:rsidRPr="00C27D5A">
              <w:rPr>
                <w:rFonts w:cs="Arial"/>
                <w:bCs/>
              </w:rPr>
              <w:t xml:space="preserve">pressure operating </w:t>
            </w:r>
            <w:r w:rsidR="001B700E">
              <w:rPr>
                <w:rFonts w:cs="Arial"/>
                <w:bCs/>
              </w:rPr>
              <w:t xml:space="preserve">on these </w:t>
            </w:r>
            <w:r w:rsidR="00A42C2C">
              <w:rPr>
                <w:rFonts w:cs="Arial"/>
                <w:bCs/>
              </w:rPr>
              <w:t xml:space="preserve">three </w:t>
            </w:r>
            <w:r w:rsidR="001B700E">
              <w:rPr>
                <w:rFonts w:cs="Arial"/>
                <w:bCs/>
              </w:rPr>
              <w:t>key ecological features</w:t>
            </w:r>
            <w:r w:rsidR="004E6E77">
              <w:rPr>
                <w:rFonts w:cs="Arial"/>
                <w:bCs/>
              </w:rPr>
              <w:t xml:space="preserve">. </w:t>
            </w:r>
            <w:r w:rsidR="00A42C2C">
              <w:rPr>
                <w:rFonts w:cs="Arial"/>
                <w:bCs/>
              </w:rPr>
              <w:t xml:space="preserve">However </w:t>
            </w:r>
            <w:r w:rsidR="00A42C2C">
              <w:rPr>
                <w:rFonts w:cs="Arial"/>
              </w:rPr>
              <w:t xml:space="preserve">this pressure has been identified as being ‘of potential concern’ only. The plan further notes that this assessment is conservative in the context of active fisheries management, as is undertaken by the Queensland Department of Agriculture and Fisheries for the </w:t>
            </w:r>
            <w:r w:rsidR="00A42C2C">
              <w:rPr>
                <w:rFonts w:cs="Arial"/>
                <w:bCs/>
              </w:rPr>
              <w:t>East Coast Inshore Fin Fish Fishery.</w:t>
            </w:r>
          </w:p>
          <w:p w14:paraId="2F5C3B49" w14:textId="77777777" w:rsidR="00B8317F" w:rsidRDefault="00B8317F" w:rsidP="00B8317F">
            <w:pPr>
              <w:spacing w:after="120"/>
              <w:rPr>
                <w:rFonts w:cs="Arial"/>
                <w:bCs/>
              </w:rPr>
            </w:pPr>
            <w:r>
              <w:rPr>
                <w:rFonts w:cs="Arial"/>
                <w:bCs/>
              </w:rPr>
              <w:t xml:space="preserve">Bycatch by commercial fishing has also been identified as a </w:t>
            </w:r>
            <w:r w:rsidRPr="00C27D5A">
              <w:rPr>
                <w:rFonts w:cs="Arial"/>
                <w:bCs/>
              </w:rPr>
              <w:t xml:space="preserve">pressure operating </w:t>
            </w:r>
            <w:r>
              <w:rPr>
                <w:rFonts w:cs="Arial"/>
                <w:bCs/>
              </w:rPr>
              <w:t>on these key ecological features, with bycatch of marine turtles and dugong being listed as a regional concern. While these pressures are also listed as being ‘of potential conce</w:t>
            </w:r>
            <w:r w:rsidR="00871CE1">
              <w:rPr>
                <w:rFonts w:cs="Arial"/>
                <w:bCs/>
              </w:rPr>
              <w:t>rn’ only, accurate assessment of</w:t>
            </w:r>
            <w:r>
              <w:rPr>
                <w:rFonts w:cs="Arial"/>
                <w:bCs/>
              </w:rPr>
              <w:t xml:space="preserve"> these pressures </w:t>
            </w:r>
            <w:r w:rsidR="00871CE1">
              <w:rPr>
                <w:rFonts w:cs="Arial"/>
                <w:bCs/>
              </w:rPr>
              <w:t>would benefit from improved</w:t>
            </w:r>
            <w:r>
              <w:rPr>
                <w:rFonts w:cs="Arial"/>
                <w:bCs/>
              </w:rPr>
              <w:t xml:space="preserve"> monitoring and reporting of protected species interactions in the East Coast Inshore Fin Fish Fishery</w:t>
            </w:r>
            <w:r w:rsidR="00871CE1">
              <w:rPr>
                <w:rFonts w:cs="Arial"/>
                <w:bCs/>
              </w:rPr>
              <w:t xml:space="preserve">. The proposed </w:t>
            </w:r>
            <w:r w:rsidR="00871CE1" w:rsidRPr="00871CE1">
              <w:rPr>
                <w:rFonts w:cs="Arial"/>
                <w:b/>
                <w:bCs/>
              </w:rPr>
              <w:t>Part 13 Condition</w:t>
            </w:r>
            <w:r w:rsidR="00871CE1">
              <w:rPr>
                <w:rFonts w:cs="Arial"/>
                <w:bCs/>
              </w:rPr>
              <w:t xml:space="preserve"> and </w:t>
            </w:r>
            <w:r w:rsidR="00871CE1" w:rsidRPr="00871CE1">
              <w:rPr>
                <w:rFonts w:cs="Arial"/>
                <w:b/>
                <w:bCs/>
              </w:rPr>
              <w:t>Condition 5 (Table 3)</w:t>
            </w:r>
            <w:r w:rsidR="00871CE1">
              <w:rPr>
                <w:rFonts w:cs="Arial"/>
                <w:bCs/>
              </w:rPr>
              <w:t xml:space="preserve"> </w:t>
            </w:r>
            <w:r w:rsidR="0071410C">
              <w:rPr>
                <w:rFonts w:cs="Arial"/>
                <w:bCs/>
              </w:rPr>
              <w:t xml:space="preserve">seek to address this by requiring the </w:t>
            </w:r>
            <w:r w:rsidR="0071410C">
              <w:rPr>
                <w:rFonts w:cs="Arial"/>
              </w:rPr>
              <w:t xml:space="preserve">Queensland Department of Agriculture and Fisheries to improve </w:t>
            </w:r>
            <w:r w:rsidR="00871CE1">
              <w:rPr>
                <w:rFonts w:cs="Arial"/>
                <w:bCs/>
              </w:rPr>
              <w:t>monitoring and reporting of protected species interactions and bycatch.</w:t>
            </w:r>
          </w:p>
          <w:p w14:paraId="2F5C3B4A" w14:textId="77777777" w:rsidR="00297D0B" w:rsidRPr="00C27D5A" w:rsidRDefault="0071410C" w:rsidP="0071410C">
            <w:pPr>
              <w:spacing w:after="120"/>
              <w:rPr>
                <w:rFonts w:cs="Arial"/>
                <w:b/>
                <w:bCs/>
              </w:rPr>
            </w:pPr>
            <w:r>
              <w:rPr>
                <w:rFonts w:cs="Arial"/>
                <w:bCs/>
              </w:rPr>
              <w:t>However, t</w:t>
            </w:r>
            <w:r w:rsidR="00297D0B">
              <w:rPr>
                <w:rFonts w:cs="Arial"/>
              </w:rPr>
              <w:t xml:space="preserve">he Department considers that overall, the impact of the </w:t>
            </w:r>
            <w:r>
              <w:rPr>
                <w:rFonts w:cs="Arial"/>
              </w:rPr>
              <w:t>fishery</w:t>
            </w:r>
            <w:r w:rsidR="00297D0B">
              <w:rPr>
                <w:rFonts w:cs="Arial"/>
              </w:rPr>
              <w:t xml:space="preserve"> on the conservation values identified </w:t>
            </w:r>
            <w:r>
              <w:rPr>
                <w:rFonts w:cs="Arial"/>
              </w:rPr>
              <w:t>in the marine bioregional plan</w:t>
            </w:r>
            <w:r w:rsidR="00297D0B">
              <w:rPr>
                <w:rFonts w:cs="Arial"/>
              </w:rPr>
              <w:t xml:space="preserve"> is low.</w:t>
            </w:r>
          </w:p>
        </w:tc>
      </w:tr>
    </w:tbl>
    <w:p w14:paraId="2F5C3B4C" w14:textId="77777777"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14:paraId="2F5C3B4D" w14:textId="77777777" w:rsidR="003E053F" w:rsidRPr="005F7F8E" w:rsidRDefault="008F5E12" w:rsidP="0091344F">
      <w:pPr>
        <w:autoSpaceDE w:val="0"/>
        <w:autoSpaceDN w:val="0"/>
        <w:spacing w:after="0"/>
        <w:ind w:left="-426" w:right="-143"/>
        <w:jc w:val="center"/>
        <w:rPr>
          <w:rFonts w:cs="Arial"/>
          <w:b/>
          <w:noProof/>
        </w:rPr>
      </w:pPr>
      <w:bookmarkStart w:id="3" w:name="_Toc313732795"/>
      <w:r w:rsidRPr="00B065BF">
        <w:rPr>
          <w:rStyle w:val="Heading1Char"/>
        </w:rPr>
        <w:lastRenderedPageBreak/>
        <w:t>Summary of assessment in 2016</w:t>
      </w:r>
      <w:r>
        <w:rPr>
          <w:rFonts w:cs="Arial"/>
          <w:b/>
          <w:noProof/>
        </w:rPr>
        <w:t xml:space="preserve"> </w:t>
      </w:r>
      <w:r>
        <w:rPr>
          <w:rFonts w:cs="Arial"/>
          <w:b/>
          <w:noProof/>
        </w:rPr>
        <w:br/>
        <w:t>The</w:t>
      </w:r>
      <w:r w:rsidR="00A3323D" w:rsidRPr="00A3323D">
        <w:rPr>
          <w:rFonts w:cs="Arial"/>
          <w:b/>
          <w:noProof/>
        </w:rPr>
        <w:t xml:space="preserve"> Department of the Environment</w:t>
      </w:r>
      <w:r w:rsidR="005E6F37">
        <w:rPr>
          <w:rFonts w:cs="Arial"/>
          <w:b/>
          <w:noProof/>
        </w:rPr>
        <w:t xml:space="preserve"> and Energy</w:t>
      </w:r>
      <w:r w:rsidR="00A3323D" w:rsidRPr="00A3323D">
        <w:rPr>
          <w:rFonts w:cs="Arial"/>
          <w:b/>
          <w:noProof/>
        </w:rPr>
        <w:t xml:space="preserve">’s conditions and recommendation to the Queensland Department of Agriculture and Fisheries for the </w:t>
      </w:r>
      <w:r w:rsidR="0091344F">
        <w:rPr>
          <w:rFonts w:cs="Arial"/>
          <w:b/>
          <w:noProof/>
        </w:rPr>
        <w:br/>
      </w:r>
      <w:r w:rsidR="00A3323D" w:rsidRPr="00A3323D">
        <w:rPr>
          <w:rFonts w:cs="Arial"/>
          <w:b/>
          <w:noProof/>
        </w:rPr>
        <w:t>Queensland East Coast Inshore Fin Fish Fishery</w:t>
      </w:r>
      <w:bookmarkEnd w:id="3"/>
    </w:p>
    <w:p w14:paraId="2F5C3B4E" w14:textId="77777777" w:rsidR="003E053F" w:rsidRPr="003E053F" w:rsidRDefault="003E053F" w:rsidP="0091344F">
      <w:pPr>
        <w:autoSpaceDE w:val="0"/>
        <w:autoSpaceDN w:val="0"/>
        <w:spacing w:after="0"/>
        <w:ind w:left="-426" w:right="-143"/>
        <w:rPr>
          <w:rFonts w:eastAsia="Times New Roman" w:cs="Arial"/>
          <w:lang w:val="en-GB"/>
        </w:rPr>
      </w:pPr>
    </w:p>
    <w:p w14:paraId="2F5C3B4F" w14:textId="77777777" w:rsidR="003E053F" w:rsidRPr="003E053F" w:rsidRDefault="00170DB5" w:rsidP="0091344F">
      <w:pPr>
        <w:autoSpaceDE w:val="0"/>
        <w:autoSpaceDN w:val="0"/>
        <w:spacing w:after="0"/>
        <w:ind w:left="-426" w:right="-143"/>
        <w:rPr>
          <w:rFonts w:eastAsia="Times New Roman" w:cs="Arial"/>
          <w:lang w:val="en-GB"/>
        </w:rPr>
      </w:pPr>
      <w:r>
        <w:rPr>
          <w:rFonts w:eastAsia="Times New Roman" w:cs="Arial"/>
          <w:lang w:val="en-GB"/>
        </w:rPr>
        <w:t>The Queensland East Coast Inshore Fin Fish Fishery is a net and line fishery that primarily operates in waters inside the Great Barrier Reef.  It</w:t>
      </w:r>
      <w:r w:rsidR="00527981">
        <w:rPr>
          <w:rFonts w:eastAsia="Times New Roman" w:cs="Arial"/>
          <w:lang w:val="en-GB"/>
        </w:rPr>
        <w:t xml:space="preserve"> is a diverse fishery, with a </w:t>
      </w:r>
      <w:r w:rsidR="004476CC">
        <w:rPr>
          <w:rFonts w:eastAsia="Times New Roman" w:cs="Arial"/>
          <w:lang w:val="en-GB"/>
        </w:rPr>
        <w:t>large</w:t>
      </w:r>
      <w:r w:rsidR="00527981">
        <w:rPr>
          <w:rFonts w:eastAsia="Times New Roman" w:cs="Arial"/>
          <w:lang w:val="en-GB"/>
        </w:rPr>
        <w:t xml:space="preserve"> number of small</w:t>
      </w:r>
      <w:r>
        <w:rPr>
          <w:rFonts w:eastAsia="Times New Roman" w:cs="Arial"/>
          <w:lang w:val="en-GB"/>
        </w:rPr>
        <w:t xml:space="preserve"> operators, </w:t>
      </w:r>
      <w:r w:rsidR="004476CC">
        <w:rPr>
          <w:rFonts w:eastAsia="Times New Roman" w:cs="Arial"/>
          <w:lang w:val="en-GB"/>
        </w:rPr>
        <w:t>multiple</w:t>
      </w:r>
      <w:r>
        <w:rPr>
          <w:rFonts w:eastAsia="Times New Roman" w:cs="Arial"/>
          <w:lang w:val="en-GB"/>
        </w:rPr>
        <w:t xml:space="preserve"> target species and many other species that interact with </w:t>
      </w:r>
      <w:r w:rsidR="00527981">
        <w:rPr>
          <w:rFonts w:eastAsia="Times New Roman" w:cs="Arial"/>
          <w:lang w:val="en-GB"/>
        </w:rPr>
        <w:t>fishing activities.</w:t>
      </w:r>
      <w:r>
        <w:rPr>
          <w:rFonts w:eastAsia="Times New Roman" w:cs="Arial"/>
          <w:lang w:val="en-GB"/>
        </w:rPr>
        <w:t xml:space="preserve"> </w:t>
      </w:r>
      <w:r w:rsidR="004476CC">
        <w:rPr>
          <w:rFonts w:eastAsia="Times New Roman" w:cs="Arial"/>
          <w:lang w:val="en-GB"/>
        </w:rPr>
        <w:t>There are significant removals of fish from the area of the fishery by other ocean users, with catches by</w:t>
      </w:r>
      <w:r w:rsidR="000F09AC">
        <w:rPr>
          <w:rFonts w:eastAsia="Times New Roman" w:cs="Arial"/>
          <w:lang w:val="en-GB"/>
        </w:rPr>
        <w:t xml:space="preserve"> </w:t>
      </w:r>
      <w:r w:rsidR="004476CC">
        <w:rPr>
          <w:rFonts w:eastAsia="Times New Roman" w:cs="Arial"/>
          <w:lang w:val="en-GB"/>
        </w:rPr>
        <w:t xml:space="preserve">recreational fishers </w:t>
      </w:r>
      <w:r w:rsidR="00E545C7">
        <w:rPr>
          <w:rFonts w:eastAsia="Times New Roman" w:cs="Arial"/>
          <w:lang w:val="en-GB"/>
        </w:rPr>
        <w:t xml:space="preserve">in Queensland </w:t>
      </w:r>
      <w:r w:rsidR="004476CC">
        <w:rPr>
          <w:rFonts w:eastAsia="Times New Roman" w:cs="Arial"/>
          <w:lang w:val="en-GB"/>
        </w:rPr>
        <w:t>exceeding the retained harvest of this commercial fishery, requiring complementary management arrangements.</w:t>
      </w:r>
    </w:p>
    <w:p w14:paraId="2F5C3B50" w14:textId="77777777" w:rsidR="003E053F" w:rsidRPr="003E053F" w:rsidRDefault="003E053F" w:rsidP="0091344F">
      <w:pPr>
        <w:spacing w:after="0"/>
        <w:ind w:left="-426" w:right="-143"/>
        <w:rPr>
          <w:rFonts w:eastAsia="Times New Roman" w:cs="Arial"/>
        </w:rPr>
      </w:pPr>
    </w:p>
    <w:p w14:paraId="2F5C3B51" w14:textId="77777777" w:rsidR="003E053F" w:rsidRPr="003E053F" w:rsidRDefault="008F5E12" w:rsidP="0091344F">
      <w:pPr>
        <w:spacing w:after="0"/>
        <w:ind w:left="-426" w:right="-143"/>
        <w:rPr>
          <w:rFonts w:eastAsia="Times New Roman" w:cs="Arial"/>
          <w:b/>
          <w:lang w:eastAsia="en-AU"/>
        </w:rPr>
      </w:pPr>
      <w:r>
        <w:rPr>
          <w:rFonts w:eastAsia="Times New Roman" w:cs="Arial"/>
          <w:b/>
          <w:lang w:eastAsia="en-AU"/>
        </w:rPr>
        <w:t>Target stocks</w:t>
      </w:r>
    </w:p>
    <w:p w14:paraId="2F5C3B52" w14:textId="77777777" w:rsidR="007D7A2B" w:rsidRDefault="00DC4C43" w:rsidP="0091344F">
      <w:pPr>
        <w:spacing w:after="60"/>
        <w:ind w:left="-426" w:right="-143"/>
        <w:rPr>
          <w:rFonts w:eastAsia="Times New Roman" w:cs="Arial"/>
          <w:lang w:eastAsia="en-AU"/>
        </w:rPr>
      </w:pPr>
      <w:r>
        <w:rPr>
          <w:rFonts w:eastAsia="Times New Roman" w:cs="Arial"/>
          <w:lang w:eastAsia="en-AU"/>
        </w:rPr>
        <w:t>The D</w:t>
      </w:r>
      <w:r w:rsidR="003E053F" w:rsidRPr="003E053F">
        <w:rPr>
          <w:rFonts w:eastAsia="Times New Roman" w:cs="Arial"/>
          <w:lang w:eastAsia="en-AU"/>
        </w:rPr>
        <w:t xml:space="preserve">epartment considers that overall the management regime for the </w:t>
      </w:r>
      <w:r w:rsidR="00A05BFA">
        <w:rPr>
          <w:rFonts w:eastAsia="Times New Roman" w:cs="Arial"/>
          <w:lang w:eastAsia="en-AU"/>
        </w:rPr>
        <w:t>East Coast Inshore Fin Fish Fishery</w:t>
      </w:r>
      <w:r w:rsidR="003E053F" w:rsidRPr="003E053F">
        <w:rPr>
          <w:rFonts w:eastAsia="Times New Roman" w:cs="Arial"/>
          <w:lang w:eastAsia="en-AU"/>
        </w:rPr>
        <w:t xml:space="preserve"> aims to ensure that fishing is conducted in a manner that does not lead to overfishing. </w:t>
      </w:r>
      <w:r w:rsidR="008F5E12">
        <w:rPr>
          <w:rFonts w:eastAsia="Times New Roman" w:cs="Arial"/>
          <w:lang w:eastAsia="en-AU"/>
        </w:rPr>
        <w:t xml:space="preserve">Entry into the fishery is limited, there are gear restrictions in place to control harvest, </w:t>
      </w:r>
      <w:r w:rsidR="00F91C35">
        <w:rPr>
          <w:rFonts w:eastAsia="Times New Roman" w:cs="Arial"/>
          <w:lang w:eastAsia="en-AU"/>
        </w:rPr>
        <w:t>as wel</w:t>
      </w:r>
      <w:r w:rsidR="0091344F">
        <w:rPr>
          <w:rFonts w:eastAsia="Times New Roman" w:cs="Arial"/>
          <w:lang w:eastAsia="en-AU"/>
        </w:rPr>
        <w:t>l as seasonal closures, species-</w:t>
      </w:r>
      <w:r w:rsidR="00F91C35">
        <w:rPr>
          <w:rFonts w:eastAsia="Times New Roman" w:cs="Arial"/>
          <w:lang w:eastAsia="en-AU"/>
        </w:rPr>
        <w:t xml:space="preserve">specific size restrictions and </w:t>
      </w:r>
      <w:r w:rsidR="008F5E12">
        <w:rPr>
          <w:rFonts w:eastAsia="Times New Roman" w:cs="Arial"/>
          <w:lang w:eastAsia="en-AU"/>
        </w:rPr>
        <w:t xml:space="preserve">total allowable catch limits in place for key </w:t>
      </w:r>
      <w:r w:rsidR="00F91C35">
        <w:rPr>
          <w:rFonts w:eastAsia="Times New Roman" w:cs="Arial"/>
          <w:lang w:eastAsia="en-AU"/>
        </w:rPr>
        <w:t>stocks</w:t>
      </w:r>
      <w:r w:rsidR="008F5E12">
        <w:rPr>
          <w:rFonts w:eastAsia="Times New Roman" w:cs="Arial"/>
          <w:lang w:eastAsia="en-AU"/>
        </w:rPr>
        <w:t>.</w:t>
      </w:r>
      <w:r w:rsidR="00F91C35">
        <w:rPr>
          <w:rFonts w:eastAsia="Times New Roman" w:cs="Arial"/>
          <w:lang w:eastAsia="en-AU"/>
        </w:rPr>
        <w:t xml:space="preserve"> Around two thir</w:t>
      </w:r>
      <w:r w:rsidR="00527981">
        <w:rPr>
          <w:rFonts w:eastAsia="Times New Roman" w:cs="Arial"/>
          <w:lang w:eastAsia="en-AU"/>
        </w:rPr>
        <w:t>ds of the retained annual catch</w:t>
      </w:r>
      <w:r w:rsidR="00F91C35">
        <w:rPr>
          <w:rFonts w:eastAsia="Times New Roman" w:cs="Arial"/>
          <w:lang w:eastAsia="en-AU"/>
        </w:rPr>
        <w:t xml:space="preserve"> comprises species that have been </w:t>
      </w:r>
      <w:r w:rsidR="0091344F">
        <w:rPr>
          <w:rFonts w:eastAsia="Times New Roman" w:cs="Arial"/>
          <w:lang w:eastAsia="en-AU"/>
        </w:rPr>
        <w:t xml:space="preserve">formally </w:t>
      </w:r>
      <w:r w:rsidR="00F91C35">
        <w:rPr>
          <w:rFonts w:eastAsia="Times New Roman" w:cs="Arial"/>
          <w:lang w:eastAsia="en-AU"/>
        </w:rPr>
        <w:t>assessed as being harvested at sustainable levels.</w:t>
      </w:r>
      <w:r w:rsidR="00030FDD">
        <w:rPr>
          <w:rFonts w:eastAsia="Times New Roman" w:cs="Arial"/>
          <w:lang w:eastAsia="en-AU"/>
        </w:rPr>
        <w:t xml:space="preserve"> </w:t>
      </w:r>
    </w:p>
    <w:p w14:paraId="2F5C3B53" w14:textId="77777777" w:rsidR="00F91C35" w:rsidRDefault="00030FDD" w:rsidP="00605753">
      <w:pPr>
        <w:spacing w:after="60"/>
        <w:ind w:left="-426" w:right="-143"/>
        <w:rPr>
          <w:rFonts w:eastAsia="Times New Roman" w:cs="Arial"/>
          <w:lang w:eastAsia="en-AU"/>
        </w:rPr>
      </w:pPr>
      <w:r>
        <w:rPr>
          <w:rFonts w:eastAsia="Times New Roman" w:cs="Arial"/>
          <w:lang w:eastAsia="en-AU"/>
        </w:rPr>
        <w:t xml:space="preserve">However, the stock status of shark species targeted in the fishery remains uncertain and </w:t>
      </w:r>
      <w:r w:rsidR="00AF1795">
        <w:rPr>
          <w:rFonts w:eastAsia="Times New Roman" w:cs="Arial"/>
          <w:lang w:eastAsia="en-AU"/>
        </w:rPr>
        <w:t>must</w:t>
      </w:r>
      <w:r>
        <w:rPr>
          <w:rFonts w:eastAsia="Times New Roman" w:cs="Arial"/>
          <w:lang w:eastAsia="en-AU"/>
        </w:rPr>
        <w:t xml:space="preserve"> be clarified.</w:t>
      </w:r>
      <w:r w:rsidR="00004336">
        <w:rPr>
          <w:rFonts w:eastAsia="Times New Roman" w:cs="Arial"/>
          <w:lang w:eastAsia="en-AU"/>
        </w:rPr>
        <w:t xml:space="preserve"> </w:t>
      </w:r>
      <w:r w:rsidR="007D7A2B">
        <w:rPr>
          <w:rFonts w:eastAsia="Times New Roman" w:cs="Arial"/>
          <w:lang w:eastAsia="en-AU"/>
        </w:rPr>
        <w:t>Species-</w:t>
      </w:r>
      <w:r w:rsidR="00345292">
        <w:rPr>
          <w:rFonts w:eastAsia="Times New Roman" w:cs="Arial"/>
          <w:lang w:eastAsia="en-AU"/>
        </w:rPr>
        <w:t>specific reporting for sharks must also b</w:t>
      </w:r>
      <w:r w:rsidR="007D7A2B">
        <w:rPr>
          <w:rFonts w:eastAsia="Times New Roman" w:cs="Arial"/>
          <w:lang w:eastAsia="en-AU"/>
        </w:rPr>
        <w:t xml:space="preserve">e improved, along with measures to tighten regulations </w:t>
      </w:r>
      <w:r w:rsidR="0091344F">
        <w:rPr>
          <w:rFonts w:eastAsia="Times New Roman" w:cs="Arial"/>
          <w:lang w:eastAsia="en-AU"/>
        </w:rPr>
        <w:t>for the</w:t>
      </w:r>
      <w:r w:rsidR="007D7A2B">
        <w:rPr>
          <w:rFonts w:eastAsia="Times New Roman" w:cs="Arial"/>
          <w:lang w:eastAsia="en-AU"/>
        </w:rPr>
        <w:t xml:space="preserve"> processing of sharks at sea. </w:t>
      </w:r>
      <w:r w:rsidR="00004336">
        <w:rPr>
          <w:rFonts w:eastAsia="Times New Roman" w:cs="Arial"/>
          <w:lang w:eastAsia="en-AU"/>
        </w:rPr>
        <w:t xml:space="preserve">A harvest strategy for all key fish and shark species </w:t>
      </w:r>
      <w:r w:rsidR="00345292">
        <w:rPr>
          <w:rFonts w:eastAsia="Times New Roman" w:cs="Arial"/>
          <w:lang w:eastAsia="en-AU"/>
        </w:rPr>
        <w:t>should</w:t>
      </w:r>
      <w:r w:rsidR="00004336">
        <w:rPr>
          <w:rFonts w:eastAsia="Times New Roman" w:cs="Arial"/>
          <w:lang w:eastAsia="en-AU"/>
        </w:rPr>
        <w:t xml:space="preserve"> be developed, with improved d</w:t>
      </w:r>
      <w:r w:rsidR="00AF1795">
        <w:rPr>
          <w:rFonts w:eastAsia="Times New Roman" w:cs="Arial"/>
          <w:lang w:eastAsia="en-AU"/>
        </w:rPr>
        <w:t xml:space="preserve">ata collection and validation </w:t>
      </w:r>
      <w:r w:rsidR="00004336">
        <w:rPr>
          <w:rFonts w:eastAsia="Times New Roman" w:cs="Arial"/>
          <w:lang w:eastAsia="en-AU"/>
        </w:rPr>
        <w:t xml:space="preserve">to allow </w:t>
      </w:r>
      <w:r w:rsidR="00345292">
        <w:rPr>
          <w:rFonts w:eastAsia="Times New Roman" w:cs="Arial"/>
          <w:lang w:eastAsia="en-AU"/>
        </w:rPr>
        <w:t xml:space="preserve">robust </w:t>
      </w:r>
      <w:r w:rsidR="00004336">
        <w:rPr>
          <w:rFonts w:eastAsia="Times New Roman" w:cs="Arial"/>
          <w:lang w:eastAsia="en-AU"/>
        </w:rPr>
        <w:t>evaluation of this strategy.</w:t>
      </w:r>
    </w:p>
    <w:p w14:paraId="2F5C3B54" w14:textId="77777777" w:rsidR="00F91C35" w:rsidRPr="00F91C35" w:rsidRDefault="00F91C35" w:rsidP="00605753">
      <w:pPr>
        <w:spacing w:before="240" w:after="60"/>
        <w:ind w:left="-426" w:right="-143"/>
        <w:rPr>
          <w:rFonts w:eastAsia="Times New Roman" w:cs="Arial"/>
          <w:b/>
          <w:lang w:eastAsia="en-AU"/>
        </w:rPr>
      </w:pPr>
      <w:r w:rsidRPr="00F91C35">
        <w:rPr>
          <w:rFonts w:eastAsia="Times New Roman" w:cs="Arial"/>
          <w:b/>
          <w:lang w:eastAsia="en-AU"/>
        </w:rPr>
        <w:t>Non-target stocks</w:t>
      </w:r>
    </w:p>
    <w:p w14:paraId="2F5C3B55" w14:textId="77777777" w:rsidR="003E053F" w:rsidRPr="00605753" w:rsidRDefault="00F91C35" w:rsidP="00605753">
      <w:pPr>
        <w:spacing w:after="60"/>
        <w:ind w:left="-426" w:right="-143"/>
        <w:rPr>
          <w:rFonts w:eastAsia="Times New Roman" w:cs="Arial"/>
          <w:lang w:eastAsia="en-AU"/>
        </w:rPr>
      </w:pPr>
      <w:r>
        <w:rPr>
          <w:rFonts w:eastAsia="Times New Roman" w:cs="Arial"/>
          <w:lang w:eastAsia="en-AU"/>
        </w:rPr>
        <w:t xml:space="preserve">Management is </w:t>
      </w:r>
      <w:r w:rsidR="00030FDD">
        <w:rPr>
          <w:rFonts w:eastAsia="Times New Roman" w:cs="Arial"/>
          <w:lang w:eastAsia="en-AU"/>
        </w:rPr>
        <w:t xml:space="preserve">generally </w:t>
      </w:r>
      <w:r>
        <w:rPr>
          <w:rFonts w:eastAsia="Times New Roman" w:cs="Arial"/>
          <w:lang w:eastAsia="en-AU"/>
        </w:rPr>
        <w:t>less robust for byproduct, bycatch and protected species that are caught</w:t>
      </w:r>
      <w:r w:rsidR="00004336">
        <w:rPr>
          <w:rFonts w:eastAsia="Times New Roman" w:cs="Arial"/>
          <w:lang w:eastAsia="en-AU"/>
        </w:rPr>
        <w:t xml:space="preserve"> or interact with this fishery. There are </w:t>
      </w:r>
      <w:r>
        <w:rPr>
          <w:rFonts w:eastAsia="Times New Roman" w:cs="Arial"/>
          <w:lang w:eastAsia="en-AU"/>
        </w:rPr>
        <w:t xml:space="preserve">limited </w:t>
      </w:r>
      <w:r w:rsidR="00527981">
        <w:rPr>
          <w:rFonts w:eastAsia="Times New Roman" w:cs="Arial"/>
          <w:lang w:eastAsia="en-AU"/>
        </w:rPr>
        <w:t>measures in place to confidently monitor, assess and evaluate</w:t>
      </w:r>
      <w:r>
        <w:rPr>
          <w:rFonts w:eastAsia="Times New Roman" w:cs="Arial"/>
          <w:lang w:eastAsia="en-AU"/>
        </w:rPr>
        <w:t xml:space="preserve"> of</w:t>
      </w:r>
      <w:r w:rsidR="00170DB5">
        <w:rPr>
          <w:rFonts w:eastAsia="Times New Roman" w:cs="Arial"/>
          <w:lang w:eastAsia="en-AU"/>
        </w:rPr>
        <w:t xml:space="preserve"> the impact of commercial fishing </w:t>
      </w:r>
      <w:r>
        <w:rPr>
          <w:rFonts w:eastAsia="Times New Roman" w:cs="Arial"/>
          <w:lang w:eastAsia="en-AU"/>
        </w:rPr>
        <w:t xml:space="preserve">on these species. </w:t>
      </w:r>
      <w:r w:rsidR="00AF1795">
        <w:rPr>
          <w:rFonts w:eastAsia="Times New Roman" w:cs="Arial"/>
          <w:lang w:eastAsia="en-AU"/>
        </w:rPr>
        <w:t>Improved data collection and evaluation,</w:t>
      </w:r>
      <w:r w:rsidR="0091344F">
        <w:rPr>
          <w:rFonts w:eastAsia="Times New Roman" w:cs="Arial"/>
          <w:lang w:eastAsia="en-AU"/>
        </w:rPr>
        <w:t xml:space="preserve"> along with</w:t>
      </w:r>
      <w:r w:rsidR="00AF1795">
        <w:rPr>
          <w:rFonts w:eastAsia="Times New Roman" w:cs="Arial"/>
          <w:lang w:eastAsia="en-AU"/>
        </w:rPr>
        <w:t xml:space="preserve"> improved species identification</w:t>
      </w:r>
      <w:r w:rsidR="007D7A2B">
        <w:rPr>
          <w:rFonts w:eastAsia="Times New Roman" w:cs="Arial"/>
          <w:lang w:eastAsia="en-AU"/>
        </w:rPr>
        <w:t xml:space="preserve"> and species-specific reporting</w:t>
      </w:r>
      <w:r w:rsidR="00AF1795">
        <w:rPr>
          <w:rFonts w:eastAsia="Times New Roman" w:cs="Arial"/>
          <w:lang w:eastAsia="en-AU"/>
        </w:rPr>
        <w:t xml:space="preserve"> </w:t>
      </w:r>
      <w:r w:rsidR="00345292">
        <w:rPr>
          <w:rFonts w:eastAsia="Times New Roman" w:cs="Arial"/>
          <w:lang w:eastAsia="en-AU"/>
        </w:rPr>
        <w:t>must be developed</w:t>
      </w:r>
      <w:r w:rsidR="00004336">
        <w:rPr>
          <w:rFonts w:eastAsia="Times New Roman" w:cs="Arial"/>
          <w:lang w:eastAsia="en-AU"/>
        </w:rPr>
        <w:t xml:space="preserve"> to reduc</w:t>
      </w:r>
      <w:r w:rsidR="00345292">
        <w:rPr>
          <w:rFonts w:eastAsia="Times New Roman" w:cs="Arial"/>
          <w:lang w:eastAsia="en-AU"/>
        </w:rPr>
        <w:t>e the risks and uncertainties i</w:t>
      </w:r>
      <w:r w:rsidR="00004336">
        <w:rPr>
          <w:rFonts w:eastAsia="Times New Roman" w:cs="Arial"/>
          <w:lang w:eastAsia="en-AU"/>
        </w:rPr>
        <w:t>dentified around this fishery’s impact on non-target stocks.</w:t>
      </w:r>
    </w:p>
    <w:p w14:paraId="2F5C3B56" w14:textId="77777777" w:rsidR="003E053F" w:rsidRPr="003E053F" w:rsidRDefault="003E053F" w:rsidP="00605753">
      <w:pPr>
        <w:spacing w:before="240" w:after="0"/>
        <w:ind w:left="-426" w:right="-143"/>
        <w:rPr>
          <w:rFonts w:eastAsia="Times New Roman" w:cs="Arial"/>
          <w:b/>
          <w:noProof/>
          <w:lang w:eastAsia="en-AU"/>
        </w:rPr>
      </w:pPr>
      <w:r w:rsidRPr="003E053F">
        <w:rPr>
          <w:rFonts w:eastAsia="Times New Roman" w:cs="Arial"/>
          <w:b/>
          <w:noProof/>
          <w:lang w:eastAsia="en-AU"/>
        </w:rPr>
        <w:t>Ecosystem Impacts</w:t>
      </w:r>
    </w:p>
    <w:p w14:paraId="2F5C3B57" w14:textId="77777777" w:rsidR="00F64E94" w:rsidRDefault="003E053F" w:rsidP="00605753">
      <w:pPr>
        <w:ind w:left="-426" w:right="-143"/>
        <w:rPr>
          <w:rFonts w:eastAsia="Times New Roman" w:cs="Arial"/>
          <w:lang w:eastAsia="en-AU"/>
        </w:rPr>
      </w:pPr>
      <w:r w:rsidRPr="003E053F">
        <w:rPr>
          <w:rFonts w:eastAsia="Times New Roman" w:cs="Arial"/>
          <w:noProof/>
          <w:lang w:eastAsia="en-AU"/>
        </w:rPr>
        <w:t>Taking into account the management measures described above</w:t>
      </w:r>
      <w:r w:rsidRPr="005C27B4">
        <w:rPr>
          <w:rFonts w:eastAsia="Times New Roman" w:cs="Arial"/>
          <w:noProof/>
          <w:lang w:eastAsia="en-AU"/>
        </w:rPr>
        <w:t xml:space="preserve">, </w:t>
      </w:r>
      <w:r w:rsidR="0091344F" w:rsidRPr="005C27B4">
        <w:rPr>
          <w:rFonts w:eastAsia="Times New Roman" w:cs="Arial"/>
          <w:noProof/>
          <w:lang w:eastAsia="en-AU"/>
        </w:rPr>
        <w:t>including catch and gear restrictions</w:t>
      </w:r>
      <w:r w:rsidR="005C27B4" w:rsidRPr="005C27B4">
        <w:rPr>
          <w:rFonts w:eastAsia="Times New Roman" w:cs="Arial"/>
          <w:noProof/>
          <w:lang w:eastAsia="en-AU"/>
        </w:rPr>
        <w:t>, seasonal closures and regular stock assessment for most key species,</w:t>
      </w:r>
      <w:r w:rsidR="005C27B4">
        <w:rPr>
          <w:rFonts w:eastAsia="Times New Roman" w:cs="Arial"/>
          <w:noProof/>
          <w:color w:val="4F81BD"/>
          <w:lang w:eastAsia="en-AU"/>
        </w:rPr>
        <w:t xml:space="preserve"> </w:t>
      </w:r>
      <w:r w:rsidR="00B4177F">
        <w:rPr>
          <w:rFonts w:eastAsia="Times New Roman" w:cs="Arial"/>
          <w:noProof/>
          <w:lang w:eastAsia="en-AU"/>
        </w:rPr>
        <w:t>the D</w:t>
      </w:r>
      <w:r w:rsidRPr="003E053F">
        <w:rPr>
          <w:rFonts w:eastAsia="Times New Roman" w:cs="Arial"/>
          <w:noProof/>
          <w:lang w:eastAsia="en-AU"/>
        </w:rPr>
        <w:t xml:space="preserve">epartment considers that the management regime for the </w:t>
      </w:r>
      <w:r w:rsidR="00A05BFA">
        <w:rPr>
          <w:rFonts w:eastAsia="Times New Roman" w:cs="Arial"/>
          <w:noProof/>
          <w:lang w:eastAsia="en-AU"/>
        </w:rPr>
        <w:t>East Coast Inshore Fin Fish Fishery</w:t>
      </w:r>
      <w:r w:rsidRPr="003E053F">
        <w:rPr>
          <w:rFonts w:eastAsia="Times New Roman" w:cs="Arial"/>
          <w:lang w:eastAsia="en-AU"/>
        </w:rPr>
        <w:t xml:space="preserve"> </w:t>
      </w:r>
      <w:r w:rsidRPr="003E053F">
        <w:rPr>
          <w:rFonts w:eastAsia="Times New Roman" w:cs="Arial"/>
          <w:noProof/>
          <w:lang w:eastAsia="en-AU"/>
        </w:rPr>
        <w:t xml:space="preserve">provides </w:t>
      </w:r>
      <w:r w:rsidRPr="003E053F">
        <w:rPr>
          <w:rFonts w:eastAsia="Times New Roman" w:cs="Arial"/>
          <w:lang w:eastAsia="en-AU"/>
        </w:rPr>
        <w:t>for fishing operations to be managed to minimise their impact on the structure, productivity, function and biological diversity of the ecosystem.</w:t>
      </w:r>
    </w:p>
    <w:p w14:paraId="2F5C3B58" w14:textId="77777777" w:rsidR="00F64E94" w:rsidRPr="00F64E94" w:rsidRDefault="00F64E94" w:rsidP="0091344F">
      <w:pPr>
        <w:spacing w:after="0"/>
        <w:ind w:left="-426" w:right="-143"/>
        <w:rPr>
          <w:rFonts w:eastAsia="Times New Roman" w:cs="Arial"/>
          <w:lang w:eastAsia="en-AU"/>
        </w:rPr>
      </w:pPr>
      <w:r w:rsidRPr="00F64E94">
        <w:rPr>
          <w:rFonts w:eastAsia="Times New Roman" w:cs="Arial"/>
          <w:b/>
          <w:lang w:eastAsia="en-AU"/>
        </w:rPr>
        <w:t>Conclusion</w:t>
      </w:r>
    </w:p>
    <w:p w14:paraId="2F5C3B59" w14:textId="77777777" w:rsidR="00605753" w:rsidRDefault="00D34583" w:rsidP="0091344F">
      <w:pPr>
        <w:spacing w:after="120"/>
        <w:ind w:left="-426" w:right="-143"/>
        <w:rPr>
          <w:rFonts w:eastAsia="Times New Roman" w:cs="Arial"/>
          <w:lang w:eastAsia="en-AU"/>
        </w:rPr>
      </w:pPr>
      <w:r>
        <w:rPr>
          <w:rFonts w:eastAsia="Times New Roman" w:cs="Arial"/>
          <w:lang w:eastAsia="en-AU"/>
        </w:rPr>
        <w:t>The D</w:t>
      </w:r>
      <w:r w:rsidR="003E053F" w:rsidRPr="003E053F">
        <w:rPr>
          <w:rFonts w:eastAsia="Times New Roman" w:cs="Arial"/>
          <w:lang w:eastAsia="en-AU"/>
        </w:rPr>
        <w:t>epartment considers that, until i</w:t>
      </w:r>
      <w:r w:rsidR="005C27B4">
        <w:rPr>
          <w:rFonts w:eastAsia="Times New Roman" w:cs="Arial"/>
          <w:lang w:eastAsia="en-AU"/>
        </w:rPr>
        <w:t>t can be demonstrated that the</w:t>
      </w:r>
      <w:r w:rsidR="003E053F" w:rsidRPr="003E053F">
        <w:rPr>
          <w:rFonts w:eastAsia="Times New Roman" w:cs="Arial"/>
          <w:lang w:eastAsia="en-AU"/>
        </w:rPr>
        <w:t xml:space="preserve"> issues </w:t>
      </w:r>
      <w:r w:rsidR="007D7A2B">
        <w:rPr>
          <w:rFonts w:eastAsia="Times New Roman" w:cs="Arial"/>
          <w:lang w:eastAsia="en-AU"/>
        </w:rPr>
        <w:t>identified above</w:t>
      </w:r>
      <w:r w:rsidR="003E053F" w:rsidRPr="003E053F">
        <w:rPr>
          <w:rFonts w:eastAsia="Times New Roman" w:cs="Arial"/>
          <w:lang w:eastAsia="en-AU"/>
        </w:rPr>
        <w:t xml:space="preserve"> </w:t>
      </w:r>
      <w:r w:rsidR="001A6CB9">
        <w:rPr>
          <w:rFonts w:eastAsia="Times New Roman" w:cs="Arial"/>
          <w:lang w:eastAsia="en-AU"/>
        </w:rPr>
        <w:t xml:space="preserve">have </w:t>
      </w:r>
      <w:r w:rsidR="003E053F" w:rsidRPr="003E053F">
        <w:rPr>
          <w:rFonts w:eastAsia="Times New Roman" w:cs="Arial"/>
          <w:lang w:eastAsia="en-AU"/>
        </w:rPr>
        <w:t xml:space="preserve">been adequately addressed, </w:t>
      </w:r>
      <w:r w:rsidR="007D7A2B">
        <w:rPr>
          <w:rFonts w:eastAsia="Times New Roman" w:cs="Arial"/>
          <w:lang w:eastAsia="en-AU"/>
        </w:rPr>
        <w:t xml:space="preserve">extending the </w:t>
      </w:r>
      <w:r w:rsidR="003E053F" w:rsidRPr="003E053F">
        <w:rPr>
          <w:rFonts w:eastAsia="Times New Roman" w:cs="Arial"/>
          <w:lang w:eastAsia="en-AU"/>
        </w:rPr>
        <w:t>wi</w:t>
      </w:r>
      <w:r>
        <w:rPr>
          <w:rFonts w:eastAsia="Times New Roman" w:cs="Arial"/>
          <w:lang w:eastAsia="en-AU"/>
        </w:rPr>
        <w:t xml:space="preserve">ldlife trade operation </w:t>
      </w:r>
      <w:r w:rsidR="007D7A2B">
        <w:rPr>
          <w:rFonts w:eastAsia="Times New Roman" w:cs="Arial"/>
          <w:lang w:eastAsia="en-AU"/>
        </w:rPr>
        <w:t xml:space="preserve">declaration </w:t>
      </w:r>
      <w:r w:rsidRPr="005E6F37">
        <w:rPr>
          <w:rFonts w:eastAsia="Times New Roman" w:cs="Arial"/>
          <w:lang w:eastAsia="en-AU"/>
        </w:rPr>
        <w:t xml:space="preserve">for </w:t>
      </w:r>
      <w:r w:rsidR="005E6F37" w:rsidRPr="005E6F37">
        <w:rPr>
          <w:rFonts w:eastAsia="Times New Roman" w:cs="Arial"/>
          <w:lang w:eastAsia="en-AU"/>
        </w:rPr>
        <w:t>two</w:t>
      </w:r>
      <w:r w:rsidRPr="005E6F37">
        <w:rPr>
          <w:rFonts w:eastAsia="Times New Roman" w:cs="Arial"/>
          <w:lang w:eastAsia="en-AU"/>
        </w:rPr>
        <w:t xml:space="preserve"> year</w:t>
      </w:r>
      <w:r w:rsidR="005E6F37" w:rsidRPr="005E6F37">
        <w:rPr>
          <w:rFonts w:eastAsia="Times New Roman" w:cs="Arial"/>
          <w:lang w:eastAsia="en-AU"/>
        </w:rPr>
        <w:t>s</w:t>
      </w:r>
      <w:r w:rsidR="003E053F" w:rsidRPr="005E6F37">
        <w:rPr>
          <w:rFonts w:eastAsia="Times New Roman" w:cs="Arial"/>
          <w:lang w:eastAsia="en-AU"/>
        </w:rPr>
        <w:t xml:space="preserve">, until </w:t>
      </w:r>
      <w:r w:rsidR="005E6F37" w:rsidRPr="005E6F37">
        <w:rPr>
          <w:rFonts w:eastAsia="Times New Roman" w:cs="Arial"/>
          <w:lang w:eastAsia="en-AU"/>
        </w:rPr>
        <w:t>28 September</w:t>
      </w:r>
      <w:r w:rsidRPr="005E6F37">
        <w:rPr>
          <w:rFonts w:eastAsia="Times New Roman" w:cs="Arial"/>
          <w:lang w:eastAsia="en-AU"/>
        </w:rPr>
        <w:t xml:space="preserve"> 201</w:t>
      </w:r>
      <w:r w:rsidR="005E6F37" w:rsidRPr="005E6F37">
        <w:rPr>
          <w:rFonts w:eastAsia="Times New Roman" w:cs="Arial"/>
          <w:lang w:eastAsia="en-AU"/>
        </w:rPr>
        <w:t>8</w:t>
      </w:r>
      <w:r w:rsidRPr="005E6F37">
        <w:rPr>
          <w:rFonts w:eastAsia="Times New Roman" w:cs="Arial"/>
          <w:lang w:eastAsia="en-AU"/>
        </w:rPr>
        <w:t>, is</w:t>
      </w:r>
      <w:r>
        <w:rPr>
          <w:rFonts w:eastAsia="Times New Roman" w:cs="Arial"/>
          <w:lang w:eastAsia="en-AU"/>
        </w:rPr>
        <w:t xml:space="preserve"> appropriate. T</w:t>
      </w:r>
      <w:r w:rsidR="0029669D">
        <w:rPr>
          <w:rFonts w:eastAsia="Times New Roman" w:cs="Arial"/>
          <w:lang w:eastAsia="en-AU"/>
        </w:rPr>
        <w:t>o address the issues identified above, t</w:t>
      </w:r>
      <w:r>
        <w:rPr>
          <w:rFonts w:eastAsia="Times New Roman" w:cs="Arial"/>
          <w:lang w:eastAsia="en-AU"/>
        </w:rPr>
        <w:t>he D</w:t>
      </w:r>
      <w:r w:rsidR="003E053F" w:rsidRPr="003E053F">
        <w:rPr>
          <w:rFonts w:eastAsia="Times New Roman" w:cs="Arial"/>
          <w:lang w:eastAsia="en-AU"/>
        </w:rPr>
        <w:t xml:space="preserve">epartment considers that the </w:t>
      </w:r>
      <w:r w:rsidR="0029669D">
        <w:rPr>
          <w:rFonts w:eastAsia="Times New Roman" w:cs="Arial"/>
          <w:lang w:eastAsia="en-AU"/>
        </w:rPr>
        <w:t xml:space="preserve">wildlife trade </w:t>
      </w:r>
      <w:r w:rsidR="003E053F" w:rsidRPr="003E053F">
        <w:rPr>
          <w:rFonts w:eastAsia="Times New Roman" w:cs="Arial"/>
          <w:lang w:eastAsia="en-AU"/>
        </w:rPr>
        <w:t xml:space="preserve">declaration </w:t>
      </w:r>
      <w:r w:rsidR="0091344F">
        <w:rPr>
          <w:rFonts w:eastAsia="Times New Roman" w:cs="Arial"/>
          <w:lang w:eastAsia="en-AU"/>
        </w:rPr>
        <w:t xml:space="preserve">and the Part 13 accreditation for the fishery </w:t>
      </w:r>
      <w:r w:rsidR="003E053F" w:rsidRPr="003E053F">
        <w:rPr>
          <w:rFonts w:eastAsia="Times New Roman" w:cs="Arial"/>
          <w:lang w:eastAsia="en-AU"/>
        </w:rPr>
        <w:t xml:space="preserve">should be </w:t>
      </w:r>
      <w:r w:rsidR="0029669D">
        <w:rPr>
          <w:rFonts w:eastAsia="Times New Roman" w:cs="Arial"/>
          <w:lang w:eastAsia="en-AU"/>
        </w:rPr>
        <w:t xml:space="preserve">varied to be </w:t>
      </w:r>
      <w:r w:rsidR="003E053F" w:rsidRPr="003E053F">
        <w:rPr>
          <w:rFonts w:eastAsia="Times New Roman" w:cs="Arial"/>
          <w:lang w:eastAsia="en-AU"/>
        </w:rPr>
        <w:t xml:space="preserve">subject to the conditions listed in </w:t>
      </w:r>
      <w:r w:rsidR="003E053F" w:rsidRPr="0029669D">
        <w:rPr>
          <w:rFonts w:eastAsia="Times New Roman" w:cs="Arial"/>
          <w:b/>
          <w:lang w:eastAsia="en-AU"/>
        </w:rPr>
        <w:t xml:space="preserve">Table </w:t>
      </w:r>
      <w:r w:rsidR="0029669D">
        <w:rPr>
          <w:rFonts w:eastAsia="Times New Roman" w:cs="Arial"/>
          <w:b/>
          <w:lang w:eastAsia="en-AU"/>
        </w:rPr>
        <w:t>3</w:t>
      </w:r>
      <w:r w:rsidR="003E053F" w:rsidRPr="003E053F">
        <w:rPr>
          <w:rFonts w:eastAsia="Times New Roman" w:cs="Arial"/>
          <w:lang w:eastAsia="en-AU"/>
        </w:rPr>
        <w:t xml:space="preserve">. To contain and minimise the risks in the longer term the recommendation in </w:t>
      </w:r>
      <w:r w:rsidR="003E053F" w:rsidRPr="0029669D">
        <w:rPr>
          <w:rFonts w:eastAsia="Times New Roman" w:cs="Arial"/>
          <w:b/>
          <w:lang w:eastAsia="en-AU"/>
        </w:rPr>
        <w:t>Table </w:t>
      </w:r>
      <w:r w:rsidR="0029669D" w:rsidRPr="0029669D">
        <w:rPr>
          <w:rFonts w:eastAsia="Times New Roman" w:cs="Arial"/>
          <w:b/>
          <w:lang w:eastAsia="en-AU"/>
        </w:rPr>
        <w:t>3</w:t>
      </w:r>
      <w:r w:rsidR="0029669D">
        <w:rPr>
          <w:rFonts w:eastAsia="Times New Roman" w:cs="Arial"/>
          <w:lang w:eastAsia="en-AU"/>
        </w:rPr>
        <w:t xml:space="preserve"> </w:t>
      </w:r>
      <w:r w:rsidR="003E053F" w:rsidRPr="003E053F">
        <w:rPr>
          <w:rFonts w:eastAsia="Times New Roman" w:cs="Arial"/>
          <w:lang w:eastAsia="en-AU"/>
        </w:rPr>
        <w:t>ha</w:t>
      </w:r>
      <w:r w:rsidR="005E6F37">
        <w:rPr>
          <w:rFonts w:eastAsia="Times New Roman" w:cs="Arial"/>
          <w:lang w:eastAsia="en-AU"/>
        </w:rPr>
        <w:t>s</w:t>
      </w:r>
      <w:r w:rsidR="003E053F" w:rsidRPr="003E053F">
        <w:rPr>
          <w:rFonts w:eastAsia="Times New Roman" w:cs="Arial"/>
          <w:lang w:eastAsia="en-AU"/>
        </w:rPr>
        <w:t xml:space="preserve"> </w:t>
      </w:r>
      <w:r w:rsidR="00605753">
        <w:rPr>
          <w:rFonts w:eastAsia="Times New Roman" w:cs="Arial"/>
          <w:lang w:eastAsia="en-AU"/>
        </w:rPr>
        <w:t xml:space="preserve">also </w:t>
      </w:r>
      <w:r w:rsidR="003E053F" w:rsidRPr="003E053F">
        <w:rPr>
          <w:rFonts w:eastAsia="Times New Roman" w:cs="Arial"/>
          <w:lang w:eastAsia="en-AU"/>
        </w:rPr>
        <w:t xml:space="preserve">been made. </w:t>
      </w:r>
    </w:p>
    <w:p w14:paraId="2F5C3B5A" w14:textId="77777777" w:rsidR="003E053F" w:rsidRDefault="003E053F" w:rsidP="00E545C7">
      <w:pPr>
        <w:spacing w:after="120"/>
        <w:ind w:left="-426" w:right="-143"/>
        <w:rPr>
          <w:rFonts w:cs="Arial"/>
        </w:rPr>
      </w:pPr>
      <w:r w:rsidRPr="003E053F">
        <w:rPr>
          <w:rFonts w:eastAsia="Times New Roman" w:cs="Arial"/>
          <w:lang w:eastAsia="en-AU"/>
        </w:rPr>
        <w:t>Unless a specific time frame is provided, each condition and recommendation must be addressed within the period of the declaration of the fishery as an approved wildlife trade operation.</w:t>
      </w:r>
      <w:r w:rsidR="00004336" w:rsidRPr="007D7A2B">
        <w:rPr>
          <w:rFonts w:eastAsia="Times New Roman" w:cs="Arial"/>
        </w:rPr>
        <w:t xml:space="preserve"> </w:t>
      </w:r>
    </w:p>
    <w:p w14:paraId="2F5C3B5B" w14:textId="77777777" w:rsidR="003E053F" w:rsidRDefault="003E053F" w:rsidP="001955CD">
      <w:pPr>
        <w:outlineLvl w:val="0"/>
        <w:rPr>
          <w:rFonts w:cs="Arial"/>
        </w:rPr>
        <w:sectPr w:rsidR="003E053F" w:rsidSect="00605753">
          <w:pgSz w:w="11906" w:h="16838"/>
          <w:pgMar w:top="1134" w:right="1701" w:bottom="851" w:left="1701" w:header="709" w:footer="709" w:gutter="0"/>
          <w:cols w:space="708"/>
          <w:docGrid w:linePitch="360"/>
        </w:sectPr>
      </w:pPr>
    </w:p>
    <w:p w14:paraId="2F5C3B5C" w14:textId="77777777" w:rsidR="00B6012C" w:rsidRPr="007430E0" w:rsidRDefault="00B6012C" w:rsidP="003B2900">
      <w:pPr>
        <w:pStyle w:val="Heading6"/>
        <w:ind w:left="345"/>
        <w:rPr>
          <w:rFonts w:ascii="Arial" w:hAnsi="Arial" w:cs="Arial"/>
        </w:rPr>
      </w:pPr>
      <w:bookmarkStart w:id="4" w:name="_Toc316301052"/>
      <w:r w:rsidRPr="00B065BF">
        <w:rPr>
          <w:rStyle w:val="Heading1Char"/>
          <w:rFonts w:ascii="Arial" w:hAnsi="Arial"/>
          <w:b/>
        </w:rPr>
        <w:lastRenderedPageBreak/>
        <w:t>Table 4</w:t>
      </w:r>
      <w:r w:rsidRPr="007430E0">
        <w:rPr>
          <w:rFonts w:ascii="Arial" w:hAnsi="Arial" w:cs="Arial"/>
        </w:rPr>
        <w:t xml:space="preserve">: </w:t>
      </w:r>
      <w:r w:rsidR="003B2900">
        <w:rPr>
          <w:rFonts w:ascii="Arial" w:hAnsi="Arial" w:cs="Arial"/>
        </w:rPr>
        <w:t>Queensland East Coast Inshore Fin Fish Fishery</w:t>
      </w:r>
      <w:r w:rsidRPr="007430E0">
        <w:rPr>
          <w:rFonts w:ascii="Arial" w:hAnsi="Arial" w:cs="Arial"/>
        </w:rPr>
        <w:t xml:space="preserve"> Assessment – Summary of Issues, </w:t>
      </w:r>
      <w:r w:rsidRPr="003B2900">
        <w:rPr>
          <w:rFonts w:ascii="Arial" w:hAnsi="Arial" w:cs="Arial"/>
        </w:rPr>
        <w:t xml:space="preserve">Conditions and Recommendation </w:t>
      </w:r>
      <w:bookmarkEnd w:id="4"/>
      <w:r w:rsidR="003B2900" w:rsidRPr="003B2900">
        <w:rPr>
          <w:rFonts w:ascii="Arial" w:hAnsi="Arial" w:cs="Arial"/>
        </w:rPr>
        <w:t>September, 2016</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B6012C" w:rsidRPr="00F6308F" w14:paraId="2F5C3B5F" w14:textId="77777777" w:rsidTr="001955CD">
        <w:trPr>
          <w:tblHeader/>
          <w:jc w:val="center"/>
        </w:trPr>
        <w:tc>
          <w:tcPr>
            <w:tcW w:w="8892" w:type="dxa"/>
            <w:shd w:val="clear" w:color="auto" w:fill="D9D9D9"/>
          </w:tcPr>
          <w:p w14:paraId="2F5C3B5D" w14:textId="77777777" w:rsidR="00B6012C" w:rsidRPr="00F6308F" w:rsidRDefault="00B6012C" w:rsidP="001955CD">
            <w:pPr>
              <w:rPr>
                <w:rFonts w:cs="Arial"/>
                <w:b/>
              </w:rPr>
            </w:pPr>
            <w:r w:rsidRPr="00F6308F">
              <w:rPr>
                <w:rFonts w:cs="Arial"/>
                <w:b/>
              </w:rPr>
              <w:t>Issue</w:t>
            </w:r>
          </w:p>
        </w:tc>
        <w:tc>
          <w:tcPr>
            <w:tcW w:w="5189" w:type="dxa"/>
            <w:shd w:val="clear" w:color="auto" w:fill="D9D9D9"/>
          </w:tcPr>
          <w:p w14:paraId="2F5C3B5E" w14:textId="77777777" w:rsidR="00B6012C" w:rsidRPr="00BA50DB" w:rsidRDefault="00C74EC9" w:rsidP="003B2900">
            <w:pPr>
              <w:rPr>
                <w:rFonts w:cs="Arial"/>
                <w:b/>
              </w:rPr>
            </w:pPr>
            <w:r>
              <w:rPr>
                <w:rFonts w:cs="Arial"/>
                <w:b/>
              </w:rPr>
              <w:t xml:space="preserve">Part 13A </w:t>
            </w:r>
            <w:r w:rsidR="00B6012C" w:rsidRPr="00BA50DB">
              <w:rPr>
                <w:rFonts w:cs="Arial"/>
                <w:b/>
              </w:rPr>
              <w:t xml:space="preserve">Condition </w:t>
            </w:r>
          </w:p>
        </w:tc>
      </w:tr>
      <w:tr w:rsidR="00B6012C" w:rsidRPr="00F6308F" w14:paraId="2F5C3B66" w14:textId="77777777" w:rsidTr="001955CD">
        <w:trPr>
          <w:jc w:val="center"/>
        </w:trPr>
        <w:tc>
          <w:tcPr>
            <w:tcW w:w="8892" w:type="dxa"/>
          </w:tcPr>
          <w:p w14:paraId="2F5C3B60" w14:textId="77777777" w:rsidR="00B6012C" w:rsidRPr="00F6308F" w:rsidRDefault="00B6012C" w:rsidP="00D67360">
            <w:pPr>
              <w:spacing w:after="0"/>
              <w:rPr>
                <w:rFonts w:cs="Arial"/>
                <w:u w:val="single"/>
              </w:rPr>
            </w:pPr>
            <w:r w:rsidRPr="00F6308F">
              <w:rPr>
                <w:rFonts w:cs="Arial"/>
                <w:u w:val="single"/>
              </w:rPr>
              <w:t>General Management</w:t>
            </w:r>
          </w:p>
          <w:p w14:paraId="2F5C3B61" w14:textId="77777777" w:rsidR="00B6012C" w:rsidRPr="00F6308F" w:rsidRDefault="00B6012C" w:rsidP="001955CD">
            <w:pPr>
              <w:rPr>
                <w:rFonts w:cs="Arial"/>
              </w:rPr>
            </w:pPr>
            <w:r w:rsidRPr="00F6308F">
              <w:rPr>
                <w:rFonts w:cs="Arial"/>
              </w:rPr>
              <w:t>Export decisions relate to the arrangements in force at the time of the decision. To ensure that these decisions remain valid and export approval continues uninterrupted, t</w:t>
            </w:r>
            <w:r>
              <w:rPr>
                <w:rFonts w:cs="Arial"/>
              </w:rPr>
              <w:t>he Department of the Environment</w:t>
            </w:r>
            <w:r w:rsidRPr="00F6308F">
              <w:rPr>
                <w:rFonts w:cs="Arial"/>
              </w:rPr>
              <w:t xml:space="preserve"> </w:t>
            </w:r>
            <w:r w:rsidR="003B2900">
              <w:rPr>
                <w:rFonts w:cs="Arial"/>
              </w:rPr>
              <w:t xml:space="preserve">and Energy </w:t>
            </w:r>
            <w:r w:rsidRPr="00F6308F">
              <w:rPr>
                <w:rFonts w:cs="Arial"/>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w:t>
            </w:r>
            <w:r>
              <w:rPr>
                <w:rFonts w:cs="Arial"/>
              </w:rPr>
              <w:t xml:space="preserve">EPBC Act </w:t>
            </w:r>
            <w:r w:rsidRPr="00F6308F">
              <w:rPr>
                <w:rFonts w:cs="Arial"/>
              </w:rPr>
              <w:t>protected species or the ecosystem.</w:t>
            </w:r>
          </w:p>
        </w:tc>
        <w:tc>
          <w:tcPr>
            <w:tcW w:w="5189" w:type="dxa"/>
          </w:tcPr>
          <w:p w14:paraId="2F5C3B62" w14:textId="77777777" w:rsidR="00B6012C" w:rsidRPr="00BA50DB" w:rsidRDefault="00B6012C" w:rsidP="00D67360">
            <w:pPr>
              <w:spacing w:after="0"/>
              <w:rPr>
                <w:rFonts w:cs="Arial"/>
              </w:rPr>
            </w:pPr>
            <w:r w:rsidRPr="00BA50DB">
              <w:rPr>
                <w:rFonts w:cs="Arial"/>
                <w:b/>
              </w:rPr>
              <w:t>Condition 1</w:t>
            </w:r>
            <w:r w:rsidRPr="00BA50DB">
              <w:rPr>
                <w:rFonts w:cs="Arial"/>
              </w:rPr>
              <w:t>:</w:t>
            </w:r>
          </w:p>
          <w:p w14:paraId="2F5C3B63" w14:textId="77777777" w:rsidR="00B6012C" w:rsidRPr="00BA50DB" w:rsidRDefault="00B6012C" w:rsidP="001955CD">
            <w:pPr>
              <w:rPr>
                <w:rFonts w:cs="Arial"/>
              </w:rPr>
            </w:pPr>
            <w:r w:rsidRPr="00BA50DB">
              <w:rPr>
                <w:rFonts w:cs="Arial"/>
              </w:rPr>
              <w:t xml:space="preserve">Operation of the </w:t>
            </w:r>
            <w:r w:rsidR="00BA50DB" w:rsidRPr="00BA50DB">
              <w:rPr>
                <w:rFonts w:cs="Arial"/>
              </w:rPr>
              <w:t>Queensland East Coast Inshore Fin Fish Fishery</w:t>
            </w:r>
            <w:r w:rsidRPr="00BA50DB">
              <w:rPr>
                <w:rFonts w:cs="Arial"/>
              </w:rPr>
              <w:t xml:space="preserve"> will be carried out in accordance with </w:t>
            </w:r>
            <w:r w:rsidR="00BA50DB" w:rsidRPr="00BA50DB">
              <w:rPr>
                <w:rFonts w:cs="Arial"/>
              </w:rPr>
              <w:t xml:space="preserve">the </w:t>
            </w:r>
            <w:r w:rsidR="00BA50DB" w:rsidRPr="00BA50DB">
              <w:rPr>
                <w:rFonts w:cs="Arial"/>
                <w:snapToGrid w:val="0"/>
              </w:rPr>
              <w:t xml:space="preserve">Queensland </w:t>
            </w:r>
            <w:r w:rsidR="00BA50DB" w:rsidRPr="00BA50DB">
              <w:rPr>
                <w:rFonts w:cs="Arial"/>
                <w:i/>
                <w:snapToGrid w:val="0"/>
              </w:rPr>
              <w:t>Fisheries Act 1994</w:t>
            </w:r>
            <w:r w:rsidR="00BA50DB" w:rsidRPr="00BA50DB">
              <w:rPr>
                <w:rFonts w:cs="Arial"/>
                <w:snapToGrid w:val="0"/>
              </w:rPr>
              <w:t xml:space="preserve"> and the Queensland Fisheries Regulation 2008</w:t>
            </w:r>
            <w:r w:rsidRPr="00BA50DB">
              <w:rPr>
                <w:rFonts w:cs="Arial"/>
                <w:i/>
              </w:rPr>
              <w:t xml:space="preserve">. </w:t>
            </w:r>
          </w:p>
          <w:p w14:paraId="2F5C3B64" w14:textId="77777777" w:rsidR="00B6012C" w:rsidRPr="00BA50DB" w:rsidRDefault="00B6012C" w:rsidP="00D67360">
            <w:pPr>
              <w:spacing w:after="0"/>
              <w:rPr>
                <w:rFonts w:cs="Arial"/>
              </w:rPr>
            </w:pPr>
            <w:r w:rsidRPr="00BA50DB">
              <w:rPr>
                <w:rFonts w:cs="Arial"/>
                <w:b/>
              </w:rPr>
              <w:t>Condition 2</w:t>
            </w:r>
            <w:r w:rsidRPr="00BA50DB">
              <w:rPr>
                <w:rFonts w:cs="Arial"/>
              </w:rPr>
              <w:t>:</w:t>
            </w:r>
          </w:p>
          <w:p w14:paraId="2F5C3B65" w14:textId="77777777" w:rsidR="00B6012C" w:rsidRPr="00BA50DB" w:rsidRDefault="00B6012C" w:rsidP="00BA50DB">
            <w:pPr>
              <w:rPr>
                <w:rFonts w:cs="Arial"/>
                <w:b/>
                <w:color w:val="3366FF"/>
              </w:rPr>
            </w:pPr>
            <w:r w:rsidRPr="00BA50DB">
              <w:rPr>
                <w:rFonts w:cs="Arial"/>
              </w:rPr>
              <w:t xml:space="preserve">The </w:t>
            </w:r>
            <w:r w:rsidR="00BA50DB" w:rsidRPr="00BA50DB">
              <w:rPr>
                <w:rFonts w:cs="Arial"/>
              </w:rPr>
              <w:t>Queensland Department of Agriculture and Fisheries</w:t>
            </w:r>
            <w:r w:rsidRPr="00BA50DB">
              <w:rPr>
                <w:rFonts w:cs="Arial"/>
              </w:rPr>
              <w:t xml:space="preserve"> to inform the Department of the Environment </w:t>
            </w:r>
            <w:r w:rsidR="003B2900" w:rsidRPr="00BA50DB">
              <w:rPr>
                <w:rFonts w:cs="Arial"/>
              </w:rPr>
              <w:t xml:space="preserve">and Energy </w:t>
            </w:r>
            <w:r w:rsidRPr="00BA50DB">
              <w:rPr>
                <w:rFonts w:cs="Arial"/>
              </w:rPr>
              <w:t xml:space="preserve">of any intended material changes to the </w:t>
            </w:r>
            <w:r w:rsidR="00BA50DB" w:rsidRPr="00BA50DB">
              <w:rPr>
                <w:rFonts w:cs="Arial"/>
              </w:rPr>
              <w:t>Queensland East Coast Inshore Fin Fish Fishery</w:t>
            </w:r>
            <w:r w:rsidRPr="00BA50DB">
              <w:rPr>
                <w:rFonts w:cs="Arial"/>
              </w:rPr>
              <w:t xml:space="preserve"> management arrangements that may affect the assessment against which </w:t>
            </w:r>
            <w:r w:rsidRPr="00BA50DB">
              <w:rPr>
                <w:rFonts w:cs="Arial"/>
                <w:i/>
                <w:iCs/>
              </w:rPr>
              <w:t>Environment Protection and Biodiversity Conservation Act 1999</w:t>
            </w:r>
            <w:r w:rsidRPr="00BA50DB">
              <w:rPr>
                <w:rFonts w:cs="Arial"/>
              </w:rPr>
              <w:t xml:space="preserve"> decisions are made.</w:t>
            </w:r>
          </w:p>
        </w:tc>
      </w:tr>
      <w:tr w:rsidR="00B6012C" w:rsidRPr="00F6308F" w14:paraId="2F5C3B6C" w14:textId="77777777" w:rsidTr="001955CD">
        <w:trPr>
          <w:jc w:val="center"/>
        </w:trPr>
        <w:tc>
          <w:tcPr>
            <w:tcW w:w="8892" w:type="dxa"/>
          </w:tcPr>
          <w:p w14:paraId="2F5C3B67" w14:textId="77777777" w:rsidR="00B6012C" w:rsidRPr="00F6308F" w:rsidRDefault="00B6012C" w:rsidP="00D67360">
            <w:pPr>
              <w:spacing w:after="0"/>
              <w:rPr>
                <w:rFonts w:cs="Arial"/>
              </w:rPr>
            </w:pPr>
            <w:r w:rsidRPr="00F6308F">
              <w:rPr>
                <w:rFonts w:cs="Arial"/>
                <w:u w:val="single"/>
              </w:rPr>
              <w:t>Annual Reporting</w:t>
            </w:r>
            <w:r w:rsidRPr="00F6308F">
              <w:rPr>
                <w:rFonts w:cs="Arial"/>
              </w:rPr>
              <w:t xml:space="preserve"> </w:t>
            </w:r>
          </w:p>
          <w:p w14:paraId="2F5C3B68" w14:textId="77777777" w:rsidR="00B6012C" w:rsidRPr="00F6308F" w:rsidRDefault="00B6012C" w:rsidP="00BA50DB">
            <w:pPr>
              <w:rPr>
                <w:rFonts w:cs="Arial"/>
                <w:highlight w:val="yellow"/>
              </w:rPr>
            </w:pPr>
            <w:r w:rsidRPr="00F6308F">
              <w:rPr>
                <w:rFonts w:cs="Arial"/>
              </w:rPr>
              <w:t>It is important that reports be</w:t>
            </w:r>
            <w:r>
              <w:rPr>
                <w:rFonts w:cs="Arial"/>
              </w:rPr>
              <w:t xml:space="preserve"> produced and presented to the D</w:t>
            </w:r>
            <w:r w:rsidRPr="00F6308F">
              <w:rPr>
                <w:rFonts w:cs="Arial"/>
              </w:rPr>
              <w:t xml:space="preserve">epartment annually in order for the performance of the fishery and progress in implementing the </w:t>
            </w:r>
            <w:r w:rsidRPr="00BA50DB">
              <w:rPr>
                <w:rFonts w:cs="Arial"/>
              </w:rPr>
              <w:t>conditions and</w:t>
            </w:r>
            <w:r w:rsidR="003B2900">
              <w:rPr>
                <w:rFonts w:cs="Arial"/>
              </w:rPr>
              <w:t xml:space="preserve"> recommendation</w:t>
            </w:r>
            <w:r w:rsidRPr="00F6308F">
              <w:rPr>
                <w:rFonts w:cs="Arial"/>
              </w:rPr>
              <w:t xml:space="preserve"> in this report and other managerial commitments to be monitored and assessed throughout the life of the declaration. Annual reports should follow Appendix B </w:t>
            </w:r>
            <w:r w:rsidRPr="00CE79B4">
              <w:rPr>
                <w:rFonts w:cs="Arial"/>
              </w:rPr>
              <w:t xml:space="preserve">to the </w:t>
            </w:r>
            <w:r w:rsidRPr="00BA50DB">
              <w:rPr>
                <w:rFonts w:cs="Arial"/>
                <w:i/>
              </w:rPr>
              <w:t>Guidelines for the Ecologically Sustainable Management of Fisheries - 2nd Edition</w:t>
            </w:r>
            <w:r w:rsidRPr="00CE79B4">
              <w:rPr>
                <w:rFonts w:cs="Arial"/>
              </w:rPr>
              <w:t xml:space="preserve"> and</w:t>
            </w:r>
            <w:r w:rsidRPr="00F6308F">
              <w:rPr>
                <w:rFonts w:cs="Arial"/>
              </w:rPr>
              <w:t xml:space="preserve"> include a description of the fishery, management arrangements in place, research and monitoring outcomes, recent catch data for all sectors of the fishery, status of target stock, interactions with </w:t>
            </w:r>
            <w:r>
              <w:rPr>
                <w:rFonts w:cs="Arial"/>
              </w:rPr>
              <w:t xml:space="preserve">EPBC Act </w:t>
            </w:r>
            <w:r w:rsidRPr="00F6308F">
              <w:rPr>
                <w:rFonts w:cs="Arial"/>
              </w:rPr>
              <w:t>protected species, impacts of the fishery on the ecosystem in which it operates an</w:t>
            </w:r>
            <w:r>
              <w:rPr>
                <w:rFonts w:cs="Arial"/>
              </w:rPr>
              <w:t>d progress in implementing the D</w:t>
            </w:r>
            <w:r w:rsidRPr="00F6308F">
              <w:rPr>
                <w:rFonts w:cs="Arial"/>
              </w:rPr>
              <w:t xml:space="preserve">epartment’s </w:t>
            </w:r>
            <w:r w:rsidRPr="00BA50DB">
              <w:rPr>
                <w:rFonts w:cs="Arial"/>
              </w:rPr>
              <w:t>conditions and</w:t>
            </w:r>
            <w:r w:rsidRPr="00F6308F">
              <w:rPr>
                <w:rFonts w:cs="Arial"/>
              </w:rPr>
              <w:t xml:space="preserve"> recommendations. Electronic copies of the gui</w:t>
            </w:r>
            <w:r>
              <w:rPr>
                <w:rFonts w:cs="Arial"/>
              </w:rPr>
              <w:t>delines are available from the D</w:t>
            </w:r>
            <w:r w:rsidRPr="00F6308F">
              <w:rPr>
                <w:rFonts w:cs="Arial"/>
              </w:rPr>
              <w:t xml:space="preserve">epartment’s website at </w:t>
            </w:r>
            <w:r w:rsidR="007430E0" w:rsidRPr="007430E0">
              <w:rPr>
                <w:rFonts w:cs="Arial"/>
              </w:rPr>
              <w:t>http://www.environment.gov.au/resource/guidelines-ecologically-sustainable-management-fisheries</w:t>
            </w:r>
          </w:p>
        </w:tc>
        <w:tc>
          <w:tcPr>
            <w:tcW w:w="5189" w:type="dxa"/>
          </w:tcPr>
          <w:p w14:paraId="2F5C3B69" w14:textId="77777777" w:rsidR="004E7333" w:rsidRDefault="004E7333" w:rsidP="00D67360">
            <w:pPr>
              <w:spacing w:after="0"/>
            </w:pPr>
            <w:r>
              <w:rPr>
                <w:b/>
                <w:bCs/>
              </w:rPr>
              <w:t>Condition 3</w:t>
            </w:r>
            <w:r>
              <w:t>:</w:t>
            </w:r>
          </w:p>
          <w:p w14:paraId="2F5C3B6A" w14:textId="77777777" w:rsidR="004E7333" w:rsidRDefault="004E7333" w:rsidP="004E7333">
            <w:r>
              <w:t xml:space="preserve">The </w:t>
            </w:r>
            <w:r w:rsidR="00BA50DB">
              <w:rPr>
                <w:rFonts w:cs="Arial"/>
              </w:rPr>
              <w:t>Queensland Department of Agriculture and Fisheries</w:t>
            </w:r>
            <w:r>
              <w:t xml:space="preserve"> to produce and present reports to the </w:t>
            </w:r>
            <w:r w:rsidR="008C74BB">
              <w:t>Department of the Environment and Energy</w:t>
            </w:r>
            <w:r>
              <w:t xml:space="preserve"> annually as per Appendix B of the </w:t>
            </w:r>
            <w:r>
              <w:rPr>
                <w:i/>
                <w:iCs/>
              </w:rPr>
              <w:t>Guidelines for the Ecologically Sustainable Management of Fisheries - 2nd Edition.</w:t>
            </w:r>
          </w:p>
          <w:p w14:paraId="2F5C3B6B" w14:textId="77777777" w:rsidR="00B6012C" w:rsidRPr="00F6308F" w:rsidRDefault="00B6012C" w:rsidP="001955CD">
            <w:pPr>
              <w:rPr>
                <w:rFonts w:cs="Arial"/>
                <w:iCs/>
              </w:rPr>
            </w:pPr>
          </w:p>
        </w:tc>
      </w:tr>
      <w:tr w:rsidR="00C221FC" w:rsidRPr="00F6308F" w14:paraId="2F5C3B75" w14:textId="77777777" w:rsidTr="001955CD">
        <w:trPr>
          <w:jc w:val="center"/>
        </w:trPr>
        <w:tc>
          <w:tcPr>
            <w:tcW w:w="8892" w:type="dxa"/>
          </w:tcPr>
          <w:p w14:paraId="2F5C3B6D" w14:textId="77777777" w:rsidR="00C221FC" w:rsidRPr="00BA50DB" w:rsidRDefault="00C221FC" w:rsidP="00C221FC">
            <w:pPr>
              <w:spacing w:after="0"/>
              <w:rPr>
                <w:rFonts w:cs="Arial"/>
                <w:u w:val="single"/>
              </w:rPr>
            </w:pPr>
            <w:r w:rsidRPr="00BA50DB">
              <w:rPr>
                <w:rFonts w:cs="Arial"/>
                <w:u w:val="single"/>
              </w:rPr>
              <w:lastRenderedPageBreak/>
              <w:t>Fishery harvest strategy</w:t>
            </w:r>
          </w:p>
          <w:p w14:paraId="2F5C3B6E" w14:textId="77777777" w:rsidR="00C221FC" w:rsidRPr="00BA50DB" w:rsidRDefault="00C221FC" w:rsidP="00C221FC">
            <w:pPr>
              <w:ind w:right="317"/>
              <w:rPr>
                <w:rFonts w:cs="Arial"/>
              </w:rPr>
            </w:pPr>
            <w:r w:rsidRPr="00BA50DB">
              <w:rPr>
                <w:rFonts w:cs="Arial"/>
              </w:rPr>
              <w:t xml:space="preserve">Currently, a comprehensive framework to allocate fisheries resources fairly and sustainably between commercial and recreational sectors is not in place in the </w:t>
            </w:r>
            <w:r w:rsidR="00A05BFA">
              <w:rPr>
                <w:rFonts w:cs="Arial"/>
              </w:rPr>
              <w:t>East Coast Inshore Fin Fish Fishery</w:t>
            </w:r>
            <w:r w:rsidRPr="00BA50DB">
              <w:rPr>
                <w:rFonts w:cs="Arial"/>
              </w:rPr>
              <w:t xml:space="preserve">. Without a strategy or policy to provide guidance on resource allocation, there is a risk of inconsistent and/or unpredictable fisheries management decisions, particularly over longer timeframes. In 2014, the Queensland Government commissioned a review of fisheries management in Queensland, which proposed a central management strategy to allocate resources transparently across all sectors and the environment. Recommendations for the design of a future fisheries management system are contained within the report ‘Taking stock: modernising fisheries management in Queensland’ (MRAG 2014). </w:t>
            </w:r>
          </w:p>
          <w:p w14:paraId="2F5C3B6F" w14:textId="77777777" w:rsidR="00C221FC" w:rsidRPr="00BA50DB" w:rsidRDefault="00C221FC" w:rsidP="00C221FC">
            <w:pPr>
              <w:rPr>
                <w:rFonts w:cs="Arial"/>
              </w:rPr>
            </w:pPr>
            <w:r w:rsidRPr="00BA50DB">
              <w:rPr>
                <w:rFonts w:cs="Arial"/>
              </w:rPr>
              <w:t>The Department agrees with an important finding of this report that all Queensland fisheries, including the East Coast Inshore Fin Fish Fishery, should be subject to clear harvest strategies aimed at meeting agreed stock management objectives. The harvest strategy should clearly identify key species</w:t>
            </w:r>
            <w:r>
              <w:rPr>
                <w:rFonts w:cs="Arial"/>
              </w:rPr>
              <w:t xml:space="preserve"> </w:t>
            </w:r>
            <w:r w:rsidRPr="00BA50DB">
              <w:rPr>
                <w:rFonts w:cs="Arial"/>
              </w:rPr>
              <w:t xml:space="preserve">and incorporate decision rules that have been developed in consultation with stakeholders. Harvest strategies can be tested using these rules and data to ensure that risk is contained within acceptable levels and that underlying uncertainties (about productivity of stocks or stock structure) are robustly considered. Harvest strategies can be effectively used in fisheries with variable levels of data, such as the East Coast Inshore Fin Fish Fishery. </w:t>
            </w:r>
          </w:p>
          <w:p w14:paraId="2F5C3B70" w14:textId="77777777" w:rsidR="00C221FC" w:rsidRPr="00BA50DB" w:rsidRDefault="00C221FC" w:rsidP="00C221FC">
            <w:pPr>
              <w:pageBreakBefore/>
              <w:spacing w:after="120"/>
              <w:rPr>
                <w:rFonts w:cs="Arial"/>
              </w:rPr>
            </w:pPr>
            <w:r w:rsidRPr="00BA50DB">
              <w:rPr>
                <w:rFonts w:cs="Arial"/>
              </w:rPr>
              <w:t xml:space="preserve">The Department notes that </w:t>
            </w:r>
            <w:r w:rsidR="00C74EC9">
              <w:rPr>
                <w:rFonts w:cs="Arial"/>
              </w:rPr>
              <w:t>this fishery</w:t>
            </w:r>
            <w:r w:rsidRPr="00BA50DB">
              <w:rPr>
                <w:rFonts w:cs="Arial"/>
              </w:rPr>
              <w:t xml:space="preserve"> already has a Performance Measurement System that contains triggers that, if reached, require review of the management arrangements within specified timeframes. However, this system has not been used to monitor the performance of the fishery since the Department’s last assessment in 2012, due to the Review into Management Arrangements for Queensland Fisheries. </w:t>
            </w:r>
          </w:p>
          <w:p w14:paraId="2F5C3B71" w14:textId="77777777" w:rsidR="00C221FC" w:rsidRPr="006D1455" w:rsidRDefault="00C221FC" w:rsidP="00C221FC">
            <w:pPr>
              <w:pageBreakBefore/>
              <w:spacing w:after="120"/>
              <w:rPr>
                <w:rFonts w:cs="Arial"/>
                <w:sz w:val="20"/>
                <w:szCs w:val="20"/>
              </w:rPr>
            </w:pPr>
            <w:r w:rsidRPr="00BA50DB">
              <w:rPr>
                <w:rFonts w:cs="Arial"/>
              </w:rPr>
              <w:t xml:space="preserve">The Department acknowledges the Queensland Department of Agriculture and Fisheries’ efforts to determine the stock status of key commercial species caught in the </w:t>
            </w:r>
            <w:r w:rsidR="00A05BFA">
              <w:rPr>
                <w:rFonts w:cs="Arial"/>
              </w:rPr>
              <w:t>East Coast Inshore Fin Fish Fishery</w:t>
            </w:r>
            <w:r w:rsidRPr="00BA50DB">
              <w:rPr>
                <w:rFonts w:cs="Arial"/>
              </w:rPr>
              <w:t xml:space="preserve">. However, the absence of a harvest strategy in a fishery of this scale is of significant concern. The lack of decision rules impairs capacity to ensure the </w:t>
            </w:r>
            <w:r w:rsidRPr="00BA50DB">
              <w:rPr>
                <w:rFonts w:cs="Arial"/>
              </w:rPr>
              <w:lastRenderedPageBreak/>
              <w:t xml:space="preserve">fishery is being managed sustainably, as there is no established course of action to prevent unsustainable exploitation of fish and shark species. </w:t>
            </w:r>
          </w:p>
        </w:tc>
        <w:tc>
          <w:tcPr>
            <w:tcW w:w="5189" w:type="dxa"/>
          </w:tcPr>
          <w:p w14:paraId="2F5C3B72" w14:textId="77777777" w:rsidR="00C221FC" w:rsidRDefault="00C221FC" w:rsidP="00D67360">
            <w:pPr>
              <w:spacing w:after="0"/>
              <w:ind w:right="-108"/>
              <w:rPr>
                <w:lang w:val="en-US"/>
              </w:rPr>
            </w:pPr>
            <w:r w:rsidRPr="00BA50DB">
              <w:rPr>
                <w:rFonts w:cs="Arial"/>
                <w:b/>
              </w:rPr>
              <w:lastRenderedPageBreak/>
              <w:t>Condition 4:</w:t>
            </w:r>
            <w:r w:rsidRPr="00BA50DB">
              <w:t xml:space="preserve"> </w:t>
            </w:r>
            <w:r w:rsidRPr="00BA50DB">
              <w:rPr>
                <w:lang w:val="en-US"/>
              </w:rPr>
              <w:t xml:space="preserve"> </w:t>
            </w:r>
          </w:p>
          <w:p w14:paraId="2F5C3B73" w14:textId="77777777" w:rsidR="00C221FC" w:rsidRPr="00BA50DB" w:rsidRDefault="00C221FC" w:rsidP="00C221FC">
            <w:pPr>
              <w:spacing w:after="120"/>
              <w:ind w:right="-108"/>
            </w:pPr>
            <w:r w:rsidRPr="00BA50DB">
              <w:rPr>
                <w:rFonts w:cs="Arial"/>
              </w:rPr>
              <w:t>The Queensland Department of Agriculture and Fisheries to develop a strategy for the harvest of key fish and shark species taken in the Queensland East Coast Inshore Fin Fish Fishery in consultation with relevant experts and stakeholders. The strategy should include</w:t>
            </w:r>
            <w:r w:rsidRPr="00BA50DB">
              <w:t xml:space="preserve"> decision rules and reference points that trigger management actions to ensure catch limits remain ecologically sustainable.</w:t>
            </w:r>
          </w:p>
          <w:p w14:paraId="2F5C3B74" w14:textId="77777777" w:rsidR="00C221FC" w:rsidRDefault="00C221FC" w:rsidP="00C221FC">
            <w:pPr>
              <w:rPr>
                <w:b/>
                <w:bCs/>
              </w:rPr>
            </w:pPr>
          </w:p>
        </w:tc>
      </w:tr>
      <w:tr w:rsidR="00C221FC" w:rsidRPr="00F6308F" w14:paraId="2F5C3B80" w14:textId="77777777" w:rsidTr="001955CD">
        <w:trPr>
          <w:jc w:val="center"/>
        </w:trPr>
        <w:tc>
          <w:tcPr>
            <w:tcW w:w="8892" w:type="dxa"/>
          </w:tcPr>
          <w:p w14:paraId="2F5C3B76" w14:textId="77777777" w:rsidR="00C221FC" w:rsidRPr="00C221FC" w:rsidRDefault="00C221FC" w:rsidP="00C221FC">
            <w:pPr>
              <w:spacing w:after="0"/>
              <w:rPr>
                <w:rFonts w:cs="Arial"/>
                <w:u w:val="single"/>
              </w:rPr>
            </w:pPr>
            <w:r w:rsidRPr="00C221FC">
              <w:rPr>
                <w:rFonts w:cs="Arial"/>
                <w:u w:val="single"/>
              </w:rPr>
              <w:t xml:space="preserve"> Reliable fisheries monitoring</w:t>
            </w:r>
          </w:p>
          <w:p w14:paraId="2F5C3B77" w14:textId="77777777" w:rsidR="00C221FC" w:rsidRPr="00C221FC" w:rsidRDefault="00C221FC" w:rsidP="00C221FC">
            <w:pPr>
              <w:pageBreakBefore/>
              <w:spacing w:after="120"/>
              <w:rPr>
                <w:rFonts w:cs="Arial"/>
              </w:rPr>
            </w:pPr>
            <w:r w:rsidRPr="00C221FC">
              <w:rPr>
                <w:rFonts w:cs="Arial"/>
              </w:rPr>
              <w:t xml:space="preserve">Given uncertainty in stock status for a number of fin fish and shark species in the East Coast Inshore Fin Fish Fishery and in the absence of a fishery based ecological risk assessment, there is an ongoing need for the Queensland Department of Agriculture and Fisheries to acquire information to support the ecologically sustainable management of the fishery. The Department acknowledges the considerable body of information collected by the observer program until it ceased in 2012 however, ongoing collection of reliable information is critical for understanding the impacts the fishery is having on the ecosystem, fin fish, sharks and bycatch, including EPBC Act protected species. </w:t>
            </w:r>
          </w:p>
          <w:p w14:paraId="2F5C3B78" w14:textId="77777777" w:rsidR="00C221FC" w:rsidRPr="00C221FC" w:rsidRDefault="00C221FC" w:rsidP="00C221FC">
            <w:pPr>
              <w:pageBreakBefore/>
              <w:spacing w:after="120"/>
              <w:rPr>
                <w:rFonts w:cs="Arial"/>
              </w:rPr>
            </w:pPr>
            <w:r w:rsidRPr="00C221FC">
              <w:rPr>
                <w:rFonts w:cs="Arial"/>
              </w:rPr>
              <w:t xml:space="preserve">The </w:t>
            </w:r>
            <w:r w:rsidRPr="00C221FC">
              <w:rPr>
                <w:rFonts w:cs="Arial"/>
                <w:i/>
              </w:rPr>
              <w:t>Great Barrier Reef Outlook Report 2014</w:t>
            </w:r>
            <w:r w:rsidRPr="00C221FC">
              <w:rPr>
                <w:rFonts w:cs="Arial"/>
              </w:rPr>
              <w:t xml:space="preserve"> highlights the importance of accurate and ongoing data collection for managing the impacts of fishing on the environment and for maintaining sustainability, particularly within the Great Barrier Reef World Heritage Area where the East Coast Inshore Fin Fish Fishery operates. </w:t>
            </w:r>
          </w:p>
          <w:p w14:paraId="2F5C3B79" w14:textId="77777777" w:rsidR="00C221FC" w:rsidRPr="00C221FC" w:rsidRDefault="00C221FC" w:rsidP="00C74EC9">
            <w:pPr>
              <w:pageBreakBefore/>
              <w:spacing w:after="0"/>
              <w:rPr>
                <w:rFonts w:cs="Arial"/>
              </w:rPr>
            </w:pPr>
            <w:r w:rsidRPr="00C221FC">
              <w:rPr>
                <w:rFonts w:cs="Arial"/>
              </w:rPr>
              <w:t>The Department considers it essential that the Queensland Department of Agriculture and Fisheries develop, implement and maintain a statistically robust monitoring regime for the fishery which will allow:</w:t>
            </w:r>
          </w:p>
          <w:p w14:paraId="2F5C3B7A" w14:textId="77777777" w:rsidR="00C221FC" w:rsidRPr="00C221FC" w:rsidRDefault="00C221FC" w:rsidP="00C221FC">
            <w:pPr>
              <w:pStyle w:val="ListBullet"/>
              <w:spacing w:after="120" w:line="240" w:lineRule="auto"/>
            </w:pPr>
            <w:r w:rsidRPr="00C221FC">
              <w:t xml:space="preserve">completion of stock assessments and the development of a strategy for harvest of fin fish, sharks and at-risk species (as per </w:t>
            </w:r>
            <w:r w:rsidRPr="00C221FC">
              <w:rPr>
                <w:b/>
              </w:rPr>
              <w:t>Condition 4</w:t>
            </w:r>
            <w:r w:rsidRPr="00C221FC">
              <w:t>)</w:t>
            </w:r>
          </w:p>
          <w:p w14:paraId="2F5C3B7B" w14:textId="77777777" w:rsidR="00C221FC" w:rsidRPr="00C221FC" w:rsidRDefault="00C221FC" w:rsidP="00C221FC">
            <w:pPr>
              <w:pStyle w:val="ListBullet"/>
              <w:spacing w:after="120" w:line="240" w:lineRule="auto"/>
            </w:pPr>
            <w:r w:rsidRPr="00C221FC">
              <w:t>identification of risks to target, byproduct and bycatch species, and for protected species at a regional level, and</w:t>
            </w:r>
          </w:p>
          <w:p w14:paraId="2F5C3B7C" w14:textId="77777777" w:rsidR="00C221FC" w:rsidRPr="00C221FC" w:rsidRDefault="00C221FC" w:rsidP="00C221FC">
            <w:pPr>
              <w:pStyle w:val="ListBullet"/>
              <w:pageBreakBefore/>
              <w:spacing w:after="120" w:line="240" w:lineRule="auto"/>
              <w:rPr>
                <w:rFonts w:cs="Arial"/>
              </w:rPr>
            </w:pPr>
            <w:r w:rsidRPr="00C221FC">
              <w:t xml:space="preserve">improved stakeholder confidence in effectiveness </w:t>
            </w:r>
            <w:r w:rsidR="00C74EC9">
              <w:t xml:space="preserve">of fishery </w:t>
            </w:r>
            <w:r w:rsidRPr="00C221FC">
              <w:t>management measures</w:t>
            </w:r>
          </w:p>
          <w:p w14:paraId="2F5C3B7D" w14:textId="77777777" w:rsidR="00C221FC" w:rsidRPr="00C221FC" w:rsidRDefault="00C221FC" w:rsidP="00C74EC9">
            <w:pPr>
              <w:spacing w:after="0"/>
              <w:rPr>
                <w:rFonts w:cs="Arial"/>
              </w:rPr>
            </w:pPr>
            <w:r w:rsidRPr="00C221FC">
              <w:rPr>
                <w:rFonts w:cs="Arial"/>
              </w:rPr>
              <w:t xml:space="preserve">This program should provide </w:t>
            </w:r>
            <w:r w:rsidRPr="00C221FC">
              <w:t xml:space="preserve">data that is independent of (and complementary to) fisher logbook data, be risk based and designed in consultation with relevant experts. It should also focus on those sectors in the fishery </w:t>
            </w:r>
            <w:r w:rsidRPr="00C221FC">
              <w:rPr>
                <w:rFonts w:cs="Arial"/>
              </w:rPr>
              <w:t>where key target and at-risk species are caught, and/or that are likely to interact with protected species.</w:t>
            </w:r>
            <w:r w:rsidR="00C74EC9">
              <w:rPr>
                <w:rFonts w:cs="Arial"/>
              </w:rPr>
              <w:t xml:space="preserve"> </w:t>
            </w:r>
            <w:r w:rsidRPr="00C221FC">
              <w:rPr>
                <w:rFonts w:cs="Arial"/>
              </w:rPr>
              <w:t>Fishery monitoring data should continue to be analysed and reported publicly, such as through the annual status reports for the fishery.</w:t>
            </w:r>
          </w:p>
        </w:tc>
        <w:tc>
          <w:tcPr>
            <w:tcW w:w="5189" w:type="dxa"/>
          </w:tcPr>
          <w:p w14:paraId="2F5C3B7E" w14:textId="77777777" w:rsidR="00C221FC" w:rsidRDefault="00C221FC" w:rsidP="00C74EC9">
            <w:pPr>
              <w:pageBreakBefore/>
              <w:spacing w:after="0"/>
              <w:rPr>
                <w:rFonts w:cs="Arial"/>
              </w:rPr>
            </w:pPr>
            <w:r w:rsidRPr="00C221FC">
              <w:rPr>
                <w:rFonts w:cs="Arial"/>
                <w:b/>
              </w:rPr>
              <w:t>Condition 5:</w:t>
            </w:r>
            <w:r w:rsidRPr="00C221FC">
              <w:rPr>
                <w:rFonts w:cs="Arial"/>
              </w:rPr>
              <w:t xml:space="preserve">  </w:t>
            </w:r>
          </w:p>
          <w:p w14:paraId="2F5C3B7F" w14:textId="77777777" w:rsidR="00C221FC" w:rsidRPr="00C221FC" w:rsidRDefault="00C221FC" w:rsidP="00C221FC">
            <w:pPr>
              <w:pageBreakBefore/>
              <w:spacing w:after="120"/>
              <w:rPr>
                <w:rFonts w:eastAsia="Times New Roman" w:cs="Arial"/>
                <w:b/>
              </w:rPr>
            </w:pPr>
            <w:r w:rsidRPr="00C221FC">
              <w:rPr>
                <w:rFonts w:cs="Arial"/>
              </w:rPr>
              <w:t>The Queensland Department of Agriculture and Fisheries to work with relevant stakeholders to determine an improved data collection and validation approach that can provide a robust monitoring regime to inform and allow evaluation of the strategy outlined in Condition 4</w:t>
            </w:r>
            <w:r>
              <w:rPr>
                <w:rFonts w:cs="Arial"/>
              </w:rPr>
              <w:t xml:space="preserve">, and the </w:t>
            </w:r>
            <w:r w:rsidR="00F278AC">
              <w:rPr>
                <w:rFonts w:cs="Arial"/>
              </w:rPr>
              <w:t xml:space="preserve">fishery’s </w:t>
            </w:r>
            <w:r>
              <w:rPr>
                <w:rFonts w:cs="Arial"/>
              </w:rPr>
              <w:t>risk to bycatch species</w:t>
            </w:r>
            <w:r w:rsidRPr="00C221FC">
              <w:rPr>
                <w:rFonts w:cs="Arial"/>
              </w:rPr>
              <w:t>.</w:t>
            </w:r>
          </w:p>
        </w:tc>
      </w:tr>
      <w:tr w:rsidR="00F278AC" w:rsidRPr="00F6308F" w14:paraId="2F5C3B8E" w14:textId="77777777" w:rsidTr="001955CD">
        <w:trPr>
          <w:jc w:val="center"/>
        </w:trPr>
        <w:tc>
          <w:tcPr>
            <w:tcW w:w="8892" w:type="dxa"/>
          </w:tcPr>
          <w:p w14:paraId="2F5C3B81" w14:textId="77777777" w:rsidR="00F278AC" w:rsidRPr="00F278AC" w:rsidRDefault="00F278AC" w:rsidP="00F278AC">
            <w:pPr>
              <w:spacing w:after="0"/>
              <w:rPr>
                <w:rFonts w:cs="Arial"/>
                <w:u w:val="single"/>
              </w:rPr>
            </w:pPr>
            <w:r w:rsidRPr="00F278AC">
              <w:rPr>
                <w:rFonts w:cs="Arial"/>
                <w:u w:val="single"/>
              </w:rPr>
              <w:lastRenderedPageBreak/>
              <w:t>Accurate recording of sharks to species level</w:t>
            </w:r>
          </w:p>
          <w:p w14:paraId="2F5C3B82" w14:textId="77777777" w:rsidR="00F278AC" w:rsidRPr="00F278AC" w:rsidRDefault="00F278AC" w:rsidP="00F278AC">
            <w:pPr>
              <w:rPr>
                <w:rFonts w:cs="Arial"/>
              </w:rPr>
            </w:pPr>
            <w:r w:rsidRPr="00F278AC">
              <w:rPr>
                <w:rFonts w:cs="Arial"/>
              </w:rPr>
              <w:t xml:space="preserve">The correct identification and reporting of sharks to species level is important in assessing the impact of a fishery on shark populations and for determining appropriate levels of sustainable shark harvest. The management of shark species through a grouped (or ‘complex) approach can therefore be problematic as one or more individual species may become overfished within the group without appropriate management intervention to prevent this. While recognising challenges with correct species identification, this remains crucial for the sustainability of shark species, particularly for high risk species such as Australian black tip sharks and hammerhead sharks within the Great Barrier Reef World Heritage Area. </w:t>
            </w:r>
          </w:p>
          <w:p w14:paraId="2F5C3B83" w14:textId="77777777" w:rsidR="00F278AC" w:rsidRPr="00F278AC" w:rsidRDefault="00F278AC" w:rsidP="00F278AC">
            <w:pPr>
              <w:rPr>
                <w:rFonts w:cs="Arial"/>
              </w:rPr>
            </w:pPr>
            <w:r w:rsidRPr="00F278AC">
              <w:rPr>
                <w:rFonts w:cs="Arial"/>
              </w:rPr>
              <w:t xml:space="preserve">Hammerhead sharks were listed under the Convention on International Trade in Endangered Species of Wild Fauna and Flora (CITES) in September 2014, following concerns of global depletion. Accurate reporting of hammerhead shark catch in the East Coast Inshore Fin Fish Fishery is important to enable ongoing assessments of Australia’s catch and trade to continue. A particular challenge for correct shark identification in Queensland arises from the allowable practice of filleting at sea. While there are clear practical advantages of filleting sharks at sea, this practice allows significant risk that the sharks may not be recorded correctly and high risk species may be landed without being identified. The Department considers it important that all sharks be landed intact to aid accurate identification to species level.  </w:t>
            </w:r>
          </w:p>
          <w:p w14:paraId="2F5C3B84" w14:textId="77777777" w:rsidR="00F278AC" w:rsidRPr="00F278AC" w:rsidRDefault="00F278AC" w:rsidP="00F278AC">
            <w:pPr>
              <w:rPr>
                <w:rFonts w:cs="Arial"/>
              </w:rPr>
            </w:pPr>
            <w:r w:rsidRPr="00F278AC">
              <w:rPr>
                <w:rFonts w:cs="Arial"/>
              </w:rPr>
              <w:t xml:space="preserve">The Department acknowledges the Queensland Department of Agriculture and Fisheries’ ongoing commitment to education programs and the targeted workshops held since 2012 which aimed to improve the identification and reporting of key species, including sharks. The Department considers it important that these education programs and workshops continue so that shark species can be identified correctly to species level and accurate catch data can be used to inform stock assessments. </w:t>
            </w:r>
          </w:p>
          <w:p w14:paraId="2F5C3B85" w14:textId="77777777" w:rsidR="00F278AC" w:rsidRPr="00F278AC" w:rsidRDefault="00F278AC" w:rsidP="00F278AC">
            <w:pPr>
              <w:spacing w:after="0"/>
              <w:outlineLvl w:val="2"/>
              <w:rPr>
                <w:rFonts w:cs="Arial"/>
                <w:u w:val="single"/>
              </w:rPr>
            </w:pPr>
            <w:r w:rsidRPr="00F278AC">
              <w:rPr>
                <w:rFonts w:cs="Arial"/>
                <w:u w:val="single"/>
              </w:rPr>
              <w:t>Removal of shark fins (finning)</w:t>
            </w:r>
          </w:p>
          <w:p w14:paraId="2F5C3B86" w14:textId="77777777" w:rsidR="00F278AC" w:rsidRPr="00F278AC" w:rsidRDefault="00F278AC" w:rsidP="00F278AC">
            <w:pPr>
              <w:rPr>
                <w:rFonts w:cs="Arial"/>
              </w:rPr>
            </w:pPr>
            <w:r w:rsidRPr="00F278AC">
              <w:rPr>
                <w:rFonts w:cs="Arial"/>
              </w:rPr>
              <w:t xml:space="preserve">'Finning' of sharks (removing the fins at sea and dumping the carcasses or 'trunks') has been identified as a threat to sharks globally. This practice is illegal in Queensland, and </w:t>
            </w:r>
            <w:r w:rsidRPr="00F278AC">
              <w:rPr>
                <w:rFonts w:cs="Arial"/>
              </w:rPr>
              <w:lastRenderedPageBreak/>
              <w:t xml:space="preserve">trunks of all sharks and rays caught must be landed. However, the Department remains concerned that the allowed practice of separating fins from the trunks of sharks in Queensland is a compliance risk, given the high value of fins. </w:t>
            </w:r>
          </w:p>
          <w:p w14:paraId="2F5C3B87" w14:textId="77777777" w:rsidR="00F278AC" w:rsidRPr="00F278AC" w:rsidRDefault="00F278AC" w:rsidP="00F278AC">
            <w:pPr>
              <w:rPr>
                <w:rFonts w:cs="Arial"/>
              </w:rPr>
            </w:pPr>
            <w:r w:rsidRPr="00F278AC">
              <w:rPr>
                <w:rFonts w:cs="Arial"/>
              </w:rPr>
              <w:t>Noting the emergence of advanced tools to assist in managing compliance with anti</w:t>
            </w:r>
            <w:r w:rsidRPr="00F278AC">
              <w:rPr>
                <w:rFonts w:cs="Arial"/>
              </w:rPr>
              <w:noBreakHyphen/>
              <w:t>finning regulations, the Department considers that the Queensland Department of Agriculture and Fisheries should commence work to ban the removal at sea of fins from sharks caught in the East Coast Inshore Fin Fish Fishery and for those fins to remain naturally attached to the shark carcass.</w:t>
            </w:r>
          </w:p>
        </w:tc>
        <w:tc>
          <w:tcPr>
            <w:tcW w:w="5189" w:type="dxa"/>
          </w:tcPr>
          <w:p w14:paraId="2F5C3B88" w14:textId="77777777" w:rsidR="00F278AC" w:rsidRDefault="00F278AC" w:rsidP="00C74EC9">
            <w:pPr>
              <w:tabs>
                <w:tab w:val="left" w:pos="1440"/>
              </w:tabs>
              <w:spacing w:after="0" w:line="240" w:lineRule="auto"/>
              <w:ind w:right="142"/>
              <w:rPr>
                <w:rFonts w:cs="Arial"/>
                <w:b/>
              </w:rPr>
            </w:pPr>
            <w:r>
              <w:rPr>
                <w:rFonts w:cs="Arial"/>
                <w:b/>
              </w:rPr>
              <w:lastRenderedPageBreak/>
              <w:t>Condition 6</w:t>
            </w:r>
            <w:r w:rsidRPr="00F278AC">
              <w:rPr>
                <w:rFonts w:cs="Arial"/>
                <w:b/>
              </w:rPr>
              <w:t xml:space="preserve">: </w:t>
            </w:r>
          </w:p>
          <w:p w14:paraId="2F5C3B89" w14:textId="77777777" w:rsidR="00F278AC" w:rsidRPr="00F278AC" w:rsidRDefault="00F278AC" w:rsidP="00F278AC">
            <w:pPr>
              <w:tabs>
                <w:tab w:val="left" w:pos="1440"/>
              </w:tabs>
              <w:spacing w:after="120" w:line="240" w:lineRule="auto"/>
              <w:ind w:right="142"/>
              <w:rPr>
                <w:rFonts w:cs="Arial"/>
              </w:rPr>
            </w:pPr>
            <w:r w:rsidRPr="00F278AC">
              <w:rPr>
                <w:rFonts w:cs="Arial"/>
              </w:rPr>
              <w:t xml:space="preserve">The Queensland Department of Agriculture and Fisheries to: </w:t>
            </w:r>
          </w:p>
          <w:p w14:paraId="2F5C3B8A" w14:textId="77777777" w:rsidR="00F278AC" w:rsidRPr="00F278AC" w:rsidRDefault="00F278AC" w:rsidP="00F55BE9">
            <w:pPr>
              <w:pStyle w:val="ListParagraph"/>
              <w:numPr>
                <w:ilvl w:val="0"/>
                <w:numId w:val="45"/>
              </w:numPr>
              <w:spacing w:after="120"/>
              <w:ind w:left="317" w:hanging="284"/>
              <w:rPr>
                <w:rFonts w:cs="Arial"/>
              </w:rPr>
            </w:pPr>
            <w:r w:rsidRPr="00F278AC">
              <w:rPr>
                <w:rFonts w:cs="Arial"/>
              </w:rPr>
              <w:t>provide appropriate identification tools and education to assist fishers in providing accurate identification and recording of sharks at the species level.</w:t>
            </w:r>
          </w:p>
          <w:p w14:paraId="2F5C3B8B" w14:textId="77777777" w:rsidR="00F278AC" w:rsidRPr="00F278AC" w:rsidRDefault="00F278AC" w:rsidP="00F55BE9">
            <w:pPr>
              <w:pStyle w:val="ListParagraph"/>
              <w:numPr>
                <w:ilvl w:val="0"/>
                <w:numId w:val="45"/>
              </w:numPr>
              <w:spacing w:after="120"/>
              <w:ind w:left="317" w:hanging="284"/>
              <w:rPr>
                <w:rFonts w:cs="Arial"/>
              </w:rPr>
            </w:pPr>
            <w:r w:rsidRPr="00F278AC">
              <w:rPr>
                <w:rFonts w:cs="Arial"/>
              </w:rPr>
              <w:t>Commence consultation with stakeholders on alternate provisions for the processing of sharks at sea including; introducing a prohibition on the removal of fins and filleting sharks.</w:t>
            </w:r>
          </w:p>
          <w:p w14:paraId="2F5C3B8C" w14:textId="77777777" w:rsidR="00F278AC" w:rsidRPr="00F278AC" w:rsidRDefault="00F278AC" w:rsidP="00F278AC">
            <w:pPr>
              <w:pStyle w:val="ListParagraph"/>
              <w:numPr>
                <w:ilvl w:val="0"/>
                <w:numId w:val="0"/>
              </w:numPr>
              <w:spacing w:after="120"/>
              <w:ind w:left="317"/>
              <w:rPr>
                <w:rFonts w:cs="Arial"/>
              </w:rPr>
            </w:pPr>
          </w:p>
          <w:p w14:paraId="2F5C3B8D" w14:textId="77777777" w:rsidR="00F278AC" w:rsidRPr="00F278AC" w:rsidRDefault="00F278AC" w:rsidP="00F278AC">
            <w:pPr>
              <w:pStyle w:val="ListParagraph"/>
              <w:numPr>
                <w:ilvl w:val="0"/>
                <w:numId w:val="0"/>
              </w:numPr>
              <w:spacing w:after="120"/>
              <w:ind w:left="317"/>
              <w:rPr>
                <w:rFonts w:eastAsia="Times New Roman" w:cs="Arial"/>
                <w:b/>
              </w:rPr>
            </w:pPr>
          </w:p>
        </w:tc>
      </w:tr>
      <w:tr w:rsidR="00F278AC" w:rsidRPr="00F6308F" w14:paraId="2F5C3B96" w14:textId="77777777" w:rsidTr="001955CD">
        <w:trPr>
          <w:jc w:val="center"/>
        </w:trPr>
        <w:tc>
          <w:tcPr>
            <w:tcW w:w="8892" w:type="dxa"/>
          </w:tcPr>
          <w:p w14:paraId="2F5C3B8F" w14:textId="77777777" w:rsidR="00F278AC" w:rsidRPr="00F278AC" w:rsidRDefault="00F278AC" w:rsidP="00F278AC">
            <w:pPr>
              <w:spacing w:after="0"/>
              <w:rPr>
                <w:rFonts w:cs="Arial"/>
                <w:u w:val="single"/>
              </w:rPr>
            </w:pPr>
            <w:r w:rsidRPr="00F278AC">
              <w:rPr>
                <w:rFonts w:cs="Arial"/>
                <w:u w:val="single"/>
              </w:rPr>
              <w:t>Management of fin fish stocks</w:t>
            </w:r>
          </w:p>
          <w:p w14:paraId="2F5C3B90" w14:textId="77777777" w:rsidR="00F278AC" w:rsidRPr="00F278AC" w:rsidRDefault="00F278AC" w:rsidP="00F278AC">
            <w:pPr>
              <w:rPr>
                <w:rFonts w:cs="Arial"/>
              </w:rPr>
            </w:pPr>
            <w:r w:rsidRPr="00F278AC">
              <w:rPr>
                <w:rFonts w:cs="Arial"/>
              </w:rPr>
              <w:t xml:space="preserve">There are 78 fin fish species listed as retained in the </w:t>
            </w:r>
            <w:r w:rsidR="00A05BFA">
              <w:rPr>
                <w:rFonts w:cs="Arial"/>
              </w:rPr>
              <w:t>East Coast Inshore Fin Fish Fishery</w:t>
            </w:r>
            <w:r w:rsidRPr="00F278AC">
              <w:rPr>
                <w:rFonts w:cs="Arial"/>
              </w:rPr>
              <w:t xml:space="preserve">. Of these, 23 species (37 %) have a definitive stock status described in the Stock Status of Queensland’s Fisheries Resources 2012 Report. The status of the remaining 63 % of species is not described. Several recreationally and commercially important East Coast Inshore Finfish species, including king threadfin, golden snapper, black jewfish, cobia and javelin fish or grunter, are described as uncertain or undefined in either the Stock Status of Queensland’s Fisheries Resources 2012 Report or the Status of Key Australian Fish Stocks 2014 Report. There are a number of recreationally and commercially important species harvested in the fishery that are not considered in either of these two published summary reports, including mangrove jack, queenfish, and garfish. </w:t>
            </w:r>
          </w:p>
          <w:p w14:paraId="2F5C3B91" w14:textId="77777777" w:rsidR="00F278AC" w:rsidRPr="00F278AC" w:rsidRDefault="00F278AC" w:rsidP="00F278AC">
            <w:pPr>
              <w:rPr>
                <w:rFonts w:cs="Arial"/>
              </w:rPr>
            </w:pPr>
            <w:r w:rsidRPr="00F278AC">
              <w:rPr>
                <w:rFonts w:cs="Arial"/>
              </w:rPr>
              <w:t xml:space="preserve">The Department has identified a number of concerns regarding the vulnerability of tropical threadfin species due to these species’ life history characteristics (slow to mature, low natural mortality) and susceptibility to capture as bycatch in the fishery’s inshore net sector prior to sexual maturity (GBRMPA, 2012). Also, while the stock status of grey mackerel is defined as ‘sustainable’ in the Status of Key Australian Fish Stocks 2014, there are concerns with the potential for localised depletion of spawning aggregations of grey mackerel in the fishery (GBRMPA, 2012); as identified in the 2014 East Coast Grey Mackerel Stock Assessment. The Department has further concerns about the demonstrable sustainability of all recreationally and commercially important </w:t>
            </w:r>
            <w:r w:rsidRPr="00F278AC">
              <w:rPr>
                <w:rFonts w:cs="Arial"/>
              </w:rPr>
              <w:lastRenderedPageBreak/>
              <w:t xml:space="preserve">East Coast Inshore Finfish species where the stock status is “uncertain” or “undefined”. While acknowledging that biological monitoring (collection of age, length, sex and mortality data) occurs for grey mackerel, dusky flathead, yellowfin bream, sand whiting, tailor, barramundi, sea mullet and spotted mackerel, it remains important that the Queensland Department of Agriculture and Fisheries increases knowledge about the stock status of other key commercial and recreational species caught in the fishery, including king threadfin, black jewfish, golden snapper, garfish, cobia and javelin (grunter). The collection of biological information will aid in the sustainable management of these species. </w:t>
            </w:r>
          </w:p>
        </w:tc>
        <w:tc>
          <w:tcPr>
            <w:tcW w:w="5189" w:type="dxa"/>
          </w:tcPr>
          <w:p w14:paraId="2F5C3B92" w14:textId="77777777" w:rsidR="00F278AC" w:rsidRDefault="00F278AC" w:rsidP="00C74EC9">
            <w:pPr>
              <w:tabs>
                <w:tab w:val="left" w:pos="1440"/>
              </w:tabs>
              <w:spacing w:after="0" w:line="240" w:lineRule="auto"/>
              <w:ind w:right="142"/>
              <w:rPr>
                <w:rFonts w:eastAsia="Times New Roman" w:cs="Arial"/>
                <w:b/>
              </w:rPr>
            </w:pPr>
            <w:r>
              <w:rPr>
                <w:rFonts w:eastAsia="Times New Roman" w:cs="Arial"/>
                <w:b/>
              </w:rPr>
              <w:lastRenderedPageBreak/>
              <w:t>Condition 7</w:t>
            </w:r>
            <w:r w:rsidRPr="00F278AC">
              <w:rPr>
                <w:rFonts w:eastAsia="Times New Roman" w:cs="Arial"/>
                <w:b/>
              </w:rPr>
              <w:t xml:space="preserve">: </w:t>
            </w:r>
          </w:p>
          <w:p w14:paraId="2F5C3B93" w14:textId="77777777" w:rsidR="00F278AC" w:rsidRPr="00F278AC" w:rsidRDefault="00F278AC" w:rsidP="00F278AC">
            <w:pPr>
              <w:rPr>
                <w:rFonts w:cs="Arial"/>
              </w:rPr>
            </w:pPr>
            <w:r w:rsidRPr="00F278AC">
              <w:rPr>
                <w:rFonts w:cs="Arial"/>
              </w:rPr>
              <w:t>The Queensland Department of Agriculture and Fisheries to continue work to improve understanding of stock status of identified recreationally and commercially important species which are currently classified as ‘undefined’ through:</w:t>
            </w:r>
          </w:p>
          <w:p w14:paraId="2F5C3B94" w14:textId="77777777" w:rsidR="00F278AC" w:rsidRPr="00F278AC" w:rsidRDefault="00F278AC" w:rsidP="00F55BE9">
            <w:pPr>
              <w:pStyle w:val="ListParagraph"/>
              <w:numPr>
                <w:ilvl w:val="0"/>
                <w:numId w:val="46"/>
              </w:numPr>
              <w:tabs>
                <w:tab w:val="left" w:pos="1440"/>
              </w:tabs>
              <w:spacing w:after="120" w:line="240" w:lineRule="auto"/>
              <w:ind w:left="459" w:right="142" w:hanging="425"/>
              <w:rPr>
                <w:rFonts w:eastAsia="Times New Roman" w:cs="Arial"/>
              </w:rPr>
            </w:pPr>
            <w:r w:rsidRPr="00F278AC">
              <w:rPr>
                <w:rFonts w:eastAsia="Times New Roman" w:cs="Arial"/>
              </w:rPr>
              <w:t>biological monitoring for these species, and</w:t>
            </w:r>
          </w:p>
          <w:p w14:paraId="2F5C3B95" w14:textId="77777777" w:rsidR="00F278AC" w:rsidRPr="00F278AC" w:rsidRDefault="00F278AC" w:rsidP="00F55BE9">
            <w:pPr>
              <w:pStyle w:val="ListParagraph"/>
              <w:numPr>
                <w:ilvl w:val="0"/>
                <w:numId w:val="46"/>
              </w:numPr>
              <w:tabs>
                <w:tab w:val="left" w:pos="1440"/>
              </w:tabs>
              <w:spacing w:after="120" w:line="240" w:lineRule="auto"/>
              <w:ind w:left="459" w:right="142" w:hanging="425"/>
              <w:rPr>
                <w:rFonts w:eastAsia="Times New Roman" w:cs="Arial"/>
              </w:rPr>
            </w:pPr>
            <w:r w:rsidRPr="00F278AC">
              <w:rPr>
                <w:rFonts w:cs="Arial"/>
              </w:rPr>
              <w:t>publication of this information, along with catch and effort data, in stock status reports</w:t>
            </w:r>
            <w:r w:rsidRPr="00F278AC">
              <w:rPr>
                <w:rFonts w:eastAsia="Times New Roman" w:cs="Arial"/>
              </w:rPr>
              <w:t xml:space="preserve">.  .  </w:t>
            </w:r>
          </w:p>
        </w:tc>
      </w:tr>
      <w:tr w:rsidR="008C74BB" w:rsidRPr="00F6308F" w14:paraId="2F5C3B9B" w14:textId="77777777" w:rsidTr="001955CD">
        <w:trPr>
          <w:jc w:val="center"/>
        </w:trPr>
        <w:tc>
          <w:tcPr>
            <w:tcW w:w="8892" w:type="dxa"/>
          </w:tcPr>
          <w:p w14:paraId="2F5C3B97" w14:textId="77777777" w:rsidR="008C74BB" w:rsidRPr="00F278AC" w:rsidRDefault="008C74BB" w:rsidP="00F278AC">
            <w:pPr>
              <w:spacing w:after="0"/>
              <w:rPr>
                <w:rFonts w:cs="Arial"/>
                <w:u w:val="single"/>
              </w:rPr>
            </w:pPr>
            <w:r w:rsidRPr="00F278AC">
              <w:rPr>
                <w:rFonts w:cs="Arial"/>
                <w:u w:val="single"/>
              </w:rPr>
              <w:t>Export approval timeframe</w:t>
            </w:r>
          </w:p>
          <w:p w14:paraId="2F5C3B98" w14:textId="77777777" w:rsidR="008C74BB" w:rsidRPr="00F278AC" w:rsidRDefault="008C74BB" w:rsidP="00F278AC">
            <w:pPr>
              <w:spacing w:after="0"/>
              <w:rPr>
                <w:rFonts w:cs="Arial"/>
              </w:rPr>
            </w:pPr>
            <w:r w:rsidRPr="00F278AC">
              <w:rPr>
                <w:rFonts w:cs="Arial"/>
              </w:rPr>
              <w:t xml:space="preserve">The Department seeks a number of improvements to the management regime for this fishery, as reflected </w:t>
            </w:r>
            <w:r w:rsidRPr="008C74BB">
              <w:rPr>
                <w:rFonts w:cs="Arial"/>
              </w:rPr>
              <w:t xml:space="preserve">in </w:t>
            </w:r>
            <w:r w:rsidRPr="008C74BB">
              <w:rPr>
                <w:rFonts w:cs="Arial"/>
                <w:b/>
              </w:rPr>
              <w:t>Conditions 4-7</w:t>
            </w:r>
            <w:r w:rsidRPr="008C74BB">
              <w:rPr>
                <w:rFonts w:cs="Arial"/>
              </w:rPr>
              <w:t>. While the Queensland Department of Agriculture and Fisheries makes progress</w:t>
            </w:r>
            <w:r w:rsidRPr="00F278AC">
              <w:rPr>
                <w:rFonts w:cs="Arial"/>
              </w:rPr>
              <w:t xml:space="preserve"> towards meeting these conditions, the Department considers that a time-limited declaration of the East Coast Inshore Fin Fish Fishery as an approved wildlife trade operation is appropriate </w:t>
            </w:r>
          </w:p>
        </w:tc>
        <w:tc>
          <w:tcPr>
            <w:tcW w:w="5189" w:type="dxa"/>
          </w:tcPr>
          <w:p w14:paraId="2F5C3B99" w14:textId="77777777" w:rsidR="008C74BB" w:rsidRDefault="008C74BB" w:rsidP="00C74EC9">
            <w:pPr>
              <w:tabs>
                <w:tab w:val="left" w:pos="1440"/>
              </w:tabs>
              <w:spacing w:after="0" w:line="240" w:lineRule="auto"/>
              <w:ind w:right="142"/>
              <w:rPr>
                <w:rFonts w:eastAsia="Times New Roman" w:cs="Arial"/>
                <w:b/>
              </w:rPr>
            </w:pPr>
            <w:r>
              <w:rPr>
                <w:rFonts w:eastAsia="Times New Roman" w:cs="Arial"/>
                <w:b/>
              </w:rPr>
              <w:t>Condition 8</w:t>
            </w:r>
            <w:r w:rsidRPr="008C74BB">
              <w:rPr>
                <w:rFonts w:eastAsia="Times New Roman" w:cs="Arial"/>
                <w:b/>
              </w:rPr>
              <w:t xml:space="preserve">: </w:t>
            </w:r>
          </w:p>
          <w:p w14:paraId="2F5C3B9A" w14:textId="77777777" w:rsidR="008C74BB" w:rsidRPr="008C74BB" w:rsidRDefault="008C74BB" w:rsidP="008C74BB">
            <w:pPr>
              <w:rPr>
                <w:rFonts w:eastAsia="Times New Roman" w:cs="Arial"/>
                <w:b/>
              </w:rPr>
            </w:pPr>
            <w:r w:rsidRPr="008C74BB">
              <w:rPr>
                <w:rFonts w:cs="Arial"/>
              </w:rPr>
              <w:t>Unless otherwise amended or revoked, this declaration is valid until 28 September 2018.</w:t>
            </w:r>
          </w:p>
        </w:tc>
      </w:tr>
    </w:tbl>
    <w:p w14:paraId="2F5C3B9C" w14:textId="77777777" w:rsidR="00B6012C" w:rsidRDefault="00B6012C" w:rsidP="001955CD">
      <w:pPr>
        <w:tabs>
          <w:tab w:val="left" w:pos="360"/>
        </w:tabs>
        <w:rPr>
          <w:rFonts w:cs="Arial"/>
          <w:highlight w:val="yellow"/>
        </w:rPr>
      </w:pPr>
    </w:p>
    <w:p w14:paraId="2F5C3B9D" w14:textId="77777777" w:rsidR="0043493F" w:rsidRDefault="0043493F">
      <w:pPr>
        <w:spacing w:after="0" w:line="240" w:lineRule="auto"/>
        <w:rPr>
          <w:rFonts w:cs="Arial"/>
          <w:highlight w:val="yellow"/>
        </w:rPr>
      </w:pPr>
      <w:r>
        <w:rPr>
          <w:rFonts w:cs="Arial"/>
          <w:highlight w:val="yellow"/>
        </w:rPr>
        <w:br w:type="page"/>
      </w:r>
    </w:p>
    <w:p w14:paraId="2F5C3B9E" w14:textId="77777777" w:rsidR="00B6012C" w:rsidRDefault="00B6012C" w:rsidP="001955CD">
      <w:pPr>
        <w:tabs>
          <w:tab w:val="left" w:pos="360"/>
        </w:tabs>
        <w:rPr>
          <w:rFonts w:cs="Arial"/>
          <w:highlight w:val="yellow"/>
        </w:rPr>
      </w:pP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43493F" w:rsidRPr="00F6308F" w14:paraId="2F5C3BA1" w14:textId="77777777" w:rsidTr="0043493F">
        <w:trPr>
          <w:tblHeader/>
          <w:jc w:val="center"/>
        </w:trPr>
        <w:tc>
          <w:tcPr>
            <w:tcW w:w="8892" w:type="dxa"/>
            <w:shd w:val="clear" w:color="auto" w:fill="D9D9D9"/>
          </w:tcPr>
          <w:p w14:paraId="2F5C3B9F" w14:textId="77777777" w:rsidR="0043493F" w:rsidRPr="00F6308F" w:rsidRDefault="0043493F" w:rsidP="0043493F">
            <w:pPr>
              <w:rPr>
                <w:rFonts w:cs="Arial"/>
                <w:b/>
              </w:rPr>
            </w:pPr>
            <w:r w:rsidRPr="00F6308F">
              <w:rPr>
                <w:rFonts w:cs="Arial"/>
                <w:b/>
              </w:rPr>
              <w:t>Issue</w:t>
            </w:r>
          </w:p>
        </w:tc>
        <w:tc>
          <w:tcPr>
            <w:tcW w:w="5189" w:type="dxa"/>
            <w:shd w:val="clear" w:color="auto" w:fill="D9D9D9"/>
          </w:tcPr>
          <w:p w14:paraId="2F5C3BA0" w14:textId="77777777" w:rsidR="0043493F" w:rsidRPr="00F6308F" w:rsidRDefault="0043493F" w:rsidP="0043493F">
            <w:pPr>
              <w:rPr>
                <w:rFonts w:cs="Arial"/>
                <w:b/>
              </w:rPr>
            </w:pPr>
            <w:r>
              <w:rPr>
                <w:rFonts w:cs="Arial"/>
                <w:b/>
              </w:rPr>
              <w:t>Part 13 Condition</w:t>
            </w:r>
          </w:p>
        </w:tc>
      </w:tr>
      <w:tr w:rsidR="0043493F" w:rsidRPr="00F6308F" w14:paraId="2F5C3BAD" w14:textId="77777777" w:rsidTr="0043493F">
        <w:trPr>
          <w:jc w:val="center"/>
        </w:trPr>
        <w:tc>
          <w:tcPr>
            <w:tcW w:w="8892" w:type="dxa"/>
          </w:tcPr>
          <w:p w14:paraId="2F5C3BA2" w14:textId="77777777" w:rsidR="0043493F" w:rsidRPr="00C221FC" w:rsidRDefault="0043493F" w:rsidP="0043493F">
            <w:pPr>
              <w:spacing w:after="0"/>
              <w:rPr>
                <w:rFonts w:cs="Arial"/>
                <w:u w:val="single"/>
              </w:rPr>
            </w:pPr>
            <w:r w:rsidRPr="00C221FC">
              <w:rPr>
                <w:rFonts w:cs="Arial"/>
                <w:u w:val="single"/>
              </w:rPr>
              <w:t>Reliable fisheries monitoring</w:t>
            </w:r>
          </w:p>
          <w:p w14:paraId="2F5C3BA3" w14:textId="77777777" w:rsidR="0043493F" w:rsidRPr="00C221FC" w:rsidRDefault="0043493F" w:rsidP="0043493F">
            <w:pPr>
              <w:pageBreakBefore/>
              <w:spacing w:after="120"/>
              <w:rPr>
                <w:rFonts w:cs="Arial"/>
              </w:rPr>
            </w:pPr>
            <w:r w:rsidRPr="00C221FC">
              <w:rPr>
                <w:rFonts w:cs="Arial"/>
              </w:rPr>
              <w:t xml:space="preserve">Given uncertainty in stock status for a number of fin fish and shark species in the East Coast Inshore Fin Fish Fishery and in the absence of a fishery based ecological risk assessment, there is an ongoing need for the Queensland Department of Agriculture and Fisheries to acquire information to support the ecologically sustainable management of the fishery. The Department acknowledges the considerable body of information collected by the observer program until it ceased in 2012 however, ongoing collection of reliable information is critical for understanding the impacts the fishery is having on the ecosystem, fin fish, sharks and bycatch, including EPBC Act protected species. </w:t>
            </w:r>
          </w:p>
          <w:p w14:paraId="2F5C3BA4" w14:textId="77777777" w:rsidR="0043493F" w:rsidRPr="00C221FC" w:rsidRDefault="0043493F" w:rsidP="0043493F">
            <w:pPr>
              <w:pageBreakBefore/>
              <w:spacing w:after="120"/>
              <w:rPr>
                <w:rFonts w:cs="Arial"/>
              </w:rPr>
            </w:pPr>
            <w:r w:rsidRPr="00C221FC">
              <w:rPr>
                <w:rFonts w:cs="Arial"/>
              </w:rPr>
              <w:t xml:space="preserve">The </w:t>
            </w:r>
            <w:r w:rsidRPr="00C221FC">
              <w:rPr>
                <w:rFonts w:cs="Arial"/>
                <w:i/>
              </w:rPr>
              <w:t>Great Barrier Reef Outlook Report 2014</w:t>
            </w:r>
            <w:r w:rsidRPr="00C221FC">
              <w:rPr>
                <w:rFonts w:cs="Arial"/>
              </w:rPr>
              <w:t xml:space="preserve"> highlights the importance of accurate and ongoing data collection for managing the impacts of fishing on the environment and for maintaining sustainability, particularly within the Great Barrier Reef World Heritage Area where the East Coast Inshore Fin Fish Fishery operates. </w:t>
            </w:r>
          </w:p>
          <w:p w14:paraId="2F5C3BA5" w14:textId="77777777" w:rsidR="0043493F" w:rsidRPr="00C221FC" w:rsidRDefault="0043493F" w:rsidP="0043493F">
            <w:pPr>
              <w:pageBreakBefore/>
              <w:spacing w:after="0"/>
              <w:rPr>
                <w:rFonts w:cs="Arial"/>
              </w:rPr>
            </w:pPr>
            <w:r w:rsidRPr="00C221FC">
              <w:rPr>
                <w:rFonts w:cs="Arial"/>
              </w:rPr>
              <w:t>The Department considers it essential that the Queensland Department of Agriculture and Fisheries develop, implement and maintain a statistically robust monitoring regime for the fishery which will allow:</w:t>
            </w:r>
          </w:p>
          <w:p w14:paraId="2F5C3BA6" w14:textId="77777777" w:rsidR="0043493F" w:rsidRPr="00C221FC" w:rsidRDefault="0043493F" w:rsidP="0043493F">
            <w:pPr>
              <w:pStyle w:val="ListBullet"/>
              <w:spacing w:after="120" w:line="240" w:lineRule="auto"/>
            </w:pPr>
            <w:r w:rsidRPr="00C221FC">
              <w:t>identification of risks to target, byproduct and bycatch species, and for protected species at a regional level, and</w:t>
            </w:r>
          </w:p>
          <w:p w14:paraId="2F5C3BA7" w14:textId="77777777" w:rsidR="0043493F" w:rsidRPr="00C221FC" w:rsidRDefault="0043493F" w:rsidP="0043493F">
            <w:pPr>
              <w:pStyle w:val="ListBullet"/>
              <w:pageBreakBefore/>
              <w:spacing w:after="120" w:line="240" w:lineRule="auto"/>
              <w:rPr>
                <w:rFonts w:cs="Arial"/>
              </w:rPr>
            </w:pPr>
            <w:r w:rsidRPr="00C221FC">
              <w:t xml:space="preserve">improved stakeholder confidence in effectiveness </w:t>
            </w:r>
            <w:r>
              <w:t xml:space="preserve">of fishery </w:t>
            </w:r>
            <w:r w:rsidRPr="00C221FC">
              <w:t>management measures</w:t>
            </w:r>
          </w:p>
          <w:p w14:paraId="2F5C3BA8" w14:textId="77777777" w:rsidR="0043493F" w:rsidRPr="008C74BB" w:rsidRDefault="0043493F" w:rsidP="000F09AC">
            <w:pPr>
              <w:rPr>
                <w:rFonts w:cs="Arial"/>
              </w:rPr>
            </w:pPr>
            <w:r w:rsidRPr="00C221FC">
              <w:rPr>
                <w:rFonts w:cs="Arial"/>
              </w:rPr>
              <w:t xml:space="preserve">This program should provide </w:t>
            </w:r>
            <w:r w:rsidRPr="00C221FC">
              <w:t xml:space="preserve">data that is independent of (and complementary to) fisher logbook data, be risk based and designed in consultation with relevant experts. It should also focus on those sectors in the fishery </w:t>
            </w:r>
            <w:r w:rsidRPr="00C221FC">
              <w:rPr>
                <w:rFonts w:cs="Arial"/>
              </w:rPr>
              <w:t>where at-risk species are caught, and/or that are likely to interact with protected species.</w:t>
            </w:r>
            <w:r>
              <w:rPr>
                <w:rFonts w:cs="Arial"/>
              </w:rPr>
              <w:t xml:space="preserve"> </w:t>
            </w:r>
            <w:r w:rsidRPr="00C221FC">
              <w:rPr>
                <w:rFonts w:cs="Arial"/>
              </w:rPr>
              <w:t>Fishery monitoring data should continue to be analysed and reported publicly, such as through the annual status reports for the fishery.</w:t>
            </w:r>
          </w:p>
        </w:tc>
        <w:tc>
          <w:tcPr>
            <w:tcW w:w="5189" w:type="dxa"/>
          </w:tcPr>
          <w:p w14:paraId="2F5C3BA9" w14:textId="77777777" w:rsidR="0043493F" w:rsidRPr="00031A58" w:rsidRDefault="0043493F" w:rsidP="0043493F">
            <w:pPr>
              <w:spacing w:after="360"/>
              <w:rPr>
                <w:rFonts w:cs="Arial"/>
              </w:rPr>
            </w:pPr>
            <w:r w:rsidRPr="0043493F">
              <w:rPr>
                <w:rFonts w:cs="Arial"/>
                <w:b/>
              </w:rPr>
              <w:t>Condition A:</w:t>
            </w:r>
            <w:r>
              <w:rPr>
                <w:rFonts w:cs="Arial"/>
              </w:rPr>
              <w:br/>
            </w:r>
            <w:r w:rsidRPr="00031A58">
              <w:rPr>
                <w:rFonts w:cs="Arial"/>
              </w:rPr>
              <w:t>Queensland Department of Agriculture and Fisheries to:</w:t>
            </w:r>
          </w:p>
          <w:p w14:paraId="2F5C3BAA" w14:textId="77777777" w:rsidR="0043493F" w:rsidRDefault="0043493F" w:rsidP="0043493F">
            <w:pPr>
              <w:pStyle w:val="ListParagraph"/>
              <w:numPr>
                <w:ilvl w:val="0"/>
                <w:numId w:val="62"/>
              </w:numPr>
              <w:rPr>
                <w:rFonts w:cs="Arial"/>
              </w:rPr>
            </w:pPr>
            <w:r w:rsidRPr="00031A58">
              <w:rPr>
                <w:rFonts w:cs="Arial"/>
              </w:rPr>
              <w:t>work with relevant stakeholders to determine an improved data collection and validation approach that can</w:t>
            </w:r>
            <w:r w:rsidRPr="00031A58">
              <w:rPr>
                <w:rFonts w:cs="Arial"/>
                <w:sz w:val="20"/>
                <w:szCs w:val="20"/>
              </w:rPr>
              <w:t xml:space="preserve"> </w:t>
            </w:r>
            <w:r w:rsidRPr="00031A58">
              <w:rPr>
                <w:rFonts w:cs="Arial"/>
              </w:rPr>
              <w:t xml:space="preserve">validate the number of interactions with all bycatch, which will include </w:t>
            </w:r>
            <w:r>
              <w:rPr>
                <w:rFonts w:cs="Arial"/>
              </w:rPr>
              <w:t>protected</w:t>
            </w:r>
            <w:r w:rsidRPr="00031A58">
              <w:rPr>
                <w:rFonts w:cs="Arial"/>
              </w:rPr>
              <w:t xml:space="preserve"> species, and</w:t>
            </w:r>
          </w:p>
          <w:p w14:paraId="2F5C3BAB" w14:textId="0CA8E28F" w:rsidR="0043493F" w:rsidRDefault="0043493F" w:rsidP="0043493F">
            <w:pPr>
              <w:pStyle w:val="ListParagraph"/>
              <w:numPr>
                <w:ilvl w:val="0"/>
                <w:numId w:val="62"/>
              </w:numPr>
              <w:rPr>
                <w:rFonts w:cs="Arial"/>
              </w:rPr>
            </w:pPr>
            <w:r w:rsidRPr="00FA1EA5">
              <w:rPr>
                <w:rFonts w:cs="Arial"/>
              </w:rPr>
              <w:t xml:space="preserve">implement appropriate mitigation measures to ensure interactions with </w:t>
            </w:r>
            <w:r w:rsidR="00E860FA">
              <w:rPr>
                <w:rFonts w:cs="Arial"/>
              </w:rPr>
              <w:t>protected species</w:t>
            </w:r>
            <w:r w:rsidRPr="00FA1EA5">
              <w:rPr>
                <w:rFonts w:cs="Arial"/>
              </w:rPr>
              <w:t xml:space="preserve"> are kept to a minimum.</w:t>
            </w:r>
          </w:p>
          <w:p w14:paraId="2F5C3BAC" w14:textId="77777777" w:rsidR="0043493F" w:rsidRPr="008C74BB" w:rsidRDefault="0043493F" w:rsidP="0043493F">
            <w:pPr>
              <w:tabs>
                <w:tab w:val="left" w:pos="1440"/>
              </w:tabs>
              <w:spacing w:after="120" w:line="240" w:lineRule="auto"/>
              <w:ind w:right="142"/>
              <w:rPr>
                <w:rFonts w:eastAsia="Times New Roman" w:cs="Arial"/>
                <w:b/>
              </w:rPr>
            </w:pPr>
          </w:p>
        </w:tc>
      </w:tr>
    </w:tbl>
    <w:p w14:paraId="2F5C3BAE" w14:textId="77777777" w:rsidR="0043493F" w:rsidRDefault="0043493F" w:rsidP="001955CD">
      <w:pPr>
        <w:tabs>
          <w:tab w:val="left" w:pos="360"/>
        </w:tabs>
        <w:rPr>
          <w:rFonts w:cs="Arial"/>
          <w:highlight w:val="yellow"/>
        </w:rPr>
        <w:sectPr w:rsidR="0043493F" w:rsidSect="00C74EC9">
          <w:pgSz w:w="16838" w:h="11906" w:orient="landscape" w:code="9"/>
          <w:pgMar w:top="993" w:right="1134" w:bottom="1276" w:left="1134" w:header="709" w:footer="709" w:gutter="0"/>
          <w:cols w:space="708"/>
          <w:docGrid w:linePitch="360"/>
        </w:sectPr>
      </w:pP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B6012C" w:rsidRPr="00F6308F" w14:paraId="2F5C3BB1" w14:textId="77777777" w:rsidTr="001955CD">
        <w:trPr>
          <w:tblHeader/>
          <w:jc w:val="center"/>
        </w:trPr>
        <w:tc>
          <w:tcPr>
            <w:tcW w:w="8892" w:type="dxa"/>
            <w:shd w:val="clear" w:color="auto" w:fill="D9D9D9"/>
          </w:tcPr>
          <w:p w14:paraId="2F5C3BAF" w14:textId="77777777" w:rsidR="00B6012C" w:rsidRPr="00F6308F" w:rsidRDefault="00B6012C" w:rsidP="001955CD">
            <w:pPr>
              <w:rPr>
                <w:rFonts w:cs="Arial"/>
                <w:b/>
              </w:rPr>
            </w:pPr>
            <w:r w:rsidRPr="00F6308F">
              <w:rPr>
                <w:rFonts w:cs="Arial"/>
                <w:b/>
              </w:rPr>
              <w:lastRenderedPageBreak/>
              <w:t>Issue</w:t>
            </w:r>
          </w:p>
        </w:tc>
        <w:tc>
          <w:tcPr>
            <w:tcW w:w="5189" w:type="dxa"/>
            <w:shd w:val="clear" w:color="auto" w:fill="D9D9D9"/>
          </w:tcPr>
          <w:p w14:paraId="2F5C3BB0" w14:textId="77777777" w:rsidR="00B6012C" w:rsidRPr="00F6308F" w:rsidRDefault="00B6012C" w:rsidP="001955CD">
            <w:pPr>
              <w:rPr>
                <w:rFonts w:cs="Arial"/>
                <w:b/>
              </w:rPr>
            </w:pPr>
            <w:r w:rsidRPr="008C74BB">
              <w:rPr>
                <w:rFonts w:cs="Arial"/>
                <w:b/>
              </w:rPr>
              <w:t>Recommendation</w:t>
            </w:r>
          </w:p>
        </w:tc>
      </w:tr>
      <w:tr w:rsidR="008C74BB" w:rsidRPr="00F6308F" w14:paraId="2F5C3BB7" w14:textId="77777777" w:rsidTr="001955CD">
        <w:trPr>
          <w:jc w:val="center"/>
        </w:trPr>
        <w:tc>
          <w:tcPr>
            <w:tcW w:w="8892" w:type="dxa"/>
          </w:tcPr>
          <w:p w14:paraId="2F5C3BB2" w14:textId="77777777" w:rsidR="008C74BB" w:rsidRPr="008C74BB" w:rsidRDefault="008C74BB" w:rsidP="008C74BB">
            <w:pPr>
              <w:spacing w:after="0"/>
              <w:rPr>
                <w:rFonts w:cs="Arial"/>
                <w:u w:val="single"/>
              </w:rPr>
            </w:pPr>
            <w:r w:rsidRPr="008C74BB">
              <w:rPr>
                <w:rFonts w:cs="Arial"/>
                <w:u w:val="single"/>
              </w:rPr>
              <w:t>New and existing monitoring technologies</w:t>
            </w:r>
          </w:p>
          <w:p w14:paraId="2F5C3BB3" w14:textId="77777777" w:rsidR="008C74BB" w:rsidRPr="008C74BB" w:rsidRDefault="008C74BB" w:rsidP="008C74BB">
            <w:pPr>
              <w:rPr>
                <w:rFonts w:cs="Arial"/>
              </w:rPr>
            </w:pPr>
            <w:r w:rsidRPr="008C74BB">
              <w:rPr>
                <w:rFonts w:cs="Arial"/>
              </w:rPr>
              <w:t>The Department is aware that a variety of new and existing technologies, such as on-board video cameras and vessel monitoring systems, are available and may have the potential to reduce some of the challenges associated with monitoring a large and diverse fishery. While recognising that the nature of the East Coast Inshore Fin Fish Fishery, with large numbers of very small boats, does not readily lend itself to the use of such technology, the Department considers that the Queensland Department of Agriculture and Fisheries should collaborate with other relevant jurisdictions to ensure that opportunities to utilise new monitoring</w:t>
            </w:r>
            <w:r w:rsidRPr="008C74BB">
              <w:t xml:space="preserve"> </w:t>
            </w:r>
            <w:r w:rsidRPr="008C74BB">
              <w:rPr>
                <w:rFonts w:cs="Arial"/>
              </w:rPr>
              <w:t>techniques are recognised and implemented as appropriate. This may be particularly relevant to the 'N4' sector of the fishery where longer net lengths are permitted, larger fishing vessels are typically used and fishing is conducted over a wider area than in most other sub-fisheries.</w:t>
            </w:r>
          </w:p>
        </w:tc>
        <w:tc>
          <w:tcPr>
            <w:tcW w:w="5189" w:type="dxa"/>
          </w:tcPr>
          <w:p w14:paraId="2F5C3BB4" w14:textId="77777777" w:rsidR="008C74BB" w:rsidRDefault="008C74BB" w:rsidP="00C74EC9">
            <w:pPr>
              <w:tabs>
                <w:tab w:val="left" w:pos="1440"/>
              </w:tabs>
              <w:spacing w:after="0" w:line="240" w:lineRule="auto"/>
              <w:ind w:right="142"/>
              <w:rPr>
                <w:rFonts w:eastAsia="Times New Roman" w:cs="Arial"/>
                <w:b/>
              </w:rPr>
            </w:pPr>
            <w:r w:rsidRPr="008C74BB">
              <w:rPr>
                <w:rFonts w:eastAsia="Times New Roman" w:cs="Arial"/>
                <w:b/>
              </w:rPr>
              <w:t xml:space="preserve">Recommendation 1: </w:t>
            </w:r>
          </w:p>
          <w:p w14:paraId="2F5C3BB5" w14:textId="77777777" w:rsidR="008C74BB" w:rsidRPr="008C74BB" w:rsidRDefault="008C74BB" w:rsidP="008C74BB">
            <w:pPr>
              <w:rPr>
                <w:rFonts w:cs="Arial"/>
              </w:rPr>
            </w:pPr>
            <w:r w:rsidRPr="008C74BB">
              <w:rPr>
                <w:rFonts w:cs="Arial"/>
              </w:rPr>
              <w:t xml:space="preserve">The Queensland Department of Agriculture and Fisheries to work with industry and other jurisdictions to pursue and support the uptake of new and or existing monitoring technologies to better monitor fishing activity in the East Coast Inshore Fin Fish Fishery. </w:t>
            </w:r>
          </w:p>
          <w:p w14:paraId="2F5C3BB6" w14:textId="77777777" w:rsidR="008C74BB" w:rsidRPr="008C74BB" w:rsidRDefault="008C74BB" w:rsidP="008C74BB">
            <w:pPr>
              <w:tabs>
                <w:tab w:val="left" w:pos="1440"/>
              </w:tabs>
              <w:spacing w:after="120" w:line="240" w:lineRule="auto"/>
              <w:ind w:right="142"/>
              <w:rPr>
                <w:rFonts w:eastAsia="Times New Roman" w:cs="Arial"/>
                <w:b/>
              </w:rPr>
            </w:pPr>
          </w:p>
        </w:tc>
      </w:tr>
    </w:tbl>
    <w:p w14:paraId="2F5C3BB8" w14:textId="77777777" w:rsidR="00B6012C" w:rsidRPr="00F6308F" w:rsidRDefault="00B6012C" w:rsidP="001955CD">
      <w:pPr>
        <w:tabs>
          <w:tab w:val="left" w:pos="360"/>
        </w:tabs>
        <w:rPr>
          <w:rFonts w:cs="Arial"/>
          <w:color w:val="FF0000"/>
        </w:rPr>
      </w:pPr>
    </w:p>
    <w:p w14:paraId="2F5C3BB9" w14:textId="77777777" w:rsidR="00B6012C" w:rsidRPr="00F6308F" w:rsidRDefault="00B6012C" w:rsidP="001955CD">
      <w:pPr>
        <w:tabs>
          <w:tab w:val="left" w:pos="360"/>
        </w:tabs>
        <w:rPr>
          <w:rFonts w:cs="Arial"/>
          <w:color w:val="FF0000"/>
        </w:rPr>
        <w:sectPr w:rsidR="00B6012C" w:rsidRPr="00F6308F" w:rsidSect="003E053F">
          <w:pgSz w:w="16838" w:h="11906" w:orient="landscape" w:code="9"/>
          <w:pgMar w:top="1701" w:right="1134" w:bottom="1701" w:left="1134" w:header="709" w:footer="709" w:gutter="0"/>
          <w:cols w:space="708"/>
          <w:docGrid w:linePitch="360"/>
        </w:sectPr>
      </w:pPr>
    </w:p>
    <w:p w14:paraId="2F5C3BBA" w14:textId="77777777" w:rsidR="00B6012C" w:rsidRPr="00F6308F" w:rsidRDefault="00B6012C" w:rsidP="001955CD">
      <w:pPr>
        <w:pStyle w:val="Heading1"/>
      </w:pPr>
      <w:bookmarkStart w:id="5" w:name="_Toc316301053"/>
      <w:r w:rsidRPr="00F6308F">
        <w:lastRenderedPageBreak/>
        <w:t>References</w:t>
      </w:r>
      <w:bookmarkEnd w:id="5"/>
    </w:p>
    <w:p w14:paraId="2F5C3BBB" w14:textId="77777777" w:rsidR="008B0A16" w:rsidRPr="008B0A16" w:rsidRDefault="008B0A16" w:rsidP="008B0A16">
      <w:pPr>
        <w:tabs>
          <w:tab w:val="left" w:pos="360"/>
        </w:tabs>
        <w:rPr>
          <w:rFonts w:ascii="ArialMT" w:hAnsi="ArialMT" w:cs="ArialMT"/>
          <w:lang w:eastAsia="en-AU"/>
        </w:rPr>
      </w:pPr>
      <w:r w:rsidRPr="008B0A16">
        <w:rPr>
          <w:rFonts w:eastAsia="Times New Roman" w:cs="Arial"/>
          <w:szCs w:val="24"/>
          <w:lang w:eastAsia="en-AU"/>
        </w:rPr>
        <w:t>Department of Sustainability, Environment, Water, Population and Communities (2012</w:t>
      </w:r>
      <w:r w:rsidRPr="008B0A16">
        <w:rPr>
          <w:rFonts w:eastAsia="Times New Roman" w:cs="Arial"/>
          <w:i/>
          <w:szCs w:val="24"/>
          <w:lang w:eastAsia="en-AU"/>
        </w:rPr>
        <w:t xml:space="preserve">) Marine bioregional plan for the Temperate East Marine Region. </w:t>
      </w:r>
    </w:p>
    <w:p w14:paraId="2F5C3BBC" w14:textId="77777777" w:rsidR="008B0A16" w:rsidRPr="008B0A16" w:rsidRDefault="008B0A16" w:rsidP="008B0A16">
      <w:pPr>
        <w:autoSpaceDE w:val="0"/>
        <w:autoSpaceDN w:val="0"/>
        <w:adjustRightInd w:val="0"/>
        <w:spacing w:after="0" w:line="240" w:lineRule="auto"/>
        <w:rPr>
          <w:rFonts w:ascii="ArialMT" w:hAnsi="ArialMT" w:cs="ArialMT"/>
          <w:lang w:eastAsia="en-AU"/>
        </w:rPr>
      </w:pPr>
      <w:r w:rsidRPr="008B0A16">
        <w:rPr>
          <w:rFonts w:ascii="ArialMT" w:hAnsi="ArialMT" w:cs="ArialMT"/>
          <w:lang w:eastAsia="en-AU"/>
        </w:rPr>
        <w:t>Halliday, I., Ley, J., Tobin, A., Garrett, R., Gribble, N. and Mayer, D. 2001. The effects</w:t>
      </w:r>
    </w:p>
    <w:p w14:paraId="2F5C3BBD" w14:textId="77777777" w:rsidR="008B0A16" w:rsidRPr="008B0A16" w:rsidRDefault="008B0A16" w:rsidP="008B0A16">
      <w:pPr>
        <w:autoSpaceDE w:val="0"/>
        <w:autoSpaceDN w:val="0"/>
        <w:adjustRightInd w:val="0"/>
        <w:spacing w:after="0" w:line="240" w:lineRule="auto"/>
        <w:rPr>
          <w:rFonts w:ascii="ArialMT" w:hAnsi="ArialMT" w:cs="ArialMT"/>
          <w:lang w:eastAsia="en-AU"/>
        </w:rPr>
      </w:pPr>
      <w:r w:rsidRPr="008B0A16">
        <w:rPr>
          <w:rFonts w:ascii="ArialMT" w:hAnsi="ArialMT" w:cs="ArialMT"/>
          <w:lang w:eastAsia="en-AU"/>
        </w:rPr>
        <w:t>of net fishing: addressing biodiversity and bycatch issues in Queensland inshore</w:t>
      </w:r>
    </w:p>
    <w:p w14:paraId="2F5C3BBE" w14:textId="77777777" w:rsidR="008B0A16" w:rsidRPr="008B0A16" w:rsidRDefault="008B0A16" w:rsidP="008B0A16">
      <w:pPr>
        <w:rPr>
          <w:rFonts w:cs="Arial"/>
          <w:lang w:eastAsia="en-AU"/>
        </w:rPr>
      </w:pPr>
      <w:r w:rsidRPr="008B0A16">
        <w:rPr>
          <w:rFonts w:ascii="ArialMT" w:hAnsi="ArialMT" w:cs="ArialMT"/>
          <w:lang w:eastAsia="en-AU"/>
        </w:rPr>
        <w:t>waters. FRDC project No. 97/206.</w:t>
      </w:r>
    </w:p>
    <w:p w14:paraId="2F5C3BBF" w14:textId="77777777" w:rsidR="008B0A16" w:rsidRPr="008B0A16" w:rsidRDefault="008B0A16" w:rsidP="008B0A16">
      <w:pPr>
        <w:autoSpaceDE w:val="0"/>
        <w:autoSpaceDN w:val="0"/>
        <w:adjustRightInd w:val="0"/>
        <w:spacing w:after="0" w:line="240" w:lineRule="auto"/>
        <w:rPr>
          <w:iCs/>
          <w:lang w:eastAsia="en-AU"/>
        </w:rPr>
      </w:pPr>
      <w:r w:rsidRPr="008B0A16">
        <w:rPr>
          <w:iCs/>
          <w:lang w:eastAsia="en-AU"/>
        </w:rPr>
        <w:t>Henry, G.W. and Lyle, J.M., 2003. The National Recreational and Indigenous Fishing Survey. Final Report to the Fisheries Research &amp; Development Corporation and the Fisheries Action Program. Project No. 1999/158. NSW Fisheries Final Report Series No. 48. ISSN 1440-3544. 188pp</w:t>
      </w:r>
    </w:p>
    <w:p w14:paraId="2F5C3BC0" w14:textId="77777777" w:rsidR="008B0A16" w:rsidRPr="008B0A16" w:rsidRDefault="008B0A16" w:rsidP="008B0A16">
      <w:pPr>
        <w:autoSpaceDE w:val="0"/>
        <w:autoSpaceDN w:val="0"/>
        <w:adjustRightInd w:val="0"/>
        <w:spacing w:after="0" w:line="240" w:lineRule="auto"/>
        <w:rPr>
          <w:iCs/>
          <w:lang w:eastAsia="en-AU"/>
        </w:rPr>
      </w:pPr>
    </w:p>
    <w:p w14:paraId="2F5C3BC1"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 xml:space="preserve">Queensland Department of Agriculture and Fisheries, 2014. (Unpublished). Progress Against Wildlife Trade Operation Conditions and Recommendations – East Coast Inshore Fin Fish Fishery. Submission to the Department of the Environment and Energy. </w:t>
      </w:r>
    </w:p>
    <w:p w14:paraId="2F5C3BC2" w14:textId="77777777" w:rsidR="008B0A16" w:rsidRPr="008B0A16" w:rsidRDefault="008B0A16" w:rsidP="008B0A16">
      <w:pPr>
        <w:autoSpaceDE w:val="0"/>
        <w:autoSpaceDN w:val="0"/>
        <w:adjustRightInd w:val="0"/>
        <w:spacing w:after="0" w:line="240" w:lineRule="auto"/>
        <w:rPr>
          <w:rFonts w:cs="Arial"/>
          <w:lang w:eastAsia="en-AU"/>
        </w:rPr>
      </w:pPr>
    </w:p>
    <w:p w14:paraId="2F5C3BC3"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 xml:space="preserve">Queensland Department of Agriculture and Fisheries, 2014. (Unpublished). Review of management arrangements for the east coast Queensland shark fishery 2014 – Wildlife Trade Operation Condition 7. </w:t>
      </w:r>
    </w:p>
    <w:p w14:paraId="2F5C3BC4" w14:textId="77777777" w:rsidR="008B0A16" w:rsidRPr="008B0A16" w:rsidRDefault="008B0A16" w:rsidP="008B0A16">
      <w:pPr>
        <w:autoSpaceDE w:val="0"/>
        <w:autoSpaceDN w:val="0"/>
        <w:adjustRightInd w:val="0"/>
        <w:spacing w:after="0" w:line="240" w:lineRule="auto"/>
        <w:rPr>
          <w:rFonts w:cs="Arial"/>
          <w:lang w:eastAsia="en-AU"/>
        </w:rPr>
      </w:pPr>
    </w:p>
    <w:p w14:paraId="2F5C3BC5"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 xml:space="preserve">Queensland Department of Agriculture and Fisheries, 2014. (Unpublished). Review of commercial fishing in the East Coast Inshore Fin Fish Fishery 2014 – Wildlife Trade Operation Condition 8. </w:t>
      </w:r>
    </w:p>
    <w:p w14:paraId="2F5C3BC6" w14:textId="77777777" w:rsidR="008B0A16" w:rsidRPr="008B0A16" w:rsidRDefault="008B0A16" w:rsidP="008B0A16">
      <w:pPr>
        <w:autoSpaceDE w:val="0"/>
        <w:autoSpaceDN w:val="0"/>
        <w:adjustRightInd w:val="0"/>
        <w:spacing w:after="0" w:line="240" w:lineRule="auto"/>
        <w:rPr>
          <w:rFonts w:cs="Arial"/>
          <w:lang w:eastAsia="en-AU"/>
        </w:rPr>
      </w:pPr>
    </w:p>
    <w:p w14:paraId="2F5C3BC7"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 xml:space="preserve">Queensland Department of Agriculture and Fisheries, 2014. (Unpublished). 2013 Species of Conservation Interest (SOCI) Report. </w:t>
      </w:r>
    </w:p>
    <w:p w14:paraId="2F5C3BC8" w14:textId="77777777" w:rsidR="008B0A16" w:rsidRPr="008B0A16" w:rsidRDefault="008B0A16" w:rsidP="008B0A16">
      <w:pPr>
        <w:autoSpaceDE w:val="0"/>
        <w:autoSpaceDN w:val="0"/>
        <w:adjustRightInd w:val="0"/>
        <w:spacing w:after="0" w:line="240" w:lineRule="auto"/>
        <w:rPr>
          <w:rFonts w:cs="Arial"/>
          <w:lang w:eastAsia="en-AU"/>
        </w:rPr>
      </w:pPr>
    </w:p>
    <w:p w14:paraId="2F5C3BC9"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Webley, J., McInnes, K., Teixeira, D., Lawson, A., and Quinn, R. 2015</w:t>
      </w:r>
    </w:p>
    <w:p w14:paraId="2F5C3BCA" w14:textId="77777777" w:rsidR="008B0A16" w:rsidRPr="008B0A16" w:rsidRDefault="008B0A16" w:rsidP="008B0A16">
      <w:pPr>
        <w:autoSpaceDE w:val="0"/>
        <w:autoSpaceDN w:val="0"/>
        <w:adjustRightInd w:val="0"/>
        <w:spacing w:after="0" w:line="240" w:lineRule="auto"/>
        <w:rPr>
          <w:rFonts w:cs="Arial"/>
          <w:lang w:eastAsia="en-AU"/>
        </w:rPr>
      </w:pPr>
      <w:r w:rsidRPr="008B0A16">
        <w:rPr>
          <w:rFonts w:cs="Arial"/>
          <w:lang w:eastAsia="en-AU"/>
        </w:rPr>
        <w:t>‘Statewide Recreational Fishing Survey 2013–14.’ (Queensland Department</w:t>
      </w:r>
    </w:p>
    <w:p w14:paraId="2F5C3BCB" w14:textId="77777777" w:rsidR="008B0A16" w:rsidRPr="008B0A16" w:rsidRDefault="008B0A16" w:rsidP="008B0A16">
      <w:pPr>
        <w:rPr>
          <w:rFonts w:cs="Arial"/>
          <w:lang w:eastAsia="en-AU"/>
        </w:rPr>
      </w:pPr>
      <w:r w:rsidRPr="008B0A16">
        <w:rPr>
          <w:rFonts w:cs="Arial"/>
          <w:lang w:eastAsia="en-AU"/>
        </w:rPr>
        <w:t>of Agriculture and Fisheries: Brisbane.)</w:t>
      </w:r>
    </w:p>
    <w:p w14:paraId="2F5C3BCC" w14:textId="77777777" w:rsidR="008B0A16" w:rsidRPr="008B0A16" w:rsidRDefault="00F73630" w:rsidP="008B0A16">
      <w:pPr>
        <w:autoSpaceDE w:val="0"/>
        <w:autoSpaceDN w:val="0"/>
        <w:adjustRightInd w:val="0"/>
        <w:spacing w:after="0" w:line="240" w:lineRule="auto"/>
        <w:rPr>
          <w:rFonts w:cs="Arial"/>
          <w:lang w:eastAsia="en-AU"/>
        </w:rPr>
      </w:pPr>
      <w:hyperlink r:id="rId18" w:history="1">
        <w:r w:rsidR="008B0A16" w:rsidRPr="008B0A16">
          <w:rPr>
            <w:rFonts w:cs="Arial"/>
            <w:color w:val="0000FF" w:themeColor="hyperlink"/>
            <w:u w:val="single"/>
            <w:lang w:eastAsia="en-AU"/>
          </w:rPr>
          <w:t>www.daf.qld.gov.au</w:t>
        </w:r>
      </w:hyperlink>
      <w:r w:rsidR="008B0A16" w:rsidRPr="008B0A16">
        <w:rPr>
          <w:rFonts w:cs="Arial"/>
          <w:lang w:eastAsia="en-AU"/>
        </w:rPr>
        <w:t xml:space="preserve"> - Stock Status of Queensland Species, 2015. Taken from </w:t>
      </w:r>
      <w:hyperlink r:id="rId19" w:history="1">
        <w:r w:rsidR="008B0A16" w:rsidRPr="008B0A16">
          <w:rPr>
            <w:rFonts w:cs="Arial"/>
            <w:color w:val="0000FF" w:themeColor="hyperlink"/>
            <w:u w:val="single"/>
            <w:lang w:eastAsia="en-AU"/>
          </w:rPr>
          <w:t>https://www.daf.qld.gov.au/fisheries/monitoring-our-fisheries/data-reports/sustainability-reporting/stock-status-assessments/stock-status-assessment-2015</w:t>
        </w:r>
      </w:hyperlink>
      <w:r w:rsidR="008B0A16" w:rsidRPr="008B0A16">
        <w:rPr>
          <w:rFonts w:cs="Arial"/>
          <w:lang w:eastAsia="en-AU"/>
        </w:rPr>
        <w:t xml:space="preserve">   on 15 May 2015 </w:t>
      </w:r>
    </w:p>
    <w:p w14:paraId="2F5C3BCD" w14:textId="77777777" w:rsidR="008B0A16" w:rsidRPr="008B0A16" w:rsidRDefault="008B0A16" w:rsidP="008B0A16">
      <w:pPr>
        <w:autoSpaceDE w:val="0"/>
        <w:autoSpaceDN w:val="0"/>
        <w:adjustRightInd w:val="0"/>
        <w:spacing w:after="0" w:line="240" w:lineRule="auto"/>
        <w:rPr>
          <w:rFonts w:cs="Arial"/>
          <w:lang w:eastAsia="en-AU"/>
        </w:rPr>
      </w:pPr>
    </w:p>
    <w:p w14:paraId="2F5C3BCE" w14:textId="77777777" w:rsidR="008B0A16" w:rsidRPr="008B0A16" w:rsidRDefault="00F73630" w:rsidP="008B0A16">
      <w:pPr>
        <w:autoSpaceDE w:val="0"/>
        <w:autoSpaceDN w:val="0"/>
        <w:adjustRightInd w:val="0"/>
        <w:spacing w:after="0" w:line="240" w:lineRule="auto"/>
        <w:rPr>
          <w:rFonts w:cs="Arial"/>
          <w:lang w:eastAsia="en-AU"/>
        </w:rPr>
      </w:pPr>
      <w:hyperlink r:id="rId20" w:history="1">
        <w:r w:rsidR="008B0A16" w:rsidRPr="008B0A16">
          <w:rPr>
            <w:rFonts w:cs="Arial"/>
            <w:color w:val="0000FF" w:themeColor="hyperlink"/>
            <w:u w:val="single"/>
            <w:lang w:eastAsia="en-AU"/>
          </w:rPr>
          <w:t>www.daf.gov.au</w:t>
        </w:r>
      </w:hyperlink>
      <w:r w:rsidR="008B0A16" w:rsidRPr="008B0A16">
        <w:rPr>
          <w:rFonts w:cs="Arial"/>
          <w:lang w:eastAsia="en-AU"/>
        </w:rPr>
        <w:t xml:space="preserve"> – Stock assessment of whaler and hammerhead sharks (Carcharhinidae and Sphyrnidae) in Queensland, 2015. Taken from </w:t>
      </w:r>
      <w:hyperlink r:id="rId21" w:history="1">
        <w:r w:rsidR="008B0A16" w:rsidRPr="008B0A16">
          <w:rPr>
            <w:rFonts w:cs="Arial"/>
            <w:color w:val="0000FF" w:themeColor="hyperlink"/>
            <w:u w:val="single"/>
            <w:lang w:eastAsia="en-AU"/>
          </w:rPr>
          <w:t>https://www.daf.qld.gov.au/fisheries/monitoring-our-fisheries/data-reports/sustainability-reporting/stock-assessment-reports/stock-assessment-of-whaler-and-hammerhead-sharks-carcharhinidae-and-sphyrnidae-in-queensland</w:t>
        </w:r>
      </w:hyperlink>
      <w:r w:rsidR="008B0A16" w:rsidRPr="008B0A16">
        <w:rPr>
          <w:rFonts w:cs="Arial"/>
          <w:lang w:eastAsia="en-AU"/>
        </w:rPr>
        <w:t xml:space="preserve">   on 12 August 2015. </w:t>
      </w:r>
    </w:p>
    <w:p w14:paraId="2F5C3BCF" w14:textId="77777777" w:rsidR="008B0A16" w:rsidRPr="008B0A16" w:rsidRDefault="008B0A16" w:rsidP="008B0A16">
      <w:pPr>
        <w:autoSpaceDE w:val="0"/>
        <w:autoSpaceDN w:val="0"/>
        <w:adjustRightInd w:val="0"/>
        <w:spacing w:after="0" w:line="240" w:lineRule="auto"/>
        <w:rPr>
          <w:rFonts w:cs="Arial"/>
          <w:lang w:eastAsia="en-AU"/>
        </w:rPr>
      </w:pPr>
    </w:p>
    <w:p w14:paraId="2F5C3BD0" w14:textId="77777777" w:rsidR="008B0A16" w:rsidRPr="008B0A16" w:rsidRDefault="00F73630" w:rsidP="008B0A16">
      <w:pPr>
        <w:autoSpaceDE w:val="0"/>
        <w:autoSpaceDN w:val="0"/>
        <w:adjustRightInd w:val="0"/>
        <w:spacing w:after="0" w:line="240" w:lineRule="auto"/>
        <w:rPr>
          <w:rFonts w:cs="Arial"/>
          <w:lang w:eastAsia="en-AU"/>
        </w:rPr>
      </w:pPr>
      <w:hyperlink r:id="rId22" w:history="1">
        <w:r w:rsidR="008B0A16" w:rsidRPr="008B0A16">
          <w:rPr>
            <w:rFonts w:cs="Arial"/>
            <w:color w:val="0000FF" w:themeColor="hyperlink"/>
            <w:u w:val="single"/>
            <w:lang w:eastAsia="en-AU"/>
          </w:rPr>
          <w:t>www.fish.gov.au</w:t>
        </w:r>
      </w:hyperlink>
      <w:r w:rsidR="008B0A16" w:rsidRPr="008B0A16">
        <w:rPr>
          <w:rFonts w:cs="Arial"/>
          <w:lang w:eastAsia="en-AU"/>
        </w:rPr>
        <w:t xml:space="preserve"> – Status of Key Australian Fish Stocks 2014. Taken from </w:t>
      </w:r>
      <w:hyperlink r:id="rId23" w:history="1">
        <w:r w:rsidR="008B0A16" w:rsidRPr="008B0A16">
          <w:rPr>
            <w:rFonts w:cs="Arial"/>
            <w:color w:val="0000FF" w:themeColor="hyperlink"/>
            <w:u w:val="single"/>
            <w:lang w:eastAsia="en-AU"/>
          </w:rPr>
          <w:t>http://fish.gov.au/Pages/SAFS_Report.aspx</w:t>
        </w:r>
      </w:hyperlink>
      <w:r w:rsidR="008B0A16" w:rsidRPr="008B0A16">
        <w:rPr>
          <w:rFonts w:cs="Arial"/>
          <w:lang w:eastAsia="en-AU"/>
        </w:rPr>
        <w:t xml:space="preserve">   on 16 April 2015</w:t>
      </w:r>
    </w:p>
    <w:p w14:paraId="2F5C3BD1" w14:textId="77777777" w:rsidR="00B6012C" w:rsidRPr="00F6308F" w:rsidRDefault="00B6012C" w:rsidP="001955CD">
      <w:pPr>
        <w:tabs>
          <w:tab w:val="left" w:pos="360"/>
        </w:tabs>
        <w:rPr>
          <w:rFonts w:cs="Arial"/>
        </w:rPr>
      </w:pPr>
    </w:p>
    <w:tbl>
      <w:tblPr>
        <w:tblW w:w="0" w:type="auto"/>
        <w:tblLook w:val="01E0" w:firstRow="1" w:lastRow="1" w:firstColumn="1" w:lastColumn="1" w:noHBand="0" w:noVBand="0"/>
      </w:tblPr>
      <w:tblGrid>
        <w:gridCol w:w="1548"/>
        <w:gridCol w:w="6980"/>
      </w:tblGrid>
      <w:tr w:rsidR="00B6012C" w:rsidRPr="00F6308F" w14:paraId="2F5C3BD4" w14:textId="77777777" w:rsidTr="001955CD">
        <w:tc>
          <w:tcPr>
            <w:tcW w:w="1548" w:type="dxa"/>
          </w:tcPr>
          <w:p w14:paraId="2F5C3BD2" w14:textId="77777777" w:rsidR="00B6012C" w:rsidRPr="00F6308F" w:rsidRDefault="00B6012C" w:rsidP="001955CD">
            <w:pPr>
              <w:tabs>
                <w:tab w:val="left" w:pos="360"/>
              </w:tabs>
              <w:rPr>
                <w:rFonts w:cs="Arial"/>
              </w:rPr>
            </w:pPr>
          </w:p>
        </w:tc>
        <w:tc>
          <w:tcPr>
            <w:tcW w:w="6980" w:type="dxa"/>
          </w:tcPr>
          <w:p w14:paraId="2F5C3BD3" w14:textId="77777777" w:rsidR="00B6012C" w:rsidRPr="00F6308F" w:rsidRDefault="00B6012C" w:rsidP="001955CD">
            <w:pPr>
              <w:tabs>
                <w:tab w:val="left" w:pos="360"/>
              </w:tabs>
              <w:rPr>
                <w:rFonts w:cs="Arial"/>
              </w:rPr>
            </w:pPr>
          </w:p>
        </w:tc>
      </w:tr>
      <w:tr w:rsidR="00B6012C" w:rsidRPr="00F6308F" w14:paraId="2F5C3BD7" w14:textId="77777777" w:rsidTr="001955CD">
        <w:tc>
          <w:tcPr>
            <w:tcW w:w="1548" w:type="dxa"/>
          </w:tcPr>
          <w:p w14:paraId="2F5C3BD5" w14:textId="77777777" w:rsidR="00B6012C" w:rsidRPr="00F6308F" w:rsidRDefault="00B6012C" w:rsidP="001955CD">
            <w:pPr>
              <w:tabs>
                <w:tab w:val="left" w:pos="360"/>
              </w:tabs>
              <w:rPr>
                <w:rFonts w:cs="Arial"/>
              </w:rPr>
            </w:pPr>
          </w:p>
        </w:tc>
        <w:tc>
          <w:tcPr>
            <w:tcW w:w="6980" w:type="dxa"/>
          </w:tcPr>
          <w:p w14:paraId="2F5C3BD6" w14:textId="77777777" w:rsidR="00B6012C" w:rsidRPr="00F6308F" w:rsidRDefault="00B6012C" w:rsidP="001955CD">
            <w:pPr>
              <w:tabs>
                <w:tab w:val="left" w:pos="360"/>
              </w:tabs>
              <w:rPr>
                <w:rFonts w:cs="Arial"/>
              </w:rPr>
            </w:pPr>
          </w:p>
        </w:tc>
      </w:tr>
      <w:tr w:rsidR="00B6012C" w:rsidRPr="00F6308F" w14:paraId="2F5C3BDA" w14:textId="77777777" w:rsidTr="001955CD">
        <w:tc>
          <w:tcPr>
            <w:tcW w:w="1548" w:type="dxa"/>
          </w:tcPr>
          <w:p w14:paraId="2F5C3BD8" w14:textId="77777777" w:rsidR="00B6012C" w:rsidRPr="00F6308F" w:rsidRDefault="00B6012C" w:rsidP="001955CD">
            <w:pPr>
              <w:tabs>
                <w:tab w:val="left" w:pos="360"/>
              </w:tabs>
              <w:rPr>
                <w:rFonts w:cs="Arial"/>
              </w:rPr>
            </w:pPr>
          </w:p>
        </w:tc>
        <w:tc>
          <w:tcPr>
            <w:tcW w:w="6980" w:type="dxa"/>
          </w:tcPr>
          <w:p w14:paraId="2F5C3BD9" w14:textId="77777777" w:rsidR="00B6012C" w:rsidRPr="00F6308F" w:rsidRDefault="00B6012C" w:rsidP="001955CD">
            <w:pPr>
              <w:tabs>
                <w:tab w:val="left" w:pos="360"/>
              </w:tabs>
              <w:rPr>
                <w:rFonts w:cs="Arial"/>
              </w:rPr>
            </w:pPr>
          </w:p>
        </w:tc>
      </w:tr>
      <w:tr w:rsidR="00B6012C" w:rsidRPr="00F6308F" w14:paraId="2F5C3BDD" w14:textId="77777777" w:rsidTr="001955CD">
        <w:tc>
          <w:tcPr>
            <w:tcW w:w="1548" w:type="dxa"/>
          </w:tcPr>
          <w:p w14:paraId="2F5C3BDB" w14:textId="77777777" w:rsidR="00B6012C" w:rsidRPr="00F6308F" w:rsidRDefault="00B6012C" w:rsidP="001955CD">
            <w:pPr>
              <w:tabs>
                <w:tab w:val="left" w:pos="360"/>
              </w:tabs>
              <w:rPr>
                <w:rFonts w:cs="Arial"/>
              </w:rPr>
            </w:pPr>
          </w:p>
        </w:tc>
        <w:tc>
          <w:tcPr>
            <w:tcW w:w="6980" w:type="dxa"/>
          </w:tcPr>
          <w:p w14:paraId="2F5C3BDC" w14:textId="77777777" w:rsidR="00B6012C" w:rsidRPr="00F6308F" w:rsidRDefault="00B6012C" w:rsidP="001955CD">
            <w:pPr>
              <w:tabs>
                <w:tab w:val="left" w:pos="360"/>
              </w:tabs>
              <w:rPr>
                <w:rFonts w:cs="Arial"/>
              </w:rPr>
            </w:pPr>
          </w:p>
        </w:tc>
      </w:tr>
      <w:tr w:rsidR="00B6012C" w:rsidRPr="00F6308F" w14:paraId="2F5C3BE0" w14:textId="77777777" w:rsidTr="001955CD">
        <w:tc>
          <w:tcPr>
            <w:tcW w:w="1548" w:type="dxa"/>
          </w:tcPr>
          <w:p w14:paraId="2F5C3BDE" w14:textId="77777777" w:rsidR="00B6012C" w:rsidRPr="00F6308F" w:rsidRDefault="00B6012C" w:rsidP="001955CD">
            <w:pPr>
              <w:tabs>
                <w:tab w:val="left" w:pos="360"/>
              </w:tabs>
              <w:rPr>
                <w:rFonts w:cs="Arial"/>
              </w:rPr>
            </w:pPr>
          </w:p>
        </w:tc>
        <w:tc>
          <w:tcPr>
            <w:tcW w:w="6980" w:type="dxa"/>
          </w:tcPr>
          <w:p w14:paraId="2F5C3BDF" w14:textId="77777777" w:rsidR="00B6012C" w:rsidRPr="00F6308F" w:rsidRDefault="00B6012C" w:rsidP="001955CD">
            <w:pPr>
              <w:tabs>
                <w:tab w:val="left" w:pos="360"/>
              </w:tabs>
              <w:rPr>
                <w:rFonts w:cs="Arial"/>
                <w:i/>
              </w:rPr>
            </w:pPr>
          </w:p>
        </w:tc>
      </w:tr>
      <w:tr w:rsidR="00B6012C" w:rsidRPr="00F6308F" w14:paraId="2F5C3BE3" w14:textId="77777777" w:rsidTr="001955CD">
        <w:tc>
          <w:tcPr>
            <w:tcW w:w="1548" w:type="dxa"/>
          </w:tcPr>
          <w:p w14:paraId="2F5C3BE1" w14:textId="77777777" w:rsidR="00B6012C" w:rsidRPr="00F6308F" w:rsidRDefault="00B6012C" w:rsidP="001955CD">
            <w:pPr>
              <w:tabs>
                <w:tab w:val="left" w:pos="360"/>
              </w:tabs>
              <w:rPr>
                <w:rFonts w:cs="Arial"/>
              </w:rPr>
            </w:pPr>
          </w:p>
        </w:tc>
        <w:tc>
          <w:tcPr>
            <w:tcW w:w="6980" w:type="dxa"/>
          </w:tcPr>
          <w:p w14:paraId="2F5C3BE2" w14:textId="77777777" w:rsidR="00B6012C" w:rsidRPr="00F6308F" w:rsidRDefault="00B6012C" w:rsidP="001955CD">
            <w:pPr>
              <w:tabs>
                <w:tab w:val="left" w:pos="360"/>
              </w:tabs>
              <w:rPr>
                <w:rFonts w:cs="Arial"/>
              </w:rPr>
            </w:pPr>
          </w:p>
        </w:tc>
      </w:tr>
      <w:tr w:rsidR="00B6012C" w:rsidRPr="00F6308F" w14:paraId="2F5C3BE6" w14:textId="77777777" w:rsidTr="001955CD">
        <w:tc>
          <w:tcPr>
            <w:tcW w:w="1548" w:type="dxa"/>
          </w:tcPr>
          <w:p w14:paraId="2F5C3BE4" w14:textId="77777777" w:rsidR="00B6012C" w:rsidRPr="00F6308F" w:rsidRDefault="00B6012C" w:rsidP="001955CD">
            <w:pPr>
              <w:tabs>
                <w:tab w:val="left" w:pos="360"/>
              </w:tabs>
              <w:rPr>
                <w:rFonts w:cs="Arial"/>
              </w:rPr>
            </w:pPr>
          </w:p>
        </w:tc>
        <w:tc>
          <w:tcPr>
            <w:tcW w:w="6980" w:type="dxa"/>
          </w:tcPr>
          <w:p w14:paraId="2F5C3BE5" w14:textId="77777777" w:rsidR="00B6012C" w:rsidRPr="00F6308F" w:rsidRDefault="00B6012C" w:rsidP="001955CD">
            <w:pPr>
              <w:tabs>
                <w:tab w:val="left" w:pos="360"/>
              </w:tabs>
              <w:rPr>
                <w:rFonts w:cs="Arial"/>
              </w:rPr>
            </w:pPr>
          </w:p>
        </w:tc>
      </w:tr>
      <w:tr w:rsidR="00B6012C" w:rsidRPr="00F6308F" w14:paraId="2F5C3BE9" w14:textId="77777777" w:rsidTr="001955CD">
        <w:tc>
          <w:tcPr>
            <w:tcW w:w="1548" w:type="dxa"/>
          </w:tcPr>
          <w:p w14:paraId="2F5C3BE7" w14:textId="77777777" w:rsidR="00B6012C" w:rsidRPr="00F6308F" w:rsidRDefault="00B6012C" w:rsidP="001955CD">
            <w:pPr>
              <w:tabs>
                <w:tab w:val="left" w:pos="360"/>
              </w:tabs>
              <w:rPr>
                <w:rFonts w:cs="Arial"/>
              </w:rPr>
            </w:pPr>
          </w:p>
        </w:tc>
        <w:tc>
          <w:tcPr>
            <w:tcW w:w="6980" w:type="dxa"/>
          </w:tcPr>
          <w:p w14:paraId="2F5C3BE8" w14:textId="77777777" w:rsidR="00B6012C" w:rsidRPr="00F6308F" w:rsidRDefault="00B6012C" w:rsidP="001955CD">
            <w:pPr>
              <w:tabs>
                <w:tab w:val="left" w:pos="360"/>
              </w:tabs>
              <w:rPr>
                <w:rFonts w:cs="Arial"/>
              </w:rPr>
            </w:pPr>
          </w:p>
        </w:tc>
      </w:tr>
      <w:tr w:rsidR="00B6012C" w:rsidRPr="00F6308F" w14:paraId="2F5C3BEC" w14:textId="77777777" w:rsidTr="001955CD">
        <w:tc>
          <w:tcPr>
            <w:tcW w:w="1548" w:type="dxa"/>
          </w:tcPr>
          <w:p w14:paraId="2F5C3BEA" w14:textId="77777777" w:rsidR="00B6012C" w:rsidRPr="00F6308F" w:rsidRDefault="00B6012C" w:rsidP="001955CD">
            <w:pPr>
              <w:tabs>
                <w:tab w:val="left" w:pos="360"/>
              </w:tabs>
              <w:rPr>
                <w:rFonts w:cs="Arial"/>
              </w:rPr>
            </w:pPr>
          </w:p>
        </w:tc>
        <w:tc>
          <w:tcPr>
            <w:tcW w:w="6980" w:type="dxa"/>
          </w:tcPr>
          <w:p w14:paraId="2F5C3BEB" w14:textId="77777777" w:rsidR="00B6012C" w:rsidRPr="00F6308F" w:rsidRDefault="00B6012C" w:rsidP="001955CD">
            <w:pPr>
              <w:tabs>
                <w:tab w:val="left" w:pos="360"/>
              </w:tabs>
              <w:rPr>
                <w:rFonts w:cs="Arial"/>
              </w:rPr>
            </w:pPr>
          </w:p>
        </w:tc>
      </w:tr>
      <w:tr w:rsidR="00B6012C" w:rsidRPr="00F6308F" w14:paraId="2F5C3BEF" w14:textId="77777777" w:rsidTr="001955CD">
        <w:tc>
          <w:tcPr>
            <w:tcW w:w="1548" w:type="dxa"/>
          </w:tcPr>
          <w:p w14:paraId="2F5C3BED" w14:textId="77777777" w:rsidR="00B6012C" w:rsidRPr="00F6308F" w:rsidRDefault="00B6012C" w:rsidP="001955CD">
            <w:pPr>
              <w:tabs>
                <w:tab w:val="left" w:pos="360"/>
              </w:tabs>
              <w:rPr>
                <w:rFonts w:cs="Arial"/>
              </w:rPr>
            </w:pPr>
          </w:p>
        </w:tc>
        <w:tc>
          <w:tcPr>
            <w:tcW w:w="6980" w:type="dxa"/>
          </w:tcPr>
          <w:p w14:paraId="2F5C3BEE" w14:textId="77777777" w:rsidR="00B6012C" w:rsidRPr="00F6308F" w:rsidRDefault="00B6012C" w:rsidP="001955CD">
            <w:pPr>
              <w:tabs>
                <w:tab w:val="left" w:pos="360"/>
              </w:tabs>
              <w:rPr>
                <w:rFonts w:cs="Arial"/>
              </w:rPr>
            </w:pPr>
          </w:p>
        </w:tc>
      </w:tr>
    </w:tbl>
    <w:p w14:paraId="2F5C3BF0" w14:textId="77777777" w:rsidR="00B6012C" w:rsidRPr="00F6308F" w:rsidRDefault="00B6012C" w:rsidP="001955CD">
      <w:pPr>
        <w:rPr>
          <w:rFonts w:cs="Arial"/>
        </w:rPr>
      </w:pPr>
    </w:p>
    <w:p w14:paraId="2F5C3BF1" w14:textId="77777777" w:rsidR="006B14DB" w:rsidRPr="00EF53FF" w:rsidRDefault="006B14DB" w:rsidP="00932861"/>
    <w:sectPr w:rsidR="006B14DB" w:rsidRPr="00EF53FF" w:rsidSect="003E053F">
      <w:headerReference w:type="even" r:id="rId24"/>
      <w:headerReference w:type="default" r:id="rId25"/>
      <w:footerReference w:type="even" r:id="rId26"/>
      <w:footerReference w:type="default" r:id="rId27"/>
      <w:headerReference w:type="first" r:id="rId28"/>
      <w:footerReference w:type="first" r:id="rId29"/>
      <w:pgSz w:w="16838" w:h="11906" w:orient="landscape" w:code="9"/>
      <w:pgMar w:top="1701" w:right="1134" w:bottom="1701" w:left="1134"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C3BFA" w14:textId="77777777" w:rsidR="00A41525" w:rsidRDefault="00A41525" w:rsidP="00A60185">
      <w:pPr>
        <w:spacing w:after="0" w:line="240" w:lineRule="auto"/>
      </w:pPr>
      <w:r>
        <w:separator/>
      </w:r>
    </w:p>
  </w:endnote>
  <w:endnote w:type="continuationSeparator" w:id="0">
    <w:p w14:paraId="2F5C3BFB" w14:textId="77777777" w:rsidR="00A41525" w:rsidRDefault="00A4152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7B4F2" w14:textId="77777777" w:rsidR="00F73630" w:rsidRDefault="00F736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BFC" w14:textId="77777777" w:rsidR="00A41525" w:rsidRDefault="00A4152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BFD" w14:textId="77777777" w:rsidR="00A41525" w:rsidRDefault="00A41525">
    <w:pPr>
      <w:pStyle w:val="Footer"/>
      <w:jc w:val="right"/>
    </w:pPr>
  </w:p>
  <w:p w14:paraId="2F5C3BFE" w14:textId="77777777" w:rsidR="00A41525" w:rsidRDefault="00A415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BFF" w14:textId="77777777" w:rsidR="00A41525" w:rsidRPr="008676DA" w:rsidRDefault="00A41525">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F73630">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0" w14:textId="77777777" w:rsidR="00A41525" w:rsidRPr="00E5103E" w:rsidRDefault="00A41525">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2F5C3C01" w14:textId="77777777" w:rsidR="00A41525" w:rsidRDefault="00A4152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4" w14:textId="77777777" w:rsidR="00A41525" w:rsidRDefault="00A4152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2F5C3C05" w14:textId="77777777" w:rsidR="00A41525" w:rsidRDefault="00A41525">
        <w:pPr>
          <w:pStyle w:val="Footer"/>
          <w:jc w:val="center"/>
        </w:pPr>
        <w:r>
          <w:fldChar w:fldCharType="begin"/>
        </w:r>
        <w:r>
          <w:instrText xml:space="preserve"> PAGE   \* MERGEFORMAT </w:instrText>
        </w:r>
        <w:r>
          <w:fldChar w:fldCharType="separate"/>
        </w:r>
        <w:r w:rsidR="00F73630">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7" w14:textId="77777777" w:rsidR="00A41525" w:rsidRDefault="00A41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C3BF8" w14:textId="77777777" w:rsidR="00A41525" w:rsidRDefault="00A41525" w:rsidP="00A60185">
      <w:pPr>
        <w:spacing w:after="0" w:line="240" w:lineRule="auto"/>
      </w:pPr>
      <w:r>
        <w:separator/>
      </w:r>
    </w:p>
  </w:footnote>
  <w:footnote w:type="continuationSeparator" w:id="0">
    <w:p w14:paraId="2F5C3BF9" w14:textId="77777777" w:rsidR="00A41525" w:rsidRDefault="00A41525" w:rsidP="00A60185">
      <w:pPr>
        <w:spacing w:after="0" w:line="240" w:lineRule="auto"/>
      </w:pPr>
      <w:r>
        <w:continuationSeparator/>
      </w:r>
    </w:p>
  </w:footnote>
  <w:footnote w:id="1">
    <w:p w14:paraId="2F5C3C08" w14:textId="77777777" w:rsidR="00A41525" w:rsidRPr="00871EEE" w:rsidRDefault="00A41525" w:rsidP="00C5700C">
      <w:pPr>
        <w:pStyle w:val="FootnoteText"/>
        <w:rPr>
          <w:rFonts w:ascii="Arial" w:hAnsi="Arial" w:cs="Arial"/>
          <w:sz w:val="18"/>
          <w:szCs w:val="18"/>
          <w:lang w:val="en-AU"/>
        </w:rPr>
      </w:pPr>
      <w:r w:rsidRPr="00871EEE">
        <w:rPr>
          <w:rFonts w:ascii="Arial" w:hAnsi="Arial" w:cs="Arial"/>
          <w:sz w:val="18"/>
          <w:szCs w:val="18"/>
          <w:vertAlign w:val="superscript"/>
          <w:lang w:val="en-AU"/>
        </w:rPr>
        <w:t>1</w:t>
      </w:r>
      <w:r>
        <w:rPr>
          <w:rFonts w:ascii="Arial" w:hAnsi="Arial" w:cs="Arial"/>
          <w:sz w:val="18"/>
          <w:szCs w:val="18"/>
          <w:lang w:val="en-AU"/>
        </w:rPr>
        <w:t xml:space="preserve"> </w:t>
      </w:r>
      <w:r w:rsidRPr="00871EEE">
        <w:rPr>
          <w:rFonts w:ascii="Arial" w:hAnsi="Arial" w:cs="Arial"/>
          <w:sz w:val="18"/>
          <w:szCs w:val="18"/>
          <w:lang w:val="en-AU"/>
        </w:rPr>
        <w:t>The maximum size limit does not apply to net licences with an S symbol. The net mesh size regulations are designed to select sharks less than 150 centimetres.</w:t>
      </w:r>
    </w:p>
  </w:footnote>
  <w:footnote w:id="2">
    <w:p w14:paraId="2F5C3C09" w14:textId="77777777" w:rsidR="00A41525" w:rsidRPr="008676DA" w:rsidRDefault="00A41525"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3">
    <w:p w14:paraId="2F5C3C0A" w14:textId="77777777" w:rsidR="00A41525" w:rsidRPr="008676DA" w:rsidRDefault="00A41525"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B9E0C" w14:textId="77777777" w:rsidR="00F73630" w:rsidRDefault="00F736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C8CA8" w14:textId="77777777" w:rsidR="00F73630" w:rsidRDefault="00F736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79283" w14:textId="77777777" w:rsidR="00F73630" w:rsidRDefault="00F736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2" w14:textId="77777777" w:rsidR="00A41525" w:rsidRDefault="00A41525"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3" w14:textId="77777777" w:rsidR="00A41525" w:rsidRDefault="00A4152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3C06" w14:textId="77777777" w:rsidR="00A41525" w:rsidRDefault="00A415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060A2EE"/>
    <w:lvl w:ilvl="0">
      <w:start w:val="1"/>
      <w:numFmt w:val="decimal"/>
      <w:lvlText w:val="%1."/>
      <w:lvlJc w:val="left"/>
      <w:pPr>
        <w:tabs>
          <w:tab w:val="num" w:pos="360"/>
        </w:tabs>
        <w:ind w:left="360" w:hanging="360"/>
      </w:pPr>
      <w:rPr>
        <w:b w:val="0"/>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A952B6"/>
    <w:multiLevelType w:val="hybridMultilevel"/>
    <w:tmpl w:val="B0181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63060B1"/>
    <w:multiLevelType w:val="hybridMultilevel"/>
    <w:tmpl w:val="6BE487FA"/>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8" w15:restartNumberingAfterBreak="0">
    <w:nsid w:val="16DC2DBC"/>
    <w:multiLevelType w:val="hybridMultilevel"/>
    <w:tmpl w:val="9DF070BA"/>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C25F81"/>
    <w:multiLevelType w:val="hybridMultilevel"/>
    <w:tmpl w:val="4C9E9BA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C8E39D6"/>
    <w:multiLevelType w:val="hybridMultilevel"/>
    <w:tmpl w:val="2370DFEE"/>
    <w:lvl w:ilvl="0" w:tplc="AF8E5954">
      <w:start w:val="1"/>
      <w:numFmt w:val="bullet"/>
      <w:lvlText w:val=""/>
      <w:lvlJc w:val="left"/>
      <w:pPr>
        <w:tabs>
          <w:tab w:val="num" w:pos="283"/>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541503"/>
    <w:multiLevelType w:val="hybridMultilevel"/>
    <w:tmpl w:val="B66CC774"/>
    <w:lvl w:ilvl="0" w:tplc="0C090001">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F745BC2"/>
    <w:multiLevelType w:val="multilevel"/>
    <w:tmpl w:val="E5E89F92"/>
    <w:numStyleLink w:val="BulletList"/>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1EF4B93"/>
    <w:multiLevelType w:val="hybridMultilevel"/>
    <w:tmpl w:val="35CEB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163A37"/>
    <w:multiLevelType w:val="hybridMultilevel"/>
    <w:tmpl w:val="F95A86D4"/>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7CF4F12"/>
    <w:multiLevelType w:val="hybridMultilevel"/>
    <w:tmpl w:val="9C84DED8"/>
    <w:lvl w:ilvl="0" w:tplc="CF7C596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E3A01E9"/>
    <w:multiLevelType w:val="hybridMultilevel"/>
    <w:tmpl w:val="CFC2CC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3D74A42"/>
    <w:multiLevelType w:val="hybridMultilevel"/>
    <w:tmpl w:val="F9388C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4BA5327"/>
    <w:multiLevelType w:val="hybridMultilevel"/>
    <w:tmpl w:val="6BE487FA"/>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2" w15:restartNumberingAfterBreak="0">
    <w:nsid w:val="45EF2DF0"/>
    <w:multiLevelType w:val="hybridMultilevel"/>
    <w:tmpl w:val="6BE487FA"/>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3" w15:restartNumberingAfterBreak="0">
    <w:nsid w:val="4BB06AB5"/>
    <w:multiLevelType w:val="hybridMultilevel"/>
    <w:tmpl w:val="E570B218"/>
    <w:lvl w:ilvl="0" w:tplc="0C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021545D"/>
    <w:multiLevelType w:val="hybridMultilevel"/>
    <w:tmpl w:val="7A744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55BD01A0"/>
    <w:multiLevelType w:val="hybridMultilevel"/>
    <w:tmpl w:val="20361F12"/>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57577BAB"/>
    <w:multiLevelType w:val="singleLevel"/>
    <w:tmpl w:val="63D68994"/>
    <w:lvl w:ilvl="0">
      <w:start w:val="1"/>
      <w:numFmt w:val="decimal"/>
      <w:lvlText w:val="%1."/>
      <w:lvlJc w:val="left"/>
      <w:pPr>
        <w:tabs>
          <w:tab w:val="num" w:pos="360"/>
        </w:tabs>
        <w:ind w:left="360" w:hanging="360"/>
      </w:pPr>
    </w:lvl>
  </w:abstractNum>
  <w:abstractNum w:abstractNumId="40" w15:restartNumberingAfterBreak="0">
    <w:nsid w:val="588662BF"/>
    <w:multiLevelType w:val="hybridMultilevel"/>
    <w:tmpl w:val="E7F65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5F947228"/>
    <w:multiLevelType w:val="hybridMultilevel"/>
    <w:tmpl w:val="FEEE87D0"/>
    <w:lvl w:ilvl="0" w:tplc="CF7C5964">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FE77CD0"/>
    <w:multiLevelType w:val="hybridMultilevel"/>
    <w:tmpl w:val="FC8E854E"/>
    <w:lvl w:ilvl="0" w:tplc="62721CE2">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5456429"/>
    <w:multiLevelType w:val="multilevel"/>
    <w:tmpl w:val="E898CC72"/>
    <w:numStyleLink w:val="KeyPoints"/>
  </w:abstractNum>
  <w:abstractNum w:abstractNumId="4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1" w15:restartNumberingAfterBreak="0">
    <w:nsid w:val="6D924B23"/>
    <w:multiLevelType w:val="hybridMultilevel"/>
    <w:tmpl w:val="A5BE0040"/>
    <w:lvl w:ilvl="0" w:tplc="0C090017">
      <w:start w:val="1"/>
      <w:numFmt w:val="lowerLetter"/>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52" w15:restartNumberingAfterBreak="0">
    <w:nsid w:val="6F7774EE"/>
    <w:multiLevelType w:val="hybridMultilevel"/>
    <w:tmpl w:val="50F666F2"/>
    <w:lvl w:ilvl="0" w:tplc="4508A0C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121525D"/>
    <w:multiLevelType w:val="hybridMultilevel"/>
    <w:tmpl w:val="FD2AEF2A"/>
    <w:lvl w:ilvl="0" w:tplc="0C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2D515D9"/>
    <w:multiLevelType w:val="hybridMultilevel"/>
    <w:tmpl w:val="A69C25F8"/>
    <w:lvl w:ilvl="0" w:tplc="0C090017">
      <w:start w:val="1"/>
      <w:numFmt w:val="lowerLetter"/>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5"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6" w15:restartNumberingAfterBreak="0">
    <w:nsid w:val="792E3D89"/>
    <w:multiLevelType w:val="hybridMultilevel"/>
    <w:tmpl w:val="D44ACA4A"/>
    <w:lvl w:ilvl="0" w:tplc="0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8" w15:restartNumberingAfterBreak="0">
    <w:nsid w:val="7AE73EE0"/>
    <w:multiLevelType w:val="hybridMultilevel"/>
    <w:tmpl w:val="09705330"/>
    <w:lvl w:ilvl="0" w:tplc="BAF24B9A">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7EA24EDB"/>
    <w:multiLevelType w:val="hybridMultilevel"/>
    <w:tmpl w:val="F9388C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5"/>
  </w:num>
  <w:num w:numId="2">
    <w:abstractNumId w:val="1"/>
  </w:num>
  <w:num w:numId="3">
    <w:abstractNumId w:val="24"/>
  </w:num>
  <w:num w:numId="4">
    <w:abstractNumId w:val="0"/>
  </w:num>
  <w:num w:numId="5">
    <w:abstractNumId w:val="21"/>
  </w:num>
  <w:num w:numId="6">
    <w:abstractNumId w:val="46"/>
  </w:num>
  <w:num w:numId="7">
    <w:abstractNumId w:val="14"/>
    <w:lvlOverride w:ilvl="0">
      <w:lvl w:ilvl="0">
        <w:start w:val="1"/>
        <w:numFmt w:val="bullet"/>
        <w:pStyle w:val="ListBullet"/>
        <w:lvlText w:val=""/>
        <w:lvlJc w:val="left"/>
        <w:pPr>
          <w:ind w:left="369" w:hanging="369"/>
        </w:pPr>
        <w:rPr>
          <w:rFonts w:ascii="Symbol" w:hAnsi="Symbol" w:hint="default"/>
          <w:sz w:val="16"/>
          <w:szCs w:val="16"/>
        </w:rPr>
      </w:lvl>
    </w:lvlOverride>
  </w:num>
  <w:num w:numId="8">
    <w:abstractNumId w:val="3"/>
  </w:num>
  <w:num w:numId="9">
    <w:abstractNumId w:val="27"/>
  </w:num>
  <w:num w:numId="10">
    <w:abstractNumId w:val="38"/>
  </w:num>
  <w:num w:numId="11">
    <w:abstractNumId w:val="19"/>
  </w:num>
  <w:num w:numId="12">
    <w:abstractNumId w:val="49"/>
  </w:num>
  <w:num w:numId="13">
    <w:abstractNumId w:val="41"/>
  </w:num>
  <w:num w:numId="14">
    <w:abstractNumId w:val="20"/>
  </w:num>
  <w:num w:numId="15">
    <w:abstractNumId w:val="15"/>
  </w:num>
  <w:num w:numId="16">
    <w:abstractNumId w:val="35"/>
  </w:num>
  <w:num w:numId="17">
    <w:abstractNumId w:val="18"/>
  </w:num>
  <w:num w:numId="18">
    <w:abstractNumId w:val="11"/>
  </w:num>
  <w:num w:numId="19">
    <w:abstractNumId w:val="17"/>
  </w:num>
  <w:num w:numId="20">
    <w:abstractNumId w:val="29"/>
  </w:num>
  <w:num w:numId="21">
    <w:abstractNumId w:val="45"/>
  </w:num>
  <w:num w:numId="22">
    <w:abstractNumId w:val="26"/>
  </w:num>
  <w:num w:numId="23">
    <w:abstractNumId w:val="6"/>
  </w:num>
  <w:num w:numId="24">
    <w:abstractNumId w:val="9"/>
  </w:num>
  <w:num w:numId="25">
    <w:abstractNumId w:val="42"/>
  </w:num>
  <w:num w:numId="26">
    <w:abstractNumId w:val="50"/>
  </w:num>
  <w:num w:numId="27">
    <w:abstractNumId w:val="57"/>
  </w:num>
  <w:num w:numId="28">
    <w:abstractNumId w:val="47"/>
  </w:num>
  <w:num w:numId="29">
    <w:abstractNumId w:val="0"/>
    <w:lvlOverride w:ilvl="0">
      <w:startOverride w:val="1"/>
    </w:lvlOverride>
  </w:num>
  <w:num w:numId="30">
    <w:abstractNumId w:val="16"/>
  </w:num>
  <w:num w:numId="31">
    <w:abstractNumId w:val="40"/>
  </w:num>
  <w:num w:numId="32">
    <w:abstractNumId w:val="22"/>
  </w:num>
  <w:num w:numId="33">
    <w:abstractNumId w:val="56"/>
  </w:num>
  <w:num w:numId="34">
    <w:abstractNumId w:val="12"/>
  </w:num>
  <w:num w:numId="35">
    <w:abstractNumId w:val="25"/>
  </w:num>
  <w:num w:numId="36">
    <w:abstractNumId w:val="53"/>
  </w:num>
  <w:num w:numId="37">
    <w:abstractNumId w:val="43"/>
  </w:num>
  <w:num w:numId="38">
    <w:abstractNumId w:val="10"/>
  </w:num>
  <w:num w:numId="39">
    <w:abstractNumId w:val="44"/>
  </w:num>
  <w:num w:numId="40">
    <w:abstractNumId w:val="39"/>
  </w:num>
  <w:num w:numId="41">
    <w:abstractNumId w:val="37"/>
  </w:num>
  <w:num w:numId="42">
    <w:abstractNumId w:val="4"/>
  </w:num>
  <w:num w:numId="43">
    <w:abstractNumId w:val="34"/>
  </w:num>
  <w:num w:numId="44">
    <w:abstractNumId w:val="52"/>
  </w:num>
  <w:num w:numId="45">
    <w:abstractNumId w:val="58"/>
  </w:num>
  <w:num w:numId="46">
    <w:abstractNumId w:val="54"/>
  </w:num>
  <w:num w:numId="47">
    <w:abstractNumId w:val="7"/>
  </w:num>
  <w:num w:numId="48">
    <w:abstractNumId w:val="23"/>
  </w:num>
  <w:num w:numId="49">
    <w:abstractNumId w:val="8"/>
  </w:num>
  <w:num w:numId="50">
    <w:abstractNumId w:val="28"/>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num>
  <w:num w:numId="55">
    <w:abstractNumId w:val="33"/>
  </w:num>
  <w:num w:numId="56">
    <w:abstractNumId w:val="13"/>
  </w:num>
  <w:num w:numId="57">
    <w:abstractNumId w:val="36"/>
  </w:num>
  <w:num w:numId="58">
    <w:abstractNumId w:val="31"/>
  </w:num>
  <w:num w:numId="59">
    <w:abstractNumId w:val="51"/>
  </w:num>
  <w:num w:numId="60">
    <w:abstractNumId w:val="59"/>
  </w:num>
  <w:num w:numId="61">
    <w:abstractNumId w:val="30"/>
  </w:num>
  <w:num w:numId="62">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A07BD"/>
    <w:rsid w:val="00004336"/>
    <w:rsid w:val="00004AEE"/>
    <w:rsid w:val="00005CAA"/>
    <w:rsid w:val="00010210"/>
    <w:rsid w:val="00012D66"/>
    <w:rsid w:val="00012F67"/>
    <w:rsid w:val="00015ADA"/>
    <w:rsid w:val="000171C7"/>
    <w:rsid w:val="00020C99"/>
    <w:rsid w:val="000214C8"/>
    <w:rsid w:val="0002707B"/>
    <w:rsid w:val="00030FDD"/>
    <w:rsid w:val="000314E6"/>
    <w:rsid w:val="00031A58"/>
    <w:rsid w:val="0003625D"/>
    <w:rsid w:val="000410BA"/>
    <w:rsid w:val="0005148E"/>
    <w:rsid w:val="00051532"/>
    <w:rsid w:val="00056F19"/>
    <w:rsid w:val="00062D2B"/>
    <w:rsid w:val="0007263C"/>
    <w:rsid w:val="00072645"/>
    <w:rsid w:val="00072C5A"/>
    <w:rsid w:val="000759E5"/>
    <w:rsid w:val="0008173A"/>
    <w:rsid w:val="00082FEF"/>
    <w:rsid w:val="00083C0A"/>
    <w:rsid w:val="00084AC6"/>
    <w:rsid w:val="00091608"/>
    <w:rsid w:val="0009333C"/>
    <w:rsid w:val="0009704F"/>
    <w:rsid w:val="00097434"/>
    <w:rsid w:val="000A0F11"/>
    <w:rsid w:val="000A125A"/>
    <w:rsid w:val="000A57CD"/>
    <w:rsid w:val="000B0A21"/>
    <w:rsid w:val="000B2634"/>
    <w:rsid w:val="000B3758"/>
    <w:rsid w:val="000B3845"/>
    <w:rsid w:val="000B3BD8"/>
    <w:rsid w:val="000B3E0E"/>
    <w:rsid w:val="000B7681"/>
    <w:rsid w:val="000B7B42"/>
    <w:rsid w:val="000C02B7"/>
    <w:rsid w:val="000C240D"/>
    <w:rsid w:val="000C5100"/>
    <w:rsid w:val="000C51E5"/>
    <w:rsid w:val="000C5342"/>
    <w:rsid w:val="000C706A"/>
    <w:rsid w:val="000D2757"/>
    <w:rsid w:val="000D2887"/>
    <w:rsid w:val="000D544C"/>
    <w:rsid w:val="000D6D63"/>
    <w:rsid w:val="000D7F6C"/>
    <w:rsid w:val="000E0081"/>
    <w:rsid w:val="000E07CF"/>
    <w:rsid w:val="000E280E"/>
    <w:rsid w:val="000E31C1"/>
    <w:rsid w:val="000F09AC"/>
    <w:rsid w:val="000F2CF2"/>
    <w:rsid w:val="000F3A74"/>
    <w:rsid w:val="000F485E"/>
    <w:rsid w:val="0010081A"/>
    <w:rsid w:val="00100BEF"/>
    <w:rsid w:val="001034AF"/>
    <w:rsid w:val="00103762"/>
    <w:rsid w:val="001066B0"/>
    <w:rsid w:val="001104C8"/>
    <w:rsid w:val="00111326"/>
    <w:rsid w:val="0011498E"/>
    <w:rsid w:val="00116158"/>
    <w:rsid w:val="00117A45"/>
    <w:rsid w:val="001224AE"/>
    <w:rsid w:val="00124608"/>
    <w:rsid w:val="00124A21"/>
    <w:rsid w:val="0012559B"/>
    <w:rsid w:val="00125F5B"/>
    <w:rsid w:val="00126FF5"/>
    <w:rsid w:val="00127987"/>
    <w:rsid w:val="001337D4"/>
    <w:rsid w:val="00136BFB"/>
    <w:rsid w:val="00144378"/>
    <w:rsid w:val="00145E12"/>
    <w:rsid w:val="001478A9"/>
    <w:rsid w:val="00147C12"/>
    <w:rsid w:val="001527A1"/>
    <w:rsid w:val="001530DC"/>
    <w:rsid w:val="00154540"/>
    <w:rsid w:val="00154565"/>
    <w:rsid w:val="00154927"/>
    <w:rsid w:val="00154989"/>
    <w:rsid w:val="0015502B"/>
    <w:rsid w:val="00155675"/>
    <w:rsid w:val="00155A9F"/>
    <w:rsid w:val="00160262"/>
    <w:rsid w:val="001629FB"/>
    <w:rsid w:val="0016780A"/>
    <w:rsid w:val="00170DB5"/>
    <w:rsid w:val="00171040"/>
    <w:rsid w:val="001713FA"/>
    <w:rsid w:val="0017274E"/>
    <w:rsid w:val="00173062"/>
    <w:rsid w:val="00173EBF"/>
    <w:rsid w:val="001751DB"/>
    <w:rsid w:val="00175ED3"/>
    <w:rsid w:val="00181285"/>
    <w:rsid w:val="00182D58"/>
    <w:rsid w:val="001842A2"/>
    <w:rsid w:val="001843CC"/>
    <w:rsid w:val="00184C58"/>
    <w:rsid w:val="00187FA8"/>
    <w:rsid w:val="00190711"/>
    <w:rsid w:val="00192F5E"/>
    <w:rsid w:val="001955CD"/>
    <w:rsid w:val="00196778"/>
    <w:rsid w:val="00197772"/>
    <w:rsid w:val="001A51C8"/>
    <w:rsid w:val="001A6CB9"/>
    <w:rsid w:val="001B4CA8"/>
    <w:rsid w:val="001B5EA1"/>
    <w:rsid w:val="001B5EDC"/>
    <w:rsid w:val="001B5F33"/>
    <w:rsid w:val="001B700E"/>
    <w:rsid w:val="001B7A5A"/>
    <w:rsid w:val="001C4F3D"/>
    <w:rsid w:val="001D025D"/>
    <w:rsid w:val="001D0CDC"/>
    <w:rsid w:val="001D1D82"/>
    <w:rsid w:val="001D2ED1"/>
    <w:rsid w:val="001D6338"/>
    <w:rsid w:val="001E0F71"/>
    <w:rsid w:val="001E1182"/>
    <w:rsid w:val="001E2A94"/>
    <w:rsid w:val="001E431F"/>
    <w:rsid w:val="001E5171"/>
    <w:rsid w:val="001E5E84"/>
    <w:rsid w:val="001F1716"/>
    <w:rsid w:val="001F2EDF"/>
    <w:rsid w:val="0020221C"/>
    <w:rsid w:val="00202C90"/>
    <w:rsid w:val="00213DE8"/>
    <w:rsid w:val="00213E95"/>
    <w:rsid w:val="00216118"/>
    <w:rsid w:val="002209AB"/>
    <w:rsid w:val="002220EA"/>
    <w:rsid w:val="002251E3"/>
    <w:rsid w:val="00226228"/>
    <w:rsid w:val="00227A95"/>
    <w:rsid w:val="002316BD"/>
    <w:rsid w:val="0023283B"/>
    <w:rsid w:val="00232D11"/>
    <w:rsid w:val="00233F4B"/>
    <w:rsid w:val="0023525F"/>
    <w:rsid w:val="00240379"/>
    <w:rsid w:val="00242374"/>
    <w:rsid w:val="002473FC"/>
    <w:rsid w:val="00252E3C"/>
    <w:rsid w:val="002561B7"/>
    <w:rsid w:val="00262198"/>
    <w:rsid w:val="0026234D"/>
    <w:rsid w:val="00262699"/>
    <w:rsid w:val="00266E4B"/>
    <w:rsid w:val="00267552"/>
    <w:rsid w:val="002729D1"/>
    <w:rsid w:val="00276144"/>
    <w:rsid w:val="00285F1B"/>
    <w:rsid w:val="00292B81"/>
    <w:rsid w:val="0029669D"/>
    <w:rsid w:val="002967B3"/>
    <w:rsid w:val="00297D0B"/>
    <w:rsid w:val="002A07BD"/>
    <w:rsid w:val="002A70CF"/>
    <w:rsid w:val="002A7F0A"/>
    <w:rsid w:val="002B18AE"/>
    <w:rsid w:val="002B45B4"/>
    <w:rsid w:val="002B5FD5"/>
    <w:rsid w:val="002B7F54"/>
    <w:rsid w:val="002C1C93"/>
    <w:rsid w:val="002C44F1"/>
    <w:rsid w:val="002C5066"/>
    <w:rsid w:val="002C5813"/>
    <w:rsid w:val="002D057E"/>
    <w:rsid w:val="002D0E6C"/>
    <w:rsid w:val="002D4AAC"/>
    <w:rsid w:val="002E033C"/>
    <w:rsid w:val="002E0A67"/>
    <w:rsid w:val="002E17B3"/>
    <w:rsid w:val="002E3B59"/>
    <w:rsid w:val="002F045A"/>
    <w:rsid w:val="002F0B87"/>
    <w:rsid w:val="0030039D"/>
    <w:rsid w:val="00301001"/>
    <w:rsid w:val="0030326F"/>
    <w:rsid w:val="00310701"/>
    <w:rsid w:val="00314BFE"/>
    <w:rsid w:val="00315980"/>
    <w:rsid w:val="00316F7F"/>
    <w:rsid w:val="00317B4E"/>
    <w:rsid w:val="003218E8"/>
    <w:rsid w:val="003220AE"/>
    <w:rsid w:val="00325E34"/>
    <w:rsid w:val="00326600"/>
    <w:rsid w:val="00330DCE"/>
    <w:rsid w:val="00331E11"/>
    <w:rsid w:val="00332C40"/>
    <w:rsid w:val="0033339D"/>
    <w:rsid w:val="00334761"/>
    <w:rsid w:val="00337EBC"/>
    <w:rsid w:val="00341DCD"/>
    <w:rsid w:val="00342D14"/>
    <w:rsid w:val="0034461D"/>
    <w:rsid w:val="00345292"/>
    <w:rsid w:val="0034563E"/>
    <w:rsid w:val="00346EB3"/>
    <w:rsid w:val="003518D6"/>
    <w:rsid w:val="0035460C"/>
    <w:rsid w:val="00354CE8"/>
    <w:rsid w:val="003556BD"/>
    <w:rsid w:val="0036123D"/>
    <w:rsid w:val="003634E2"/>
    <w:rsid w:val="00365147"/>
    <w:rsid w:val="00367941"/>
    <w:rsid w:val="0037016E"/>
    <w:rsid w:val="00372908"/>
    <w:rsid w:val="00372C29"/>
    <w:rsid w:val="00382B33"/>
    <w:rsid w:val="00383020"/>
    <w:rsid w:val="0038359E"/>
    <w:rsid w:val="00383BFC"/>
    <w:rsid w:val="0038461A"/>
    <w:rsid w:val="00392223"/>
    <w:rsid w:val="00394D7E"/>
    <w:rsid w:val="00396369"/>
    <w:rsid w:val="003975FD"/>
    <w:rsid w:val="003A3521"/>
    <w:rsid w:val="003A3A6F"/>
    <w:rsid w:val="003B057D"/>
    <w:rsid w:val="003B2900"/>
    <w:rsid w:val="003B60CC"/>
    <w:rsid w:val="003C1B25"/>
    <w:rsid w:val="003C2443"/>
    <w:rsid w:val="003C5DA3"/>
    <w:rsid w:val="003D3F78"/>
    <w:rsid w:val="003D4BCD"/>
    <w:rsid w:val="003D6C2B"/>
    <w:rsid w:val="003D6E77"/>
    <w:rsid w:val="003D73D5"/>
    <w:rsid w:val="003E01D8"/>
    <w:rsid w:val="003E053F"/>
    <w:rsid w:val="003E17F6"/>
    <w:rsid w:val="003E2100"/>
    <w:rsid w:val="003E4571"/>
    <w:rsid w:val="003E711D"/>
    <w:rsid w:val="003F2D85"/>
    <w:rsid w:val="003F6F5B"/>
    <w:rsid w:val="00400779"/>
    <w:rsid w:val="00401745"/>
    <w:rsid w:val="0040342D"/>
    <w:rsid w:val="0041192D"/>
    <w:rsid w:val="00413EE1"/>
    <w:rsid w:val="004174C4"/>
    <w:rsid w:val="00417F70"/>
    <w:rsid w:val="0042128E"/>
    <w:rsid w:val="00432B60"/>
    <w:rsid w:val="0043493F"/>
    <w:rsid w:val="00440698"/>
    <w:rsid w:val="004417E1"/>
    <w:rsid w:val="00442926"/>
    <w:rsid w:val="00443C77"/>
    <w:rsid w:val="004476CC"/>
    <w:rsid w:val="004540E2"/>
    <w:rsid w:val="00454454"/>
    <w:rsid w:val="00455F43"/>
    <w:rsid w:val="00456389"/>
    <w:rsid w:val="00460F47"/>
    <w:rsid w:val="00463100"/>
    <w:rsid w:val="00467924"/>
    <w:rsid w:val="004712A5"/>
    <w:rsid w:val="0047266F"/>
    <w:rsid w:val="00476D6B"/>
    <w:rsid w:val="00477195"/>
    <w:rsid w:val="00480A7B"/>
    <w:rsid w:val="0048314A"/>
    <w:rsid w:val="00487A3D"/>
    <w:rsid w:val="00487C91"/>
    <w:rsid w:val="004919E0"/>
    <w:rsid w:val="00492C16"/>
    <w:rsid w:val="00496F2B"/>
    <w:rsid w:val="004A0678"/>
    <w:rsid w:val="004A48A3"/>
    <w:rsid w:val="004A6B76"/>
    <w:rsid w:val="004A7E30"/>
    <w:rsid w:val="004B0D92"/>
    <w:rsid w:val="004B0EC0"/>
    <w:rsid w:val="004B375E"/>
    <w:rsid w:val="004B66F1"/>
    <w:rsid w:val="004C2528"/>
    <w:rsid w:val="004C3EA0"/>
    <w:rsid w:val="004C4525"/>
    <w:rsid w:val="004C5902"/>
    <w:rsid w:val="004D08A7"/>
    <w:rsid w:val="004E65F8"/>
    <w:rsid w:val="004E6E77"/>
    <w:rsid w:val="004E7333"/>
    <w:rsid w:val="004F7169"/>
    <w:rsid w:val="00500D66"/>
    <w:rsid w:val="005037E3"/>
    <w:rsid w:val="005049CB"/>
    <w:rsid w:val="00507965"/>
    <w:rsid w:val="005113CA"/>
    <w:rsid w:val="005119D0"/>
    <w:rsid w:val="00514C8E"/>
    <w:rsid w:val="00517168"/>
    <w:rsid w:val="005206B3"/>
    <w:rsid w:val="00527981"/>
    <w:rsid w:val="00531808"/>
    <w:rsid w:val="00531DBF"/>
    <w:rsid w:val="0053399E"/>
    <w:rsid w:val="00536CDA"/>
    <w:rsid w:val="0054240B"/>
    <w:rsid w:val="005424CA"/>
    <w:rsid w:val="00543E69"/>
    <w:rsid w:val="005445E0"/>
    <w:rsid w:val="00545759"/>
    <w:rsid w:val="00545BE0"/>
    <w:rsid w:val="00546930"/>
    <w:rsid w:val="00554C6A"/>
    <w:rsid w:val="00556CEC"/>
    <w:rsid w:val="00560F94"/>
    <w:rsid w:val="00561132"/>
    <w:rsid w:val="00562E85"/>
    <w:rsid w:val="0056332F"/>
    <w:rsid w:val="005719B3"/>
    <w:rsid w:val="0057295E"/>
    <w:rsid w:val="0057430D"/>
    <w:rsid w:val="00581C39"/>
    <w:rsid w:val="00582865"/>
    <w:rsid w:val="00582DA7"/>
    <w:rsid w:val="00590297"/>
    <w:rsid w:val="005903B6"/>
    <w:rsid w:val="005914B7"/>
    <w:rsid w:val="00592F4B"/>
    <w:rsid w:val="005A0247"/>
    <w:rsid w:val="005A126E"/>
    <w:rsid w:val="005A452F"/>
    <w:rsid w:val="005A4D61"/>
    <w:rsid w:val="005A5964"/>
    <w:rsid w:val="005A7989"/>
    <w:rsid w:val="005B0866"/>
    <w:rsid w:val="005B140D"/>
    <w:rsid w:val="005B30FD"/>
    <w:rsid w:val="005B7BF3"/>
    <w:rsid w:val="005C1FEA"/>
    <w:rsid w:val="005C27B4"/>
    <w:rsid w:val="005C3495"/>
    <w:rsid w:val="005C5765"/>
    <w:rsid w:val="005D5D1F"/>
    <w:rsid w:val="005E1E3A"/>
    <w:rsid w:val="005E3DFC"/>
    <w:rsid w:val="005E5942"/>
    <w:rsid w:val="005E60AF"/>
    <w:rsid w:val="005E6F37"/>
    <w:rsid w:val="005F1DEA"/>
    <w:rsid w:val="005F47C7"/>
    <w:rsid w:val="005F4EC8"/>
    <w:rsid w:val="005F511A"/>
    <w:rsid w:val="005F61EA"/>
    <w:rsid w:val="005F7F8E"/>
    <w:rsid w:val="00605753"/>
    <w:rsid w:val="00607FC9"/>
    <w:rsid w:val="006108B4"/>
    <w:rsid w:val="006130BD"/>
    <w:rsid w:val="00617620"/>
    <w:rsid w:val="006177B0"/>
    <w:rsid w:val="00622FE1"/>
    <w:rsid w:val="0062521C"/>
    <w:rsid w:val="00627036"/>
    <w:rsid w:val="00630A2B"/>
    <w:rsid w:val="00631951"/>
    <w:rsid w:val="00632DC7"/>
    <w:rsid w:val="006357FB"/>
    <w:rsid w:val="0064003A"/>
    <w:rsid w:val="0064035F"/>
    <w:rsid w:val="006406FC"/>
    <w:rsid w:val="00640E57"/>
    <w:rsid w:val="00642C4E"/>
    <w:rsid w:val="00643701"/>
    <w:rsid w:val="00645154"/>
    <w:rsid w:val="00645C89"/>
    <w:rsid w:val="0064610B"/>
    <w:rsid w:val="00646122"/>
    <w:rsid w:val="0064749D"/>
    <w:rsid w:val="00653E16"/>
    <w:rsid w:val="00657220"/>
    <w:rsid w:val="00657362"/>
    <w:rsid w:val="0066104B"/>
    <w:rsid w:val="00664051"/>
    <w:rsid w:val="006655EE"/>
    <w:rsid w:val="00667C10"/>
    <w:rsid w:val="00667EF4"/>
    <w:rsid w:val="006700BE"/>
    <w:rsid w:val="006734D7"/>
    <w:rsid w:val="0067494E"/>
    <w:rsid w:val="00676FCA"/>
    <w:rsid w:val="00677177"/>
    <w:rsid w:val="0068612E"/>
    <w:rsid w:val="0068754A"/>
    <w:rsid w:val="00687C92"/>
    <w:rsid w:val="00690D70"/>
    <w:rsid w:val="0069157A"/>
    <w:rsid w:val="00691D4C"/>
    <w:rsid w:val="00691DE0"/>
    <w:rsid w:val="00694370"/>
    <w:rsid w:val="0069534E"/>
    <w:rsid w:val="0069669C"/>
    <w:rsid w:val="006A1200"/>
    <w:rsid w:val="006A32D6"/>
    <w:rsid w:val="006A4090"/>
    <w:rsid w:val="006A4F4E"/>
    <w:rsid w:val="006A551A"/>
    <w:rsid w:val="006A6C23"/>
    <w:rsid w:val="006A794A"/>
    <w:rsid w:val="006B14DB"/>
    <w:rsid w:val="006B21C4"/>
    <w:rsid w:val="006B30FD"/>
    <w:rsid w:val="006B3D47"/>
    <w:rsid w:val="006B4C35"/>
    <w:rsid w:val="006B5FCA"/>
    <w:rsid w:val="006C24C4"/>
    <w:rsid w:val="006C4A1A"/>
    <w:rsid w:val="006C7102"/>
    <w:rsid w:val="006C7924"/>
    <w:rsid w:val="006D0393"/>
    <w:rsid w:val="006D1A83"/>
    <w:rsid w:val="006E1897"/>
    <w:rsid w:val="006E1CFE"/>
    <w:rsid w:val="006E3B98"/>
    <w:rsid w:val="006E4C2E"/>
    <w:rsid w:val="006F10C4"/>
    <w:rsid w:val="006F1E83"/>
    <w:rsid w:val="006F40E9"/>
    <w:rsid w:val="006F5603"/>
    <w:rsid w:val="006F5D7F"/>
    <w:rsid w:val="006F7B87"/>
    <w:rsid w:val="00701400"/>
    <w:rsid w:val="007037CF"/>
    <w:rsid w:val="00712220"/>
    <w:rsid w:val="0071410C"/>
    <w:rsid w:val="00714ED6"/>
    <w:rsid w:val="007167C0"/>
    <w:rsid w:val="00720363"/>
    <w:rsid w:val="00720481"/>
    <w:rsid w:val="00727819"/>
    <w:rsid w:val="007309BF"/>
    <w:rsid w:val="00733193"/>
    <w:rsid w:val="007430E0"/>
    <w:rsid w:val="00744DDA"/>
    <w:rsid w:val="00745E03"/>
    <w:rsid w:val="0075732A"/>
    <w:rsid w:val="007600F8"/>
    <w:rsid w:val="00760262"/>
    <w:rsid w:val="00760449"/>
    <w:rsid w:val="0076310C"/>
    <w:rsid w:val="007664D9"/>
    <w:rsid w:val="0076744F"/>
    <w:rsid w:val="00767BCE"/>
    <w:rsid w:val="00767EFC"/>
    <w:rsid w:val="007707DE"/>
    <w:rsid w:val="00770B5D"/>
    <w:rsid w:val="007713E2"/>
    <w:rsid w:val="0077316A"/>
    <w:rsid w:val="007752F1"/>
    <w:rsid w:val="00775998"/>
    <w:rsid w:val="00776768"/>
    <w:rsid w:val="007777A6"/>
    <w:rsid w:val="0078187A"/>
    <w:rsid w:val="00785FD6"/>
    <w:rsid w:val="00792522"/>
    <w:rsid w:val="007931B6"/>
    <w:rsid w:val="00794ED8"/>
    <w:rsid w:val="007A2573"/>
    <w:rsid w:val="007A7338"/>
    <w:rsid w:val="007B106C"/>
    <w:rsid w:val="007B1A4E"/>
    <w:rsid w:val="007B2516"/>
    <w:rsid w:val="007B3D05"/>
    <w:rsid w:val="007B4925"/>
    <w:rsid w:val="007B5503"/>
    <w:rsid w:val="007B71D5"/>
    <w:rsid w:val="007C096E"/>
    <w:rsid w:val="007C179C"/>
    <w:rsid w:val="007C21E3"/>
    <w:rsid w:val="007C2769"/>
    <w:rsid w:val="007C65ED"/>
    <w:rsid w:val="007C6BB3"/>
    <w:rsid w:val="007D14B4"/>
    <w:rsid w:val="007D284C"/>
    <w:rsid w:val="007D2B80"/>
    <w:rsid w:val="007D3AD7"/>
    <w:rsid w:val="007D4976"/>
    <w:rsid w:val="007D7A2B"/>
    <w:rsid w:val="007E24F6"/>
    <w:rsid w:val="007E51EE"/>
    <w:rsid w:val="007E5D87"/>
    <w:rsid w:val="007E6086"/>
    <w:rsid w:val="007E7470"/>
    <w:rsid w:val="007F5002"/>
    <w:rsid w:val="00800F64"/>
    <w:rsid w:val="00801050"/>
    <w:rsid w:val="00802F0B"/>
    <w:rsid w:val="008039B3"/>
    <w:rsid w:val="0080656B"/>
    <w:rsid w:val="00810A67"/>
    <w:rsid w:val="00813195"/>
    <w:rsid w:val="008154CC"/>
    <w:rsid w:val="00817D10"/>
    <w:rsid w:val="00821462"/>
    <w:rsid w:val="00833CF7"/>
    <w:rsid w:val="008342E7"/>
    <w:rsid w:val="00834CDE"/>
    <w:rsid w:val="00842464"/>
    <w:rsid w:val="00845601"/>
    <w:rsid w:val="00845C7A"/>
    <w:rsid w:val="008473F8"/>
    <w:rsid w:val="00852265"/>
    <w:rsid w:val="00854340"/>
    <w:rsid w:val="00855C5C"/>
    <w:rsid w:val="00856F2F"/>
    <w:rsid w:val="00860BB3"/>
    <w:rsid w:val="00863330"/>
    <w:rsid w:val="008648F6"/>
    <w:rsid w:val="008648F9"/>
    <w:rsid w:val="008664FE"/>
    <w:rsid w:val="008668F8"/>
    <w:rsid w:val="00867477"/>
    <w:rsid w:val="008679B5"/>
    <w:rsid w:val="00871CE1"/>
    <w:rsid w:val="00871EEE"/>
    <w:rsid w:val="00873B29"/>
    <w:rsid w:val="00877335"/>
    <w:rsid w:val="00887731"/>
    <w:rsid w:val="00892C25"/>
    <w:rsid w:val="008A3C96"/>
    <w:rsid w:val="008A4845"/>
    <w:rsid w:val="008A7F62"/>
    <w:rsid w:val="008B0A16"/>
    <w:rsid w:val="008B1DE2"/>
    <w:rsid w:val="008B4019"/>
    <w:rsid w:val="008B65C9"/>
    <w:rsid w:val="008B7625"/>
    <w:rsid w:val="008C2D4A"/>
    <w:rsid w:val="008C74BB"/>
    <w:rsid w:val="008D2274"/>
    <w:rsid w:val="008D2A73"/>
    <w:rsid w:val="008D3900"/>
    <w:rsid w:val="008D6E1D"/>
    <w:rsid w:val="008E0D16"/>
    <w:rsid w:val="008E2F0E"/>
    <w:rsid w:val="008F0F01"/>
    <w:rsid w:val="008F39B4"/>
    <w:rsid w:val="008F4035"/>
    <w:rsid w:val="008F4162"/>
    <w:rsid w:val="008F5E12"/>
    <w:rsid w:val="008F659E"/>
    <w:rsid w:val="009001A2"/>
    <w:rsid w:val="00903C32"/>
    <w:rsid w:val="00903E02"/>
    <w:rsid w:val="00904107"/>
    <w:rsid w:val="00913175"/>
    <w:rsid w:val="0091344F"/>
    <w:rsid w:val="00916EDB"/>
    <w:rsid w:val="009200C2"/>
    <w:rsid w:val="00920861"/>
    <w:rsid w:val="00922B13"/>
    <w:rsid w:val="009242EF"/>
    <w:rsid w:val="00924464"/>
    <w:rsid w:val="00925ABA"/>
    <w:rsid w:val="00927929"/>
    <w:rsid w:val="00932291"/>
    <w:rsid w:val="00932861"/>
    <w:rsid w:val="0093408E"/>
    <w:rsid w:val="00934577"/>
    <w:rsid w:val="009358B6"/>
    <w:rsid w:val="00936955"/>
    <w:rsid w:val="009373D8"/>
    <w:rsid w:val="00946559"/>
    <w:rsid w:val="0094730B"/>
    <w:rsid w:val="009514E5"/>
    <w:rsid w:val="009524B2"/>
    <w:rsid w:val="009525F8"/>
    <w:rsid w:val="00952DDF"/>
    <w:rsid w:val="00953F9E"/>
    <w:rsid w:val="00954308"/>
    <w:rsid w:val="0095796E"/>
    <w:rsid w:val="009610A3"/>
    <w:rsid w:val="00963B6A"/>
    <w:rsid w:val="00970950"/>
    <w:rsid w:val="009720F2"/>
    <w:rsid w:val="009731E5"/>
    <w:rsid w:val="00980846"/>
    <w:rsid w:val="009812D4"/>
    <w:rsid w:val="009844E6"/>
    <w:rsid w:val="00986AFC"/>
    <w:rsid w:val="009912CD"/>
    <w:rsid w:val="009920D8"/>
    <w:rsid w:val="009936FE"/>
    <w:rsid w:val="0099446C"/>
    <w:rsid w:val="009952F5"/>
    <w:rsid w:val="00997F0B"/>
    <w:rsid w:val="009A1AA8"/>
    <w:rsid w:val="009A1BA6"/>
    <w:rsid w:val="009B38BE"/>
    <w:rsid w:val="009B52AE"/>
    <w:rsid w:val="009B6391"/>
    <w:rsid w:val="009C3D0F"/>
    <w:rsid w:val="009C592B"/>
    <w:rsid w:val="009C6CA8"/>
    <w:rsid w:val="009C7D64"/>
    <w:rsid w:val="009D26B2"/>
    <w:rsid w:val="009D788F"/>
    <w:rsid w:val="009E160B"/>
    <w:rsid w:val="009E1B19"/>
    <w:rsid w:val="009E3975"/>
    <w:rsid w:val="009E4FED"/>
    <w:rsid w:val="009E6FB3"/>
    <w:rsid w:val="009F347A"/>
    <w:rsid w:val="009F35E2"/>
    <w:rsid w:val="009F65F9"/>
    <w:rsid w:val="009F68BA"/>
    <w:rsid w:val="00A018EF"/>
    <w:rsid w:val="00A025D0"/>
    <w:rsid w:val="00A05BFA"/>
    <w:rsid w:val="00A05F2A"/>
    <w:rsid w:val="00A06277"/>
    <w:rsid w:val="00A079DC"/>
    <w:rsid w:val="00A111C2"/>
    <w:rsid w:val="00A1396A"/>
    <w:rsid w:val="00A26088"/>
    <w:rsid w:val="00A32FEC"/>
    <w:rsid w:val="00A3323D"/>
    <w:rsid w:val="00A335B9"/>
    <w:rsid w:val="00A338E7"/>
    <w:rsid w:val="00A35CAA"/>
    <w:rsid w:val="00A36E7F"/>
    <w:rsid w:val="00A41525"/>
    <w:rsid w:val="00A41E65"/>
    <w:rsid w:val="00A42C2C"/>
    <w:rsid w:val="00A42D25"/>
    <w:rsid w:val="00A43E0A"/>
    <w:rsid w:val="00A530C7"/>
    <w:rsid w:val="00A55F5B"/>
    <w:rsid w:val="00A60185"/>
    <w:rsid w:val="00A6364C"/>
    <w:rsid w:val="00A661EA"/>
    <w:rsid w:val="00A66B0D"/>
    <w:rsid w:val="00A74730"/>
    <w:rsid w:val="00A74FBE"/>
    <w:rsid w:val="00A765C4"/>
    <w:rsid w:val="00A776CD"/>
    <w:rsid w:val="00A830E5"/>
    <w:rsid w:val="00A84791"/>
    <w:rsid w:val="00A87135"/>
    <w:rsid w:val="00A92D5C"/>
    <w:rsid w:val="00A93280"/>
    <w:rsid w:val="00A936C4"/>
    <w:rsid w:val="00A951EA"/>
    <w:rsid w:val="00AA10E1"/>
    <w:rsid w:val="00AA2548"/>
    <w:rsid w:val="00AA25D8"/>
    <w:rsid w:val="00AA58C4"/>
    <w:rsid w:val="00AA60F9"/>
    <w:rsid w:val="00AA628B"/>
    <w:rsid w:val="00AA7003"/>
    <w:rsid w:val="00AB024C"/>
    <w:rsid w:val="00AB0D69"/>
    <w:rsid w:val="00AB0D70"/>
    <w:rsid w:val="00AB11C8"/>
    <w:rsid w:val="00AB570B"/>
    <w:rsid w:val="00AC08A8"/>
    <w:rsid w:val="00AC3F3D"/>
    <w:rsid w:val="00AC7344"/>
    <w:rsid w:val="00AD56C8"/>
    <w:rsid w:val="00AD58F2"/>
    <w:rsid w:val="00AE133D"/>
    <w:rsid w:val="00AE3B17"/>
    <w:rsid w:val="00AE5EFB"/>
    <w:rsid w:val="00AE7B2F"/>
    <w:rsid w:val="00AF0295"/>
    <w:rsid w:val="00AF1795"/>
    <w:rsid w:val="00AF23E0"/>
    <w:rsid w:val="00AF75AD"/>
    <w:rsid w:val="00B0512A"/>
    <w:rsid w:val="00B0529F"/>
    <w:rsid w:val="00B065BF"/>
    <w:rsid w:val="00B1418B"/>
    <w:rsid w:val="00B179BE"/>
    <w:rsid w:val="00B21195"/>
    <w:rsid w:val="00B21CAC"/>
    <w:rsid w:val="00B22E04"/>
    <w:rsid w:val="00B24B22"/>
    <w:rsid w:val="00B25310"/>
    <w:rsid w:val="00B32F8F"/>
    <w:rsid w:val="00B3492A"/>
    <w:rsid w:val="00B4177F"/>
    <w:rsid w:val="00B47B71"/>
    <w:rsid w:val="00B51193"/>
    <w:rsid w:val="00B54DE9"/>
    <w:rsid w:val="00B553EC"/>
    <w:rsid w:val="00B55E3F"/>
    <w:rsid w:val="00B6012C"/>
    <w:rsid w:val="00B63C1E"/>
    <w:rsid w:val="00B71526"/>
    <w:rsid w:val="00B73CE1"/>
    <w:rsid w:val="00B8177B"/>
    <w:rsid w:val="00B8317F"/>
    <w:rsid w:val="00B832E7"/>
    <w:rsid w:val="00B87E27"/>
    <w:rsid w:val="00B92A71"/>
    <w:rsid w:val="00B93DD0"/>
    <w:rsid w:val="00B95B3A"/>
    <w:rsid w:val="00B97732"/>
    <w:rsid w:val="00BA1107"/>
    <w:rsid w:val="00BA50DB"/>
    <w:rsid w:val="00BA65A8"/>
    <w:rsid w:val="00BA6D19"/>
    <w:rsid w:val="00BA7461"/>
    <w:rsid w:val="00BA7A53"/>
    <w:rsid w:val="00BA7DA9"/>
    <w:rsid w:val="00BB0DED"/>
    <w:rsid w:val="00BB3A2A"/>
    <w:rsid w:val="00BB6E18"/>
    <w:rsid w:val="00BB77BB"/>
    <w:rsid w:val="00BB7FA7"/>
    <w:rsid w:val="00BC4215"/>
    <w:rsid w:val="00BC5D2A"/>
    <w:rsid w:val="00BD1A6F"/>
    <w:rsid w:val="00BD7CA3"/>
    <w:rsid w:val="00BE0F48"/>
    <w:rsid w:val="00BE289D"/>
    <w:rsid w:val="00BE6D3C"/>
    <w:rsid w:val="00BE7852"/>
    <w:rsid w:val="00BF3B75"/>
    <w:rsid w:val="00BF48EC"/>
    <w:rsid w:val="00BF59A0"/>
    <w:rsid w:val="00BF7CEE"/>
    <w:rsid w:val="00C03880"/>
    <w:rsid w:val="00C07E6C"/>
    <w:rsid w:val="00C1093F"/>
    <w:rsid w:val="00C135CF"/>
    <w:rsid w:val="00C221FC"/>
    <w:rsid w:val="00C2270B"/>
    <w:rsid w:val="00C2683F"/>
    <w:rsid w:val="00C26916"/>
    <w:rsid w:val="00C27D5A"/>
    <w:rsid w:val="00C3184D"/>
    <w:rsid w:val="00C3303B"/>
    <w:rsid w:val="00C34168"/>
    <w:rsid w:val="00C375DD"/>
    <w:rsid w:val="00C43923"/>
    <w:rsid w:val="00C4714E"/>
    <w:rsid w:val="00C51CCA"/>
    <w:rsid w:val="00C52D46"/>
    <w:rsid w:val="00C52E4A"/>
    <w:rsid w:val="00C5408B"/>
    <w:rsid w:val="00C54AF8"/>
    <w:rsid w:val="00C5504F"/>
    <w:rsid w:val="00C5700C"/>
    <w:rsid w:val="00C57B55"/>
    <w:rsid w:val="00C61DF6"/>
    <w:rsid w:val="00C62561"/>
    <w:rsid w:val="00C626E3"/>
    <w:rsid w:val="00C63376"/>
    <w:rsid w:val="00C64F71"/>
    <w:rsid w:val="00C711E5"/>
    <w:rsid w:val="00C74EC9"/>
    <w:rsid w:val="00C74F97"/>
    <w:rsid w:val="00C76062"/>
    <w:rsid w:val="00C77F4B"/>
    <w:rsid w:val="00C8276E"/>
    <w:rsid w:val="00C842AC"/>
    <w:rsid w:val="00C84D0B"/>
    <w:rsid w:val="00C84DFD"/>
    <w:rsid w:val="00C851BD"/>
    <w:rsid w:val="00C9101B"/>
    <w:rsid w:val="00C95E7B"/>
    <w:rsid w:val="00C96688"/>
    <w:rsid w:val="00CA0723"/>
    <w:rsid w:val="00CA2204"/>
    <w:rsid w:val="00CA28B1"/>
    <w:rsid w:val="00CA4CB9"/>
    <w:rsid w:val="00CB0801"/>
    <w:rsid w:val="00CB1690"/>
    <w:rsid w:val="00CB1CB5"/>
    <w:rsid w:val="00CB30C7"/>
    <w:rsid w:val="00CC4365"/>
    <w:rsid w:val="00CC4702"/>
    <w:rsid w:val="00CC54F2"/>
    <w:rsid w:val="00CD108C"/>
    <w:rsid w:val="00CD11B0"/>
    <w:rsid w:val="00CD2952"/>
    <w:rsid w:val="00CD4D84"/>
    <w:rsid w:val="00CD4DAB"/>
    <w:rsid w:val="00CD6234"/>
    <w:rsid w:val="00CE09D4"/>
    <w:rsid w:val="00CE4CB4"/>
    <w:rsid w:val="00CE5C2A"/>
    <w:rsid w:val="00CE5F63"/>
    <w:rsid w:val="00CE71C2"/>
    <w:rsid w:val="00CF3061"/>
    <w:rsid w:val="00CF34E9"/>
    <w:rsid w:val="00CF3BE3"/>
    <w:rsid w:val="00CF42D5"/>
    <w:rsid w:val="00CF4EDA"/>
    <w:rsid w:val="00CF7A3C"/>
    <w:rsid w:val="00D0018E"/>
    <w:rsid w:val="00D021CB"/>
    <w:rsid w:val="00D10547"/>
    <w:rsid w:val="00D10F1A"/>
    <w:rsid w:val="00D116F8"/>
    <w:rsid w:val="00D17596"/>
    <w:rsid w:val="00D20A81"/>
    <w:rsid w:val="00D21D54"/>
    <w:rsid w:val="00D22640"/>
    <w:rsid w:val="00D2475A"/>
    <w:rsid w:val="00D26D3A"/>
    <w:rsid w:val="00D33769"/>
    <w:rsid w:val="00D33ED1"/>
    <w:rsid w:val="00D34583"/>
    <w:rsid w:val="00D40D31"/>
    <w:rsid w:val="00D42B87"/>
    <w:rsid w:val="00D45EE3"/>
    <w:rsid w:val="00D50618"/>
    <w:rsid w:val="00D509E9"/>
    <w:rsid w:val="00D5333F"/>
    <w:rsid w:val="00D53B1C"/>
    <w:rsid w:val="00D65FE5"/>
    <w:rsid w:val="00D67360"/>
    <w:rsid w:val="00D720D3"/>
    <w:rsid w:val="00D74D77"/>
    <w:rsid w:val="00D81100"/>
    <w:rsid w:val="00D82CC0"/>
    <w:rsid w:val="00D85C2B"/>
    <w:rsid w:val="00D954E3"/>
    <w:rsid w:val="00DA1B12"/>
    <w:rsid w:val="00DA29D8"/>
    <w:rsid w:val="00DA54C9"/>
    <w:rsid w:val="00DA6739"/>
    <w:rsid w:val="00DA6CAE"/>
    <w:rsid w:val="00DB062F"/>
    <w:rsid w:val="00DB0935"/>
    <w:rsid w:val="00DB1A9E"/>
    <w:rsid w:val="00DB31D6"/>
    <w:rsid w:val="00DB4005"/>
    <w:rsid w:val="00DB4425"/>
    <w:rsid w:val="00DB5151"/>
    <w:rsid w:val="00DB68A0"/>
    <w:rsid w:val="00DC34EB"/>
    <w:rsid w:val="00DC4C43"/>
    <w:rsid w:val="00DD1F4D"/>
    <w:rsid w:val="00DD2FA1"/>
    <w:rsid w:val="00DD5AC3"/>
    <w:rsid w:val="00DD7A6B"/>
    <w:rsid w:val="00DE40FE"/>
    <w:rsid w:val="00DF1E5B"/>
    <w:rsid w:val="00DF2275"/>
    <w:rsid w:val="00DF2B4E"/>
    <w:rsid w:val="00DF3F5E"/>
    <w:rsid w:val="00DF5653"/>
    <w:rsid w:val="00E0596E"/>
    <w:rsid w:val="00E05FEE"/>
    <w:rsid w:val="00E06F66"/>
    <w:rsid w:val="00E11C1D"/>
    <w:rsid w:val="00E12F1F"/>
    <w:rsid w:val="00E158CA"/>
    <w:rsid w:val="00E1704B"/>
    <w:rsid w:val="00E20BBA"/>
    <w:rsid w:val="00E23767"/>
    <w:rsid w:val="00E32EAC"/>
    <w:rsid w:val="00E32FF1"/>
    <w:rsid w:val="00E356E5"/>
    <w:rsid w:val="00E36F81"/>
    <w:rsid w:val="00E45765"/>
    <w:rsid w:val="00E45B03"/>
    <w:rsid w:val="00E45FAE"/>
    <w:rsid w:val="00E46892"/>
    <w:rsid w:val="00E4795B"/>
    <w:rsid w:val="00E5098C"/>
    <w:rsid w:val="00E52CC8"/>
    <w:rsid w:val="00E53631"/>
    <w:rsid w:val="00E545C7"/>
    <w:rsid w:val="00E554BF"/>
    <w:rsid w:val="00E56DC9"/>
    <w:rsid w:val="00E60213"/>
    <w:rsid w:val="00E602DD"/>
    <w:rsid w:val="00E638AB"/>
    <w:rsid w:val="00E661B2"/>
    <w:rsid w:val="00E665DB"/>
    <w:rsid w:val="00E74D29"/>
    <w:rsid w:val="00E761AA"/>
    <w:rsid w:val="00E7760B"/>
    <w:rsid w:val="00E83C74"/>
    <w:rsid w:val="00E83CEE"/>
    <w:rsid w:val="00E860FA"/>
    <w:rsid w:val="00E91F18"/>
    <w:rsid w:val="00E9226D"/>
    <w:rsid w:val="00E922E5"/>
    <w:rsid w:val="00E97F25"/>
    <w:rsid w:val="00EA3FB9"/>
    <w:rsid w:val="00EA416C"/>
    <w:rsid w:val="00EA4FBB"/>
    <w:rsid w:val="00EA5941"/>
    <w:rsid w:val="00EB4A65"/>
    <w:rsid w:val="00EB60CE"/>
    <w:rsid w:val="00EB7D53"/>
    <w:rsid w:val="00EC69A5"/>
    <w:rsid w:val="00ED38F4"/>
    <w:rsid w:val="00ED4F61"/>
    <w:rsid w:val="00EE12F0"/>
    <w:rsid w:val="00EE2586"/>
    <w:rsid w:val="00EE3146"/>
    <w:rsid w:val="00EF30A1"/>
    <w:rsid w:val="00EF50BB"/>
    <w:rsid w:val="00EF53FF"/>
    <w:rsid w:val="00EF63A6"/>
    <w:rsid w:val="00EF6CB2"/>
    <w:rsid w:val="00EF7C0A"/>
    <w:rsid w:val="00F00192"/>
    <w:rsid w:val="00F00D5E"/>
    <w:rsid w:val="00F01DF6"/>
    <w:rsid w:val="00F02334"/>
    <w:rsid w:val="00F0340D"/>
    <w:rsid w:val="00F059A6"/>
    <w:rsid w:val="00F05B47"/>
    <w:rsid w:val="00F11634"/>
    <w:rsid w:val="00F1459F"/>
    <w:rsid w:val="00F23756"/>
    <w:rsid w:val="00F24885"/>
    <w:rsid w:val="00F24EA3"/>
    <w:rsid w:val="00F2523A"/>
    <w:rsid w:val="00F25FFA"/>
    <w:rsid w:val="00F278AC"/>
    <w:rsid w:val="00F310D2"/>
    <w:rsid w:val="00F31F6F"/>
    <w:rsid w:val="00F36624"/>
    <w:rsid w:val="00F36F3D"/>
    <w:rsid w:val="00F42F77"/>
    <w:rsid w:val="00F43D48"/>
    <w:rsid w:val="00F477BD"/>
    <w:rsid w:val="00F52BEE"/>
    <w:rsid w:val="00F53491"/>
    <w:rsid w:val="00F55BE9"/>
    <w:rsid w:val="00F6497E"/>
    <w:rsid w:val="00F64E94"/>
    <w:rsid w:val="00F65A1C"/>
    <w:rsid w:val="00F66F50"/>
    <w:rsid w:val="00F671A7"/>
    <w:rsid w:val="00F70F13"/>
    <w:rsid w:val="00F72136"/>
    <w:rsid w:val="00F73630"/>
    <w:rsid w:val="00F81654"/>
    <w:rsid w:val="00F82FF8"/>
    <w:rsid w:val="00F8330D"/>
    <w:rsid w:val="00F84305"/>
    <w:rsid w:val="00F8485C"/>
    <w:rsid w:val="00F87149"/>
    <w:rsid w:val="00F87FFE"/>
    <w:rsid w:val="00F91C35"/>
    <w:rsid w:val="00F92692"/>
    <w:rsid w:val="00F954C9"/>
    <w:rsid w:val="00FA1EA5"/>
    <w:rsid w:val="00FA3025"/>
    <w:rsid w:val="00FA4CF0"/>
    <w:rsid w:val="00FA61AA"/>
    <w:rsid w:val="00FA69A4"/>
    <w:rsid w:val="00FB0A1E"/>
    <w:rsid w:val="00FB1279"/>
    <w:rsid w:val="00FB1495"/>
    <w:rsid w:val="00FB5BC6"/>
    <w:rsid w:val="00FB674A"/>
    <w:rsid w:val="00FC55DF"/>
    <w:rsid w:val="00FD1694"/>
    <w:rsid w:val="00FD3101"/>
    <w:rsid w:val="00FD71BF"/>
    <w:rsid w:val="00FD7636"/>
    <w:rsid w:val="00FE166F"/>
    <w:rsid w:val="00FE3229"/>
    <w:rsid w:val="00FE74C3"/>
    <w:rsid w:val="00FF215C"/>
    <w:rsid w:val="00FF49E8"/>
    <w:rsid w:val="00FF5473"/>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F5C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rsid w:val="00B6012C"/>
    <w:rPr>
      <w:vertAlign w:val="superscript"/>
    </w:rPr>
  </w:style>
  <w:style w:type="paragraph" w:styleId="FootnoteText">
    <w:name w:val="footnote text"/>
    <w:basedOn w:val="Normal"/>
    <w:link w:val="FootnoteTextChar"/>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customStyle="1" w:styleId="binomial">
    <w:name w:val="binomial"/>
    <w:basedOn w:val="DefaultParagraphFont"/>
    <w:rsid w:val="00062D2B"/>
  </w:style>
  <w:style w:type="character" w:customStyle="1" w:styleId="st1">
    <w:name w:val="st1"/>
    <w:basedOn w:val="DefaultParagraphFont"/>
    <w:rsid w:val="00C64F71"/>
  </w:style>
  <w:style w:type="character" w:customStyle="1" w:styleId="apple-style-span">
    <w:name w:val="apple-style-span"/>
    <w:basedOn w:val="DefaultParagraphFont"/>
    <w:rsid w:val="00C64F71"/>
  </w:style>
  <w:style w:type="character" w:customStyle="1" w:styleId="xbe">
    <w:name w:val="_xbe"/>
    <w:basedOn w:val="DefaultParagraphFont"/>
    <w:rsid w:val="0050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97659607">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243222796">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www.daf.qld.gov.au"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yperlink" Target="https://www.daf.qld.gov.au/fisheries/monitoring-our-fisheries/data-reports/sustainability-reporting/stock-assessment-reports/stock-assessment-of-whaler-and-hammerhead-sharks-carcharhinidae-and-sphyrnidae-in-queensland"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daf.gov.au" TargetMode="Externa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3.tiff"/><Relationship Id="rId23" Type="http://schemas.openxmlformats.org/officeDocument/2006/relationships/hyperlink" Target="http://fish.gov.au/Pages/SAFS_Report.aspx"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www.daf.qld.gov.au/fisheries/monitoring-our-fisheries/data-reports/sustainability-reporting/stock-status-assessments/stock-status-assessment-2015"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ish.gov.au" TargetMode="Externa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AE8D3430.dotm</Template>
  <TotalTime>0</TotalTime>
  <Pages>31</Pages>
  <Words>8816</Words>
  <Characters>50253</Characters>
  <Application>Microsoft Office Word</Application>
  <DocSecurity>4</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East Coast Inshore Fin Fish Fishery</dc:title>
  <dc:subject/>
  <dc:creator/>
  <cp:keywords/>
  <cp:lastModifiedBy/>
  <cp:revision>1</cp:revision>
  <dcterms:created xsi:type="dcterms:W3CDTF">2016-11-25T06:34:00Z</dcterms:created>
  <dcterms:modified xsi:type="dcterms:W3CDTF">2016-11-25T06:34:00Z</dcterms:modified>
</cp:coreProperties>
</file>