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F9BE8" w14:textId="77777777" w:rsidR="00EC270F" w:rsidRDefault="00EC270F" w:rsidP="008533AC">
      <w:pPr>
        <w:contextualSpacing/>
      </w:pPr>
      <w:bookmarkStart w:id="0" w:name="_GoBack"/>
      <w:bookmarkEnd w:id="0"/>
    </w:p>
    <w:p w14:paraId="71E34B89" w14:textId="77777777" w:rsidR="00EC270F" w:rsidRDefault="00EC270F" w:rsidP="008533AC">
      <w:pPr>
        <w:contextualSpacing/>
      </w:pPr>
    </w:p>
    <w:p w14:paraId="46EBA362" w14:textId="77DCEFAA" w:rsidR="008533AC" w:rsidRPr="008533AC" w:rsidRDefault="008533AC" w:rsidP="008533AC">
      <w:pPr>
        <w:contextualSpacing/>
      </w:pPr>
      <w:r w:rsidRPr="008533AC">
        <w:t xml:space="preserve">Mr </w:t>
      </w:r>
      <w:r w:rsidR="00D9032D">
        <w:t>Richard Meldrum</w:t>
      </w:r>
      <w:r w:rsidRPr="008533AC">
        <w:br/>
      </w:r>
      <w:r w:rsidR="00D9032D">
        <w:t>Fishery Manager</w:t>
      </w:r>
      <w:r w:rsidRPr="008533AC">
        <w:br/>
        <w:t>Schulz Fisheries Pty Ltd</w:t>
      </w:r>
    </w:p>
    <w:p w14:paraId="58E7D2CC" w14:textId="77777777" w:rsidR="008533AC" w:rsidRPr="008533AC" w:rsidRDefault="008533AC" w:rsidP="008533AC">
      <w:pPr>
        <w:contextualSpacing/>
      </w:pPr>
      <w:r w:rsidRPr="008533AC">
        <w:t>PO Box 7146</w:t>
      </w:r>
    </w:p>
    <w:p w14:paraId="508EC109" w14:textId="77777777" w:rsidR="008533AC" w:rsidRPr="008533AC" w:rsidRDefault="008533AC" w:rsidP="008533AC">
      <w:pPr>
        <w:contextualSpacing/>
      </w:pPr>
      <w:proofErr w:type="gramStart"/>
      <w:r w:rsidRPr="008533AC">
        <w:t>URANGAN  QLD</w:t>
      </w:r>
      <w:proofErr w:type="gramEnd"/>
      <w:r w:rsidRPr="008533AC">
        <w:t xml:space="preserve">  4655</w:t>
      </w:r>
    </w:p>
    <w:p w14:paraId="0F9069D0" w14:textId="77777777" w:rsidR="008533AC" w:rsidRPr="008533AC" w:rsidRDefault="008533AC" w:rsidP="008533AC"/>
    <w:p w14:paraId="37D5AD7F" w14:textId="77777777" w:rsidR="00EC270F" w:rsidRDefault="00EC270F" w:rsidP="00882AAC"/>
    <w:p w14:paraId="3238077C" w14:textId="1B6DBC2D" w:rsidR="008533AC" w:rsidRDefault="008533AC" w:rsidP="00882AAC">
      <w:r w:rsidRPr="008533AC">
        <w:t xml:space="preserve">Dear Mr </w:t>
      </w:r>
      <w:r w:rsidR="00D9032D">
        <w:t>Meldrum</w:t>
      </w:r>
    </w:p>
    <w:p w14:paraId="61546719" w14:textId="5ED9D4BC" w:rsidR="00882AAC" w:rsidRDefault="00AD5E71" w:rsidP="00882AAC">
      <w:r w:rsidRPr="00882AAC">
        <w:t xml:space="preserve">I am writing to you as Delegate of the Minister for the Environment and Energy in relation to the reassessment of the Queensland </w:t>
      </w:r>
      <w:r w:rsidR="008533AC" w:rsidRPr="00882AAC">
        <w:t xml:space="preserve">Schulz Fisheries Pty Ltd fishery </w:t>
      </w:r>
      <w:r w:rsidR="00F234C6">
        <w:t>under</w:t>
      </w:r>
      <w:r w:rsidR="00882AAC" w:rsidRPr="00882AAC">
        <w:t xml:space="preserve"> Part 13 </w:t>
      </w:r>
      <w:r w:rsidR="00882AAC">
        <w:t xml:space="preserve">of </w:t>
      </w:r>
      <w:r w:rsidRPr="00882AAC">
        <w:t>the </w:t>
      </w:r>
      <w:r w:rsidRPr="00EC270F">
        <w:rPr>
          <w:i/>
        </w:rPr>
        <w:t>Environment Protection and Bio</w:t>
      </w:r>
      <w:r w:rsidR="005B44B1" w:rsidRPr="00EC270F">
        <w:rPr>
          <w:i/>
        </w:rPr>
        <w:t>diversity Conservation Act 1999</w:t>
      </w:r>
      <w:r w:rsidR="00D9032D">
        <w:rPr>
          <w:i/>
        </w:rPr>
        <w:t xml:space="preserve"> </w:t>
      </w:r>
      <w:r w:rsidR="00D9032D" w:rsidRPr="00EC270F">
        <w:t>(EPBC Act)</w:t>
      </w:r>
      <w:r w:rsidRPr="00882AAC">
        <w:t>.</w:t>
      </w:r>
      <w:r w:rsidR="005B44B1" w:rsidRPr="00882AAC">
        <w:t xml:space="preserve"> </w:t>
      </w:r>
    </w:p>
    <w:p w14:paraId="7D2E511D" w14:textId="3AD87E89" w:rsidR="005B44B1" w:rsidRPr="00882AAC" w:rsidRDefault="00AD5E71" w:rsidP="00882AAC">
      <w:r w:rsidRPr="00882AAC">
        <w:t xml:space="preserve">In </w:t>
      </w:r>
      <w:r w:rsidR="008533AC" w:rsidRPr="00882AAC">
        <w:t>May 2019</w:t>
      </w:r>
      <w:r w:rsidRPr="00882AAC">
        <w:t xml:space="preserve">, </w:t>
      </w:r>
      <w:r w:rsidR="00882AAC" w:rsidRPr="00882AAC">
        <w:t>you provided an application to the Department of the Environment and Energy seeking approval for the operation</w:t>
      </w:r>
      <w:r w:rsidR="00882AAC">
        <w:t>.</w:t>
      </w:r>
      <w:r w:rsidR="00882AAC" w:rsidRPr="00882AAC">
        <w:t xml:space="preserve"> The application has been assessed and I have declared the fishery approved </w:t>
      </w:r>
      <w:r w:rsidR="00882AAC">
        <w:t>under Part 13</w:t>
      </w:r>
      <w:r w:rsidR="00882AAC" w:rsidRPr="00882AAC">
        <w:t xml:space="preserve"> of the EPBC Act.</w:t>
      </w:r>
      <w:r w:rsidR="009142E4" w:rsidRPr="009142E4">
        <w:t xml:space="preserve"> </w:t>
      </w:r>
      <w:r w:rsidR="009142E4">
        <w:t>The Part 13</w:t>
      </w:r>
      <w:r w:rsidR="009142E4" w:rsidRPr="009142E4">
        <w:t xml:space="preserve"> </w:t>
      </w:r>
      <w:r w:rsidR="009142E4">
        <w:t xml:space="preserve">approval </w:t>
      </w:r>
      <w:r w:rsidR="009142E4" w:rsidRPr="009142E4">
        <w:t xml:space="preserve">includes </w:t>
      </w:r>
      <w:r w:rsidR="009142E4">
        <w:t>recommend</w:t>
      </w:r>
      <w:r w:rsidR="009142E4" w:rsidRPr="009142E4">
        <w:t xml:space="preserve">ations </w:t>
      </w:r>
      <w:r w:rsidR="003B4CDB">
        <w:t>relating to</w:t>
      </w:r>
      <w:r w:rsidR="003B4CDB" w:rsidRPr="009142E4">
        <w:t xml:space="preserve"> </w:t>
      </w:r>
      <w:r w:rsidR="009142E4" w:rsidRPr="009142E4">
        <w:t xml:space="preserve">areas </w:t>
      </w:r>
      <w:r w:rsidR="003B4CDB">
        <w:t xml:space="preserve">of the management arrangements </w:t>
      </w:r>
      <w:r w:rsidR="009142E4">
        <w:t xml:space="preserve">that </w:t>
      </w:r>
      <w:r w:rsidR="009142E4" w:rsidRPr="009142E4">
        <w:t>requir</w:t>
      </w:r>
      <w:r w:rsidR="003B4CDB">
        <w:t>e</w:t>
      </w:r>
      <w:r w:rsidR="002518ED">
        <w:t xml:space="preserve"> </w:t>
      </w:r>
      <w:r w:rsidR="009142E4" w:rsidRPr="009142E4">
        <w:t xml:space="preserve">ongoing attention. These </w:t>
      </w:r>
      <w:r w:rsidR="009142E4">
        <w:t xml:space="preserve">recommendations </w:t>
      </w:r>
      <w:r w:rsidR="009142E4" w:rsidRPr="009142E4">
        <w:t>are set out at Attachment 1.</w:t>
      </w:r>
    </w:p>
    <w:p w14:paraId="240AA8FD" w14:textId="1E7B2C08" w:rsidR="00AD5E71" w:rsidRDefault="00882AAC" w:rsidP="008533AC">
      <w:pPr>
        <w:widowControl w:val="0"/>
        <w:rPr>
          <w:rFonts w:cs="Arial"/>
        </w:rPr>
      </w:pPr>
      <w:r w:rsidRPr="00882AAC">
        <w:rPr>
          <w:rFonts w:cs="Arial"/>
        </w:rPr>
        <w:t xml:space="preserve">I am satisfied the </w:t>
      </w:r>
      <w:r w:rsidR="00AD5E71">
        <w:rPr>
          <w:rFonts w:cs="Arial"/>
        </w:rPr>
        <w:t>existing Part 13 accreditation will remain in place based on the assessment of the fishery’s management arrangements designed to minimise interactions with species listed under the EPBC Act.</w:t>
      </w:r>
      <w:r w:rsidR="00AD5E71" w:rsidRPr="00A72668">
        <w:rPr>
          <w:rFonts w:cs="Arial"/>
        </w:rPr>
        <w:t xml:space="preserve"> </w:t>
      </w:r>
    </w:p>
    <w:p w14:paraId="67609352" w14:textId="25FFEE7B" w:rsidR="00882AAC" w:rsidRPr="00882AAC" w:rsidRDefault="00882AAC" w:rsidP="00882AAC">
      <w:pPr>
        <w:spacing w:after="0"/>
        <w:contextualSpacing/>
      </w:pPr>
      <w:bookmarkStart w:id="1" w:name="bkStart"/>
      <w:bookmarkEnd w:id="1"/>
      <w:r w:rsidRPr="00882AAC">
        <w:t xml:space="preserve">As the </w:t>
      </w:r>
      <w:r w:rsidRPr="00882AAC">
        <w:rPr>
          <w:rFonts w:cs="Arial"/>
          <w:lang w:val="en-US"/>
        </w:rPr>
        <w:t xml:space="preserve">Queensland Schulz Fisheries Pty Ltd fishery </w:t>
      </w:r>
      <w:r w:rsidRPr="00882AAC">
        <w:t xml:space="preserve">operates within </w:t>
      </w:r>
      <w:r>
        <w:t>Queensland</w:t>
      </w:r>
      <w:r w:rsidR="004F4D4C">
        <w:t xml:space="preserve"> waters, I </w:t>
      </w:r>
      <w:r>
        <w:t xml:space="preserve">have sent a similar letter to </w:t>
      </w:r>
      <w:r w:rsidR="00CA41ED">
        <w:t>Mr Graeme Bolton</w:t>
      </w:r>
      <w:r w:rsidRPr="00882AAC">
        <w:t xml:space="preserve">, </w:t>
      </w:r>
      <w:r w:rsidR="00CA41ED">
        <w:t xml:space="preserve">A/g </w:t>
      </w:r>
      <w:r w:rsidR="00F234C6" w:rsidRPr="00F234C6">
        <w:t xml:space="preserve">Deputy Director-General, Fisheries and Forestry </w:t>
      </w:r>
      <w:r w:rsidRPr="00882AAC">
        <w:t xml:space="preserve">for the </w:t>
      </w:r>
      <w:r w:rsidR="00F234C6">
        <w:t>Queensland</w:t>
      </w:r>
      <w:r w:rsidRPr="00882AAC">
        <w:t xml:space="preserve"> Department of </w:t>
      </w:r>
      <w:r w:rsidR="00F234C6" w:rsidRPr="00F234C6">
        <w:t>Agriculture and Fisheries</w:t>
      </w:r>
      <w:r w:rsidR="00CA41ED">
        <w:t>, for his</w:t>
      </w:r>
      <w:r w:rsidRPr="00882AAC">
        <w:t xml:space="preserve"> information.</w:t>
      </w:r>
    </w:p>
    <w:p w14:paraId="6C4C15F4" w14:textId="77777777" w:rsidR="00882AAC" w:rsidRDefault="00882AAC" w:rsidP="00AD5E71">
      <w:pPr>
        <w:rPr>
          <w:rFonts w:cs="Arial"/>
        </w:rPr>
      </w:pPr>
    </w:p>
    <w:p w14:paraId="342F0DA3" w14:textId="6FE7C339" w:rsidR="00AD5E71" w:rsidRDefault="00284829" w:rsidP="00AD5E71">
      <w:pPr>
        <w:rPr>
          <w:rFonts w:cs="Arial"/>
        </w:rPr>
      </w:pP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59063884" wp14:editId="0B10BE79">
            <wp:simplePos x="0" y="0"/>
            <wp:positionH relativeFrom="column">
              <wp:posOffset>180975</wp:posOffset>
            </wp:positionH>
            <wp:positionV relativeFrom="paragraph">
              <wp:posOffset>212090</wp:posOffset>
            </wp:positionV>
            <wp:extent cx="704850" cy="638175"/>
            <wp:effectExtent l="0" t="0" r="0" b="9525"/>
            <wp:wrapTight wrapText="bothSides">
              <wp:wrapPolygon edited="0">
                <wp:start x="0" y="0"/>
                <wp:lineTo x="0" y="21278"/>
                <wp:lineTo x="21016" y="21278"/>
                <wp:lineTo x="2101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-signiture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04850" cy="638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5E71" w:rsidRPr="00822585">
        <w:rPr>
          <w:rFonts w:cs="Arial"/>
        </w:rPr>
        <w:t>Yours sincerely</w:t>
      </w:r>
    </w:p>
    <w:p w14:paraId="0FD184E6" w14:textId="24EE9571" w:rsidR="00CF5CAE" w:rsidRDefault="00CF5CAE" w:rsidP="00CF5CAE"/>
    <w:p w14:paraId="0FD184E7" w14:textId="2256C01D" w:rsidR="00CF5CAE" w:rsidRDefault="00CF5CAE" w:rsidP="00CF5CAE"/>
    <w:p w14:paraId="4F21A0E0" w14:textId="77777777" w:rsidR="00DB1BDA" w:rsidRDefault="002518ED" w:rsidP="00CF5CAE">
      <w:pPr>
        <w:tabs>
          <w:tab w:val="left" w:pos="284"/>
        </w:tabs>
        <w:rPr>
          <w:rFonts w:cs="Arial"/>
        </w:rPr>
      </w:pPr>
      <w:r>
        <w:t xml:space="preserve">Nathan Sibley </w:t>
      </w:r>
      <w:r w:rsidR="00CF5CAE">
        <w:br/>
      </w:r>
      <w:r w:rsidR="00DC541B">
        <w:rPr>
          <w:rFonts w:cs="Arial"/>
        </w:rPr>
        <w:t>A/g</w:t>
      </w:r>
      <w:r>
        <w:rPr>
          <w:rFonts w:cs="Arial"/>
        </w:rPr>
        <w:t xml:space="preserve"> </w:t>
      </w:r>
      <w:r w:rsidR="00CF5CAE" w:rsidRPr="00B5228C">
        <w:rPr>
          <w:rFonts w:cs="Arial"/>
        </w:rPr>
        <w:t xml:space="preserve">Delegate of the </w:t>
      </w:r>
      <w:r w:rsidR="00CF5CAE" w:rsidRPr="001E44A9">
        <w:rPr>
          <w:rFonts w:cs="Arial"/>
        </w:rPr>
        <w:t>Minister for the Environment</w:t>
      </w:r>
      <w:r w:rsidR="00EA61DD">
        <w:rPr>
          <w:rFonts w:cs="Arial"/>
        </w:rPr>
        <w:t xml:space="preserve"> </w:t>
      </w:r>
      <w:r w:rsidR="00CF5CAE" w:rsidRPr="008533AC">
        <w:rPr>
          <w:rFonts w:cs="Arial"/>
        </w:rPr>
        <w:br/>
      </w:r>
      <w:r w:rsidR="008533AC" w:rsidRPr="008533AC">
        <w:rPr>
          <w:rFonts w:cs="Arial"/>
        </w:rPr>
        <w:t xml:space="preserve"> </w:t>
      </w:r>
    </w:p>
    <w:p w14:paraId="0FD184E8" w14:textId="615FABA6" w:rsidR="00CF5CAE" w:rsidRDefault="00284829" w:rsidP="00CF5CAE">
      <w:pPr>
        <w:tabs>
          <w:tab w:val="left" w:pos="284"/>
        </w:tabs>
      </w:pPr>
      <w:r>
        <w:rPr>
          <w:rFonts w:cs="Arial"/>
        </w:rPr>
        <w:t>02</w:t>
      </w:r>
      <w:r w:rsidR="008533AC">
        <w:rPr>
          <w:rFonts w:cs="Arial"/>
        </w:rPr>
        <w:t xml:space="preserve"> </w:t>
      </w:r>
      <w:r w:rsidR="00DB1BDA">
        <w:rPr>
          <w:rFonts w:cs="Arial"/>
        </w:rPr>
        <w:t>September</w:t>
      </w:r>
      <w:r w:rsidR="00F5009A" w:rsidRPr="008533AC">
        <w:rPr>
          <w:rFonts w:cs="Arial"/>
        </w:rPr>
        <w:t xml:space="preserve"> </w:t>
      </w:r>
      <w:r w:rsidR="00DC4837" w:rsidRPr="008533AC">
        <w:rPr>
          <w:rFonts w:cs="Arial"/>
        </w:rPr>
        <w:t>2019</w:t>
      </w:r>
    </w:p>
    <w:p w14:paraId="14780085" w14:textId="77777777" w:rsidR="009862E0" w:rsidRDefault="009862E0" w:rsidP="00CF5CAE">
      <w:pPr>
        <w:tabs>
          <w:tab w:val="left" w:pos="284"/>
        </w:tabs>
        <w:rPr>
          <w:rFonts w:cs="Arial"/>
        </w:rPr>
      </w:pPr>
    </w:p>
    <w:p w14:paraId="3E95FA09" w14:textId="77777777" w:rsidR="009862E0" w:rsidRDefault="009862E0" w:rsidP="00CF5CAE">
      <w:pPr>
        <w:tabs>
          <w:tab w:val="left" w:pos="284"/>
        </w:tabs>
        <w:rPr>
          <w:rFonts w:cs="Arial"/>
        </w:rPr>
      </w:pPr>
    </w:p>
    <w:p w14:paraId="2287FF6A" w14:textId="77777777" w:rsidR="009862E0" w:rsidRDefault="009862E0" w:rsidP="00CF5CAE">
      <w:pPr>
        <w:tabs>
          <w:tab w:val="left" w:pos="284"/>
        </w:tabs>
        <w:rPr>
          <w:rFonts w:cs="Arial"/>
        </w:rPr>
      </w:pPr>
    </w:p>
    <w:p w14:paraId="69597795" w14:textId="571607A4" w:rsidR="00E1201E" w:rsidRDefault="00AD5E71" w:rsidP="00EC270F">
      <w:pPr>
        <w:tabs>
          <w:tab w:val="left" w:pos="284"/>
        </w:tabs>
        <w:rPr>
          <w:rFonts w:cs="Arial"/>
          <w:b/>
          <w:bCs/>
        </w:rPr>
        <w:sectPr w:rsidR="00E1201E" w:rsidSect="00C325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8" w:bottom="1134" w:left="1418" w:header="425" w:footer="425" w:gutter="0"/>
          <w:pgNumType w:start="1"/>
          <w:cols w:space="708"/>
          <w:titlePg/>
          <w:docGrid w:linePitch="360"/>
        </w:sectPr>
      </w:pPr>
      <w:proofErr w:type="spellStart"/>
      <w:r>
        <w:rPr>
          <w:rFonts w:cs="Arial"/>
        </w:rPr>
        <w:t>Enc</w:t>
      </w:r>
      <w:proofErr w:type="spellEnd"/>
    </w:p>
    <w:p w14:paraId="2E100804" w14:textId="77777777" w:rsidR="009142E4" w:rsidRPr="00E37165" w:rsidRDefault="009142E4" w:rsidP="00E37165">
      <w:pPr>
        <w:spacing w:before="120" w:after="120" w:line="240" w:lineRule="auto"/>
        <w:jc w:val="center"/>
        <w:rPr>
          <w:rFonts w:cs="Arial"/>
        </w:rPr>
      </w:pPr>
      <w:r w:rsidRPr="00E37165">
        <w:rPr>
          <w:rFonts w:cs="Arial"/>
          <w:b/>
          <w:bCs/>
        </w:rPr>
        <w:lastRenderedPageBreak/>
        <w:t>Recommendation to the Queensland Schulz Fisheries Pty Ltd fishery on the ecologically sustainable management of the Queensland Schulz Fisheries Pty Ltd fishery, August 2019</w:t>
      </w:r>
    </w:p>
    <w:p w14:paraId="358A1BCE" w14:textId="77777777" w:rsidR="00F74035" w:rsidRPr="00A971F2" w:rsidRDefault="00F74035" w:rsidP="00F74035">
      <w:pPr>
        <w:numPr>
          <w:ilvl w:val="0"/>
          <w:numId w:val="45"/>
        </w:numPr>
        <w:spacing w:before="120" w:after="120" w:line="240" w:lineRule="auto"/>
        <w:rPr>
          <w:rFonts w:eastAsia="Times New Roman" w:cs="Arial"/>
          <w:lang w:val="en-US"/>
        </w:rPr>
      </w:pPr>
      <w:r w:rsidRPr="00A971F2">
        <w:rPr>
          <w:rFonts w:eastAsia="Times New Roman" w:cs="Arial"/>
          <w:lang w:val="en-US"/>
        </w:rPr>
        <w:t xml:space="preserve">Operation of the Queensland Schulz Fisheries Pty Ltd must be carried out in accordance with the Queensland Department of Agriculture and Fisheries management arrangements in force under the </w:t>
      </w:r>
      <w:r w:rsidRPr="00A971F2">
        <w:rPr>
          <w:rFonts w:eastAsia="Times New Roman" w:cs="Arial"/>
          <w:i/>
          <w:lang w:val="en-US"/>
        </w:rPr>
        <w:t>Fisheries Act 1994</w:t>
      </w:r>
      <w:r w:rsidRPr="00A971F2">
        <w:rPr>
          <w:rFonts w:eastAsia="Times New Roman" w:cs="Arial"/>
          <w:lang w:val="en-US"/>
        </w:rPr>
        <w:t xml:space="preserve"> (QLD) and Fisheries Regulation 2008 (QLD).</w:t>
      </w:r>
    </w:p>
    <w:p w14:paraId="0E597984" w14:textId="77777777" w:rsidR="00F74035" w:rsidRPr="00A971F2" w:rsidRDefault="00F74035" w:rsidP="00F74035">
      <w:pPr>
        <w:numPr>
          <w:ilvl w:val="0"/>
          <w:numId w:val="45"/>
        </w:numPr>
        <w:spacing w:before="120" w:after="120" w:line="240" w:lineRule="auto"/>
        <w:rPr>
          <w:rFonts w:eastAsia="Times New Roman" w:cs="Arial"/>
          <w:lang w:val="en-US"/>
        </w:rPr>
      </w:pPr>
      <w:r>
        <w:rPr>
          <w:rFonts w:eastAsia="Times New Roman" w:cs="Arial"/>
          <w:lang w:val="en-US"/>
        </w:rPr>
        <w:t xml:space="preserve">The </w:t>
      </w:r>
      <w:r w:rsidRPr="00A971F2">
        <w:rPr>
          <w:rFonts w:eastAsia="Times New Roman" w:cs="Arial"/>
          <w:lang w:val="en-US"/>
        </w:rPr>
        <w:t xml:space="preserve">Queensland Department of Agriculture and Fisheries must inform the Department of the Environment and Energy </w:t>
      </w:r>
      <w:r>
        <w:rPr>
          <w:rFonts w:eastAsia="Times New Roman" w:cs="Arial"/>
          <w:lang w:val="en-US"/>
        </w:rPr>
        <w:t>prior</w:t>
      </w:r>
      <w:r w:rsidRPr="00A971F2">
        <w:rPr>
          <w:rFonts w:eastAsia="Times New Roman" w:cs="Arial"/>
          <w:lang w:val="en-US"/>
        </w:rPr>
        <w:t xml:space="preserve"> of any intended material changes to the management arrangements that may affect the Part 13 approval against which EPBC Act decisions are made.</w:t>
      </w:r>
    </w:p>
    <w:p w14:paraId="199781F7" w14:textId="77777777" w:rsidR="00F74035" w:rsidRPr="00A971F2" w:rsidRDefault="00F74035" w:rsidP="00F74035">
      <w:pPr>
        <w:numPr>
          <w:ilvl w:val="0"/>
          <w:numId w:val="45"/>
        </w:numPr>
        <w:spacing w:before="120" w:after="120" w:line="240" w:lineRule="auto"/>
        <w:rPr>
          <w:rFonts w:eastAsia="Times New Roman" w:cs="Arial"/>
          <w:lang w:val="en-US"/>
        </w:rPr>
      </w:pPr>
      <w:r>
        <w:rPr>
          <w:rFonts w:eastAsia="Times New Roman" w:cs="Arial"/>
          <w:lang w:val="en-US"/>
        </w:rPr>
        <w:t xml:space="preserve">The </w:t>
      </w:r>
      <w:r w:rsidRPr="00A971F2">
        <w:rPr>
          <w:rFonts w:eastAsia="Times New Roman" w:cs="Arial"/>
          <w:lang w:val="en-US"/>
        </w:rPr>
        <w:t xml:space="preserve">Queensland Department of Agriculture and Fisheries must </w:t>
      </w:r>
      <w:r>
        <w:rPr>
          <w:rFonts w:eastAsia="Times New Roman" w:cs="Arial"/>
          <w:lang w:val="en-US"/>
        </w:rPr>
        <w:t>provide</w:t>
      </w:r>
      <w:r w:rsidRPr="00A971F2">
        <w:rPr>
          <w:rFonts w:eastAsia="Times New Roman" w:cs="Arial"/>
          <w:lang w:val="en-US"/>
        </w:rPr>
        <w:t xml:space="preserve"> reports to the Department of the Environment and Energy annually as per Appendix B of the </w:t>
      </w:r>
      <w:r w:rsidRPr="00A971F2">
        <w:rPr>
          <w:rFonts w:eastAsia="Times New Roman" w:cs="Arial"/>
          <w:i/>
          <w:lang w:val="en-US"/>
        </w:rPr>
        <w:t>Guidelines for the Ecologically Sustainable Management of Fisheries - 2nd Edition</w:t>
      </w:r>
      <w:r w:rsidRPr="00A971F2">
        <w:rPr>
          <w:rFonts w:eastAsia="Times New Roman" w:cs="Arial"/>
          <w:lang w:val="en-US"/>
        </w:rPr>
        <w:t>.</w:t>
      </w:r>
    </w:p>
    <w:p w14:paraId="64619F5E" w14:textId="77777777" w:rsidR="00F74035" w:rsidRPr="00A971F2" w:rsidRDefault="00F74035" w:rsidP="00F74035">
      <w:pPr>
        <w:numPr>
          <w:ilvl w:val="0"/>
          <w:numId w:val="45"/>
        </w:numPr>
        <w:spacing w:before="120" w:after="120" w:line="240" w:lineRule="auto"/>
        <w:rPr>
          <w:rFonts w:eastAsia="Times New Roman" w:cs="Arial"/>
          <w:lang w:val="en-US"/>
        </w:rPr>
      </w:pPr>
      <w:r w:rsidRPr="00A971F2">
        <w:rPr>
          <w:rFonts w:eastAsia="Times New Roman" w:cs="Arial"/>
          <w:lang w:val="en-US"/>
        </w:rPr>
        <w:t xml:space="preserve">Queensland Schulz Fisheries Pty Ltd, in collaboration with Queensland Department of Agriculture and Fisheries, </w:t>
      </w:r>
      <w:r>
        <w:rPr>
          <w:rFonts w:eastAsia="Times New Roman" w:cs="Arial"/>
          <w:lang w:val="en-US"/>
        </w:rPr>
        <w:t>must</w:t>
      </w:r>
      <w:r w:rsidRPr="00A971F2">
        <w:rPr>
          <w:rFonts w:eastAsia="Times New Roman" w:cs="Arial"/>
          <w:lang w:val="en-US"/>
        </w:rPr>
        <w:t>:</w:t>
      </w:r>
    </w:p>
    <w:p w14:paraId="102BD3A9" w14:textId="77777777" w:rsidR="00F74035" w:rsidRPr="00A971F2" w:rsidRDefault="00F74035" w:rsidP="00F74035">
      <w:pPr>
        <w:numPr>
          <w:ilvl w:val="0"/>
          <w:numId w:val="48"/>
        </w:numPr>
        <w:spacing w:before="120" w:after="120" w:line="240" w:lineRule="auto"/>
        <w:rPr>
          <w:rFonts w:eastAsia="Times New Roman" w:cs="Arial"/>
          <w:lang w:val="en-US"/>
        </w:rPr>
      </w:pPr>
      <w:r w:rsidRPr="00A971F2">
        <w:rPr>
          <w:rFonts w:eastAsia="Times New Roman" w:cs="Arial"/>
          <w:lang w:val="en-US"/>
        </w:rPr>
        <w:t>ensure that robust monitoring of target, byproduct and bycatch species, through the use of onboard cameras, is undertaken whilst fishing,</w:t>
      </w:r>
    </w:p>
    <w:p w14:paraId="7C63AD31" w14:textId="77777777" w:rsidR="00F74035" w:rsidRPr="00A971F2" w:rsidRDefault="00F74035" w:rsidP="00F74035">
      <w:pPr>
        <w:numPr>
          <w:ilvl w:val="0"/>
          <w:numId w:val="48"/>
        </w:numPr>
        <w:spacing w:before="120" w:after="120" w:line="240" w:lineRule="auto"/>
        <w:rPr>
          <w:rFonts w:eastAsia="Times New Roman" w:cs="Arial"/>
          <w:lang w:val="en-US"/>
        </w:rPr>
      </w:pPr>
      <w:r w:rsidRPr="00A971F2">
        <w:rPr>
          <w:rFonts w:eastAsia="Times New Roman" w:cs="Arial"/>
          <w:lang w:val="en-US"/>
        </w:rPr>
        <w:t>ensure that on board cameras are installed by an independent, suitably qualified technician so that catch composition can be captured effectively on all trips,</w:t>
      </w:r>
    </w:p>
    <w:p w14:paraId="16F836DA" w14:textId="77777777" w:rsidR="00F74035" w:rsidRPr="00A971F2" w:rsidRDefault="00F74035" w:rsidP="00F74035">
      <w:pPr>
        <w:numPr>
          <w:ilvl w:val="0"/>
          <w:numId w:val="48"/>
        </w:numPr>
        <w:spacing w:before="120" w:after="120" w:line="240" w:lineRule="auto"/>
        <w:rPr>
          <w:rFonts w:eastAsia="Times New Roman" w:cs="Arial"/>
          <w:lang w:val="en-US"/>
        </w:rPr>
      </w:pPr>
      <w:r w:rsidRPr="00A971F2">
        <w:rPr>
          <w:rFonts w:eastAsia="Times New Roman" w:cs="Arial"/>
          <w:lang w:val="en-US"/>
        </w:rPr>
        <w:t xml:space="preserve">ensure that an independent, suitably qualified individual or individuals examine the on board camera footage after each fishing trip, </w:t>
      </w:r>
    </w:p>
    <w:p w14:paraId="4B5CFB06" w14:textId="77777777" w:rsidR="00F74035" w:rsidRPr="00A971F2" w:rsidRDefault="00F74035" w:rsidP="00F74035">
      <w:pPr>
        <w:numPr>
          <w:ilvl w:val="0"/>
          <w:numId w:val="48"/>
        </w:numPr>
        <w:spacing w:before="120" w:after="120" w:line="240" w:lineRule="auto"/>
        <w:rPr>
          <w:rFonts w:eastAsia="Times New Roman" w:cs="Arial"/>
          <w:bCs/>
        </w:rPr>
      </w:pPr>
      <w:r w:rsidRPr="00A971F2">
        <w:rPr>
          <w:rFonts w:eastAsia="Times New Roman" w:cs="Arial"/>
          <w:lang w:val="en-US"/>
        </w:rPr>
        <w:t xml:space="preserve">provide a report to the Queensland Department of Agriculture and Fisheries after the gear trial has been completed, which details the impacts of the fishing operation on bycatch and benthic biota, </w:t>
      </w:r>
    </w:p>
    <w:p w14:paraId="4916E700" w14:textId="77777777" w:rsidR="00F74035" w:rsidRPr="00A971F2" w:rsidRDefault="00F74035" w:rsidP="00F74035">
      <w:pPr>
        <w:numPr>
          <w:ilvl w:val="0"/>
          <w:numId w:val="48"/>
        </w:numPr>
        <w:spacing w:before="120" w:after="120" w:line="240" w:lineRule="auto"/>
        <w:rPr>
          <w:rFonts w:eastAsia="Times New Roman" w:cs="Arial"/>
          <w:bCs/>
        </w:rPr>
      </w:pPr>
      <w:r>
        <w:rPr>
          <w:rFonts w:eastAsia="Times New Roman" w:cs="Arial"/>
        </w:rPr>
        <w:t xml:space="preserve">utilise the results of the gear trial to </w:t>
      </w:r>
      <w:r w:rsidRPr="00A971F2">
        <w:rPr>
          <w:rFonts w:eastAsia="Times New Roman" w:cs="Arial"/>
          <w:bCs/>
        </w:rPr>
        <w:t>implement robust stock assessments for target species; and</w:t>
      </w:r>
    </w:p>
    <w:p w14:paraId="0EA8D254" w14:textId="77777777" w:rsidR="00F74035" w:rsidRPr="00A971F2" w:rsidRDefault="00F74035" w:rsidP="00F74035">
      <w:pPr>
        <w:numPr>
          <w:ilvl w:val="0"/>
          <w:numId w:val="48"/>
        </w:numPr>
        <w:spacing w:before="120" w:after="120" w:line="240" w:lineRule="auto"/>
        <w:rPr>
          <w:rFonts w:eastAsia="Times New Roman" w:cs="Arial"/>
          <w:bCs/>
        </w:rPr>
      </w:pPr>
      <w:proofErr w:type="gramStart"/>
      <w:r w:rsidRPr="00A971F2">
        <w:rPr>
          <w:rFonts w:eastAsia="Times New Roman" w:cs="Arial"/>
          <w:bCs/>
        </w:rPr>
        <w:t>report</w:t>
      </w:r>
      <w:proofErr w:type="gramEnd"/>
      <w:r w:rsidRPr="00A971F2">
        <w:rPr>
          <w:rFonts w:eastAsia="Times New Roman" w:cs="Arial"/>
          <w:bCs/>
        </w:rPr>
        <w:t xml:space="preserve"> </w:t>
      </w:r>
      <w:r>
        <w:rPr>
          <w:rFonts w:eastAsia="Times New Roman" w:cs="Arial"/>
          <w:bCs/>
        </w:rPr>
        <w:t xml:space="preserve">all </w:t>
      </w:r>
      <w:r w:rsidRPr="00A971F2">
        <w:rPr>
          <w:rFonts w:eastAsia="Times New Roman" w:cs="Arial"/>
          <w:bCs/>
        </w:rPr>
        <w:t>interactions with sharks and rays encountered on fishing trips by including this information in annual reports</w:t>
      </w:r>
      <w:r>
        <w:rPr>
          <w:rFonts w:eastAsia="Times New Roman" w:cs="Arial"/>
          <w:bCs/>
        </w:rPr>
        <w:t>,</w:t>
      </w:r>
      <w:r w:rsidRPr="00A971F2">
        <w:rPr>
          <w:rFonts w:eastAsia="Times New Roman" w:cs="Arial"/>
          <w:bCs/>
        </w:rPr>
        <w:t xml:space="preserve"> submitted</w:t>
      </w:r>
      <w:r w:rsidRPr="00A971F2">
        <w:rPr>
          <w:rFonts w:eastAsia="Times New Roman" w:cs="Arial"/>
        </w:rPr>
        <w:t xml:space="preserve"> to Queensland Department of Agriculture and Fisheries</w:t>
      </w:r>
      <w:r w:rsidRPr="00A971F2">
        <w:rPr>
          <w:rFonts w:eastAsia="Times New Roman" w:cs="Arial"/>
          <w:bCs/>
        </w:rPr>
        <w:t xml:space="preserve"> during the operation of the three year developmental permit</w:t>
      </w:r>
      <w:r>
        <w:rPr>
          <w:rFonts w:eastAsia="Times New Roman" w:cs="Arial"/>
          <w:bCs/>
        </w:rPr>
        <w:t>, to monitor the effectiveness of turtle excluder devices used in the fishery</w:t>
      </w:r>
      <w:r w:rsidRPr="00A971F2">
        <w:rPr>
          <w:rFonts w:eastAsia="Times New Roman" w:cs="Arial"/>
          <w:bCs/>
        </w:rPr>
        <w:t>.</w:t>
      </w:r>
    </w:p>
    <w:p w14:paraId="0FD1852C" w14:textId="0DCE11B6" w:rsidR="0050646D" w:rsidRPr="00E37165" w:rsidRDefault="0050646D" w:rsidP="00F74035">
      <w:pPr>
        <w:spacing w:before="120" w:after="120" w:line="240" w:lineRule="auto"/>
        <w:ind w:left="360"/>
        <w:rPr>
          <w:rFonts w:cs="Arial"/>
        </w:rPr>
      </w:pPr>
    </w:p>
    <w:sectPr w:rsidR="0050646D" w:rsidRPr="00E37165" w:rsidSect="00C325B9">
      <w:headerReference w:type="first" r:id="rId14"/>
      <w:pgSz w:w="11906" w:h="16838"/>
      <w:pgMar w:top="1134" w:right="1418" w:bottom="1134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1853A" w14:textId="77777777" w:rsidR="00F8686F" w:rsidRDefault="00F8686F" w:rsidP="00A60185">
      <w:pPr>
        <w:spacing w:after="0" w:line="240" w:lineRule="auto"/>
      </w:pPr>
      <w:r>
        <w:separator/>
      </w:r>
    </w:p>
  </w:endnote>
  <w:endnote w:type="continuationSeparator" w:id="0">
    <w:p w14:paraId="0FD1853B" w14:textId="77777777" w:rsidR="00F8686F" w:rsidRDefault="00F8686F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65CE0" w14:textId="77777777" w:rsidR="000453E3" w:rsidRDefault="000453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E054C" w14:textId="77777777" w:rsidR="000453E3" w:rsidRDefault="000453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9DDE8" w14:textId="77777777" w:rsidR="000453E3" w:rsidRDefault="000453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18538" w14:textId="77777777" w:rsidR="00F8686F" w:rsidRDefault="00F8686F" w:rsidP="00A60185">
      <w:pPr>
        <w:spacing w:after="0" w:line="240" w:lineRule="auto"/>
      </w:pPr>
      <w:r>
        <w:separator/>
      </w:r>
    </w:p>
  </w:footnote>
  <w:footnote w:type="continuationSeparator" w:id="0">
    <w:p w14:paraId="0FD18539" w14:textId="77777777" w:rsidR="00F8686F" w:rsidRDefault="00F8686F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EAE3E" w14:textId="77777777" w:rsidR="000453E3" w:rsidRDefault="000453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8A30C" w14:textId="77777777" w:rsidR="000453E3" w:rsidRDefault="000453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18543" w14:textId="411F429D" w:rsidR="00F8686F" w:rsidRPr="00FA0CF5" w:rsidRDefault="005B7F1B" w:rsidP="00FA0CF5">
    <w:pPr>
      <w:pStyle w:val="Header"/>
    </w:pPr>
    <w:r w:rsidRPr="001C68E7">
      <w:rPr>
        <w:rFonts w:cs="Arial"/>
        <w:b w:val="0"/>
        <w:noProof/>
        <w:sz w:val="48"/>
        <w:lang w:eastAsia="en-AU"/>
      </w:rPr>
      <w:drawing>
        <wp:inline distT="0" distB="0" distL="0" distR="0" wp14:anchorId="46B7B596" wp14:editId="474050C3">
          <wp:extent cx="5374800" cy="914400"/>
          <wp:effectExtent l="0" t="0" r="0" b="0"/>
          <wp:docPr id="3" name="Picture 3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537480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18549" w14:textId="390CD8D2" w:rsidR="00F8686F" w:rsidRDefault="00F8686F" w:rsidP="00C631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B824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AF8042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3" w15:restartNumberingAfterBreak="0">
    <w:nsid w:val="01053BBD"/>
    <w:multiLevelType w:val="hybridMultilevel"/>
    <w:tmpl w:val="58D681C8"/>
    <w:lvl w:ilvl="0" w:tplc="3DA6597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C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C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13B5DB1"/>
    <w:multiLevelType w:val="hybridMultilevel"/>
    <w:tmpl w:val="0F56CD7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E8D288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B339D7"/>
    <w:multiLevelType w:val="hybridMultilevel"/>
    <w:tmpl w:val="53D22E4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06960"/>
    <w:multiLevelType w:val="multilevel"/>
    <w:tmpl w:val="B9D6FF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8" w15:restartNumberingAfterBreak="0">
    <w:nsid w:val="1F745BC2"/>
    <w:multiLevelType w:val="multilevel"/>
    <w:tmpl w:val="E5E89F92"/>
    <w:numStyleLink w:val="BulletList"/>
  </w:abstractNum>
  <w:abstractNum w:abstractNumId="9" w15:restartNumberingAfterBreak="0">
    <w:nsid w:val="217D68C3"/>
    <w:multiLevelType w:val="hybridMultilevel"/>
    <w:tmpl w:val="839C7EAC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05167"/>
    <w:multiLevelType w:val="hybridMultilevel"/>
    <w:tmpl w:val="5246D56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1166051"/>
    <w:multiLevelType w:val="hybridMultilevel"/>
    <w:tmpl w:val="98768FE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E8D288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9A832D6"/>
    <w:multiLevelType w:val="hybridMultilevel"/>
    <w:tmpl w:val="0212D5B6"/>
    <w:lvl w:ilvl="0" w:tplc="0C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7E8D2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037D38"/>
    <w:multiLevelType w:val="hybridMultilevel"/>
    <w:tmpl w:val="23B8CAB8"/>
    <w:lvl w:ilvl="0" w:tplc="98604B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7E8D2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8662BF"/>
    <w:multiLevelType w:val="hybridMultilevel"/>
    <w:tmpl w:val="E7F65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B130D4"/>
    <w:multiLevelType w:val="hybridMultilevel"/>
    <w:tmpl w:val="38740C36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456429"/>
    <w:multiLevelType w:val="multilevel"/>
    <w:tmpl w:val="21503F32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b w:val="0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21" w15:restartNumberingAfterBreak="0">
    <w:nsid w:val="660B765A"/>
    <w:multiLevelType w:val="hybridMultilevel"/>
    <w:tmpl w:val="4208BF28"/>
    <w:lvl w:ilvl="0" w:tplc="C4580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BD47D18"/>
    <w:multiLevelType w:val="hybridMultilevel"/>
    <w:tmpl w:val="00E24192"/>
    <w:lvl w:ilvl="0" w:tplc="D53E428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5E7E45"/>
    <w:multiLevelType w:val="hybridMultilevel"/>
    <w:tmpl w:val="C6DEAD8A"/>
    <w:lvl w:ilvl="0" w:tplc="0C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7E8D2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7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28" w15:restartNumberingAfterBreak="0">
    <w:nsid w:val="7B3024A4"/>
    <w:multiLevelType w:val="hybridMultilevel"/>
    <w:tmpl w:val="CF9410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17914"/>
    <w:multiLevelType w:val="hybridMultilevel"/>
    <w:tmpl w:val="23B8CAB8"/>
    <w:lvl w:ilvl="0" w:tplc="98604B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7E8D2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25"/>
  </w:num>
  <w:num w:numId="4">
    <w:abstractNumId w:val="22"/>
  </w:num>
  <w:num w:numId="5">
    <w:abstractNumId w:val="13"/>
  </w:num>
  <w:num w:numId="6">
    <w:abstractNumId w:val="11"/>
  </w:num>
  <w:num w:numId="7">
    <w:abstractNumId w:val="20"/>
  </w:num>
  <w:num w:numId="8">
    <w:abstractNumId w:val="8"/>
  </w:num>
  <w:num w:numId="9">
    <w:abstractNumId w:val="7"/>
  </w:num>
  <w:num w:numId="10">
    <w:abstractNumId w:val="26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1"/>
  </w:num>
  <w:num w:numId="16">
    <w:abstractNumId w:val="11"/>
  </w:num>
  <w:num w:numId="17">
    <w:abstractNumId w:val="17"/>
  </w:num>
  <w:num w:numId="18">
    <w:abstractNumId w:val="19"/>
  </w:num>
  <w:num w:numId="19">
    <w:abstractNumId w:val="28"/>
  </w:num>
  <w:num w:numId="20">
    <w:abstractNumId w:val="18"/>
  </w:num>
  <w:num w:numId="21">
    <w:abstractNumId w:val="16"/>
  </w:num>
  <w:num w:numId="22">
    <w:abstractNumId w:val="2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6"/>
  </w:num>
  <w:num w:numId="36">
    <w:abstractNumId w:val="0"/>
  </w:num>
  <w:num w:numId="37">
    <w:abstractNumId w:val="15"/>
  </w:num>
  <w:num w:numId="38">
    <w:abstractNumId w:val="20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5"/>
  </w:num>
  <w:num w:numId="42">
    <w:abstractNumId w:val="9"/>
  </w:num>
  <w:num w:numId="43">
    <w:abstractNumId w:val="14"/>
  </w:num>
  <w:num w:numId="44">
    <w:abstractNumId w:val="24"/>
  </w:num>
  <w:num w:numId="45">
    <w:abstractNumId w:val="29"/>
  </w:num>
  <w:num w:numId="46">
    <w:abstractNumId w:val="1"/>
  </w:num>
  <w:num w:numId="47">
    <w:abstractNumId w:val="12"/>
  </w:num>
  <w:num w:numId="48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5D6F37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43190"/>
    <w:rsid w:val="00043C42"/>
    <w:rsid w:val="000453E3"/>
    <w:rsid w:val="0005148E"/>
    <w:rsid w:val="0005270A"/>
    <w:rsid w:val="00053EAC"/>
    <w:rsid w:val="00063AF2"/>
    <w:rsid w:val="000642C0"/>
    <w:rsid w:val="000759E5"/>
    <w:rsid w:val="000777F8"/>
    <w:rsid w:val="00080A47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57CD"/>
    <w:rsid w:val="000B0B48"/>
    <w:rsid w:val="000B3758"/>
    <w:rsid w:val="000B5852"/>
    <w:rsid w:val="000B74A1"/>
    <w:rsid w:val="000B7681"/>
    <w:rsid w:val="000B7B42"/>
    <w:rsid w:val="000C02B7"/>
    <w:rsid w:val="000C09A7"/>
    <w:rsid w:val="000C5342"/>
    <w:rsid w:val="000C5DFC"/>
    <w:rsid w:val="000C63ED"/>
    <w:rsid w:val="000C706A"/>
    <w:rsid w:val="000D2887"/>
    <w:rsid w:val="000D309E"/>
    <w:rsid w:val="000D5528"/>
    <w:rsid w:val="000D61D0"/>
    <w:rsid w:val="000D6D63"/>
    <w:rsid w:val="000E0081"/>
    <w:rsid w:val="000E07CF"/>
    <w:rsid w:val="000E0B31"/>
    <w:rsid w:val="000F1E51"/>
    <w:rsid w:val="000F72B0"/>
    <w:rsid w:val="0010275A"/>
    <w:rsid w:val="001047E4"/>
    <w:rsid w:val="0011030F"/>
    <w:rsid w:val="00114477"/>
    <w:rsid w:val="0011498E"/>
    <w:rsid w:val="00115BF1"/>
    <w:rsid w:val="00117A45"/>
    <w:rsid w:val="001219EE"/>
    <w:rsid w:val="001224AE"/>
    <w:rsid w:val="0012744F"/>
    <w:rsid w:val="001337D4"/>
    <w:rsid w:val="001369E3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12CE"/>
    <w:rsid w:val="001842A2"/>
    <w:rsid w:val="00187FA8"/>
    <w:rsid w:val="00191C5D"/>
    <w:rsid w:val="001926F5"/>
    <w:rsid w:val="00192F5E"/>
    <w:rsid w:val="00197772"/>
    <w:rsid w:val="001A51C8"/>
    <w:rsid w:val="001A76BB"/>
    <w:rsid w:val="001B4CA8"/>
    <w:rsid w:val="001C1D95"/>
    <w:rsid w:val="001C418B"/>
    <w:rsid w:val="001C4F3D"/>
    <w:rsid w:val="001D0CDC"/>
    <w:rsid w:val="001D1B03"/>
    <w:rsid w:val="001D1D82"/>
    <w:rsid w:val="001D49AF"/>
    <w:rsid w:val="001E0274"/>
    <w:rsid w:val="001E0328"/>
    <w:rsid w:val="001E1182"/>
    <w:rsid w:val="001E1CE4"/>
    <w:rsid w:val="001E25B3"/>
    <w:rsid w:val="001E44A9"/>
    <w:rsid w:val="001F4075"/>
    <w:rsid w:val="001F5C95"/>
    <w:rsid w:val="00202C90"/>
    <w:rsid w:val="002105CA"/>
    <w:rsid w:val="00212E75"/>
    <w:rsid w:val="00213DE8"/>
    <w:rsid w:val="00214B4E"/>
    <w:rsid w:val="00215372"/>
    <w:rsid w:val="00216118"/>
    <w:rsid w:val="002209AB"/>
    <w:rsid w:val="00220CFF"/>
    <w:rsid w:val="00224D4E"/>
    <w:rsid w:val="002251E3"/>
    <w:rsid w:val="00227A95"/>
    <w:rsid w:val="00227FEA"/>
    <w:rsid w:val="00235467"/>
    <w:rsid w:val="002473FC"/>
    <w:rsid w:val="00250919"/>
    <w:rsid w:val="002518ED"/>
    <w:rsid w:val="00252E3C"/>
    <w:rsid w:val="00261931"/>
    <w:rsid w:val="00261EFE"/>
    <w:rsid w:val="00262198"/>
    <w:rsid w:val="00267CD5"/>
    <w:rsid w:val="002746A9"/>
    <w:rsid w:val="00284829"/>
    <w:rsid w:val="00285F1B"/>
    <w:rsid w:val="00292592"/>
    <w:rsid w:val="00292B81"/>
    <w:rsid w:val="00297D18"/>
    <w:rsid w:val="002A11A4"/>
    <w:rsid w:val="002A4671"/>
    <w:rsid w:val="002B11A5"/>
    <w:rsid w:val="002B18AE"/>
    <w:rsid w:val="002B3674"/>
    <w:rsid w:val="002C1C93"/>
    <w:rsid w:val="002C2FB1"/>
    <w:rsid w:val="002C5066"/>
    <w:rsid w:val="002C58A6"/>
    <w:rsid w:val="002D022C"/>
    <w:rsid w:val="002D419A"/>
    <w:rsid w:val="002D4AAC"/>
    <w:rsid w:val="002E3BAF"/>
    <w:rsid w:val="002E5D24"/>
    <w:rsid w:val="002E7756"/>
    <w:rsid w:val="002F045A"/>
    <w:rsid w:val="002F0661"/>
    <w:rsid w:val="002F18F8"/>
    <w:rsid w:val="002F23D0"/>
    <w:rsid w:val="002F28E1"/>
    <w:rsid w:val="0030039D"/>
    <w:rsid w:val="0030171F"/>
    <w:rsid w:val="00302B2F"/>
    <w:rsid w:val="0030326F"/>
    <w:rsid w:val="00310675"/>
    <w:rsid w:val="00310701"/>
    <w:rsid w:val="00315980"/>
    <w:rsid w:val="00316F7F"/>
    <w:rsid w:val="00320DFB"/>
    <w:rsid w:val="003218E8"/>
    <w:rsid w:val="003230EE"/>
    <w:rsid w:val="00330DCE"/>
    <w:rsid w:val="00331E11"/>
    <w:rsid w:val="00334761"/>
    <w:rsid w:val="00335A95"/>
    <w:rsid w:val="00341DCD"/>
    <w:rsid w:val="00344897"/>
    <w:rsid w:val="0034563E"/>
    <w:rsid w:val="003518D6"/>
    <w:rsid w:val="0035460C"/>
    <w:rsid w:val="003556BD"/>
    <w:rsid w:val="00365147"/>
    <w:rsid w:val="00367A20"/>
    <w:rsid w:val="0037016E"/>
    <w:rsid w:val="00372908"/>
    <w:rsid w:val="003764B0"/>
    <w:rsid w:val="00377900"/>
    <w:rsid w:val="00383020"/>
    <w:rsid w:val="00392049"/>
    <w:rsid w:val="003968BA"/>
    <w:rsid w:val="00396D6E"/>
    <w:rsid w:val="00397570"/>
    <w:rsid w:val="003975FD"/>
    <w:rsid w:val="003A0F88"/>
    <w:rsid w:val="003B19E3"/>
    <w:rsid w:val="003B4CDB"/>
    <w:rsid w:val="003B6068"/>
    <w:rsid w:val="003B60CC"/>
    <w:rsid w:val="003B6EE4"/>
    <w:rsid w:val="003C09B7"/>
    <w:rsid w:val="003C0B60"/>
    <w:rsid w:val="003C2443"/>
    <w:rsid w:val="003C5DA3"/>
    <w:rsid w:val="003D2ECE"/>
    <w:rsid w:val="003D4BCD"/>
    <w:rsid w:val="003D5140"/>
    <w:rsid w:val="003E2100"/>
    <w:rsid w:val="003E7511"/>
    <w:rsid w:val="003F6F5B"/>
    <w:rsid w:val="00402F24"/>
    <w:rsid w:val="0040342D"/>
    <w:rsid w:val="0041192D"/>
    <w:rsid w:val="00413D8E"/>
    <w:rsid w:val="00413EE1"/>
    <w:rsid w:val="0042128E"/>
    <w:rsid w:val="00421FEC"/>
    <w:rsid w:val="00423277"/>
    <w:rsid w:val="00430252"/>
    <w:rsid w:val="00432B60"/>
    <w:rsid w:val="00434A49"/>
    <w:rsid w:val="00440698"/>
    <w:rsid w:val="00441D43"/>
    <w:rsid w:val="00450FAE"/>
    <w:rsid w:val="004540E2"/>
    <w:rsid w:val="00455A78"/>
    <w:rsid w:val="0046116B"/>
    <w:rsid w:val="0046173C"/>
    <w:rsid w:val="00464930"/>
    <w:rsid w:val="00465B32"/>
    <w:rsid w:val="004712A5"/>
    <w:rsid w:val="0047266F"/>
    <w:rsid w:val="00476D6B"/>
    <w:rsid w:val="0047728F"/>
    <w:rsid w:val="00485FF0"/>
    <w:rsid w:val="004872E0"/>
    <w:rsid w:val="004914FE"/>
    <w:rsid w:val="00492C16"/>
    <w:rsid w:val="004A0678"/>
    <w:rsid w:val="004A4393"/>
    <w:rsid w:val="004A48A3"/>
    <w:rsid w:val="004A6F22"/>
    <w:rsid w:val="004B0D92"/>
    <w:rsid w:val="004B0EC0"/>
    <w:rsid w:val="004B1820"/>
    <w:rsid w:val="004B3738"/>
    <w:rsid w:val="004B4500"/>
    <w:rsid w:val="004B66F1"/>
    <w:rsid w:val="004C3C1E"/>
    <w:rsid w:val="004C3EA0"/>
    <w:rsid w:val="004C4A81"/>
    <w:rsid w:val="004C7173"/>
    <w:rsid w:val="004D31A7"/>
    <w:rsid w:val="004E0330"/>
    <w:rsid w:val="004E47E7"/>
    <w:rsid w:val="004F4D4C"/>
    <w:rsid w:val="004F60AC"/>
    <w:rsid w:val="004F7169"/>
    <w:rsid w:val="00500D66"/>
    <w:rsid w:val="0050646D"/>
    <w:rsid w:val="00507234"/>
    <w:rsid w:val="00514C8E"/>
    <w:rsid w:val="00520CCE"/>
    <w:rsid w:val="0052361B"/>
    <w:rsid w:val="00525EF4"/>
    <w:rsid w:val="0052681E"/>
    <w:rsid w:val="00527851"/>
    <w:rsid w:val="00531DBF"/>
    <w:rsid w:val="00534E3A"/>
    <w:rsid w:val="00535D49"/>
    <w:rsid w:val="0054376F"/>
    <w:rsid w:val="00545040"/>
    <w:rsid w:val="00545759"/>
    <w:rsid w:val="00545BE0"/>
    <w:rsid w:val="00545F4F"/>
    <w:rsid w:val="00562E85"/>
    <w:rsid w:val="0056332F"/>
    <w:rsid w:val="0056373D"/>
    <w:rsid w:val="00566906"/>
    <w:rsid w:val="005675AE"/>
    <w:rsid w:val="00581C39"/>
    <w:rsid w:val="00585198"/>
    <w:rsid w:val="00586CB3"/>
    <w:rsid w:val="00587579"/>
    <w:rsid w:val="005903B6"/>
    <w:rsid w:val="005931E7"/>
    <w:rsid w:val="005A0247"/>
    <w:rsid w:val="005B140D"/>
    <w:rsid w:val="005B44B1"/>
    <w:rsid w:val="005B7F1B"/>
    <w:rsid w:val="005C1970"/>
    <w:rsid w:val="005C1FEA"/>
    <w:rsid w:val="005C2672"/>
    <w:rsid w:val="005C3495"/>
    <w:rsid w:val="005D6F37"/>
    <w:rsid w:val="005E35DC"/>
    <w:rsid w:val="005E3DFC"/>
    <w:rsid w:val="005E5D52"/>
    <w:rsid w:val="005E60AF"/>
    <w:rsid w:val="005F0814"/>
    <w:rsid w:val="005F1DEA"/>
    <w:rsid w:val="0060462F"/>
    <w:rsid w:val="0060602D"/>
    <w:rsid w:val="00607FC9"/>
    <w:rsid w:val="0061002D"/>
    <w:rsid w:val="0061374A"/>
    <w:rsid w:val="00621170"/>
    <w:rsid w:val="00622FE1"/>
    <w:rsid w:val="0062521C"/>
    <w:rsid w:val="00630A2B"/>
    <w:rsid w:val="00631D4A"/>
    <w:rsid w:val="00632DC7"/>
    <w:rsid w:val="006357FB"/>
    <w:rsid w:val="00635C5E"/>
    <w:rsid w:val="006406FC"/>
    <w:rsid w:val="00643B47"/>
    <w:rsid w:val="00645CB8"/>
    <w:rsid w:val="00651483"/>
    <w:rsid w:val="00653E16"/>
    <w:rsid w:val="00653F7B"/>
    <w:rsid w:val="00657220"/>
    <w:rsid w:val="0066093E"/>
    <w:rsid w:val="0066104B"/>
    <w:rsid w:val="006640E2"/>
    <w:rsid w:val="006655EE"/>
    <w:rsid w:val="00667C10"/>
    <w:rsid w:val="00667EF4"/>
    <w:rsid w:val="00674AAE"/>
    <w:rsid w:val="00676FCA"/>
    <w:rsid w:val="00677177"/>
    <w:rsid w:val="0067757A"/>
    <w:rsid w:val="0068612E"/>
    <w:rsid w:val="00687C92"/>
    <w:rsid w:val="0069534E"/>
    <w:rsid w:val="006956E5"/>
    <w:rsid w:val="0069669C"/>
    <w:rsid w:val="006A074A"/>
    <w:rsid w:val="006A1200"/>
    <w:rsid w:val="006A1AE4"/>
    <w:rsid w:val="006A27CB"/>
    <w:rsid w:val="006A4F4E"/>
    <w:rsid w:val="006B1098"/>
    <w:rsid w:val="006B14DB"/>
    <w:rsid w:val="006B1FFD"/>
    <w:rsid w:val="006B21C4"/>
    <w:rsid w:val="006B4FD2"/>
    <w:rsid w:val="006C1A92"/>
    <w:rsid w:val="006C4A1A"/>
    <w:rsid w:val="006D0393"/>
    <w:rsid w:val="006D1A83"/>
    <w:rsid w:val="006D7A2B"/>
    <w:rsid w:val="006E1CFE"/>
    <w:rsid w:val="006E3EB2"/>
    <w:rsid w:val="006E6B38"/>
    <w:rsid w:val="006F10C4"/>
    <w:rsid w:val="006F181F"/>
    <w:rsid w:val="006F5051"/>
    <w:rsid w:val="006F5603"/>
    <w:rsid w:val="00700175"/>
    <w:rsid w:val="00701400"/>
    <w:rsid w:val="007037CF"/>
    <w:rsid w:val="00710BC8"/>
    <w:rsid w:val="00713FA2"/>
    <w:rsid w:val="00716663"/>
    <w:rsid w:val="007167C0"/>
    <w:rsid w:val="00720481"/>
    <w:rsid w:val="00720E46"/>
    <w:rsid w:val="00721704"/>
    <w:rsid w:val="0073057B"/>
    <w:rsid w:val="00731B42"/>
    <w:rsid w:val="00733193"/>
    <w:rsid w:val="00733C36"/>
    <w:rsid w:val="00742DA9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85782"/>
    <w:rsid w:val="007953DA"/>
    <w:rsid w:val="00797E41"/>
    <w:rsid w:val="007A2573"/>
    <w:rsid w:val="007A570A"/>
    <w:rsid w:val="007A6A1A"/>
    <w:rsid w:val="007B106C"/>
    <w:rsid w:val="007B1A4E"/>
    <w:rsid w:val="007B27F6"/>
    <w:rsid w:val="007B3617"/>
    <w:rsid w:val="007B3D05"/>
    <w:rsid w:val="007B5B2F"/>
    <w:rsid w:val="007C093A"/>
    <w:rsid w:val="007C0C81"/>
    <w:rsid w:val="007C114B"/>
    <w:rsid w:val="007C1328"/>
    <w:rsid w:val="007D14B4"/>
    <w:rsid w:val="007D2191"/>
    <w:rsid w:val="007D2FC3"/>
    <w:rsid w:val="007D4362"/>
    <w:rsid w:val="007D4CEC"/>
    <w:rsid w:val="007D5962"/>
    <w:rsid w:val="007E24F6"/>
    <w:rsid w:val="007F20CB"/>
    <w:rsid w:val="007F2EED"/>
    <w:rsid w:val="00800F64"/>
    <w:rsid w:val="00802F0B"/>
    <w:rsid w:val="00810A67"/>
    <w:rsid w:val="00813398"/>
    <w:rsid w:val="00813F3B"/>
    <w:rsid w:val="00821A31"/>
    <w:rsid w:val="00821AC5"/>
    <w:rsid w:val="00831030"/>
    <w:rsid w:val="008316C6"/>
    <w:rsid w:val="00832F0F"/>
    <w:rsid w:val="00833CF7"/>
    <w:rsid w:val="00843089"/>
    <w:rsid w:val="00845601"/>
    <w:rsid w:val="008518B4"/>
    <w:rsid w:val="008533AC"/>
    <w:rsid w:val="00854F44"/>
    <w:rsid w:val="00855C5C"/>
    <w:rsid w:val="00855CCA"/>
    <w:rsid w:val="008565B9"/>
    <w:rsid w:val="0086185F"/>
    <w:rsid w:val="00874D88"/>
    <w:rsid w:val="008757F7"/>
    <w:rsid w:val="00882459"/>
    <w:rsid w:val="00882AAC"/>
    <w:rsid w:val="00890C23"/>
    <w:rsid w:val="008A2B4A"/>
    <w:rsid w:val="008A2D87"/>
    <w:rsid w:val="008A3C96"/>
    <w:rsid w:val="008A6F57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054AD"/>
    <w:rsid w:val="00905A36"/>
    <w:rsid w:val="009120E4"/>
    <w:rsid w:val="00913175"/>
    <w:rsid w:val="009142E4"/>
    <w:rsid w:val="00916EDB"/>
    <w:rsid w:val="00920135"/>
    <w:rsid w:val="009240A6"/>
    <w:rsid w:val="009242EF"/>
    <w:rsid w:val="009252EF"/>
    <w:rsid w:val="00932291"/>
    <w:rsid w:val="0093408E"/>
    <w:rsid w:val="00947CBC"/>
    <w:rsid w:val="0095201C"/>
    <w:rsid w:val="00952DDF"/>
    <w:rsid w:val="009602A8"/>
    <w:rsid w:val="0096170E"/>
    <w:rsid w:val="0097415B"/>
    <w:rsid w:val="00976E4A"/>
    <w:rsid w:val="0098286A"/>
    <w:rsid w:val="009862E0"/>
    <w:rsid w:val="009A1A89"/>
    <w:rsid w:val="009B3234"/>
    <w:rsid w:val="009B38BE"/>
    <w:rsid w:val="009C333F"/>
    <w:rsid w:val="009C3D0F"/>
    <w:rsid w:val="009D2FDC"/>
    <w:rsid w:val="009E2913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17D6"/>
    <w:rsid w:val="00A17D0F"/>
    <w:rsid w:val="00A23425"/>
    <w:rsid w:val="00A27314"/>
    <w:rsid w:val="00A338E7"/>
    <w:rsid w:val="00A343B2"/>
    <w:rsid w:val="00A35CAA"/>
    <w:rsid w:val="00A36E7F"/>
    <w:rsid w:val="00A37E9D"/>
    <w:rsid w:val="00A40B5D"/>
    <w:rsid w:val="00A41E65"/>
    <w:rsid w:val="00A43E0A"/>
    <w:rsid w:val="00A44FDC"/>
    <w:rsid w:val="00A45659"/>
    <w:rsid w:val="00A539B1"/>
    <w:rsid w:val="00A55F5B"/>
    <w:rsid w:val="00A57FB9"/>
    <w:rsid w:val="00A60185"/>
    <w:rsid w:val="00A60B0D"/>
    <w:rsid w:val="00A61177"/>
    <w:rsid w:val="00A65959"/>
    <w:rsid w:val="00A661EA"/>
    <w:rsid w:val="00A70809"/>
    <w:rsid w:val="00A72668"/>
    <w:rsid w:val="00A76E17"/>
    <w:rsid w:val="00A77C92"/>
    <w:rsid w:val="00A830E5"/>
    <w:rsid w:val="00A86618"/>
    <w:rsid w:val="00A87135"/>
    <w:rsid w:val="00A90239"/>
    <w:rsid w:val="00A93280"/>
    <w:rsid w:val="00AA2548"/>
    <w:rsid w:val="00AA56AF"/>
    <w:rsid w:val="00AA58C4"/>
    <w:rsid w:val="00AB0B10"/>
    <w:rsid w:val="00AB11C8"/>
    <w:rsid w:val="00AB60CF"/>
    <w:rsid w:val="00AC08A8"/>
    <w:rsid w:val="00AC5085"/>
    <w:rsid w:val="00AC73C4"/>
    <w:rsid w:val="00AC73E5"/>
    <w:rsid w:val="00AD1891"/>
    <w:rsid w:val="00AD50BA"/>
    <w:rsid w:val="00AD56C8"/>
    <w:rsid w:val="00AD58F2"/>
    <w:rsid w:val="00AD5BA0"/>
    <w:rsid w:val="00AD5E71"/>
    <w:rsid w:val="00AE02CA"/>
    <w:rsid w:val="00AE4C25"/>
    <w:rsid w:val="00AF2CDE"/>
    <w:rsid w:val="00AF4DBA"/>
    <w:rsid w:val="00B00313"/>
    <w:rsid w:val="00B00ABE"/>
    <w:rsid w:val="00B01599"/>
    <w:rsid w:val="00B0197B"/>
    <w:rsid w:val="00B01FD6"/>
    <w:rsid w:val="00B03A27"/>
    <w:rsid w:val="00B0529F"/>
    <w:rsid w:val="00B1418B"/>
    <w:rsid w:val="00B14B15"/>
    <w:rsid w:val="00B21195"/>
    <w:rsid w:val="00B214FE"/>
    <w:rsid w:val="00B24B22"/>
    <w:rsid w:val="00B24E4A"/>
    <w:rsid w:val="00B25310"/>
    <w:rsid w:val="00B27B11"/>
    <w:rsid w:val="00B32F8F"/>
    <w:rsid w:val="00B34662"/>
    <w:rsid w:val="00B404DC"/>
    <w:rsid w:val="00B43958"/>
    <w:rsid w:val="00B5228C"/>
    <w:rsid w:val="00B54DE9"/>
    <w:rsid w:val="00B553EC"/>
    <w:rsid w:val="00B62B98"/>
    <w:rsid w:val="00B65E27"/>
    <w:rsid w:val="00B66855"/>
    <w:rsid w:val="00B66EBE"/>
    <w:rsid w:val="00B70ED4"/>
    <w:rsid w:val="00B774CD"/>
    <w:rsid w:val="00B80ECC"/>
    <w:rsid w:val="00B82C24"/>
    <w:rsid w:val="00B87F4C"/>
    <w:rsid w:val="00B912DE"/>
    <w:rsid w:val="00B93DD0"/>
    <w:rsid w:val="00B95973"/>
    <w:rsid w:val="00B95D71"/>
    <w:rsid w:val="00B97732"/>
    <w:rsid w:val="00BA0922"/>
    <w:rsid w:val="00BA17FC"/>
    <w:rsid w:val="00BA65A8"/>
    <w:rsid w:val="00BA6D19"/>
    <w:rsid w:val="00BA7461"/>
    <w:rsid w:val="00BA7DA9"/>
    <w:rsid w:val="00BB418A"/>
    <w:rsid w:val="00BC029D"/>
    <w:rsid w:val="00BC0616"/>
    <w:rsid w:val="00BC3438"/>
    <w:rsid w:val="00BC4215"/>
    <w:rsid w:val="00BC473A"/>
    <w:rsid w:val="00BD1A6F"/>
    <w:rsid w:val="00BD5DB8"/>
    <w:rsid w:val="00BD5F54"/>
    <w:rsid w:val="00BE033E"/>
    <w:rsid w:val="00BE2411"/>
    <w:rsid w:val="00BE4871"/>
    <w:rsid w:val="00BE6D3C"/>
    <w:rsid w:val="00BE7852"/>
    <w:rsid w:val="00BE7E91"/>
    <w:rsid w:val="00BF0762"/>
    <w:rsid w:val="00BF1EFE"/>
    <w:rsid w:val="00BF3F7C"/>
    <w:rsid w:val="00BF671B"/>
    <w:rsid w:val="00BF7CEE"/>
    <w:rsid w:val="00C03880"/>
    <w:rsid w:val="00C07E4C"/>
    <w:rsid w:val="00C132E3"/>
    <w:rsid w:val="00C135CF"/>
    <w:rsid w:val="00C173B0"/>
    <w:rsid w:val="00C17F88"/>
    <w:rsid w:val="00C22E15"/>
    <w:rsid w:val="00C2683F"/>
    <w:rsid w:val="00C3184D"/>
    <w:rsid w:val="00C325B9"/>
    <w:rsid w:val="00C37862"/>
    <w:rsid w:val="00C43020"/>
    <w:rsid w:val="00C4714E"/>
    <w:rsid w:val="00C51A9D"/>
    <w:rsid w:val="00C5366B"/>
    <w:rsid w:val="00C5504F"/>
    <w:rsid w:val="00C6319E"/>
    <w:rsid w:val="00C63376"/>
    <w:rsid w:val="00C634DE"/>
    <w:rsid w:val="00C67B2A"/>
    <w:rsid w:val="00C71149"/>
    <w:rsid w:val="00C71BB8"/>
    <w:rsid w:val="00C729A8"/>
    <w:rsid w:val="00C74F97"/>
    <w:rsid w:val="00C8276E"/>
    <w:rsid w:val="00C842AC"/>
    <w:rsid w:val="00C85444"/>
    <w:rsid w:val="00C86DC8"/>
    <w:rsid w:val="00C90E71"/>
    <w:rsid w:val="00CA0723"/>
    <w:rsid w:val="00CA086D"/>
    <w:rsid w:val="00CA369D"/>
    <w:rsid w:val="00CA41ED"/>
    <w:rsid w:val="00CB0489"/>
    <w:rsid w:val="00CB1690"/>
    <w:rsid w:val="00CC1AE6"/>
    <w:rsid w:val="00CC39F8"/>
    <w:rsid w:val="00CC4365"/>
    <w:rsid w:val="00CD11B0"/>
    <w:rsid w:val="00CD2830"/>
    <w:rsid w:val="00CD3A95"/>
    <w:rsid w:val="00CD49AD"/>
    <w:rsid w:val="00CD7E72"/>
    <w:rsid w:val="00CE42D0"/>
    <w:rsid w:val="00CE6A38"/>
    <w:rsid w:val="00CE71C2"/>
    <w:rsid w:val="00CF42D5"/>
    <w:rsid w:val="00CF4EDA"/>
    <w:rsid w:val="00CF5CAE"/>
    <w:rsid w:val="00D01D39"/>
    <w:rsid w:val="00D021CB"/>
    <w:rsid w:val="00D0562E"/>
    <w:rsid w:val="00D05A2D"/>
    <w:rsid w:val="00D10ACD"/>
    <w:rsid w:val="00D10F1A"/>
    <w:rsid w:val="00D116F8"/>
    <w:rsid w:val="00D14BE2"/>
    <w:rsid w:val="00D14D13"/>
    <w:rsid w:val="00D15127"/>
    <w:rsid w:val="00D17596"/>
    <w:rsid w:val="00D2323D"/>
    <w:rsid w:val="00D24123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558DD"/>
    <w:rsid w:val="00D62131"/>
    <w:rsid w:val="00D64914"/>
    <w:rsid w:val="00D7464F"/>
    <w:rsid w:val="00D77838"/>
    <w:rsid w:val="00D80F3B"/>
    <w:rsid w:val="00D9032D"/>
    <w:rsid w:val="00D949E4"/>
    <w:rsid w:val="00DA1B12"/>
    <w:rsid w:val="00DA54C9"/>
    <w:rsid w:val="00DA6739"/>
    <w:rsid w:val="00DA6CAE"/>
    <w:rsid w:val="00DB1A9E"/>
    <w:rsid w:val="00DB1BDA"/>
    <w:rsid w:val="00DB2566"/>
    <w:rsid w:val="00DB31D6"/>
    <w:rsid w:val="00DB4005"/>
    <w:rsid w:val="00DB4CBF"/>
    <w:rsid w:val="00DC34EB"/>
    <w:rsid w:val="00DC4837"/>
    <w:rsid w:val="00DC541B"/>
    <w:rsid w:val="00DC781A"/>
    <w:rsid w:val="00DD1580"/>
    <w:rsid w:val="00DD1729"/>
    <w:rsid w:val="00DD714D"/>
    <w:rsid w:val="00DE633A"/>
    <w:rsid w:val="00DE6446"/>
    <w:rsid w:val="00DF1E5B"/>
    <w:rsid w:val="00DF2275"/>
    <w:rsid w:val="00DF3F5E"/>
    <w:rsid w:val="00DF603D"/>
    <w:rsid w:val="00DF7BCD"/>
    <w:rsid w:val="00E00D0D"/>
    <w:rsid w:val="00E0489C"/>
    <w:rsid w:val="00E0596E"/>
    <w:rsid w:val="00E06F66"/>
    <w:rsid w:val="00E1201E"/>
    <w:rsid w:val="00E1333E"/>
    <w:rsid w:val="00E13703"/>
    <w:rsid w:val="00E138B9"/>
    <w:rsid w:val="00E14857"/>
    <w:rsid w:val="00E150B6"/>
    <w:rsid w:val="00E155C7"/>
    <w:rsid w:val="00E22AD5"/>
    <w:rsid w:val="00E356E5"/>
    <w:rsid w:val="00E35762"/>
    <w:rsid w:val="00E36F81"/>
    <w:rsid w:val="00E37165"/>
    <w:rsid w:val="00E44648"/>
    <w:rsid w:val="00E452FA"/>
    <w:rsid w:val="00E45765"/>
    <w:rsid w:val="00E45C14"/>
    <w:rsid w:val="00E45E10"/>
    <w:rsid w:val="00E5098C"/>
    <w:rsid w:val="00E50DC9"/>
    <w:rsid w:val="00E60213"/>
    <w:rsid w:val="00E65A5E"/>
    <w:rsid w:val="00E70B1B"/>
    <w:rsid w:val="00E74D29"/>
    <w:rsid w:val="00E82E79"/>
    <w:rsid w:val="00E83C74"/>
    <w:rsid w:val="00E83CEE"/>
    <w:rsid w:val="00E86DB3"/>
    <w:rsid w:val="00E8776C"/>
    <w:rsid w:val="00E903B3"/>
    <w:rsid w:val="00E91469"/>
    <w:rsid w:val="00E9226D"/>
    <w:rsid w:val="00E923D6"/>
    <w:rsid w:val="00E94A84"/>
    <w:rsid w:val="00EA337A"/>
    <w:rsid w:val="00EA5941"/>
    <w:rsid w:val="00EA61DD"/>
    <w:rsid w:val="00EB02BE"/>
    <w:rsid w:val="00EB4974"/>
    <w:rsid w:val="00EB4DFB"/>
    <w:rsid w:val="00EB60CE"/>
    <w:rsid w:val="00EB7D53"/>
    <w:rsid w:val="00EC24FD"/>
    <w:rsid w:val="00EC270F"/>
    <w:rsid w:val="00ED1794"/>
    <w:rsid w:val="00EE1E28"/>
    <w:rsid w:val="00EE2A2B"/>
    <w:rsid w:val="00EE3146"/>
    <w:rsid w:val="00EE482C"/>
    <w:rsid w:val="00EE52A5"/>
    <w:rsid w:val="00EE62DA"/>
    <w:rsid w:val="00EF0C37"/>
    <w:rsid w:val="00EF50BB"/>
    <w:rsid w:val="00EF746E"/>
    <w:rsid w:val="00EF7DAD"/>
    <w:rsid w:val="00F00192"/>
    <w:rsid w:val="00F01DF6"/>
    <w:rsid w:val="00F0340D"/>
    <w:rsid w:val="00F043FE"/>
    <w:rsid w:val="00F10DBE"/>
    <w:rsid w:val="00F234C6"/>
    <w:rsid w:val="00F23756"/>
    <w:rsid w:val="00F2408E"/>
    <w:rsid w:val="00F2523A"/>
    <w:rsid w:val="00F25FFA"/>
    <w:rsid w:val="00F310D2"/>
    <w:rsid w:val="00F35B89"/>
    <w:rsid w:val="00F35F6C"/>
    <w:rsid w:val="00F36F3D"/>
    <w:rsid w:val="00F3797F"/>
    <w:rsid w:val="00F46F46"/>
    <w:rsid w:val="00F477BD"/>
    <w:rsid w:val="00F5009A"/>
    <w:rsid w:val="00F50D3B"/>
    <w:rsid w:val="00F52AB6"/>
    <w:rsid w:val="00F52EB7"/>
    <w:rsid w:val="00F53491"/>
    <w:rsid w:val="00F57286"/>
    <w:rsid w:val="00F60329"/>
    <w:rsid w:val="00F65A1C"/>
    <w:rsid w:val="00F66F50"/>
    <w:rsid w:val="00F74035"/>
    <w:rsid w:val="00F82FF8"/>
    <w:rsid w:val="00F8330D"/>
    <w:rsid w:val="00F84305"/>
    <w:rsid w:val="00F8485C"/>
    <w:rsid w:val="00F8686F"/>
    <w:rsid w:val="00F87149"/>
    <w:rsid w:val="00F87239"/>
    <w:rsid w:val="00F87FFE"/>
    <w:rsid w:val="00F91335"/>
    <w:rsid w:val="00F940DB"/>
    <w:rsid w:val="00F954C9"/>
    <w:rsid w:val="00F95994"/>
    <w:rsid w:val="00F977DD"/>
    <w:rsid w:val="00FA059B"/>
    <w:rsid w:val="00FA0CF5"/>
    <w:rsid w:val="00FA2001"/>
    <w:rsid w:val="00FA5D00"/>
    <w:rsid w:val="00FA61AA"/>
    <w:rsid w:val="00FA62B5"/>
    <w:rsid w:val="00FA69A4"/>
    <w:rsid w:val="00FA7D15"/>
    <w:rsid w:val="00FB1279"/>
    <w:rsid w:val="00FB1495"/>
    <w:rsid w:val="00FC64AE"/>
    <w:rsid w:val="00FC779B"/>
    <w:rsid w:val="00FC7FCA"/>
    <w:rsid w:val="00FD1694"/>
    <w:rsid w:val="00FD2FE0"/>
    <w:rsid w:val="00FD7636"/>
    <w:rsid w:val="00FE3229"/>
    <w:rsid w:val="00FE5C3F"/>
    <w:rsid w:val="00FE74C3"/>
    <w:rsid w:val="00FF215C"/>
    <w:rsid w:val="00FF31E2"/>
    <w:rsid w:val="00FF49E8"/>
    <w:rsid w:val="00FF672F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."/>
  <w:listSeparator w:val=","/>
  <w14:docId w14:val="0FD184CA"/>
  <w15:docId w15:val="{DA7CFE58-E298-483A-9607-675BD32E5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paragraph" w:styleId="PlainText">
    <w:name w:val="Plain Text"/>
    <w:basedOn w:val="Normal"/>
    <w:link w:val="PlainTextChar"/>
    <w:rsid w:val="005C1970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4"/>
      <w:lang w:val="en-GB"/>
    </w:rPr>
  </w:style>
  <w:style w:type="character" w:customStyle="1" w:styleId="PlainTextChar">
    <w:name w:val="Plain Text Char"/>
    <w:basedOn w:val="DefaultParagraphFont"/>
    <w:link w:val="PlainText"/>
    <w:rsid w:val="005C1970"/>
    <w:rPr>
      <w:rFonts w:ascii="Courier New" w:eastAsia="Times New Roman" w:hAnsi="Courier New" w:cs="Courier New"/>
      <w:szCs w:val="24"/>
      <w:lang w:val="en-GB" w:eastAsia="en-US"/>
    </w:rPr>
  </w:style>
  <w:style w:type="character" w:styleId="Emphasis">
    <w:name w:val="Emphasis"/>
    <w:basedOn w:val="DefaultParagraphFont"/>
    <w:qFormat/>
    <w:rsid w:val="0056373D"/>
    <w:rPr>
      <w:rFonts w:cs="Times New Roman"/>
      <w:i/>
      <w:iCs/>
    </w:rPr>
  </w:style>
  <w:style w:type="character" w:styleId="FootnoteReference">
    <w:name w:val="footnote reference"/>
    <w:basedOn w:val="DefaultParagraphFont"/>
    <w:uiPriority w:val="99"/>
    <w:semiHidden/>
    <w:rsid w:val="0056373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56373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373D"/>
    <w:rPr>
      <w:rFonts w:ascii="Times New Roman" w:eastAsia="Times New Roman" w:hAnsi="Times New Roman"/>
      <w:szCs w:val="24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5236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6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61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6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61B"/>
    <w:rPr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5064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64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DABD227D.dotm</Template>
  <TotalTime>0</TotalTime>
  <Pages>2</Pages>
  <Words>518</Words>
  <Characters>2954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applicant - September 2019</dc:title>
  <dc:creator>Department of the Environment and Energy</dc:creator>
  <cp:lastModifiedBy>Bec Durack</cp:lastModifiedBy>
  <cp:revision>2</cp:revision>
  <dcterms:created xsi:type="dcterms:W3CDTF">2019-09-03T04:27:00Z</dcterms:created>
  <dcterms:modified xsi:type="dcterms:W3CDTF">2019-09-03T04:27:00Z</dcterms:modified>
</cp:coreProperties>
</file>