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jpeg" ContentType="image/jpeg"/>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EC24A5" w:rsidRDefault="0094313A" w:rsidP="00E32B4A">
      <w:pPr>
        <w:widowControl w:val="0"/>
        <w:tabs>
          <w:tab w:val="left" w:pos="6700"/>
        </w:tabs>
        <w:spacing w:after="120"/>
        <w:jc w:val="both"/>
        <w:rPr>
          <w:rFonts w:cs="Arial"/>
          <w:b/>
          <w:sz w:val="48"/>
        </w:rPr>
      </w:pPr>
      <w:r w:rsidRPr="00EC24A5">
        <w:rPr>
          <w:rFonts w:cs="Arial"/>
          <w:noProof/>
          <w:lang w:eastAsia="en-AU"/>
        </w:rPr>
        <w:drawing>
          <wp:anchor distT="0" distB="0" distL="114300" distR="114300" simplePos="0" relativeHeight="251659264" behindDoc="0" locked="0" layoutInCell="1" allowOverlap="1">
            <wp:simplePos x="0" y="0"/>
            <wp:positionH relativeFrom="column">
              <wp:posOffset>-400050</wp:posOffset>
            </wp:positionH>
            <wp:positionV relativeFrom="paragraph">
              <wp:posOffset>365760</wp:posOffset>
            </wp:positionV>
            <wp:extent cx="3177540" cy="685800"/>
            <wp:effectExtent l="19050" t="0" r="3810" b="0"/>
            <wp:wrapNone/>
            <wp:docPr id="2" name="Picture 0" descr="DSEWPaC-inline_stacked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EWPaC-inline_stacked_blue.png"/>
                    <pic:cNvPicPr/>
                  </pic:nvPicPr>
                  <pic:blipFill>
                    <a:blip r:embed="rId8" cstate="print">
                      <a:biLevel thresh="50000"/>
                    </a:blip>
                    <a:stretch>
                      <a:fillRect/>
                    </a:stretch>
                  </pic:blipFill>
                  <pic:spPr>
                    <a:xfrm>
                      <a:off x="0" y="0"/>
                      <a:ext cx="3177540" cy="685800"/>
                    </a:xfrm>
                    <a:prstGeom prst="rect">
                      <a:avLst/>
                    </a:prstGeom>
                  </pic:spPr>
                </pic:pic>
              </a:graphicData>
            </a:graphic>
          </wp:anchor>
        </w:drawing>
      </w:r>
    </w:p>
    <w:p w:rsidR="00DA6A89" w:rsidRPr="00EC24A5" w:rsidRDefault="00DA6A89" w:rsidP="00DA6A89">
      <w:pPr>
        <w:widowControl w:val="0"/>
        <w:tabs>
          <w:tab w:val="left" w:pos="6700"/>
        </w:tabs>
        <w:spacing w:after="120"/>
        <w:jc w:val="center"/>
        <w:rPr>
          <w:rFonts w:cs="Arial"/>
          <w:b/>
          <w:sz w:val="48"/>
        </w:rPr>
      </w:pPr>
    </w:p>
    <w:p w:rsidR="00DA6A89" w:rsidRPr="00EC24A5" w:rsidRDefault="00DA6A89" w:rsidP="00DA6A89">
      <w:pPr>
        <w:widowControl w:val="0"/>
        <w:tabs>
          <w:tab w:val="left" w:pos="6700"/>
        </w:tabs>
        <w:spacing w:after="120"/>
        <w:rPr>
          <w:rFonts w:cs="Arial"/>
          <w:b/>
          <w:sz w:val="48"/>
        </w:rPr>
      </w:pPr>
    </w:p>
    <w:p w:rsidR="00DA6A89" w:rsidRPr="00EC24A5" w:rsidRDefault="00DA6A89" w:rsidP="00DA6A89">
      <w:pPr>
        <w:widowControl w:val="0"/>
        <w:tabs>
          <w:tab w:val="left" w:pos="6700"/>
        </w:tabs>
        <w:spacing w:after="120"/>
        <w:rPr>
          <w:rFonts w:cs="Arial"/>
          <w:b/>
          <w:sz w:val="48"/>
        </w:rPr>
      </w:pPr>
    </w:p>
    <w:p w:rsidR="00DA6A89" w:rsidRPr="00EC24A5" w:rsidRDefault="00DA6A89" w:rsidP="00DA6A89">
      <w:pPr>
        <w:widowControl w:val="0"/>
        <w:tabs>
          <w:tab w:val="left" w:pos="6700"/>
        </w:tabs>
        <w:spacing w:after="120"/>
        <w:rPr>
          <w:rFonts w:cs="Arial"/>
          <w:b/>
          <w:sz w:val="48"/>
        </w:rPr>
      </w:pPr>
    </w:p>
    <w:p w:rsidR="00E32B4A" w:rsidRPr="00EC24A5" w:rsidRDefault="00E32B4A" w:rsidP="00DA6A89">
      <w:pPr>
        <w:widowControl w:val="0"/>
        <w:tabs>
          <w:tab w:val="left" w:pos="6700"/>
        </w:tabs>
        <w:spacing w:after="120"/>
        <w:rPr>
          <w:rFonts w:cs="Arial"/>
          <w:b/>
          <w:sz w:val="48"/>
        </w:rPr>
      </w:pPr>
    </w:p>
    <w:p w:rsidR="00E32B4A" w:rsidRPr="00EC24A5" w:rsidRDefault="00E32B4A" w:rsidP="00DA6A89">
      <w:pPr>
        <w:widowControl w:val="0"/>
        <w:tabs>
          <w:tab w:val="left" w:pos="6700"/>
        </w:tabs>
        <w:spacing w:after="120"/>
        <w:rPr>
          <w:rFonts w:cs="Arial"/>
          <w:b/>
          <w:sz w:val="48"/>
        </w:rPr>
      </w:pPr>
    </w:p>
    <w:p w:rsidR="00DA6A89" w:rsidRPr="00EC24A5" w:rsidRDefault="00DA6A89" w:rsidP="00E96A86">
      <w:pPr>
        <w:pStyle w:val="Heading1"/>
        <w:jc w:val="center"/>
        <w:rPr>
          <w:caps w:val="0"/>
          <w:sz w:val="52"/>
        </w:rPr>
      </w:pPr>
      <w:r w:rsidRPr="00EC24A5">
        <w:rPr>
          <w:caps w:val="0"/>
          <w:sz w:val="52"/>
        </w:rPr>
        <w:t>Assessment of the</w:t>
      </w:r>
    </w:p>
    <w:p w:rsidR="00DA6A89" w:rsidRPr="00EC24A5" w:rsidRDefault="008C0436" w:rsidP="00E96A86">
      <w:pPr>
        <w:pStyle w:val="Heading1"/>
        <w:jc w:val="center"/>
        <w:rPr>
          <w:caps w:val="0"/>
          <w:sz w:val="52"/>
        </w:rPr>
      </w:pPr>
      <w:r>
        <w:rPr>
          <w:caps w:val="0"/>
          <w:sz w:val="52"/>
        </w:rPr>
        <w:t>Western Tuna and</w:t>
      </w:r>
      <w:r w:rsidR="00F2797D" w:rsidRPr="00EC24A5">
        <w:rPr>
          <w:caps w:val="0"/>
          <w:sz w:val="52"/>
        </w:rPr>
        <w:t xml:space="preserve"> </w:t>
      </w:r>
      <w:r>
        <w:rPr>
          <w:caps w:val="0"/>
          <w:sz w:val="52"/>
        </w:rPr>
        <w:t>Billf</w:t>
      </w:r>
      <w:r w:rsidR="00F2797D" w:rsidRPr="00EC24A5">
        <w:rPr>
          <w:caps w:val="0"/>
          <w:sz w:val="52"/>
        </w:rPr>
        <w:t>ish</w:t>
      </w:r>
      <w:r w:rsidR="002A7A5C" w:rsidRPr="00EC24A5">
        <w:rPr>
          <w:caps w:val="0"/>
          <w:sz w:val="52"/>
        </w:rPr>
        <w:t xml:space="preserve"> Fishery</w:t>
      </w:r>
    </w:p>
    <w:p w:rsidR="00DA6A89" w:rsidRPr="00EC24A5" w:rsidRDefault="00DA6A89" w:rsidP="00DA6A89">
      <w:pPr>
        <w:widowControl w:val="0"/>
        <w:tabs>
          <w:tab w:val="left" w:pos="6700"/>
        </w:tabs>
        <w:spacing w:after="120"/>
        <w:jc w:val="center"/>
        <w:rPr>
          <w:rFonts w:cs="Arial"/>
          <w:b/>
          <w:sz w:val="48"/>
        </w:rPr>
      </w:pPr>
    </w:p>
    <w:p w:rsidR="00DA6A89" w:rsidRPr="00EC24A5" w:rsidRDefault="00DA6A89" w:rsidP="00DA6A89">
      <w:pPr>
        <w:widowControl w:val="0"/>
        <w:tabs>
          <w:tab w:val="left" w:pos="6700"/>
        </w:tabs>
        <w:spacing w:after="120"/>
        <w:jc w:val="center"/>
        <w:rPr>
          <w:rFonts w:cs="Arial"/>
          <w:b/>
          <w:sz w:val="48"/>
        </w:rPr>
      </w:pPr>
    </w:p>
    <w:p w:rsidR="00DA6A89" w:rsidRPr="00EC24A5" w:rsidRDefault="00DA6A89" w:rsidP="00DA6A89">
      <w:pPr>
        <w:widowControl w:val="0"/>
        <w:tabs>
          <w:tab w:val="left" w:pos="6700"/>
        </w:tabs>
        <w:spacing w:after="120"/>
        <w:jc w:val="center"/>
        <w:rPr>
          <w:rFonts w:cs="Arial"/>
          <w:b/>
        </w:rPr>
      </w:pPr>
    </w:p>
    <w:p w:rsidR="00DA6A89" w:rsidRPr="00EC24A5" w:rsidRDefault="00DA6A89" w:rsidP="00DA6A89">
      <w:pPr>
        <w:widowControl w:val="0"/>
        <w:tabs>
          <w:tab w:val="left" w:pos="6700"/>
        </w:tabs>
        <w:spacing w:after="120"/>
        <w:jc w:val="center"/>
        <w:rPr>
          <w:rFonts w:cs="Arial"/>
          <w:b/>
        </w:rPr>
      </w:pPr>
    </w:p>
    <w:p w:rsidR="00DA6A89" w:rsidRPr="00EC24A5" w:rsidRDefault="00DA6A89" w:rsidP="00DA6A89">
      <w:pPr>
        <w:widowControl w:val="0"/>
        <w:tabs>
          <w:tab w:val="left" w:pos="6700"/>
        </w:tabs>
        <w:spacing w:after="120"/>
        <w:jc w:val="center"/>
        <w:rPr>
          <w:rFonts w:cs="Arial"/>
          <w:b/>
        </w:rPr>
      </w:pPr>
    </w:p>
    <w:p w:rsidR="00DA6A89" w:rsidRPr="00EC24A5" w:rsidRDefault="00DA6A89" w:rsidP="00DA6A89">
      <w:pPr>
        <w:widowControl w:val="0"/>
        <w:tabs>
          <w:tab w:val="left" w:pos="6700"/>
        </w:tabs>
        <w:spacing w:after="120"/>
        <w:jc w:val="center"/>
        <w:rPr>
          <w:rFonts w:cs="Arial"/>
          <w:b/>
        </w:rPr>
      </w:pPr>
    </w:p>
    <w:p w:rsidR="00DA6A89" w:rsidRPr="00EC24A5" w:rsidRDefault="004E5C0D" w:rsidP="0094313A">
      <w:pPr>
        <w:pStyle w:val="Reportsubtitle"/>
        <w:ind w:left="1361"/>
        <w:rPr>
          <w:rFonts w:cs="Arial"/>
        </w:rPr>
      </w:pPr>
      <w:r>
        <w:rPr>
          <w:rFonts w:cs="Arial"/>
        </w:rPr>
        <w:t>Novem</w:t>
      </w:r>
      <w:r w:rsidR="00384A3F">
        <w:rPr>
          <w:rFonts w:cs="Arial"/>
        </w:rPr>
        <w:t>ber</w:t>
      </w:r>
      <w:r w:rsidR="004D24FB" w:rsidRPr="00EC24A5">
        <w:rPr>
          <w:rFonts w:cs="Arial"/>
        </w:rPr>
        <w:t xml:space="preserve"> 20</w:t>
      </w:r>
      <w:r w:rsidR="007F5AFA" w:rsidRPr="00EC24A5">
        <w:rPr>
          <w:rFonts w:cs="Arial"/>
        </w:rPr>
        <w:t>1</w:t>
      </w:r>
      <w:r w:rsidR="005B1EBF" w:rsidRPr="00EC24A5">
        <w:rPr>
          <w:rFonts w:cs="Arial"/>
        </w:rPr>
        <w:t>4</w:t>
      </w:r>
    </w:p>
    <w:p w:rsidR="00DA6A89" w:rsidRPr="00EC24A5" w:rsidRDefault="00DA6A89" w:rsidP="00DA6A89">
      <w:pPr>
        <w:rPr>
          <w:rFonts w:cs="Arial"/>
        </w:rPr>
      </w:pPr>
    </w:p>
    <w:p w:rsidR="00DA6A89" w:rsidRPr="00EC24A5" w:rsidRDefault="00DA6A89" w:rsidP="00DA6A89">
      <w:pPr>
        <w:rPr>
          <w:rFonts w:cs="Arial"/>
        </w:rPr>
      </w:pPr>
    </w:p>
    <w:p w:rsidR="00DA6A89" w:rsidRPr="00EC24A5" w:rsidRDefault="00DA6A89" w:rsidP="00DA6A89">
      <w:pPr>
        <w:rPr>
          <w:rFonts w:cs="Arial"/>
          <w:color w:val="FF0000"/>
        </w:rPr>
      </w:pPr>
    </w:p>
    <w:p w:rsidR="00DA6A89" w:rsidRPr="00EC24A5" w:rsidRDefault="00DA6A89" w:rsidP="00DA6A89">
      <w:pPr>
        <w:rPr>
          <w:rFonts w:cs="Arial"/>
        </w:rPr>
      </w:pPr>
    </w:p>
    <w:p w:rsidR="00DA6A89" w:rsidRPr="00EC24A5" w:rsidRDefault="00DA6A89" w:rsidP="00DA6A89">
      <w:pPr>
        <w:rPr>
          <w:rFonts w:cs="Arial"/>
        </w:rPr>
      </w:pPr>
    </w:p>
    <w:p w:rsidR="00DA6A89" w:rsidRPr="00EC24A5" w:rsidRDefault="00DA6A89" w:rsidP="00DA6A89">
      <w:pPr>
        <w:rPr>
          <w:rFonts w:cs="Arial"/>
        </w:rPr>
      </w:pPr>
    </w:p>
    <w:p w:rsidR="00DA6A89" w:rsidRPr="00EC24A5" w:rsidRDefault="00DA6A89" w:rsidP="00DA6A89">
      <w:pPr>
        <w:rPr>
          <w:rFonts w:cs="Arial"/>
        </w:rPr>
      </w:pPr>
    </w:p>
    <w:p w:rsidR="00DA6A89" w:rsidRPr="00EC24A5" w:rsidRDefault="00DA6A89" w:rsidP="00DA6A89">
      <w:pPr>
        <w:rPr>
          <w:rFonts w:cs="Arial"/>
        </w:rPr>
      </w:pPr>
    </w:p>
    <w:p w:rsidR="00DA6A89" w:rsidRPr="00EC24A5" w:rsidRDefault="00DA6A89" w:rsidP="00DA6A89">
      <w:pPr>
        <w:rPr>
          <w:rFonts w:cs="Arial"/>
        </w:rPr>
      </w:pPr>
    </w:p>
    <w:p w:rsidR="00DA6A89" w:rsidRPr="00EC24A5" w:rsidRDefault="00DA6A89" w:rsidP="00DA6A89">
      <w:pPr>
        <w:rPr>
          <w:rFonts w:cs="Arial"/>
        </w:rPr>
      </w:pPr>
    </w:p>
    <w:p w:rsidR="00DA6A89" w:rsidRPr="00EC24A5" w:rsidRDefault="00DA6A89" w:rsidP="00DA6A89">
      <w:pPr>
        <w:rPr>
          <w:rFonts w:cs="Arial"/>
        </w:rPr>
      </w:pPr>
    </w:p>
    <w:p w:rsidR="00F1627E" w:rsidRPr="00EC24A5" w:rsidRDefault="00F1627E" w:rsidP="008E1E22">
      <w:pPr>
        <w:rPr>
          <w:rFonts w:cs="Arial"/>
        </w:rPr>
      </w:pPr>
    </w:p>
    <w:p w:rsidR="00F1627E" w:rsidRPr="00EC24A5" w:rsidRDefault="00F1627E" w:rsidP="008E1E22">
      <w:pPr>
        <w:rPr>
          <w:rFonts w:cs="Arial"/>
        </w:rPr>
      </w:pPr>
    </w:p>
    <w:p w:rsidR="00F1627E" w:rsidRPr="00EC24A5" w:rsidRDefault="00F1627E" w:rsidP="008E1E22">
      <w:pPr>
        <w:rPr>
          <w:rFonts w:cs="Arial"/>
        </w:rPr>
      </w:pPr>
    </w:p>
    <w:p w:rsidR="00F1627E" w:rsidRPr="00EC24A5" w:rsidRDefault="00F1627E" w:rsidP="008E1E22">
      <w:pPr>
        <w:rPr>
          <w:rFonts w:cs="Arial"/>
        </w:rPr>
      </w:pPr>
    </w:p>
    <w:p w:rsidR="00F1627E" w:rsidRPr="00EC24A5" w:rsidRDefault="00F1627E" w:rsidP="008E1E22">
      <w:pPr>
        <w:rPr>
          <w:rFonts w:cs="Arial"/>
        </w:rPr>
      </w:pPr>
    </w:p>
    <w:p w:rsidR="00F1627E" w:rsidRPr="00EC24A5" w:rsidRDefault="00F1627E" w:rsidP="008E1E22">
      <w:pPr>
        <w:rPr>
          <w:rFonts w:cs="Arial"/>
        </w:rPr>
      </w:pPr>
    </w:p>
    <w:p w:rsidR="00F1627E" w:rsidRPr="00EC24A5" w:rsidRDefault="00F1627E" w:rsidP="008E1E22">
      <w:pPr>
        <w:rPr>
          <w:rFonts w:cs="Arial"/>
        </w:rPr>
      </w:pPr>
    </w:p>
    <w:p w:rsidR="003F73C1" w:rsidRPr="00EC24A5" w:rsidRDefault="003F73C1" w:rsidP="008E1E22">
      <w:pPr>
        <w:rPr>
          <w:rFonts w:cs="Arial"/>
        </w:rPr>
      </w:pPr>
    </w:p>
    <w:p w:rsidR="00BF487E" w:rsidRPr="00EC24A5" w:rsidRDefault="00BF487E" w:rsidP="008E1E22">
      <w:pPr>
        <w:rPr>
          <w:rFonts w:cs="Arial"/>
        </w:rPr>
      </w:pPr>
    </w:p>
    <w:p w:rsidR="00F1627E" w:rsidRPr="00EC24A5" w:rsidRDefault="00F1627E" w:rsidP="007A4027">
      <w:pPr>
        <w:rPr>
          <w:rFonts w:cs="Arial"/>
        </w:rPr>
      </w:pPr>
    </w:p>
    <w:p w:rsidR="00DF6C31" w:rsidRPr="00EC24A5" w:rsidRDefault="00DF6C31" w:rsidP="007A4027">
      <w:pPr>
        <w:spacing w:after="0" w:line="240" w:lineRule="auto"/>
        <w:rPr>
          <w:rFonts w:eastAsia="Times New Roman" w:cs="Arial"/>
          <w:color w:val="000000"/>
          <w:sz w:val="16"/>
          <w:szCs w:val="16"/>
          <w:lang w:eastAsia="en-AU"/>
        </w:rPr>
      </w:pPr>
      <w:r w:rsidRPr="00EC24A5">
        <w:rPr>
          <w:rFonts w:eastAsia="Times New Roman" w:cs="Arial"/>
          <w:color w:val="000000"/>
          <w:sz w:val="16"/>
          <w:szCs w:val="16"/>
          <w:lang w:eastAsia="en-AU"/>
        </w:rPr>
        <w:t>© Copyright</w:t>
      </w:r>
      <w:r w:rsidR="00C57A9B" w:rsidRPr="00EC24A5">
        <w:rPr>
          <w:rFonts w:eastAsia="Times New Roman" w:cs="Arial"/>
          <w:color w:val="000000"/>
          <w:sz w:val="16"/>
          <w:szCs w:val="16"/>
          <w:lang w:eastAsia="en-AU"/>
        </w:rPr>
        <w:t xml:space="preserve"> Commonwealth of Australia, 2014</w:t>
      </w:r>
      <w:r w:rsidRPr="00EC24A5">
        <w:rPr>
          <w:rFonts w:eastAsia="Times New Roman" w:cs="Arial"/>
          <w:color w:val="000000"/>
          <w:sz w:val="16"/>
          <w:szCs w:val="16"/>
          <w:lang w:eastAsia="en-AU"/>
        </w:rPr>
        <w:t>.</w:t>
      </w:r>
    </w:p>
    <w:p w:rsidR="008E1E22" w:rsidRPr="00EC24A5" w:rsidRDefault="00DF6C31" w:rsidP="007A4027">
      <w:pPr>
        <w:pStyle w:val="NormalWeb"/>
        <w:spacing w:before="0" w:beforeAutospacing="0" w:after="200" w:afterAutospacing="0"/>
        <w:rPr>
          <w:rFonts w:ascii="Arial" w:eastAsia="Times New Roman" w:hAnsi="Arial" w:cs="Arial"/>
          <w:i/>
          <w:sz w:val="16"/>
          <w:szCs w:val="16"/>
          <w:lang w:val="en-AU" w:eastAsia="en-AU"/>
        </w:rPr>
      </w:pPr>
      <w:r w:rsidRPr="00EC24A5">
        <w:rPr>
          <w:rFonts w:ascii="Arial" w:eastAsia="Times New Roman" w:hAnsi="Arial" w:cs="Arial"/>
          <w:noProof/>
          <w:color w:val="000000"/>
          <w:sz w:val="16"/>
          <w:szCs w:val="16"/>
          <w:lang w:val="en-AU" w:eastAsia="en-AU"/>
        </w:rPr>
        <w:drawing>
          <wp:inline distT="0" distB="0" distL="0" distR="0">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DF6C31" w:rsidRPr="00EC24A5" w:rsidRDefault="00DF6C31" w:rsidP="007A4027">
      <w:pPr>
        <w:pStyle w:val="NormalWeb"/>
        <w:spacing w:before="0" w:beforeAutospacing="0" w:after="200" w:afterAutospacing="0"/>
        <w:rPr>
          <w:rFonts w:ascii="Arial" w:eastAsia="Times New Roman" w:hAnsi="Arial" w:cs="Arial"/>
          <w:sz w:val="16"/>
          <w:szCs w:val="16"/>
          <w:lang w:val="en-AU" w:eastAsia="en-AU"/>
        </w:rPr>
      </w:pPr>
      <w:r w:rsidRPr="00EC24A5">
        <w:rPr>
          <w:rFonts w:ascii="Arial" w:eastAsia="Times New Roman" w:hAnsi="Arial" w:cs="Arial"/>
          <w:i/>
          <w:sz w:val="16"/>
          <w:szCs w:val="16"/>
          <w:lang w:val="en-AU" w:eastAsia="en-AU"/>
        </w:rPr>
        <w:t xml:space="preserve">Assessment of the </w:t>
      </w:r>
      <w:r w:rsidR="00384A3F" w:rsidRPr="00384A3F">
        <w:rPr>
          <w:rFonts w:ascii="Arial" w:eastAsia="Times New Roman" w:hAnsi="Arial" w:cs="Arial"/>
          <w:i/>
          <w:sz w:val="16"/>
          <w:szCs w:val="16"/>
          <w:lang w:val="en-AU" w:eastAsia="en-AU"/>
        </w:rPr>
        <w:t>Western Tuna and Billfish Fishery</w:t>
      </w:r>
      <w:r w:rsidR="00384A3F">
        <w:rPr>
          <w:rFonts w:ascii="Arial" w:eastAsia="Times New Roman" w:hAnsi="Arial" w:cs="Arial"/>
          <w:i/>
          <w:sz w:val="16"/>
          <w:szCs w:val="16"/>
          <w:lang w:val="en-AU" w:eastAsia="en-AU"/>
        </w:rPr>
        <w:t xml:space="preserve"> </w:t>
      </w:r>
      <w:r w:rsidR="004E5C0D">
        <w:rPr>
          <w:rFonts w:ascii="Arial" w:eastAsia="Times New Roman" w:hAnsi="Arial" w:cs="Arial"/>
          <w:i/>
          <w:sz w:val="16"/>
          <w:szCs w:val="16"/>
          <w:lang w:val="en-AU" w:eastAsia="en-AU"/>
        </w:rPr>
        <w:t>November</w:t>
      </w:r>
      <w:r w:rsidR="009258F5" w:rsidRPr="00EC24A5">
        <w:rPr>
          <w:rFonts w:ascii="Arial" w:eastAsia="Times New Roman" w:hAnsi="Arial" w:cs="Arial"/>
          <w:i/>
          <w:sz w:val="16"/>
          <w:szCs w:val="16"/>
          <w:lang w:val="en-AU" w:eastAsia="en-AU"/>
        </w:rPr>
        <w:t xml:space="preserve"> 2014</w:t>
      </w:r>
      <w:r w:rsidRPr="00EC24A5">
        <w:rPr>
          <w:rFonts w:ascii="Arial" w:eastAsia="Times New Roman" w:hAnsi="Arial" w:cs="Arial"/>
          <w:sz w:val="16"/>
          <w:szCs w:val="16"/>
          <w:lang w:val="en-AU" w:eastAsia="en-AU"/>
        </w:rPr>
        <w:t xml:space="preserve"> is licensed by the Commonwealth of Australia for use under a Creative Commons By Attribution 3.0 Australia licence with the exception of the Coat of Arms of the Commonwealth of Australia, the logo of </w:t>
      </w:r>
      <w:r w:rsidRPr="00EC24A5">
        <w:rPr>
          <w:rFonts w:ascii="Arial" w:hAnsi="Arial" w:cs="Arial"/>
          <w:sz w:val="16"/>
          <w:szCs w:val="16"/>
          <w:lang w:val="en-AU"/>
        </w:rPr>
        <w:t>the</w:t>
      </w:r>
      <w:r w:rsidRPr="00EC24A5">
        <w:rPr>
          <w:rFonts w:ascii="Arial" w:eastAsia="Times New Roman" w:hAnsi="Arial" w:cs="Arial"/>
          <w:sz w:val="16"/>
          <w:szCs w:val="16"/>
          <w:lang w:val="en-AU" w:eastAsia="en-AU"/>
        </w:rPr>
        <w:t xml:space="preserve"> agency responsible for publishing the report, content supplied by third parties, and any images depicting people. For licence conditions see: http://creativecommons.org/licenses/by/3.0/au/</w:t>
      </w:r>
      <w:r w:rsidR="00F1627E" w:rsidRPr="00EC24A5">
        <w:rPr>
          <w:rFonts w:ascii="Arial" w:eastAsia="Times New Roman" w:hAnsi="Arial" w:cs="Arial"/>
          <w:sz w:val="16"/>
          <w:szCs w:val="16"/>
          <w:lang w:val="en-AU" w:eastAsia="en-AU"/>
        </w:rPr>
        <w:t>.</w:t>
      </w:r>
    </w:p>
    <w:p w:rsidR="00DF6C31" w:rsidRPr="00EC24A5" w:rsidRDefault="00DF6C31" w:rsidP="007A4027">
      <w:pPr>
        <w:spacing w:line="240" w:lineRule="auto"/>
        <w:rPr>
          <w:rFonts w:eastAsia="Times New Roman" w:cs="Arial"/>
          <w:sz w:val="16"/>
          <w:szCs w:val="16"/>
          <w:lang w:eastAsia="en-AU"/>
        </w:rPr>
      </w:pPr>
      <w:r w:rsidRPr="00EC24A5">
        <w:rPr>
          <w:rFonts w:eastAsia="Times New Roman" w:cs="Arial"/>
          <w:sz w:val="16"/>
          <w:szCs w:val="16"/>
          <w:lang w:eastAsia="en-AU"/>
        </w:rPr>
        <w:t>This report should be attributed as ‘</w:t>
      </w:r>
      <w:r w:rsidR="00384A3F" w:rsidRPr="00EC24A5">
        <w:rPr>
          <w:rFonts w:eastAsia="Times New Roman" w:cs="Arial"/>
          <w:i/>
          <w:sz w:val="16"/>
          <w:szCs w:val="16"/>
          <w:lang w:eastAsia="en-AU"/>
        </w:rPr>
        <w:t xml:space="preserve">Assessment of the </w:t>
      </w:r>
      <w:r w:rsidR="00384A3F" w:rsidRPr="00384A3F">
        <w:rPr>
          <w:rFonts w:eastAsia="Times New Roman" w:cs="Arial"/>
          <w:i/>
          <w:sz w:val="16"/>
          <w:szCs w:val="16"/>
          <w:lang w:eastAsia="en-AU"/>
        </w:rPr>
        <w:t>Western Tuna and Billfish Fishery</w:t>
      </w:r>
      <w:r w:rsidR="00384A3F">
        <w:rPr>
          <w:rFonts w:eastAsia="Times New Roman" w:cs="Arial"/>
          <w:i/>
          <w:sz w:val="16"/>
          <w:szCs w:val="16"/>
          <w:lang w:eastAsia="en-AU"/>
        </w:rPr>
        <w:t xml:space="preserve"> </w:t>
      </w:r>
      <w:r w:rsidR="004E5C0D">
        <w:rPr>
          <w:rFonts w:eastAsia="Times New Roman" w:cs="Arial"/>
          <w:i/>
          <w:sz w:val="16"/>
          <w:szCs w:val="16"/>
          <w:lang w:eastAsia="en-AU"/>
        </w:rPr>
        <w:t>November</w:t>
      </w:r>
      <w:r w:rsidR="00384A3F" w:rsidRPr="00EC24A5">
        <w:rPr>
          <w:rFonts w:eastAsia="Times New Roman" w:cs="Arial"/>
          <w:i/>
          <w:sz w:val="16"/>
          <w:szCs w:val="16"/>
          <w:lang w:eastAsia="en-AU"/>
        </w:rPr>
        <w:t xml:space="preserve"> </w:t>
      </w:r>
      <w:r w:rsidR="009258F5" w:rsidRPr="00EC24A5">
        <w:rPr>
          <w:rFonts w:eastAsia="Times New Roman" w:cs="Arial"/>
          <w:i/>
          <w:sz w:val="16"/>
          <w:szCs w:val="16"/>
          <w:lang w:eastAsia="en-AU"/>
        </w:rPr>
        <w:t>2014</w:t>
      </w:r>
      <w:r w:rsidRPr="00EC24A5">
        <w:rPr>
          <w:rFonts w:eastAsia="Times New Roman" w:cs="Arial"/>
          <w:sz w:val="16"/>
          <w:szCs w:val="16"/>
          <w:lang w:eastAsia="en-AU"/>
        </w:rPr>
        <w:t xml:space="preserve">, Commonwealth of Australia </w:t>
      </w:r>
      <w:r w:rsidR="00C57A9B" w:rsidRPr="00EC24A5">
        <w:rPr>
          <w:rFonts w:eastAsia="Times New Roman" w:cs="Arial"/>
          <w:i/>
          <w:sz w:val="16"/>
          <w:szCs w:val="16"/>
          <w:lang w:eastAsia="en-AU"/>
        </w:rPr>
        <w:t>2014</w:t>
      </w:r>
      <w:r w:rsidRPr="00EC24A5">
        <w:rPr>
          <w:rFonts w:eastAsia="Times New Roman" w:cs="Arial"/>
          <w:i/>
          <w:sz w:val="16"/>
          <w:szCs w:val="16"/>
          <w:lang w:eastAsia="en-AU"/>
        </w:rPr>
        <w:t>’</w:t>
      </w:r>
      <w:r w:rsidRPr="00EC24A5">
        <w:rPr>
          <w:rFonts w:eastAsia="Times New Roman" w:cs="Arial"/>
          <w:sz w:val="16"/>
          <w:szCs w:val="16"/>
          <w:lang w:eastAsia="en-AU"/>
        </w:rPr>
        <w:t>.</w:t>
      </w:r>
    </w:p>
    <w:p w:rsidR="00DA6A89" w:rsidRPr="00EC24A5" w:rsidRDefault="00DA6A89" w:rsidP="007A4027">
      <w:pPr>
        <w:rPr>
          <w:rFonts w:cs="Arial"/>
        </w:rPr>
      </w:pPr>
    </w:p>
    <w:p w:rsidR="00DA6A89" w:rsidRPr="00EC24A5" w:rsidRDefault="00DA6A89" w:rsidP="007A4027">
      <w:pPr>
        <w:pStyle w:val="NormalWeb"/>
        <w:rPr>
          <w:rFonts w:ascii="Arial" w:hAnsi="Arial" w:cs="Arial"/>
          <w:sz w:val="20"/>
          <w:szCs w:val="20"/>
          <w:lang w:val="en-AU"/>
        </w:rPr>
      </w:pPr>
    </w:p>
    <w:p w:rsidR="00DA6A89" w:rsidRPr="00EC24A5" w:rsidRDefault="00DA6A89" w:rsidP="007A4027">
      <w:pPr>
        <w:rPr>
          <w:rFonts w:cs="Arial"/>
          <w:b/>
          <w:sz w:val="16"/>
          <w:szCs w:val="16"/>
        </w:rPr>
      </w:pPr>
      <w:r w:rsidRPr="00EC24A5">
        <w:rPr>
          <w:rFonts w:cs="Arial"/>
          <w:b/>
          <w:sz w:val="16"/>
          <w:szCs w:val="16"/>
        </w:rPr>
        <w:t>Disclaimer</w:t>
      </w:r>
    </w:p>
    <w:p w:rsidR="00C27FCE" w:rsidRPr="00EC24A5" w:rsidRDefault="00DA6A89" w:rsidP="007A4027">
      <w:pPr>
        <w:pStyle w:val="NormalWeb"/>
        <w:spacing w:before="0" w:beforeAutospacing="0" w:after="200" w:afterAutospacing="0"/>
        <w:rPr>
          <w:rFonts w:ascii="Arial" w:hAnsi="Arial" w:cs="Arial"/>
          <w:sz w:val="16"/>
          <w:szCs w:val="16"/>
          <w:lang w:val="en-AU"/>
        </w:rPr>
      </w:pPr>
      <w:r w:rsidRPr="00EC24A5">
        <w:rPr>
          <w:rFonts w:ascii="Arial" w:hAnsi="Arial" w:cs="Arial"/>
          <w:sz w:val="16"/>
          <w:szCs w:val="16"/>
          <w:lang w:val="en-AU"/>
        </w:rPr>
        <w:t xml:space="preserve">This document is an assessment carried out by the </w:t>
      </w:r>
      <w:r w:rsidR="00C00EF2" w:rsidRPr="00EC24A5">
        <w:rPr>
          <w:rFonts w:ascii="Arial" w:hAnsi="Arial" w:cs="Arial"/>
          <w:sz w:val="16"/>
          <w:szCs w:val="16"/>
          <w:lang w:val="en-AU"/>
        </w:rPr>
        <w:t>Department of the Environment</w:t>
      </w:r>
      <w:r w:rsidR="007F5AFA" w:rsidRPr="00EC24A5">
        <w:rPr>
          <w:rFonts w:ascii="Arial" w:hAnsi="Arial" w:cs="Arial"/>
          <w:sz w:val="16"/>
          <w:szCs w:val="16"/>
          <w:lang w:val="en-AU"/>
        </w:rPr>
        <w:t xml:space="preserve"> </w:t>
      </w:r>
      <w:r w:rsidRPr="00EC24A5">
        <w:rPr>
          <w:rFonts w:ascii="Arial" w:hAnsi="Arial" w:cs="Arial"/>
          <w:sz w:val="16"/>
          <w:szCs w:val="16"/>
          <w:lang w:val="en-AU"/>
        </w:rPr>
        <w:t xml:space="preserve">of a commercial fishery against the Australian Government </w:t>
      </w:r>
      <w:r w:rsidRPr="00EC24A5">
        <w:rPr>
          <w:rFonts w:ascii="Arial" w:hAnsi="Arial" w:cs="Arial"/>
          <w:i/>
          <w:iCs/>
          <w:sz w:val="16"/>
          <w:szCs w:val="16"/>
          <w:lang w:val="en-AU"/>
        </w:rPr>
        <w:t>Guidelines for the Ecologically Sustainable Management of Fisheries – 2nd Edition</w:t>
      </w:r>
      <w:r w:rsidRPr="00EC24A5">
        <w:rPr>
          <w:rFonts w:ascii="Arial" w:hAnsi="Arial" w:cs="Arial"/>
          <w:sz w:val="16"/>
          <w:szCs w:val="16"/>
          <w:lang w:val="en-AU"/>
        </w:rPr>
        <w:t xml:space="preserve">. It forms part of the advice provided to the Minister for </w:t>
      </w:r>
      <w:r w:rsidR="008764E1" w:rsidRPr="00EC24A5">
        <w:rPr>
          <w:rFonts w:ascii="Arial" w:hAnsi="Arial" w:cs="Arial"/>
          <w:sz w:val="16"/>
          <w:szCs w:val="16"/>
          <w:lang w:val="en-AU"/>
        </w:rPr>
        <w:t>the</w:t>
      </w:r>
      <w:r w:rsidRPr="00EC24A5">
        <w:rPr>
          <w:rFonts w:ascii="Arial" w:hAnsi="Arial" w:cs="Arial"/>
          <w:sz w:val="16"/>
          <w:szCs w:val="16"/>
          <w:lang w:val="en-AU"/>
        </w:rPr>
        <w:t xml:space="preserve"> Environment</w:t>
      </w:r>
      <w:r w:rsidR="008764E1" w:rsidRPr="00EC24A5">
        <w:rPr>
          <w:rFonts w:ascii="Arial" w:hAnsi="Arial" w:cs="Arial"/>
          <w:sz w:val="16"/>
          <w:szCs w:val="16"/>
          <w:lang w:val="en-AU"/>
        </w:rPr>
        <w:t xml:space="preserve"> </w:t>
      </w:r>
      <w:r w:rsidRPr="00EC24A5">
        <w:rPr>
          <w:rFonts w:ascii="Arial" w:hAnsi="Arial" w:cs="Arial"/>
          <w:sz w:val="16"/>
          <w:szCs w:val="16"/>
          <w:lang w:val="en-AU"/>
        </w:rPr>
        <w:t xml:space="preserve">on the fishery in relation to decisions under </w:t>
      </w:r>
      <w:proofErr w:type="spellStart"/>
      <w:r w:rsidRPr="00EC24A5">
        <w:rPr>
          <w:rFonts w:ascii="Arial" w:hAnsi="Arial" w:cs="Arial"/>
          <w:sz w:val="16"/>
          <w:szCs w:val="16"/>
          <w:lang w:val="en-AU"/>
        </w:rPr>
        <w:t>Part</w:t>
      </w:r>
      <w:proofErr w:type="spellEnd"/>
      <w:r w:rsidR="00F6308F" w:rsidRPr="00EC24A5">
        <w:rPr>
          <w:rFonts w:ascii="Arial" w:hAnsi="Arial" w:cs="Arial"/>
          <w:sz w:val="16"/>
          <w:szCs w:val="16"/>
          <w:lang w:val="en-AU"/>
        </w:rPr>
        <w:t> </w:t>
      </w:r>
      <w:r w:rsidRPr="00EC24A5">
        <w:rPr>
          <w:rFonts w:ascii="Arial" w:hAnsi="Arial" w:cs="Arial"/>
          <w:sz w:val="16"/>
          <w:szCs w:val="16"/>
          <w:lang w:val="en-AU"/>
        </w:rPr>
        <w:t>13 and</w:t>
      </w:r>
      <w:r w:rsidR="004D24FB" w:rsidRPr="00EC24A5">
        <w:rPr>
          <w:rFonts w:ascii="Arial" w:hAnsi="Arial" w:cs="Arial"/>
          <w:sz w:val="16"/>
          <w:szCs w:val="16"/>
          <w:lang w:val="en-AU"/>
        </w:rPr>
        <w:t xml:space="preserve"> Part</w:t>
      </w:r>
      <w:r w:rsidR="00834716" w:rsidRPr="00EC24A5">
        <w:rPr>
          <w:rFonts w:ascii="Arial" w:hAnsi="Arial" w:cs="Arial"/>
          <w:sz w:val="16"/>
          <w:szCs w:val="16"/>
          <w:lang w:val="en-AU"/>
        </w:rPr>
        <w:t> </w:t>
      </w:r>
      <w:r w:rsidRPr="00EC24A5">
        <w:rPr>
          <w:rFonts w:ascii="Arial" w:hAnsi="Arial" w:cs="Arial"/>
          <w:sz w:val="16"/>
          <w:szCs w:val="16"/>
          <w:lang w:val="en-AU"/>
        </w:rPr>
        <w:t xml:space="preserve">13A of the </w:t>
      </w:r>
      <w:r w:rsidRPr="00EC24A5">
        <w:rPr>
          <w:rFonts w:ascii="Arial" w:hAnsi="Arial" w:cs="Arial"/>
          <w:i/>
          <w:iCs/>
          <w:sz w:val="16"/>
          <w:szCs w:val="16"/>
          <w:lang w:val="en-AU"/>
        </w:rPr>
        <w:t>Environment Protection and Biodiversity Conservation Act 1999</w:t>
      </w:r>
      <w:r w:rsidR="00C27FCE" w:rsidRPr="00EC24A5">
        <w:rPr>
          <w:rFonts w:ascii="Arial" w:hAnsi="Arial" w:cs="Arial"/>
          <w:sz w:val="16"/>
          <w:szCs w:val="16"/>
          <w:lang w:val="en-AU"/>
        </w:rPr>
        <w:t>.</w:t>
      </w:r>
    </w:p>
    <w:p w:rsidR="008E1E22" w:rsidRPr="00EC24A5" w:rsidRDefault="00C27FCE" w:rsidP="007A4027">
      <w:pPr>
        <w:pStyle w:val="NormalWeb"/>
        <w:spacing w:before="0" w:beforeAutospacing="0" w:after="200" w:afterAutospacing="0"/>
        <w:rPr>
          <w:rFonts w:ascii="Arial" w:hAnsi="Arial" w:cs="Arial"/>
          <w:sz w:val="16"/>
          <w:szCs w:val="16"/>
          <w:lang w:val="en-AU"/>
        </w:rPr>
      </w:pPr>
      <w:r w:rsidRPr="00EC24A5">
        <w:rPr>
          <w:rFonts w:ascii="Arial" w:hAnsi="Arial" w:cs="Arial"/>
          <w:sz w:val="16"/>
          <w:szCs w:val="16"/>
          <w:lang w:val="en-AU"/>
        </w:rPr>
        <w:t>The views and opinions expressed do not necessarily reflect those of the Australian Government or the Minister for the Environment.</w:t>
      </w:r>
    </w:p>
    <w:p w:rsidR="009B3A55" w:rsidRPr="00EC24A5" w:rsidRDefault="00C27FCE" w:rsidP="007A4027">
      <w:pPr>
        <w:pStyle w:val="NormalWeb"/>
        <w:spacing w:before="0" w:beforeAutospacing="0" w:after="200" w:afterAutospacing="0"/>
        <w:rPr>
          <w:rFonts w:ascii="Arial" w:hAnsi="Arial" w:cs="Arial"/>
          <w:sz w:val="16"/>
          <w:szCs w:val="16"/>
          <w:lang w:val="en-AU"/>
        </w:rPr>
      </w:pPr>
      <w:r w:rsidRPr="00EC24A5">
        <w:rPr>
          <w:rFonts w:ascii="Arial" w:hAnsi="Arial" w:cs="Arial"/>
          <w:color w:val="000000"/>
          <w:sz w:val="16"/>
          <w:szCs w:val="16"/>
          <w:lang w:val="en-AU"/>
        </w:rPr>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r w:rsidRPr="00EC24A5">
        <w:rPr>
          <w:rFonts w:ascii="Arial" w:hAnsi="Arial" w:cs="Arial"/>
          <w:color w:val="000000"/>
          <w:sz w:val="17"/>
          <w:szCs w:val="17"/>
          <w:lang w:val="en-AU"/>
        </w:rPr>
        <w:t>.</w:t>
      </w:r>
      <w:r w:rsidR="00DA6A89" w:rsidRPr="00EC24A5">
        <w:rPr>
          <w:rFonts w:ascii="Arial" w:hAnsi="Arial" w:cs="Arial"/>
          <w:sz w:val="24"/>
          <w:lang w:val="en-AU"/>
        </w:rPr>
        <w:br w:type="page"/>
      </w:r>
    </w:p>
    <w:p w:rsidR="00B01D39" w:rsidRPr="00EC24A5" w:rsidRDefault="00B01D39" w:rsidP="007A4027">
      <w:pPr>
        <w:pStyle w:val="Heading1"/>
        <w:jc w:val="center"/>
      </w:pPr>
      <w:r w:rsidRPr="00EC24A5">
        <w:lastRenderedPageBreak/>
        <w:t>Contents</w:t>
      </w:r>
    </w:p>
    <w:p w:rsidR="00B01D39" w:rsidRPr="00EC24A5" w:rsidRDefault="00B01D39" w:rsidP="004E5C0D">
      <w:pPr>
        <w:tabs>
          <w:tab w:val="right" w:leader="dot" w:pos="8302"/>
        </w:tabs>
        <w:ind w:left="1166" w:right="792" w:hanging="1166"/>
        <w:rPr>
          <w:rFonts w:cs="Arial"/>
          <w:b/>
        </w:rPr>
      </w:pPr>
      <w:r w:rsidRPr="00EC24A5">
        <w:rPr>
          <w:rFonts w:cs="Arial"/>
          <w:b/>
        </w:rPr>
        <w:t>Table 1:</w:t>
      </w:r>
      <w:r w:rsidRPr="00EC24A5">
        <w:rPr>
          <w:rFonts w:cs="Arial"/>
          <w:b/>
        </w:rPr>
        <w:tab/>
        <w:t xml:space="preserve">Summary of the </w:t>
      </w:r>
      <w:r w:rsidR="00D318B5">
        <w:rPr>
          <w:rFonts w:cs="Arial"/>
          <w:b/>
        </w:rPr>
        <w:t xml:space="preserve">Western Tuna and Billfish </w:t>
      </w:r>
      <w:r w:rsidR="002A7A5C" w:rsidRPr="00EC24A5">
        <w:rPr>
          <w:rFonts w:cs="Arial"/>
          <w:b/>
        </w:rPr>
        <w:t>Fishery</w:t>
      </w:r>
      <w:r w:rsidRPr="00EC24A5">
        <w:rPr>
          <w:rFonts w:cs="Arial"/>
          <w:webHidden/>
        </w:rPr>
        <w:tab/>
      </w:r>
      <w:r w:rsidR="00FB34FE" w:rsidRPr="00EC24A5">
        <w:rPr>
          <w:rFonts w:cs="Arial"/>
          <w:b/>
          <w:webHidden/>
        </w:rPr>
        <w:fldChar w:fldCharType="begin"/>
      </w:r>
      <w:r w:rsidRPr="00EC24A5">
        <w:rPr>
          <w:rFonts w:cs="Arial"/>
          <w:b/>
          <w:webHidden/>
        </w:rPr>
        <w:instrText xml:space="preserve"> PAGEREF </w:instrText>
      </w:r>
      <w:r w:rsidRPr="00EC24A5">
        <w:rPr>
          <w:rFonts w:cs="Arial"/>
          <w:b/>
        </w:rPr>
        <w:instrText>_Toc316301048</w:instrText>
      </w:r>
      <w:r w:rsidRPr="00EC24A5">
        <w:rPr>
          <w:rFonts w:cs="Arial"/>
          <w:b/>
          <w:webHidden/>
        </w:rPr>
        <w:instrText xml:space="preserve"> \h </w:instrText>
      </w:r>
      <w:r w:rsidR="00FB34FE" w:rsidRPr="00EC24A5">
        <w:rPr>
          <w:rFonts w:cs="Arial"/>
          <w:b/>
          <w:webHidden/>
        </w:rPr>
      </w:r>
      <w:r w:rsidR="00FB34FE" w:rsidRPr="00EC24A5">
        <w:rPr>
          <w:rFonts w:cs="Arial"/>
          <w:b/>
          <w:webHidden/>
        </w:rPr>
        <w:fldChar w:fldCharType="separate"/>
      </w:r>
      <w:r w:rsidR="00BC2686">
        <w:rPr>
          <w:rFonts w:cs="Arial"/>
          <w:b/>
          <w:noProof/>
          <w:webHidden/>
        </w:rPr>
        <w:t>1</w:t>
      </w:r>
      <w:r w:rsidR="00FB34FE" w:rsidRPr="00EC24A5">
        <w:rPr>
          <w:rFonts w:cs="Arial"/>
          <w:b/>
          <w:webHidden/>
        </w:rPr>
        <w:fldChar w:fldCharType="end"/>
      </w:r>
    </w:p>
    <w:p w:rsidR="00B01D39" w:rsidRPr="00EC24A5" w:rsidRDefault="00B01D39" w:rsidP="004E5C0D">
      <w:pPr>
        <w:tabs>
          <w:tab w:val="right" w:leader="dot" w:pos="8302"/>
        </w:tabs>
        <w:ind w:left="1166" w:right="792"/>
        <w:rPr>
          <w:rFonts w:cs="Arial"/>
        </w:rPr>
      </w:pPr>
      <w:r w:rsidRPr="00EC24A5">
        <w:rPr>
          <w:rFonts w:cs="Arial"/>
        </w:rPr>
        <w:t>Table 1 contains a brief overview of the operation of the fisher</w:t>
      </w:r>
      <w:r w:rsidR="009A790B" w:rsidRPr="00EC24A5">
        <w:rPr>
          <w:rFonts w:cs="Arial"/>
        </w:rPr>
        <w:t>y</w:t>
      </w:r>
      <w:r w:rsidR="008520A4" w:rsidRPr="00EC24A5">
        <w:rPr>
          <w:rFonts w:cs="Arial"/>
        </w:rPr>
        <w:t>, including</w:t>
      </w:r>
      <w:r w:rsidRPr="00EC24A5">
        <w:rPr>
          <w:rFonts w:cs="Arial"/>
        </w:rPr>
        <w:t xml:space="preserve"> the gear used, species targeted, </w:t>
      </w:r>
      <w:proofErr w:type="spellStart"/>
      <w:r w:rsidRPr="00EC24A5">
        <w:rPr>
          <w:rFonts w:cs="Arial"/>
        </w:rPr>
        <w:t>byproduct</w:t>
      </w:r>
      <w:proofErr w:type="spellEnd"/>
      <w:r w:rsidRPr="00EC24A5">
        <w:rPr>
          <w:rFonts w:cs="Arial"/>
        </w:rPr>
        <w:t xml:space="preserve"> species, </w:t>
      </w:r>
      <w:proofErr w:type="spellStart"/>
      <w:r w:rsidRPr="00EC24A5">
        <w:rPr>
          <w:rFonts w:cs="Arial"/>
        </w:rPr>
        <w:t>bycatch</w:t>
      </w:r>
      <w:proofErr w:type="spellEnd"/>
      <w:r w:rsidRPr="00EC24A5">
        <w:rPr>
          <w:rFonts w:cs="Arial"/>
        </w:rPr>
        <w:t xml:space="preserve"> species, annual catch, management regime and ecosystem impacts.</w:t>
      </w:r>
    </w:p>
    <w:p w:rsidR="00B01D39" w:rsidRPr="00EC24A5" w:rsidRDefault="00B01D39" w:rsidP="004E5C0D">
      <w:pPr>
        <w:tabs>
          <w:tab w:val="right" w:leader="dot" w:pos="8302"/>
        </w:tabs>
        <w:ind w:left="1166" w:right="792" w:hanging="1166"/>
        <w:rPr>
          <w:rFonts w:cs="Arial"/>
          <w:b/>
        </w:rPr>
      </w:pPr>
      <w:r w:rsidRPr="00EC24A5">
        <w:rPr>
          <w:rFonts w:cs="Arial"/>
          <w:b/>
        </w:rPr>
        <w:t>Table 2:</w:t>
      </w:r>
      <w:r w:rsidRPr="00EC24A5">
        <w:rPr>
          <w:rFonts w:cs="Arial"/>
          <w:b/>
        </w:rPr>
        <w:tab/>
        <w:t xml:space="preserve">Progress in implementation of recommendations made in the </w:t>
      </w:r>
      <w:r w:rsidR="002C1837">
        <w:rPr>
          <w:rFonts w:cs="Arial"/>
          <w:b/>
        </w:rPr>
        <w:t>2009</w:t>
      </w:r>
      <w:r w:rsidR="00126C0C" w:rsidRPr="00EC24A5">
        <w:rPr>
          <w:rFonts w:cs="Arial"/>
          <w:b/>
        </w:rPr>
        <w:t xml:space="preserve"> </w:t>
      </w:r>
      <w:r w:rsidRPr="00EC24A5">
        <w:rPr>
          <w:rFonts w:cs="Arial"/>
          <w:b/>
        </w:rPr>
        <w:t xml:space="preserve">assessment of the </w:t>
      </w:r>
      <w:r w:rsidR="00D318B5">
        <w:rPr>
          <w:rFonts w:cs="Arial"/>
          <w:b/>
        </w:rPr>
        <w:t xml:space="preserve">Western Tuna and Billfish </w:t>
      </w:r>
      <w:r w:rsidR="002A7A5C" w:rsidRPr="00EC24A5">
        <w:rPr>
          <w:rFonts w:cs="Arial"/>
          <w:b/>
        </w:rPr>
        <w:t>Fishery</w:t>
      </w:r>
      <w:r w:rsidRPr="00EC24A5">
        <w:rPr>
          <w:rFonts w:cs="Arial"/>
          <w:webHidden/>
        </w:rPr>
        <w:tab/>
      </w:r>
      <w:r w:rsidR="00FB34FE" w:rsidRPr="00EC24A5">
        <w:rPr>
          <w:rFonts w:cs="Arial"/>
          <w:b/>
          <w:webHidden/>
        </w:rPr>
        <w:fldChar w:fldCharType="begin"/>
      </w:r>
      <w:r w:rsidRPr="00EC24A5">
        <w:rPr>
          <w:rFonts w:cs="Arial"/>
          <w:b/>
          <w:webHidden/>
        </w:rPr>
        <w:instrText xml:space="preserve"> PAGEREF </w:instrText>
      </w:r>
      <w:r w:rsidRPr="00EC24A5">
        <w:rPr>
          <w:rFonts w:cs="Arial"/>
          <w:b/>
        </w:rPr>
        <w:instrText>_Toc316301049</w:instrText>
      </w:r>
      <w:r w:rsidRPr="00EC24A5">
        <w:rPr>
          <w:rFonts w:cs="Arial"/>
          <w:b/>
          <w:webHidden/>
        </w:rPr>
        <w:instrText xml:space="preserve"> \h </w:instrText>
      </w:r>
      <w:r w:rsidR="00FB34FE" w:rsidRPr="00EC24A5">
        <w:rPr>
          <w:rFonts w:cs="Arial"/>
          <w:b/>
          <w:webHidden/>
        </w:rPr>
      </w:r>
      <w:r w:rsidR="00FB34FE" w:rsidRPr="00EC24A5">
        <w:rPr>
          <w:rFonts w:cs="Arial"/>
          <w:b/>
          <w:webHidden/>
        </w:rPr>
        <w:fldChar w:fldCharType="separate"/>
      </w:r>
      <w:r w:rsidR="00BC2686">
        <w:rPr>
          <w:rFonts w:cs="Arial"/>
          <w:b/>
          <w:noProof/>
          <w:webHidden/>
        </w:rPr>
        <w:t>9</w:t>
      </w:r>
      <w:r w:rsidR="00FB34FE" w:rsidRPr="00EC24A5">
        <w:rPr>
          <w:rFonts w:cs="Arial"/>
          <w:b/>
          <w:webHidden/>
        </w:rPr>
        <w:fldChar w:fldCharType="end"/>
      </w:r>
    </w:p>
    <w:p w:rsidR="00B01D39" w:rsidRPr="00EC24A5" w:rsidRDefault="00B01D39" w:rsidP="004E5C0D">
      <w:pPr>
        <w:tabs>
          <w:tab w:val="right" w:leader="dot" w:pos="8302"/>
        </w:tabs>
        <w:ind w:left="1166" w:right="792"/>
        <w:rPr>
          <w:rFonts w:cs="Arial"/>
        </w:rPr>
      </w:pPr>
      <w:r w:rsidRPr="00EC24A5">
        <w:rPr>
          <w:rFonts w:cs="Arial"/>
        </w:rPr>
        <w:t xml:space="preserve">Table 2 contains an update on the progress that has been made by </w:t>
      </w:r>
      <w:r w:rsidR="00C95467">
        <w:rPr>
          <w:rFonts w:cs="Arial"/>
        </w:rPr>
        <w:t>the</w:t>
      </w:r>
      <w:r w:rsidR="00C95467" w:rsidRPr="00EC24A5">
        <w:rPr>
          <w:rFonts w:cs="Arial"/>
        </w:rPr>
        <w:t xml:space="preserve"> </w:t>
      </w:r>
      <w:r w:rsidR="004E5C0D">
        <w:rPr>
          <w:rFonts w:cs="Arial"/>
        </w:rPr>
        <w:t>Australian Fisheries Management Authority</w:t>
      </w:r>
      <w:r w:rsidR="00C95467">
        <w:rPr>
          <w:rFonts w:cs="Arial"/>
        </w:rPr>
        <w:t xml:space="preserve"> </w:t>
      </w:r>
      <w:r w:rsidRPr="00EC24A5">
        <w:rPr>
          <w:rFonts w:cs="Arial"/>
        </w:rPr>
        <w:t xml:space="preserve">in implementing the recommendations made in the </w:t>
      </w:r>
      <w:r w:rsidR="002C1837">
        <w:rPr>
          <w:rFonts w:cs="Arial"/>
        </w:rPr>
        <w:t>2009</w:t>
      </w:r>
      <w:r w:rsidRPr="00EC24A5">
        <w:rPr>
          <w:rFonts w:cs="Arial"/>
        </w:rPr>
        <w:t> assessment</w:t>
      </w:r>
      <w:r w:rsidR="002C1837">
        <w:rPr>
          <w:rFonts w:cs="Arial"/>
        </w:rPr>
        <w:t>.</w:t>
      </w:r>
    </w:p>
    <w:p w:rsidR="00B01D39" w:rsidRPr="00EC24A5" w:rsidRDefault="00B01D39" w:rsidP="004E5C0D">
      <w:pPr>
        <w:tabs>
          <w:tab w:val="right" w:leader="dot" w:pos="8302"/>
        </w:tabs>
        <w:ind w:left="1166" w:right="792" w:hanging="1166"/>
        <w:rPr>
          <w:rFonts w:cs="Arial"/>
          <w:b/>
        </w:rPr>
      </w:pPr>
      <w:r w:rsidRPr="00EC24A5">
        <w:rPr>
          <w:rFonts w:cs="Arial"/>
          <w:b/>
        </w:rPr>
        <w:t xml:space="preserve">Table 3: </w:t>
      </w:r>
      <w:r w:rsidRPr="00EC24A5">
        <w:rPr>
          <w:rFonts w:cs="Arial"/>
          <w:b/>
        </w:rPr>
        <w:tab/>
        <w:t xml:space="preserve">The </w:t>
      </w:r>
      <w:r w:rsidR="007F5AFA" w:rsidRPr="00EC24A5">
        <w:rPr>
          <w:rFonts w:cs="Arial"/>
          <w:b/>
        </w:rPr>
        <w:t>D</w:t>
      </w:r>
      <w:r w:rsidR="00667935" w:rsidRPr="00EC24A5">
        <w:rPr>
          <w:rFonts w:cs="Arial"/>
          <w:b/>
        </w:rPr>
        <w:t>epartment of the Environment</w:t>
      </w:r>
      <w:r w:rsidRPr="00EC24A5">
        <w:rPr>
          <w:rFonts w:cs="Arial"/>
          <w:b/>
        </w:rPr>
        <w:t>’</w:t>
      </w:r>
      <w:r w:rsidR="00667935" w:rsidRPr="00EC24A5">
        <w:rPr>
          <w:rFonts w:cs="Arial"/>
          <w:b/>
        </w:rPr>
        <w:t>s</w:t>
      </w:r>
      <w:r w:rsidRPr="00EC24A5">
        <w:rPr>
          <w:rFonts w:cs="Arial"/>
          <w:b/>
        </w:rPr>
        <w:t xml:space="preserve"> assessment of the</w:t>
      </w:r>
      <w:r w:rsidR="00B33E2A" w:rsidRPr="00EC24A5">
        <w:rPr>
          <w:rFonts w:cs="Arial"/>
          <w:b/>
        </w:rPr>
        <w:t xml:space="preserve"> </w:t>
      </w:r>
      <w:r w:rsidR="00D318B5">
        <w:rPr>
          <w:rFonts w:cs="Arial"/>
          <w:b/>
        </w:rPr>
        <w:t xml:space="preserve">Western Tuna and Billfish </w:t>
      </w:r>
      <w:r w:rsidR="002A7A5C" w:rsidRPr="00EC24A5">
        <w:rPr>
          <w:rFonts w:cs="Arial"/>
          <w:b/>
        </w:rPr>
        <w:t>Fishery</w:t>
      </w:r>
      <w:r w:rsidRPr="00EC24A5">
        <w:rPr>
          <w:rFonts w:cs="Arial"/>
          <w:b/>
        </w:rPr>
        <w:t xml:space="preserve"> against the requirements of the EPBC Act related to decisions made under </w:t>
      </w:r>
      <w:proofErr w:type="spellStart"/>
      <w:r w:rsidRPr="00EC24A5">
        <w:rPr>
          <w:rFonts w:cs="Arial"/>
          <w:b/>
        </w:rPr>
        <w:t>Part</w:t>
      </w:r>
      <w:proofErr w:type="spellEnd"/>
      <w:r w:rsidRPr="00EC24A5">
        <w:rPr>
          <w:rFonts w:cs="Arial"/>
          <w:b/>
        </w:rPr>
        <w:t> 13 and Part 13A</w:t>
      </w:r>
      <w:r w:rsidRPr="00EC24A5">
        <w:rPr>
          <w:rFonts w:cs="Arial"/>
        </w:rPr>
        <w:t>.</w:t>
      </w:r>
      <w:r w:rsidRPr="00EC24A5">
        <w:rPr>
          <w:rFonts w:cs="Arial"/>
          <w:webHidden/>
        </w:rPr>
        <w:tab/>
      </w:r>
      <w:r w:rsidR="00FB34FE" w:rsidRPr="00EC24A5">
        <w:rPr>
          <w:rFonts w:cs="Arial"/>
          <w:b/>
          <w:webHidden/>
        </w:rPr>
        <w:fldChar w:fldCharType="begin"/>
      </w:r>
      <w:r w:rsidRPr="00EC24A5">
        <w:rPr>
          <w:rFonts w:cs="Arial"/>
          <w:b/>
          <w:webHidden/>
        </w:rPr>
        <w:instrText xml:space="preserve"> PAGEREF </w:instrText>
      </w:r>
      <w:r w:rsidRPr="00EC24A5">
        <w:rPr>
          <w:rFonts w:cs="Arial"/>
          <w:b/>
        </w:rPr>
        <w:instrText>_Toc316301050</w:instrText>
      </w:r>
      <w:r w:rsidRPr="00EC24A5">
        <w:rPr>
          <w:rFonts w:cs="Arial"/>
          <w:b/>
          <w:webHidden/>
        </w:rPr>
        <w:instrText xml:space="preserve"> \h </w:instrText>
      </w:r>
      <w:r w:rsidR="00FB34FE" w:rsidRPr="00EC24A5">
        <w:rPr>
          <w:rFonts w:cs="Arial"/>
          <w:b/>
          <w:webHidden/>
        </w:rPr>
      </w:r>
      <w:r w:rsidR="00FB34FE" w:rsidRPr="00EC24A5">
        <w:rPr>
          <w:rFonts w:cs="Arial"/>
          <w:b/>
          <w:webHidden/>
        </w:rPr>
        <w:fldChar w:fldCharType="separate"/>
      </w:r>
      <w:r w:rsidR="00BC2686">
        <w:rPr>
          <w:rFonts w:cs="Arial"/>
          <w:b/>
          <w:noProof/>
          <w:webHidden/>
        </w:rPr>
        <w:t>15</w:t>
      </w:r>
      <w:r w:rsidR="00FB34FE" w:rsidRPr="00EC24A5">
        <w:rPr>
          <w:rFonts w:cs="Arial"/>
          <w:b/>
          <w:webHidden/>
        </w:rPr>
        <w:fldChar w:fldCharType="end"/>
      </w:r>
    </w:p>
    <w:p w:rsidR="00B01D39" w:rsidRPr="004E5C0D" w:rsidRDefault="00B01D39" w:rsidP="004E5C0D">
      <w:pPr>
        <w:tabs>
          <w:tab w:val="right" w:leader="dot" w:pos="8302"/>
        </w:tabs>
        <w:ind w:left="1166" w:right="792"/>
        <w:rPr>
          <w:rFonts w:cs="Arial"/>
        </w:rPr>
      </w:pPr>
      <w:r w:rsidRPr="00EC24A5">
        <w:rPr>
          <w:rFonts w:cs="Arial"/>
        </w:rPr>
        <w:t xml:space="preserve">Table 3 contains the </w:t>
      </w:r>
      <w:r w:rsidR="000C0401" w:rsidRPr="00EC24A5">
        <w:rPr>
          <w:rFonts w:cs="Arial"/>
        </w:rPr>
        <w:t>Department</w:t>
      </w:r>
      <w:r w:rsidRPr="00EC24A5">
        <w:rPr>
          <w:rFonts w:cs="Arial"/>
        </w:rPr>
        <w:t xml:space="preserve">’s assessment of the </w:t>
      </w:r>
      <w:proofErr w:type="spellStart"/>
      <w:r w:rsidRPr="00EC24A5">
        <w:rPr>
          <w:rFonts w:cs="Arial"/>
        </w:rPr>
        <w:t>fishery’s</w:t>
      </w:r>
      <w:proofErr w:type="spellEnd"/>
      <w:r w:rsidRPr="00EC24A5">
        <w:rPr>
          <w:rFonts w:cs="Arial"/>
        </w:rPr>
        <w:t xml:space="preserve"> management arrangements against the relevant parts of the </w:t>
      </w:r>
      <w:r w:rsidRPr="00EC24A5">
        <w:rPr>
          <w:rFonts w:cs="Arial"/>
          <w:i/>
        </w:rPr>
        <w:t>Environment Protection and Biodiversity Conservation Act 1999</w:t>
      </w:r>
      <w:r w:rsidRPr="00EC24A5">
        <w:rPr>
          <w:rFonts w:cs="Arial"/>
        </w:rPr>
        <w:t xml:space="preserve"> that the </w:t>
      </w:r>
      <w:r w:rsidR="00C5432B">
        <w:rPr>
          <w:rFonts w:cs="Arial"/>
        </w:rPr>
        <w:t xml:space="preserve">Delegate of the </w:t>
      </w:r>
      <w:r w:rsidR="007A3607" w:rsidRPr="00EC24A5">
        <w:rPr>
          <w:rFonts w:cs="Arial"/>
        </w:rPr>
        <w:t xml:space="preserve">Minister </w:t>
      </w:r>
      <w:r w:rsidR="009A5706" w:rsidRPr="00EC24A5">
        <w:rPr>
          <w:rFonts w:cs="Arial"/>
        </w:rPr>
        <w:t xml:space="preserve">for the Environment </w:t>
      </w:r>
      <w:r w:rsidRPr="00EC24A5">
        <w:rPr>
          <w:rFonts w:cs="Arial"/>
        </w:rPr>
        <w:t xml:space="preserve">must consider </w:t>
      </w:r>
      <w:r w:rsidRPr="004E5C0D">
        <w:rPr>
          <w:rFonts w:cs="Arial"/>
        </w:rPr>
        <w:t>before making a decision.</w:t>
      </w:r>
    </w:p>
    <w:p w:rsidR="00B01D39" w:rsidRPr="00145E4A" w:rsidRDefault="00B01D39" w:rsidP="004E5C0D">
      <w:pPr>
        <w:tabs>
          <w:tab w:val="right" w:leader="dot" w:pos="8302"/>
        </w:tabs>
        <w:ind w:left="1166" w:right="792" w:hanging="1166"/>
        <w:rPr>
          <w:rFonts w:cs="Arial"/>
          <w:b/>
        </w:rPr>
      </w:pPr>
      <w:r w:rsidRPr="00145E4A">
        <w:rPr>
          <w:rFonts w:cs="Arial"/>
          <w:b/>
        </w:rPr>
        <w:t xml:space="preserve">The Department of </w:t>
      </w:r>
      <w:r w:rsidR="000C0401" w:rsidRPr="00145E4A">
        <w:rPr>
          <w:rFonts w:cs="Arial"/>
          <w:b/>
        </w:rPr>
        <w:t>the</w:t>
      </w:r>
      <w:r w:rsidRPr="00145E4A">
        <w:rPr>
          <w:rFonts w:cs="Arial"/>
          <w:b/>
        </w:rPr>
        <w:t xml:space="preserve"> Environment</w:t>
      </w:r>
      <w:r w:rsidR="000C0401" w:rsidRPr="00145E4A">
        <w:rPr>
          <w:rFonts w:cs="Arial"/>
          <w:b/>
        </w:rPr>
        <w:t>’s</w:t>
      </w:r>
      <w:r w:rsidRPr="00145E4A">
        <w:rPr>
          <w:rFonts w:cs="Arial"/>
          <w:b/>
        </w:rPr>
        <w:t xml:space="preserve"> final</w:t>
      </w:r>
      <w:r w:rsidR="00A423F3" w:rsidRPr="00145E4A">
        <w:rPr>
          <w:rFonts w:cs="Arial"/>
          <w:b/>
        </w:rPr>
        <w:t xml:space="preserve"> </w:t>
      </w:r>
      <w:r w:rsidRPr="00145E4A">
        <w:rPr>
          <w:rFonts w:cs="Arial"/>
          <w:b/>
        </w:rPr>
        <w:t>recommendatio</w:t>
      </w:r>
      <w:r w:rsidR="0032618A" w:rsidRPr="00145E4A">
        <w:rPr>
          <w:rFonts w:cs="Arial"/>
          <w:b/>
        </w:rPr>
        <w:t>n</w:t>
      </w:r>
      <w:r w:rsidR="000C0401" w:rsidRPr="00145E4A">
        <w:rPr>
          <w:rFonts w:cs="Arial"/>
          <w:b/>
        </w:rPr>
        <w:t>s</w:t>
      </w:r>
      <w:r w:rsidRPr="00145E4A">
        <w:rPr>
          <w:rFonts w:cs="Arial"/>
          <w:b/>
        </w:rPr>
        <w:t xml:space="preserve"> to </w:t>
      </w:r>
      <w:r w:rsidR="00614847" w:rsidRPr="00145E4A">
        <w:rPr>
          <w:rFonts w:cs="Arial"/>
          <w:b/>
        </w:rPr>
        <w:t xml:space="preserve">the </w:t>
      </w:r>
      <w:r w:rsidR="004E5C0D" w:rsidRPr="00145E4A">
        <w:rPr>
          <w:rFonts w:cs="Arial"/>
          <w:b/>
        </w:rPr>
        <w:t xml:space="preserve">Australian Fisheries Management Authority </w:t>
      </w:r>
      <w:r w:rsidRPr="00145E4A">
        <w:rPr>
          <w:rFonts w:cs="Arial"/>
          <w:b/>
        </w:rPr>
        <w:t xml:space="preserve">for the </w:t>
      </w:r>
      <w:r w:rsidR="004E5C0D" w:rsidRPr="00145E4A">
        <w:rPr>
          <w:rFonts w:cs="Arial"/>
          <w:b/>
        </w:rPr>
        <w:t>Western </w:t>
      </w:r>
      <w:r w:rsidR="00D318B5" w:rsidRPr="00145E4A">
        <w:rPr>
          <w:rFonts w:cs="Arial"/>
          <w:b/>
        </w:rPr>
        <w:t xml:space="preserve">Tuna and Billfish </w:t>
      </w:r>
      <w:r w:rsidR="002A7A5C" w:rsidRPr="00145E4A">
        <w:rPr>
          <w:rFonts w:cs="Arial"/>
          <w:b/>
        </w:rPr>
        <w:t>Fishery</w:t>
      </w:r>
      <w:r w:rsidRPr="00145E4A">
        <w:rPr>
          <w:rFonts w:cs="Arial"/>
          <w:webHidden/>
        </w:rPr>
        <w:tab/>
      </w:r>
      <w:r w:rsidR="00FB34FE">
        <w:rPr>
          <w:rFonts w:cs="Arial"/>
          <w:b/>
          <w:webHidden/>
        </w:rPr>
        <w:fldChar w:fldCharType="begin"/>
      </w:r>
      <w:r w:rsidR="00145E4A">
        <w:rPr>
          <w:rFonts w:cs="Arial"/>
          <w:b/>
          <w:webHidden/>
        </w:rPr>
        <w:instrText xml:space="preserve"> PAGEREF  Final_recs \h </w:instrText>
      </w:r>
      <w:r w:rsidR="00FB34FE">
        <w:rPr>
          <w:rFonts w:cs="Arial"/>
          <w:b/>
          <w:webHidden/>
        </w:rPr>
      </w:r>
      <w:r w:rsidR="00FB34FE">
        <w:rPr>
          <w:rFonts w:cs="Arial"/>
          <w:b/>
          <w:webHidden/>
        </w:rPr>
        <w:fldChar w:fldCharType="separate"/>
      </w:r>
      <w:r w:rsidR="00BC2686">
        <w:rPr>
          <w:rFonts w:cs="Arial"/>
          <w:b/>
          <w:noProof/>
          <w:webHidden/>
        </w:rPr>
        <w:t>31</w:t>
      </w:r>
      <w:r w:rsidR="00FB34FE">
        <w:rPr>
          <w:rFonts w:cs="Arial"/>
          <w:b/>
          <w:webHidden/>
        </w:rPr>
        <w:fldChar w:fldCharType="end"/>
      </w:r>
    </w:p>
    <w:p w:rsidR="00B01D39" w:rsidRPr="00EC24A5" w:rsidRDefault="00B01D39" w:rsidP="00287F28">
      <w:pPr>
        <w:tabs>
          <w:tab w:val="right" w:leader="dot" w:pos="8302"/>
        </w:tabs>
        <w:ind w:left="1166" w:right="792"/>
        <w:rPr>
          <w:rFonts w:cs="Arial"/>
        </w:rPr>
      </w:pPr>
      <w:r w:rsidRPr="00145E4A">
        <w:rPr>
          <w:rFonts w:cs="Arial"/>
        </w:rPr>
        <w:t xml:space="preserve">This section contains the </w:t>
      </w:r>
      <w:r w:rsidR="000C0401" w:rsidRPr="00145E4A">
        <w:rPr>
          <w:rFonts w:cs="Arial"/>
        </w:rPr>
        <w:t>Department</w:t>
      </w:r>
      <w:r w:rsidRPr="00145E4A">
        <w:rPr>
          <w:rFonts w:cs="Arial"/>
        </w:rPr>
        <w:t>’s assessment of the fishery’s</w:t>
      </w:r>
      <w:r w:rsidRPr="00145E4A">
        <w:rPr>
          <w:rFonts w:cs="Arial"/>
          <w:b/>
        </w:rPr>
        <w:t xml:space="preserve"> </w:t>
      </w:r>
      <w:r w:rsidRPr="00145E4A">
        <w:rPr>
          <w:rFonts w:cs="Arial"/>
        </w:rPr>
        <w:t>performance against the Australian </w:t>
      </w:r>
      <w:r w:rsidR="00F33231" w:rsidRPr="00145E4A">
        <w:rPr>
          <w:rFonts w:cs="Arial"/>
        </w:rPr>
        <w:t xml:space="preserve">Government’s </w:t>
      </w:r>
      <w:r w:rsidRPr="00145E4A">
        <w:rPr>
          <w:rFonts w:cs="Arial"/>
          <w:i/>
        </w:rPr>
        <w:t>Guidelines for the Ecologically Sustainable Management of Fisheries – 2</w:t>
      </w:r>
      <w:r w:rsidRPr="00145E4A">
        <w:rPr>
          <w:rFonts w:cs="Arial"/>
          <w:i/>
          <w:vertAlign w:val="superscript"/>
        </w:rPr>
        <w:t xml:space="preserve">nd </w:t>
      </w:r>
      <w:r w:rsidR="00F33231" w:rsidRPr="00145E4A">
        <w:rPr>
          <w:rFonts w:cs="Arial"/>
          <w:i/>
        </w:rPr>
        <w:t>Edition</w:t>
      </w:r>
      <w:r w:rsidRPr="00145E4A">
        <w:rPr>
          <w:rFonts w:cs="Arial"/>
        </w:rPr>
        <w:t xml:space="preserve"> and outlines the reasons the </w:t>
      </w:r>
      <w:r w:rsidR="000C0401" w:rsidRPr="00145E4A">
        <w:rPr>
          <w:rFonts w:cs="Arial"/>
        </w:rPr>
        <w:t>Department</w:t>
      </w:r>
      <w:r w:rsidRPr="00145E4A">
        <w:rPr>
          <w:rFonts w:cs="Arial"/>
        </w:rPr>
        <w:t xml:space="preserve"> recommends </w:t>
      </w:r>
      <w:r w:rsidR="00655F78" w:rsidRPr="00145E4A">
        <w:rPr>
          <w:rFonts w:cs="Arial"/>
        </w:rPr>
        <w:t xml:space="preserve">that </w:t>
      </w:r>
      <w:r w:rsidR="004E5C0D" w:rsidRPr="00145E4A">
        <w:rPr>
          <w:rFonts w:cs="Arial"/>
        </w:rPr>
        <w:t xml:space="preserve">product from </w:t>
      </w:r>
      <w:r w:rsidR="00655F78" w:rsidRPr="00145E4A">
        <w:rPr>
          <w:rFonts w:cs="Arial"/>
        </w:rPr>
        <w:t xml:space="preserve">the fishery be </w:t>
      </w:r>
      <w:r w:rsidR="004E5C0D" w:rsidRPr="00145E4A">
        <w:rPr>
          <w:rFonts w:cs="Arial"/>
        </w:rPr>
        <w:t>included in the list of exempt native specimens</w:t>
      </w:r>
      <w:r w:rsidRPr="00145E4A">
        <w:rPr>
          <w:rFonts w:cs="Arial"/>
        </w:rPr>
        <w:t>.</w:t>
      </w:r>
    </w:p>
    <w:p w:rsidR="00B01D39" w:rsidRPr="00EC24A5" w:rsidRDefault="00B01D39" w:rsidP="00287F28">
      <w:pPr>
        <w:tabs>
          <w:tab w:val="right" w:leader="dot" w:pos="8302"/>
        </w:tabs>
        <w:ind w:left="1166" w:right="792" w:hanging="1166"/>
        <w:rPr>
          <w:rFonts w:cs="Arial"/>
          <w:b/>
        </w:rPr>
      </w:pPr>
      <w:r w:rsidRPr="00EC24A5">
        <w:rPr>
          <w:rFonts w:cs="Arial"/>
          <w:b/>
        </w:rPr>
        <w:t>Table 4:</w:t>
      </w:r>
      <w:r w:rsidRPr="00EC24A5">
        <w:rPr>
          <w:rFonts w:cs="Arial"/>
          <w:b/>
        </w:rPr>
        <w:tab/>
      </w:r>
      <w:r w:rsidR="00D318B5">
        <w:rPr>
          <w:rFonts w:cs="Arial"/>
          <w:b/>
        </w:rPr>
        <w:t xml:space="preserve">Western Tuna and Billfish </w:t>
      </w:r>
      <w:r w:rsidR="002A7A5C" w:rsidRPr="00EC24A5">
        <w:rPr>
          <w:rFonts w:cs="Arial"/>
          <w:b/>
        </w:rPr>
        <w:t>Fishery</w:t>
      </w:r>
      <w:r w:rsidR="00F21EBD" w:rsidRPr="00EC24A5">
        <w:rPr>
          <w:rFonts w:cs="Arial"/>
          <w:b/>
        </w:rPr>
        <w:t xml:space="preserve"> </w:t>
      </w:r>
      <w:r w:rsidRPr="00EC24A5">
        <w:rPr>
          <w:rFonts w:cs="Arial"/>
          <w:b/>
        </w:rPr>
        <w:t xml:space="preserve">Assessment – Summary of Issues and Recommendations, </w:t>
      </w:r>
      <w:r w:rsidR="004E5C0D">
        <w:rPr>
          <w:rFonts w:cs="Arial"/>
          <w:b/>
        </w:rPr>
        <w:t>Novem</w:t>
      </w:r>
      <w:r w:rsidR="00D318B5">
        <w:rPr>
          <w:rFonts w:cs="Arial"/>
          <w:b/>
        </w:rPr>
        <w:t>ber</w:t>
      </w:r>
      <w:r w:rsidR="007A4027" w:rsidRPr="00F10D0E">
        <w:rPr>
          <w:rFonts w:cs="Arial"/>
          <w:b/>
        </w:rPr>
        <w:t> </w:t>
      </w:r>
      <w:r w:rsidR="00E51EFF" w:rsidRPr="00F10D0E">
        <w:rPr>
          <w:rFonts w:cs="Arial"/>
          <w:b/>
        </w:rPr>
        <w:t>201</w:t>
      </w:r>
      <w:r w:rsidR="007A6D47" w:rsidRPr="00F10D0E">
        <w:rPr>
          <w:rFonts w:cs="Arial"/>
          <w:b/>
        </w:rPr>
        <w:t>4</w:t>
      </w:r>
      <w:r w:rsidRPr="00EC24A5">
        <w:rPr>
          <w:rFonts w:cs="Arial"/>
          <w:webHidden/>
        </w:rPr>
        <w:tab/>
      </w:r>
      <w:r w:rsidR="00FB34FE" w:rsidRPr="00EC24A5">
        <w:rPr>
          <w:rFonts w:cs="Arial"/>
          <w:b/>
          <w:webHidden/>
        </w:rPr>
        <w:fldChar w:fldCharType="begin"/>
      </w:r>
      <w:r w:rsidRPr="00EC24A5">
        <w:rPr>
          <w:rFonts w:cs="Arial"/>
          <w:b/>
          <w:webHidden/>
        </w:rPr>
        <w:instrText xml:space="preserve"> PAGEREF </w:instrText>
      </w:r>
      <w:r w:rsidRPr="00EC24A5">
        <w:rPr>
          <w:rFonts w:cs="Arial"/>
          <w:b/>
        </w:rPr>
        <w:instrText>_Toc316301052</w:instrText>
      </w:r>
      <w:r w:rsidRPr="00EC24A5">
        <w:rPr>
          <w:rFonts w:cs="Arial"/>
          <w:b/>
          <w:webHidden/>
        </w:rPr>
        <w:instrText xml:space="preserve"> \h </w:instrText>
      </w:r>
      <w:r w:rsidR="00FB34FE" w:rsidRPr="00EC24A5">
        <w:rPr>
          <w:rFonts w:cs="Arial"/>
          <w:b/>
          <w:webHidden/>
        </w:rPr>
      </w:r>
      <w:r w:rsidR="00FB34FE" w:rsidRPr="00EC24A5">
        <w:rPr>
          <w:rFonts w:cs="Arial"/>
          <w:b/>
          <w:webHidden/>
        </w:rPr>
        <w:fldChar w:fldCharType="separate"/>
      </w:r>
      <w:r w:rsidR="00BC2686">
        <w:rPr>
          <w:rFonts w:cs="Arial"/>
          <w:b/>
          <w:noProof/>
          <w:webHidden/>
        </w:rPr>
        <w:t>33</w:t>
      </w:r>
      <w:r w:rsidR="00FB34FE" w:rsidRPr="00EC24A5">
        <w:rPr>
          <w:rFonts w:cs="Arial"/>
          <w:b/>
          <w:webHidden/>
        </w:rPr>
        <w:fldChar w:fldCharType="end"/>
      </w:r>
    </w:p>
    <w:p w:rsidR="00B01D39" w:rsidRPr="00EC24A5" w:rsidRDefault="00B01D39" w:rsidP="002C1837">
      <w:pPr>
        <w:tabs>
          <w:tab w:val="right" w:leader="dot" w:pos="8302"/>
        </w:tabs>
        <w:ind w:left="1166" w:right="792"/>
        <w:rPr>
          <w:rFonts w:cs="Arial"/>
        </w:rPr>
      </w:pPr>
      <w:r w:rsidRPr="00EC24A5">
        <w:rPr>
          <w:rFonts w:cs="Arial"/>
        </w:rPr>
        <w:t xml:space="preserve">Table 4 contains a description of the issues identified by the </w:t>
      </w:r>
      <w:r w:rsidR="000C0401" w:rsidRPr="00EC24A5">
        <w:rPr>
          <w:rFonts w:cs="Arial"/>
        </w:rPr>
        <w:t>Department</w:t>
      </w:r>
      <w:r w:rsidRPr="00EC24A5">
        <w:rPr>
          <w:rFonts w:cs="Arial"/>
        </w:rPr>
        <w:t xml:space="preserve"> with the current management regime for the fishery and outlines the proposed </w:t>
      </w:r>
      <w:r w:rsidR="00287F28" w:rsidRPr="002C1837">
        <w:rPr>
          <w:rFonts w:cs="Arial"/>
        </w:rPr>
        <w:t>recommendations</w:t>
      </w:r>
      <w:r w:rsidRPr="002C1837">
        <w:rPr>
          <w:rFonts w:cs="Arial"/>
        </w:rPr>
        <w:t xml:space="preserve"> that would</w:t>
      </w:r>
      <w:r w:rsidR="002C1837" w:rsidRPr="002C1837">
        <w:rPr>
          <w:rFonts w:cs="Arial"/>
        </w:rPr>
        <w:t xml:space="preserve"> accompany </w:t>
      </w:r>
      <w:r w:rsidR="002C1837">
        <w:rPr>
          <w:rFonts w:cs="Arial"/>
        </w:rPr>
        <w:t xml:space="preserve">the </w:t>
      </w:r>
      <w:r w:rsidR="002C1837" w:rsidRPr="002C1837">
        <w:rPr>
          <w:rFonts w:cs="Arial"/>
        </w:rPr>
        <w:t xml:space="preserve">Delegate of the Minister for the Environment’s </w:t>
      </w:r>
      <w:r w:rsidRPr="002C1837">
        <w:rPr>
          <w:rFonts w:cs="Arial"/>
        </w:rPr>
        <w:t xml:space="preserve">decision to </w:t>
      </w:r>
      <w:r w:rsidR="00287F28" w:rsidRPr="002C1837">
        <w:rPr>
          <w:rFonts w:cs="Arial"/>
        </w:rPr>
        <w:t>include product from</w:t>
      </w:r>
      <w:r w:rsidR="004E0BCA" w:rsidRPr="002C1837">
        <w:rPr>
          <w:rFonts w:cs="Arial"/>
        </w:rPr>
        <w:t xml:space="preserve"> the fishery </w:t>
      </w:r>
      <w:r w:rsidR="00287F28" w:rsidRPr="002C1837">
        <w:rPr>
          <w:rFonts w:cs="Arial"/>
        </w:rPr>
        <w:t>in the list of exempt native specimens</w:t>
      </w:r>
      <w:r w:rsidR="004E0BCA" w:rsidRPr="002C1837">
        <w:rPr>
          <w:rFonts w:cs="Arial"/>
        </w:rPr>
        <w:t>.</w:t>
      </w:r>
    </w:p>
    <w:p w:rsidR="00B01D39" w:rsidRPr="00EC24A5" w:rsidRDefault="00B01D39" w:rsidP="007A4027">
      <w:pPr>
        <w:tabs>
          <w:tab w:val="right" w:leader="dot" w:pos="8302"/>
        </w:tabs>
        <w:ind w:left="1166" w:right="792" w:hanging="1166"/>
        <w:rPr>
          <w:rFonts w:cs="Arial"/>
          <w:b/>
        </w:rPr>
      </w:pPr>
      <w:r w:rsidRPr="00EC24A5">
        <w:rPr>
          <w:rFonts w:cs="Arial"/>
          <w:b/>
        </w:rPr>
        <w:t>References</w:t>
      </w:r>
      <w:r w:rsidRPr="00EC24A5">
        <w:rPr>
          <w:rFonts w:cs="Arial"/>
          <w:webHidden/>
        </w:rPr>
        <w:tab/>
      </w:r>
      <w:r w:rsidR="00FB34FE" w:rsidRPr="00EC24A5">
        <w:rPr>
          <w:rFonts w:cs="Arial"/>
          <w:b/>
          <w:webHidden/>
        </w:rPr>
        <w:fldChar w:fldCharType="begin"/>
      </w:r>
      <w:r w:rsidRPr="00EC24A5">
        <w:rPr>
          <w:rFonts w:cs="Arial"/>
          <w:b/>
          <w:webHidden/>
        </w:rPr>
        <w:instrText xml:space="preserve"> PAGEREF </w:instrText>
      </w:r>
      <w:r w:rsidRPr="00EC24A5">
        <w:rPr>
          <w:rFonts w:cs="Arial"/>
          <w:b/>
        </w:rPr>
        <w:instrText>_Toc316301053</w:instrText>
      </w:r>
      <w:r w:rsidRPr="00EC24A5">
        <w:rPr>
          <w:rFonts w:cs="Arial"/>
          <w:b/>
          <w:webHidden/>
        </w:rPr>
        <w:instrText xml:space="preserve"> \h </w:instrText>
      </w:r>
      <w:r w:rsidR="00FB34FE" w:rsidRPr="00EC24A5">
        <w:rPr>
          <w:rFonts w:cs="Arial"/>
          <w:b/>
          <w:webHidden/>
        </w:rPr>
      </w:r>
      <w:r w:rsidR="00FB34FE" w:rsidRPr="00EC24A5">
        <w:rPr>
          <w:rFonts w:cs="Arial"/>
          <w:b/>
          <w:webHidden/>
        </w:rPr>
        <w:fldChar w:fldCharType="separate"/>
      </w:r>
      <w:r w:rsidR="00BC2686">
        <w:rPr>
          <w:rFonts w:cs="Arial"/>
          <w:b/>
          <w:noProof/>
          <w:webHidden/>
        </w:rPr>
        <w:t>38</w:t>
      </w:r>
      <w:r w:rsidR="00FB34FE" w:rsidRPr="00EC24A5">
        <w:rPr>
          <w:rFonts w:cs="Arial"/>
          <w:b/>
          <w:webHidden/>
        </w:rPr>
        <w:fldChar w:fldCharType="end"/>
      </w:r>
    </w:p>
    <w:p w:rsidR="00BF0F8A" w:rsidRPr="00EC24A5" w:rsidRDefault="00B01D39" w:rsidP="007A4027">
      <w:pPr>
        <w:tabs>
          <w:tab w:val="right" w:leader="dot" w:pos="8302"/>
        </w:tabs>
        <w:ind w:left="1166" w:right="792" w:hanging="1166"/>
        <w:rPr>
          <w:rFonts w:cs="Arial"/>
          <w:b/>
          <w:webHidden/>
        </w:rPr>
      </w:pPr>
      <w:r w:rsidRPr="00EC24A5">
        <w:rPr>
          <w:rFonts w:cs="Arial"/>
          <w:b/>
        </w:rPr>
        <w:t>Acronyms</w:t>
      </w:r>
      <w:r w:rsidRPr="00EC24A5">
        <w:rPr>
          <w:rFonts w:cs="Arial"/>
          <w:b/>
        </w:rPr>
        <w:tab/>
      </w:r>
      <w:r w:rsidRPr="00EC24A5">
        <w:rPr>
          <w:rFonts w:cs="Arial"/>
          <w:webHidden/>
        </w:rPr>
        <w:tab/>
      </w:r>
      <w:r w:rsidR="00FB34FE" w:rsidRPr="00EC24A5">
        <w:rPr>
          <w:rFonts w:cs="Arial"/>
          <w:b/>
          <w:webHidden/>
        </w:rPr>
        <w:fldChar w:fldCharType="begin"/>
      </w:r>
      <w:r w:rsidRPr="00EC24A5">
        <w:rPr>
          <w:rFonts w:cs="Arial"/>
          <w:b/>
          <w:webHidden/>
        </w:rPr>
        <w:instrText xml:space="preserve"> PAGEREF </w:instrText>
      </w:r>
      <w:r w:rsidRPr="00EC24A5">
        <w:rPr>
          <w:rFonts w:cs="Arial"/>
          <w:b/>
        </w:rPr>
        <w:instrText>_Toc316301054</w:instrText>
      </w:r>
      <w:r w:rsidRPr="00EC24A5">
        <w:rPr>
          <w:rFonts w:cs="Arial"/>
          <w:b/>
          <w:webHidden/>
        </w:rPr>
        <w:instrText xml:space="preserve"> \h </w:instrText>
      </w:r>
      <w:r w:rsidR="00FB34FE" w:rsidRPr="00EC24A5">
        <w:rPr>
          <w:rFonts w:cs="Arial"/>
          <w:b/>
          <w:webHidden/>
        </w:rPr>
      </w:r>
      <w:r w:rsidR="00FB34FE" w:rsidRPr="00EC24A5">
        <w:rPr>
          <w:rFonts w:cs="Arial"/>
          <w:b/>
          <w:webHidden/>
        </w:rPr>
        <w:fldChar w:fldCharType="separate"/>
      </w:r>
      <w:r w:rsidR="00BC2686">
        <w:rPr>
          <w:rFonts w:cs="Arial"/>
          <w:b/>
          <w:noProof/>
          <w:webHidden/>
        </w:rPr>
        <w:t>38</w:t>
      </w:r>
      <w:r w:rsidR="00FB34FE" w:rsidRPr="00EC24A5">
        <w:rPr>
          <w:rFonts w:cs="Arial"/>
          <w:b/>
          <w:webHidden/>
        </w:rPr>
        <w:fldChar w:fldCharType="end"/>
      </w:r>
    </w:p>
    <w:p w:rsidR="007A4027" w:rsidRPr="00EC24A5" w:rsidRDefault="007A4027">
      <w:pPr>
        <w:spacing w:after="0" w:line="240" w:lineRule="auto"/>
        <w:rPr>
          <w:rFonts w:cs="Arial"/>
          <w:b/>
        </w:rPr>
      </w:pPr>
      <w:r w:rsidRPr="00EC24A5">
        <w:rPr>
          <w:rFonts w:cs="Arial"/>
          <w:b/>
        </w:rPr>
        <w:br w:type="page"/>
      </w:r>
    </w:p>
    <w:p w:rsidR="007A4027" w:rsidRPr="00EC24A5" w:rsidRDefault="007A4027" w:rsidP="007A4027">
      <w:pPr>
        <w:tabs>
          <w:tab w:val="right" w:leader="dot" w:pos="8302"/>
        </w:tabs>
        <w:ind w:left="1166" w:right="792" w:hanging="1166"/>
        <w:rPr>
          <w:rFonts w:cs="Arial"/>
          <w:b/>
        </w:rPr>
      </w:pPr>
    </w:p>
    <w:p w:rsidR="00511C76" w:rsidRPr="00EC24A5" w:rsidRDefault="00511C76" w:rsidP="007A4027">
      <w:pPr>
        <w:pStyle w:val="Tabletext"/>
        <w:rPr>
          <w:rFonts w:cs="Arial"/>
        </w:rPr>
        <w:sectPr w:rsidR="00511C76" w:rsidRPr="00EC24A5" w:rsidSect="007A4027">
          <w:headerReference w:type="even" r:id="rId10"/>
          <w:headerReference w:type="default" r:id="rId11"/>
          <w:footerReference w:type="even" r:id="rId12"/>
          <w:footerReference w:type="default" r:id="rId13"/>
          <w:headerReference w:type="first" r:id="rId14"/>
          <w:footerReference w:type="first" r:id="rId15"/>
          <w:pgSz w:w="11906" w:h="16838" w:code="9"/>
          <w:pgMar w:top="864" w:right="1558" w:bottom="864" w:left="1800" w:header="706" w:footer="706" w:gutter="0"/>
          <w:cols w:space="708"/>
          <w:titlePg/>
          <w:docGrid w:linePitch="360"/>
        </w:sectPr>
      </w:pPr>
    </w:p>
    <w:p w:rsidR="00DA6A89" w:rsidRPr="00EC24A5" w:rsidRDefault="00DA6A89" w:rsidP="00104401">
      <w:pPr>
        <w:pStyle w:val="Heading1"/>
        <w:spacing w:after="120"/>
        <w:ind w:left="-567"/>
        <w:rPr>
          <w:szCs w:val="24"/>
        </w:rPr>
      </w:pPr>
      <w:bookmarkStart w:id="0" w:name="_Toc316301048"/>
      <w:r w:rsidRPr="00EC24A5">
        <w:rPr>
          <w:szCs w:val="24"/>
        </w:rPr>
        <w:lastRenderedPageBreak/>
        <w:t xml:space="preserve">Table 1: Summary of the </w:t>
      </w:r>
      <w:bookmarkEnd w:id="0"/>
      <w:r w:rsidR="005333AD" w:rsidRPr="003A4302">
        <w:t>Western Tuna and Billfish</w:t>
      </w:r>
      <w:r w:rsidR="006054DB" w:rsidRPr="003A4302">
        <w:t xml:space="preserve"> </w:t>
      </w:r>
      <w:r w:rsidR="002A7A5C" w:rsidRPr="003A4302">
        <w:t>Fishery</w:t>
      </w:r>
    </w:p>
    <w:tbl>
      <w:tblPr>
        <w:tblW w:w="1033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168"/>
        <w:gridCol w:w="8163"/>
      </w:tblGrid>
      <w:tr w:rsidR="002700B3" w:rsidRPr="00EC24A5"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2700B3" w:rsidRPr="00EC24A5" w:rsidRDefault="002700B3" w:rsidP="00C8370D">
            <w:pPr>
              <w:pStyle w:val="Heading2"/>
              <w:keepNext w:val="0"/>
              <w:rPr>
                <w:snapToGrid w:val="0"/>
              </w:rPr>
            </w:pPr>
            <w:r w:rsidRPr="00EC24A5">
              <w:rPr>
                <w:snapToGrid w:val="0"/>
              </w:rPr>
              <w:t xml:space="preserve">Description of the </w:t>
            </w:r>
            <w:r w:rsidR="005333AD">
              <w:t xml:space="preserve">Western Tuna and </w:t>
            </w:r>
            <w:r w:rsidR="006054DB">
              <w:t>Billfish</w:t>
            </w:r>
            <w:r w:rsidR="006054DB" w:rsidRPr="00EC24A5">
              <w:t xml:space="preserve"> Fishery</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0D71AF" w:rsidRDefault="003A70CA" w:rsidP="000D71AF">
            <w:pPr>
              <w:rPr>
                <w:iCs/>
              </w:rPr>
            </w:pPr>
            <w:r>
              <w:rPr>
                <w:iCs/>
              </w:rPr>
              <w:t xml:space="preserve">The Western </w:t>
            </w:r>
            <w:r>
              <w:t>Tuna and Billfish</w:t>
            </w:r>
            <w:r w:rsidRPr="00EC24A5">
              <w:t xml:space="preserve"> </w:t>
            </w:r>
            <w:r>
              <w:rPr>
                <w:iCs/>
              </w:rPr>
              <w:t xml:space="preserve">Fishery is primarily a </w:t>
            </w:r>
            <w:proofErr w:type="spellStart"/>
            <w:r>
              <w:rPr>
                <w:iCs/>
              </w:rPr>
              <w:t>longline</w:t>
            </w:r>
            <w:proofErr w:type="spellEnd"/>
            <w:r>
              <w:rPr>
                <w:iCs/>
              </w:rPr>
              <w:t xml:space="preserve"> fishery targeting highly migratory tuna and billfish fisheries o</w:t>
            </w:r>
            <w:r w:rsidR="001B6950">
              <w:rPr>
                <w:iCs/>
              </w:rPr>
              <w:t>f</w:t>
            </w:r>
            <w:r>
              <w:rPr>
                <w:iCs/>
              </w:rPr>
              <w:t xml:space="preserve">f Australia’s west coast. </w:t>
            </w:r>
            <w:r w:rsidR="006239E2">
              <w:rPr>
                <w:iCs/>
              </w:rPr>
              <w:t>Since 2004</w:t>
            </w:r>
            <w:r w:rsidR="006239E2">
              <w:rPr>
                <w:iCs/>
              </w:rPr>
              <w:noBreakHyphen/>
            </w:r>
            <w:r w:rsidR="008952CC">
              <w:rPr>
                <w:iCs/>
              </w:rPr>
              <w:t>05, o</w:t>
            </w:r>
            <w:r w:rsidR="000D71AF" w:rsidRPr="002F353D">
              <w:rPr>
                <w:iCs/>
              </w:rPr>
              <w:t>n average three vessels</w:t>
            </w:r>
            <w:r w:rsidR="000D71AF">
              <w:rPr>
                <w:iCs/>
              </w:rPr>
              <w:t xml:space="preserve"> </w:t>
            </w:r>
            <w:r w:rsidR="000D71AF" w:rsidRPr="002F353D">
              <w:rPr>
                <w:iCs/>
              </w:rPr>
              <w:t>ha</w:t>
            </w:r>
            <w:r w:rsidR="008952CC">
              <w:rPr>
                <w:iCs/>
              </w:rPr>
              <w:t>ve</w:t>
            </w:r>
            <w:r w:rsidR="000D71AF" w:rsidRPr="002F353D">
              <w:rPr>
                <w:iCs/>
              </w:rPr>
              <w:t xml:space="preserve"> operated </w:t>
            </w:r>
            <w:r w:rsidR="000D71AF">
              <w:rPr>
                <w:iCs/>
              </w:rPr>
              <w:t xml:space="preserve">in the fishery </w:t>
            </w:r>
            <w:r w:rsidR="000D71AF" w:rsidRPr="002F353D">
              <w:rPr>
                <w:iCs/>
              </w:rPr>
              <w:t>annually</w:t>
            </w:r>
            <w:r w:rsidR="000D71AF">
              <w:rPr>
                <w:iCs/>
              </w:rPr>
              <w:t xml:space="preserve">, with the low participation attributed </w:t>
            </w:r>
            <w:r w:rsidR="000D71AF">
              <w:t>to economic factors.</w:t>
            </w:r>
          </w:p>
          <w:p w:rsidR="00A42074" w:rsidRDefault="003A70CA" w:rsidP="001B6950">
            <w:r w:rsidRPr="003A70CA">
              <w:t xml:space="preserve">The </w:t>
            </w:r>
            <w:r>
              <w:t>Indian Ocean Tuna</w:t>
            </w:r>
            <w:r w:rsidRPr="003A70CA">
              <w:t xml:space="preserve"> Commission</w:t>
            </w:r>
            <w:r>
              <w:rPr>
                <w:rStyle w:val="FootnoteReference"/>
                <w:iCs/>
              </w:rPr>
              <w:footnoteReference w:id="1"/>
            </w:r>
            <w:r w:rsidRPr="003A70CA">
              <w:t xml:space="preserve"> is responsible for the management of tuna and </w:t>
            </w:r>
            <w:r>
              <w:t xml:space="preserve">tuna-like species </w:t>
            </w:r>
            <w:r w:rsidRPr="003A70CA">
              <w:t xml:space="preserve">in the </w:t>
            </w:r>
            <w:r>
              <w:t>Indian</w:t>
            </w:r>
            <w:r w:rsidRPr="003A70CA">
              <w:t xml:space="preserve"> Ocean</w:t>
            </w:r>
            <w:r>
              <w:t xml:space="preserve"> and adjacent </w:t>
            </w:r>
            <w:r w:rsidRPr="001B6950">
              <w:t>seas.</w:t>
            </w:r>
            <w:r w:rsidRPr="003A70CA">
              <w:t xml:space="preserve"> The Australian component of the fishery, the </w:t>
            </w:r>
            <w:r>
              <w:t>We</w:t>
            </w:r>
            <w:r w:rsidRPr="003A70CA">
              <w:t>stern Tuna and Billfish Fishery, is managed by the Australian Fisheries Management Authority</w:t>
            </w:r>
            <w:r w:rsidR="009F5D44">
              <w:t xml:space="preserve"> (AFMA)</w:t>
            </w:r>
            <w:r w:rsidRPr="003A70CA">
              <w:t xml:space="preserve"> </w:t>
            </w:r>
            <w:r w:rsidR="00A42074">
              <w:t>(</w:t>
            </w:r>
            <w:r w:rsidR="005414E8">
              <w:t>u</w:t>
            </w:r>
            <w:r w:rsidR="00A42074" w:rsidRPr="007F7BCA">
              <w:t>nder an Offshore Constitutional Settlement fis</w:t>
            </w:r>
            <w:r w:rsidR="00A42074">
              <w:t>heries agreement, tuna and tuna-</w:t>
            </w:r>
            <w:r w:rsidR="00A42074" w:rsidRPr="007F7BCA">
              <w:t xml:space="preserve">like species </w:t>
            </w:r>
            <w:r w:rsidR="00A42074">
              <w:t xml:space="preserve">in both state and Commonwealth waters </w:t>
            </w:r>
            <w:r w:rsidR="00A42074" w:rsidRPr="007F7BCA">
              <w:t>are managed</w:t>
            </w:r>
            <w:r w:rsidR="00A42074">
              <w:t xml:space="preserve"> </w:t>
            </w:r>
            <w:r w:rsidR="005414E8">
              <w:t>by the Australian Government</w:t>
            </w:r>
            <w:r w:rsidR="00A42074">
              <w:t>)</w:t>
            </w:r>
            <w:r w:rsidR="005414E8">
              <w:t>.</w:t>
            </w:r>
          </w:p>
          <w:p w:rsidR="003A70CA" w:rsidRPr="008B1277" w:rsidRDefault="003A70CA" w:rsidP="001B6950">
            <w:r w:rsidRPr="003A70CA">
              <w:t xml:space="preserve">As a member of the commission, Australia is required to implement </w:t>
            </w:r>
            <w:r w:rsidR="00A42074" w:rsidRPr="003A70CA">
              <w:t xml:space="preserve">agreed </w:t>
            </w:r>
            <w:r w:rsidRPr="003A70CA">
              <w:t xml:space="preserve">management measures. These measures are given effect through Commonwealth fisheries management legislation, the </w:t>
            </w:r>
            <w:r>
              <w:t>We</w:t>
            </w:r>
            <w:r w:rsidRPr="003A70CA">
              <w:t>stern Tuna and Billfish Fishery Management Plan 20</w:t>
            </w:r>
            <w:r w:rsidR="0093631E">
              <w:t>0</w:t>
            </w:r>
            <w:r>
              <w:t xml:space="preserve">5 </w:t>
            </w:r>
            <w:r w:rsidRPr="003A70CA">
              <w:t>and conditions on statutory fishing rights.</w:t>
            </w:r>
            <w:r w:rsidR="008B1277">
              <w:t xml:space="preserve"> </w:t>
            </w:r>
          </w:p>
          <w:p w:rsidR="009B36CF" w:rsidRPr="00320DE5" w:rsidRDefault="003A70CA" w:rsidP="00044EAF">
            <w:pPr>
              <w:rPr>
                <w:iCs/>
              </w:rPr>
            </w:pPr>
            <w:r w:rsidRPr="003A70CA">
              <w:rPr>
                <w:iCs/>
              </w:rPr>
              <w:t xml:space="preserve">Since </w:t>
            </w:r>
            <w:r>
              <w:rPr>
                <w:iCs/>
              </w:rPr>
              <w:t>2010</w:t>
            </w:r>
            <w:r w:rsidRPr="003A70CA">
              <w:rPr>
                <w:iCs/>
              </w:rPr>
              <w:t xml:space="preserve">, the </w:t>
            </w:r>
            <w:r>
              <w:rPr>
                <w:iCs/>
              </w:rPr>
              <w:t>We</w:t>
            </w:r>
            <w:r w:rsidRPr="003A70CA">
              <w:rPr>
                <w:iCs/>
              </w:rPr>
              <w:t xml:space="preserve">stern Tuna and Billfish Fishery </w:t>
            </w:r>
            <w:proofErr w:type="gramStart"/>
            <w:r w:rsidRPr="003A70CA">
              <w:rPr>
                <w:iCs/>
              </w:rPr>
              <w:t>has</w:t>
            </w:r>
            <w:proofErr w:type="gramEnd"/>
            <w:r w:rsidRPr="003A70CA">
              <w:rPr>
                <w:iCs/>
              </w:rPr>
              <w:t xml:space="preserve"> been managed under output controls in the form of individual transferable quotas for the </w:t>
            </w:r>
            <w:r w:rsidR="00044EAF">
              <w:rPr>
                <w:iCs/>
              </w:rPr>
              <w:t>target</w:t>
            </w:r>
            <w:r w:rsidRPr="003A70CA">
              <w:rPr>
                <w:iCs/>
              </w:rPr>
              <w:t xml:space="preserve"> species.</w:t>
            </w:r>
          </w:p>
        </w:tc>
      </w:tr>
      <w:tr w:rsidR="00DA6A89" w:rsidRPr="00EC24A5"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3F56CC" w:rsidRPr="00EC24A5" w:rsidRDefault="007C2234" w:rsidP="00D318B5">
            <w:pPr>
              <w:pStyle w:val="Heading2"/>
              <w:keepNext w:val="0"/>
              <w:rPr>
                <w:snapToGrid w:val="0"/>
              </w:rPr>
            </w:pPr>
            <w:r w:rsidRPr="00EC24A5">
              <w:rPr>
                <w:snapToGrid w:val="0"/>
              </w:rPr>
              <w:t>Publicly available information</w:t>
            </w:r>
            <w:r w:rsidR="008F01E5" w:rsidRPr="00EC24A5">
              <w:t xml:space="preserve"> </w:t>
            </w:r>
            <w:r w:rsidR="00DA6A89" w:rsidRPr="00EC24A5">
              <w:t>relevant to the fisher</w:t>
            </w:r>
            <w:r w:rsidR="003F56CC" w:rsidRPr="00EC24A5">
              <w:t>y</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346B05" w:rsidRDefault="00346B05" w:rsidP="0093631E">
            <w:pPr>
              <w:pStyle w:val="ListBullet"/>
              <w:spacing w:after="100"/>
            </w:pPr>
            <w:r w:rsidRPr="00346B05">
              <w:rPr>
                <w:i/>
              </w:rPr>
              <w:t>Fisheries Management Act 1991</w:t>
            </w:r>
            <w:r w:rsidR="006054DB">
              <w:t xml:space="preserve"> </w:t>
            </w:r>
            <w:r>
              <w:t>(Commonwealth)</w:t>
            </w:r>
          </w:p>
          <w:p w:rsidR="00346B05" w:rsidRPr="007F7BCA" w:rsidRDefault="00346B05" w:rsidP="0093631E">
            <w:pPr>
              <w:pStyle w:val="ListBullet"/>
              <w:spacing w:after="100"/>
            </w:pPr>
            <w:r w:rsidRPr="007F7BCA">
              <w:t>Fisheries Management Regulations 1992</w:t>
            </w:r>
          </w:p>
          <w:p w:rsidR="00346B05" w:rsidRDefault="00346B05" w:rsidP="0093631E">
            <w:pPr>
              <w:pStyle w:val="ListBullet"/>
              <w:spacing w:after="100"/>
            </w:pPr>
            <w:r>
              <w:t>Western Tuna and Billfish Fishery Management Plan 2005</w:t>
            </w:r>
          </w:p>
          <w:p w:rsidR="00346B05" w:rsidRPr="00AF40C0" w:rsidRDefault="00AF40C0" w:rsidP="0093631E">
            <w:pPr>
              <w:pStyle w:val="ListBullet"/>
              <w:spacing w:after="100"/>
            </w:pPr>
            <w:r>
              <w:t>AFMA submission for Reassessment of the Western Tuna and Billfish Fishery 2014 (</w:t>
            </w:r>
            <w:r w:rsidR="00346B05">
              <w:t>Australian Fisher</w:t>
            </w:r>
            <w:r>
              <w:t>ies Management Authority)</w:t>
            </w:r>
          </w:p>
          <w:p w:rsidR="00346B05" w:rsidRPr="007F7BCA" w:rsidRDefault="00346B05" w:rsidP="0093631E">
            <w:pPr>
              <w:pStyle w:val="ListBullet"/>
              <w:spacing w:after="100"/>
              <w:rPr>
                <w:iCs/>
              </w:rPr>
            </w:pPr>
            <w:r>
              <w:rPr>
                <w:iCs/>
              </w:rPr>
              <w:t>We</w:t>
            </w:r>
            <w:r w:rsidRPr="007F7BCA">
              <w:rPr>
                <w:iCs/>
              </w:rPr>
              <w:t>stern Tuna and Billfish Fishery (</w:t>
            </w:r>
            <w:r>
              <w:rPr>
                <w:iCs/>
              </w:rPr>
              <w:t>W</w:t>
            </w:r>
            <w:r w:rsidRPr="007F7BCA">
              <w:rPr>
                <w:iCs/>
              </w:rPr>
              <w:t>TBF) - Management Arrangements Booklet - 2014 Fishing Season (Australian Fisheries Management Authority)</w:t>
            </w:r>
          </w:p>
          <w:p w:rsidR="00346B05" w:rsidRPr="007F7BCA" w:rsidRDefault="00346B05" w:rsidP="0093631E">
            <w:pPr>
              <w:pStyle w:val="ListBullet"/>
              <w:spacing w:after="100"/>
              <w:rPr>
                <w:iCs/>
              </w:rPr>
            </w:pPr>
            <w:r w:rsidRPr="007F7BCA">
              <w:rPr>
                <w:color w:val="000000"/>
              </w:rPr>
              <w:t xml:space="preserve">Australian Tuna and Billfish Fisheries </w:t>
            </w:r>
            <w:proofErr w:type="spellStart"/>
            <w:r w:rsidRPr="007F7BCA">
              <w:rPr>
                <w:color w:val="000000"/>
              </w:rPr>
              <w:t>Bycatch</w:t>
            </w:r>
            <w:proofErr w:type="spellEnd"/>
            <w:r w:rsidRPr="007F7BCA">
              <w:rPr>
                <w:color w:val="000000"/>
              </w:rPr>
              <w:t xml:space="preserve"> and Discarding </w:t>
            </w:r>
            <w:proofErr w:type="spellStart"/>
            <w:r w:rsidRPr="007F7BCA">
              <w:rPr>
                <w:color w:val="000000"/>
              </w:rPr>
              <w:t>Workplan</w:t>
            </w:r>
            <w:proofErr w:type="spellEnd"/>
            <w:r w:rsidRPr="007F7BCA">
              <w:rPr>
                <w:color w:val="000000"/>
              </w:rPr>
              <w:t xml:space="preserve"> 1 July 2014 – 30 June 2016 </w:t>
            </w:r>
            <w:r w:rsidRPr="007F7BCA">
              <w:rPr>
                <w:iCs/>
              </w:rPr>
              <w:t>(Australian Fisheries Management Authority)</w:t>
            </w:r>
          </w:p>
          <w:p w:rsidR="00346B05" w:rsidRPr="00346B05" w:rsidRDefault="00346B05" w:rsidP="0093631E">
            <w:pPr>
              <w:pStyle w:val="ListBullet"/>
              <w:spacing w:after="100"/>
              <w:rPr>
                <w:rFonts w:cs="Arial"/>
                <w:iCs/>
              </w:rPr>
            </w:pPr>
            <w:r w:rsidRPr="007F7BCA">
              <w:t xml:space="preserve">Threat Abatement Plan 2014 for the incidental catch (or </w:t>
            </w:r>
            <w:proofErr w:type="spellStart"/>
            <w:r w:rsidRPr="007F7BCA">
              <w:t>bycatch</w:t>
            </w:r>
            <w:proofErr w:type="spellEnd"/>
            <w:r w:rsidRPr="007F7BCA">
              <w:t xml:space="preserve">) of seabirds during oceanic </w:t>
            </w:r>
            <w:proofErr w:type="spellStart"/>
            <w:r w:rsidRPr="007F7BCA">
              <w:t>longline</w:t>
            </w:r>
            <w:proofErr w:type="spellEnd"/>
            <w:r w:rsidRPr="007F7BCA">
              <w:t xml:space="preserve"> fishing operations (Department of the Environment Australian Antarctic Division)</w:t>
            </w:r>
          </w:p>
          <w:p w:rsidR="00486F80" w:rsidRDefault="00346B05" w:rsidP="0093631E">
            <w:pPr>
              <w:pStyle w:val="ListBullet"/>
              <w:spacing w:after="100"/>
              <w:rPr>
                <w:iCs/>
              </w:rPr>
            </w:pPr>
            <w:r w:rsidRPr="007F7BCA">
              <w:t xml:space="preserve">Australian Tropical Tuna and Billfish Fisheries Five Year Strategic Research Plan 2011 – 2016 </w:t>
            </w:r>
            <w:r w:rsidRPr="007F7BCA">
              <w:rPr>
                <w:iCs/>
              </w:rPr>
              <w:t>(Australian Fisheries Management Authority)</w:t>
            </w:r>
          </w:p>
          <w:p w:rsidR="00486F80" w:rsidRPr="006239E2" w:rsidRDefault="00941B92" w:rsidP="001B6950">
            <w:pPr>
              <w:pStyle w:val="ListBullet"/>
              <w:spacing w:after="80"/>
              <w:rPr>
                <w:iCs/>
              </w:rPr>
            </w:pPr>
            <w:r w:rsidRPr="00941B92">
              <w:rPr>
                <w:iCs/>
              </w:rPr>
              <w:t>Ecological risk management: report for the We</w:t>
            </w:r>
            <w:r>
              <w:rPr>
                <w:iCs/>
              </w:rPr>
              <w:t>stern Tuna and Billfish Fishery</w:t>
            </w:r>
            <w:r w:rsidR="00732F01">
              <w:rPr>
                <w:iCs/>
              </w:rPr>
              <w:t>—March 2010</w:t>
            </w:r>
            <w:r>
              <w:rPr>
                <w:iCs/>
              </w:rPr>
              <w:t xml:space="preserve"> </w:t>
            </w:r>
            <w:r w:rsidRPr="007F7BCA">
              <w:rPr>
                <w:iCs/>
              </w:rPr>
              <w:t>(Australian Fisheries Management Authority)</w:t>
            </w:r>
          </w:p>
        </w:tc>
      </w:tr>
      <w:tr w:rsidR="002C48A0" w:rsidRPr="00EC24A5" w:rsidTr="003A4302">
        <w:trPr>
          <w:cantSplit/>
          <w:trHeight w:val="274"/>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2C48A0" w:rsidRPr="00EC24A5" w:rsidRDefault="002C48A0" w:rsidP="002C48A0">
            <w:pPr>
              <w:pStyle w:val="Heading2"/>
              <w:keepNext w:val="0"/>
              <w:rPr>
                <w:snapToGrid w:val="0"/>
              </w:rPr>
            </w:pPr>
            <w:r w:rsidRPr="00EC24A5">
              <w:rPr>
                <w:snapToGrid w:val="0"/>
              </w:rPr>
              <w:lastRenderedPageBreak/>
              <w:t>Area of the fishery</w:t>
            </w:r>
          </w:p>
          <w:p w:rsidR="002C48A0" w:rsidRPr="00EC24A5" w:rsidRDefault="002C48A0" w:rsidP="002C48A0">
            <w:pPr>
              <w:rPr>
                <w:rFonts w:cs="Arial"/>
              </w:rPr>
            </w:pPr>
          </w:p>
          <w:p w:rsidR="002C48A0" w:rsidRPr="00EC24A5" w:rsidRDefault="002C48A0" w:rsidP="002C48A0">
            <w:pPr>
              <w:rPr>
                <w:rFonts w:cs="Arial"/>
              </w:rPr>
            </w:pPr>
          </w:p>
          <w:p w:rsidR="002C48A0" w:rsidRPr="00EC24A5" w:rsidRDefault="002C48A0" w:rsidP="002C48A0">
            <w:pPr>
              <w:rPr>
                <w:rFonts w:cs="Arial"/>
                <w:b/>
              </w:rPr>
            </w:pP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51034E" w:rsidRDefault="00F05970" w:rsidP="006054DB">
            <w:pPr>
              <w:rPr>
                <w:rFonts w:ascii="FuturaT-Light" w:eastAsia="Times New Roman" w:hAnsi="FuturaT-Light" w:cs="FuturaT-Light"/>
                <w:color w:val="231F20"/>
                <w:lang w:eastAsia="en-AU"/>
              </w:rPr>
            </w:pPr>
            <w:r w:rsidRPr="00F05970">
              <w:rPr>
                <w:rFonts w:ascii="FuturaT-Light" w:eastAsia="Times New Roman" w:hAnsi="FuturaT-Light" w:cs="FuturaT-Light"/>
                <w:color w:val="231F20"/>
                <w:lang w:eastAsia="en-AU"/>
              </w:rPr>
              <w:t xml:space="preserve">The </w:t>
            </w:r>
            <w:r w:rsidR="0051034E">
              <w:rPr>
                <w:rFonts w:ascii="FuturaT-Light" w:eastAsia="Times New Roman" w:hAnsi="FuturaT-Light" w:cs="FuturaT-Light"/>
                <w:color w:val="231F20"/>
                <w:lang w:eastAsia="en-AU"/>
              </w:rPr>
              <w:t xml:space="preserve">area of the </w:t>
            </w:r>
            <w:r w:rsidRPr="00F05970">
              <w:rPr>
                <w:rFonts w:ascii="FuturaT-Light" w:eastAsia="Times New Roman" w:hAnsi="FuturaT-Light" w:cs="FuturaT-Light"/>
                <w:color w:val="231F20"/>
                <w:lang w:eastAsia="en-AU"/>
              </w:rPr>
              <w:t xml:space="preserve">Western Tuna and Billfish Fishery </w:t>
            </w:r>
            <w:r w:rsidR="00E210E2">
              <w:rPr>
                <w:rFonts w:ascii="FuturaT-Light" w:eastAsia="Times New Roman" w:hAnsi="FuturaT-Light" w:cs="FuturaT-Light"/>
                <w:color w:val="231F20"/>
                <w:lang w:eastAsia="en-AU"/>
              </w:rPr>
              <w:t>includes three areas</w:t>
            </w:r>
            <w:r w:rsidR="0051034E">
              <w:rPr>
                <w:rFonts w:ascii="FuturaT-Light" w:eastAsia="Times New Roman" w:hAnsi="FuturaT-Light" w:cs="FuturaT-Light"/>
                <w:color w:val="231F20"/>
                <w:lang w:eastAsia="en-AU"/>
              </w:rPr>
              <w:t xml:space="preserve"> defined in the </w:t>
            </w:r>
            <w:r w:rsidR="0051034E" w:rsidRPr="0051034E">
              <w:rPr>
                <w:rFonts w:ascii="FuturaT-Light" w:eastAsia="Times New Roman" w:hAnsi="FuturaT-Light" w:cs="FuturaT-Light"/>
                <w:color w:val="231F20"/>
                <w:lang w:eastAsia="en-AU"/>
              </w:rPr>
              <w:t>Western Tuna and Billfish Fishery Management Plan 2005</w:t>
            </w:r>
            <w:r w:rsidR="0051034E">
              <w:rPr>
                <w:rFonts w:ascii="FuturaT-Light" w:eastAsia="Times New Roman" w:hAnsi="FuturaT-Light" w:cs="FuturaT-Light"/>
                <w:color w:val="231F20"/>
                <w:lang w:eastAsia="en-AU"/>
              </w:rPr>
              <w:t>.</w:t>
            </w:r>
          </w:p>
          <w:p w:rsidR="00C67438" w:rsidRDefault="0051034E" w:rsidP="00BC4CB7">
            <w:pPr>
              <w:spacing w:after="100"/>
              <w:rPr>
                <w:rFonts w:ascii="FuturaT-Light" w:eastAsia="Times New Roman" w:hAnsi="FuturaT-Light" w:cs="FuturaT-Light"/>
                <w:color w:val="231F20"/>
                <w:lang w:eastAsia="en-AU"/>
              </w:rPr>
            </w:pPr>
            <w:r>
              <w:rPr>
                <w:rFonts w:ascii="FuturaT-Light" w:eastAsia="Times New Roman" w:hAnsi="FuturaT-Light" w:cs="FuturaT-Light"/>
                <w:color w:val="231F20"/>
                <w:lang w:eastAsia="en-AU"/>
              </w:rPr>
              <w:t xml:space="preserve">The area of the fishery adjacent to the Australian mainland </w:t>
            </w:r>
            <w:r w:rsidRPr="00F05970">
              <w:rPr>
                <w:rFonts w:ascii="FuturaT-Light" w:eastAsia="Times New Roman" w:hAnsi="FuturaT-Light" w:cs="FuturaT-Light"/>
                <w:color w:val="231F20"/>
                <w:lang w:eastAsia="en-AU"/>
              </w:rPr>
              <w:t xml:space="preserve">extends </w:t>
            </w:r>
            <w:r>
              <w:rPr>
                <w:rFonts w:ascii="FuturaT-Light" w:eastAsia="Times New Roman" w:hAnsi="FuturaT-Light" w:cs="FuturaT-Light"/>
                <w:color w:val="231F20"/>
                <w:lang w:eastAsia="en-AU"/>
              </w:rPr>
              <w:t>around</w:t>
            </w:r>
            <w:r w:rsidRPr="00F05970">
              <w:rPr>
                <w:rFonts w:ascii="FuturaT-Light" w:eastAsia="Times New Roman" w:hAnsi="FuturaT-Light" w:cs="FuturaT-Light"/>
                <w:color w:val="231F20"/>
                <w:lang w:eastAsia="en-AU"/>
              </w:rPr>
              <w:t xml:space="preserve"> the western side of Australia from Cape York P</w:t>
            </w:r>
            <w:r w:rsidR="000533E2">
              <w:rPr>
                <w:rFonts w:ascii="FuturaT-Light" w:eastAsia="Times New Roman" w:hAnsi="FuturaT-Light" w:cs="FuturaT-Light"/>
                <w:color w:val="231F20"/>
                <w:lang w:eastAsia="en-AU"/>
              </w:rPr>
              <w:t>eninsula to the</w:t>
            </w:r>
            <w:r w:rsidR="000533E2">
              <w:rPr>
                <w:rFonts w:ascii="FuturaT-Light" w:eastAsia="Times New Roman" w:hAnsi="FuturaT-Light" w:cs="FuturaT-Light"/>
                <w:color w:val="231F20"/>
                <w:lang w:eastAsia="en-AU"/>
              </w:rPr>
              <w:br/>
            </w:r>
            <w:r w:rsidRPr="00F05970">
              <w:rPr>
                <w:rFonts w:ascii="FuturaT-Light" w:eastAsia="Times New Roman" w:hAnsi="FuturaT-Light" w:cs="FuturaT-Light"/>
                <w:color w:val="231F20"/>
                <w:lang w:eastAsia="en-AU"/>
              </w:rPr>
              <w:t>South Australia–Victoria border</w:t>
            </w:r>
            <w:r>
              <w:rPr>
                <w:rFonts w:ascii="FuturaT-Light" w:eastAsia="Times New Roman" w:hAnsi="FuturaT-Light" w:cs="FuturaT-Light"/>
                <w:color w:val="231F20"/>
                <w:lang w:eastAsia="en-AU"/>
              </w:rPr>
              <w:t xml:space="preserve"> and includes Commonwealth and state/Northern Territory waters</w:t>
            </w:r>
            <w:r w:rsidR="00C67438">
              <w:rPr>
                <w:rFonts w:ascii="FuturaT-Light" w:eastAsia="Times New Roman" w:hAnsi="FuturaT-Light" w:cs="FuturaT-Light"/>
                <w:color w:val="231F20"/>
                <w:lang w:eastAsia="en-AU"/>
              </w:rPr>
              <w:t xml:space="preserve"> (Figure 1)</w:t>
            </w:r>
            <w:r>
              <w:rPr>
                <w:rFonts w:ascii="FuturaT-Light" w:eastAsia="Times New Roman" w:hAnsi="FuturaT-Light" w:cs="FuturaT-Light"/>
                <w:color w:val="231F20"/>
                <w:lang w:eastAsia="en-AU"/>
              </w:rPr>
              <w:t>.</w:t>
            </w:r>
            <w:r w:rsidR="00C67438">
              <w:rPr>
                <w:rFonts w:ascii="FuturaT-Light" w:eastAsia="Times New Roman" w:hAnsi="FuturaT-Light" w:cs="FuturaT-Light"/>
                <w:color w:val="231F20"/>
                <w:lang w:eastAsia="en-AU"/>
              </w:rPr>
              <w:t xml:space="preserve"> The fishery</w:t>
            </w:r>
            <w:r w:rsidR="00F05970" w:rsidRPr="00F05970">
              <w:rPr>
                <w:rFonts w:ascii="FuturaT-Light" w:eastAsia="Times New Roman" w:hAnsi="FuturaT-Light" w:cs="FuturaT-Light"/>
                <w:color w:val="231F20"/>
                <w:lang w:eastAsia="en-AU"/>
              </w:rPr>
              <w:t xml:space="preserve"> also includes</w:t>
            </w:r>
            <w:r w:rsidR="00C67438">
              <w:rPr>
                <w:rFonts w:ascii="FuturaT-Light" w:eastAsia="Times New Roman" w:hAnsi="FuturaT-Light" w:cs="FuturaT-Light"/>
                <w:color w:val="231F20"/>
                <w:lang w:eastAsia="en-AU"/>
              </w:rPr>
              <w:t>:</w:t>
            </w:r>
          </w:p>
          <w:p w:rsidR="00BC4CB7" w:rsidRDefault="00F05970" w:rsidP="00EA121A">
            <w:pPr>
              <w:numPr>
                <w:ilvl w:val="0"/>
                <w:numId w:val="24"/>
              </w:numPr>
              <w:spacing w:after="100"/>
              <w:rPr>
                <w:rFonts w:ascii="FuturaT-Light" w:eastAsia="Times New Roman" w:hAnsi="FuturaT-Light" w:cs="FuturaT-Light"/>
                <w:color w:val="231F20"/>
                <w:lang w:eastAsia="en-AU"/>
              </w:rPr>
            </w:pPr>
            <w:r w:rsidRPr="00F05970">
              <w:rPr>
                <w:rFonts w:ascii="FuturaT-Light" w:eastAsia="Times New Roman" w:hAnsi="FuturaT-Light" w:cs="FuturaT-Light"/>
                <w:color w:val="231F20"/>
                <w:lang w:eastAsia="en-AU"/>
              </w:rPr>
              <w:t>waters</w:t>
            </w:r>
            <w:r w:rsidR="00C67438">
              <w:rPr>
                <w:rFonts w:ascii="FuturaT-Light" w:eastAsia="Times New Roman" w:hAnsi="FuturaT-Light" w:cs="FuturaT-Light"/>
                <w:color w:val="231F20"/>
                <w:lang w:eastAsia="en-AU"/>
              </w:rPr>
              <w:t xml:space="preserve"> </w:t>
            </w:r>
            <w:r w:rsidR="00BC4CB7">
              <w:rPr>
                <w:rFonts w:ascii="FuturaT-Light" w:eastAsia="Times New Roman" w:hAnsi="FuturaT-Light" w:cs="FuturaT-Light"/>
                <w:color w:val="231F20"/>
                <w:lang w:eastAsia="en-AU"/>
              </w:rPr>
              <w:t>within the Australian Fishing Zone</w:t>
            </w:r>
            <w:r w:rsidR="00BC4CB7" w:rsidRPr="00F05970">
              <w:rPr>
                <w:rFonts w:ascii="FuturaT-Light" w:eastAsia="Times New Roman" w:hAnsi="FuturaT-Light" w:cs="FuturaT-Light"/>
                <w:color w:val="231F20"/>
                <w:lang w:eastAsia="en-AU"/>
              </w:rPr>
              <w:t xml:space="preserve"> </w:t>
            </w:r>
            <w:r w:rsidR="00BC4CB7">
              <w:rPr>
                <w:rFonts w:ascii="FuturaT-Light" w:eastAsia="Times New Roman" w:hAnsi="FuturaT-Light" w:cs="FuturaT-Light"/>
                <w:color w:val="231F20"/>
                <w:lang w:eastAsia="en-AU"/>
              </w:rPr>
              <w:t>outside</w:t>
            </w:r>
            <w:r w:rsidR="00C67438">
              <w:rPr>
                <w:rFonts w:ascii="FuturaT-Light" w:eastAsia="Times New Roman" w:hAnsi="FuturaT-Light" w:cs="FuturaT-Light"/>
                <w:color w:val="231F20"/>
                <w:lang w:eastAsia="en-AU"/>
              </w:rPr>
              <w:t xml:space="preserve"> 12 nm of </w:t>
            </w:r>
            <w:r w:rsidRPr="00F05970">
              <w:rPr>
                <w:rFonts w:ascii="FuturaT-Light" w:eastAsia="Times New Roman" w:hAnsi="FuturaT-Light" w:cs="FuturaT-Light"/>
                <w:color w:val="231F20"/>
                <w:lang w:eastAsia="en-AU"/>
              </w:rPr>
              <w:t>Christmas Island and the Cocos (Keeling) Islands</w:t>
            </w:r>
          </w:p>
          <w:p w:rsidR="00C67438" w:rsidRPr="00BC4CB7" w:rsidRDefault="00F05970" w:rsidP="00EA121A">
            <w:pPr>
              <w:numPr>
                <w:ilvl w:val="0"/>
                <w:numId w:val="24"/>
              </w:numPr>
              <w:rPr>
                <w:rFonts w:ascii="FuturaT-Light" w:eastAsia="Times New Roman" w:hAnsi="FuturaT-Light" w:cs="FuturaT-Light"/>
                <w:color w:val="231F20"/>
                <w:lang w:eastAsia="en-AU"/>
              </w:rPr>
            </w:pPr>
            <w:proofErr w:type="gramStart"/>
            <w:r w:rsidRPr="00F05970">
              <w:rPr>
                <w:rFonts w:ascii="FuturaT-Light" w:eastAsia="Times New Roman" w:hAnsi="FuturaT-Light" w:cs="FuturaT-Light"/>
                <w:color w:val="231F20"/>
                <w:lang w:eastAsia="en-AU"/>
              </w:rPr>
              <w:t>high</w:t>
            </w:r>
            <w:proofErr w:type="gramEnd"/>
            <w:r w:rsidRPr="00F05970">
              <w:rPr>
                <w:rFonts w:ascii="FuturaT-Light" w:eastAsia="Times New Roman" w:hAnsi="FuturaT-Light" w:cs="FuturaT-Light"/>
                <w:color w:val="231F20"/>
                <w:lang w:eastAsia="en-AU"/>
              </w:rPr>
              <w:t xml:space="preserve"> seas in the Indian Ocean</w:t>
            </w:r>
            <w:r w:rsidR="00BC4CB7">
              <w:rPr>
                <w:rFonts w:ascii="FuturaT-Light" w:eastAsia="Times New Roman" w:hAnsi="FuturaT-Light" w:cs="FuturaT-Light"/>
                <w:color w:val="231F20"/>
                <w:lang w:eastAsia="en-AU"/>
              </w:rPr>
              <w:t xml:space="preserve"> </w:t>
            </w:r>
            <w:r w:rsidR="0048758D">
              <w:rPr>
                <w:rFonts w:ascii="FuturaT-Light" w:eastAsia="Times New Roman" w:hAnsi="FuturaT-Light" w:cs="FuturaT-Light"/>
                <w:color w:val="231F20"/>
                <w:lang w:eastAsia="en-AU"/>
              </w:rPr>
              <w:t>—</w:t>
            </w:r>
            <w:r w:rsidR="00BC4CB7">
              <w:rPr>
                <w:rFonts w:ascii="FuturaT-Light" w:eastAsia="Times New Roman" w:hAnsi="FuturaT-Light" w:cs="FuturaT-Light"/>
                <w:color w:val="231F20"/>
                <w:lang w:eastAsia="en-AU"/>
              </w:rPr>
              <w:t xml:space="preserve"> </w:t>
            </w:r>
            <w:r w:rsidR="0048758D">
              <w:rPr>
                <w:rFonts w:ascii="FuturaT-Light" w:eastAsia="Times New Roman" w:hAnsi="FuturaT-Light" w:cs="FuturaT-Light"/>
                <w:color w:val="231F20"/>
                <w:lang w:eastAsia="en-AU"/>
              </w:rPr>
              <w:t xml:space="preserve">defined as </w:t>
            </w:r>
            <w:r w:rsidR="00BC4CB7">
              <w:rPr>
                <w:rFonts w:ascii="FuturaT-Light" w:eastAsia="Times New Roman" w:hAnsi="FuturaT-Light" w:cs="FuturaT-Light"/>
                <w:color w:val="231F20"/>
                <w:lang w:eastAsia="en-AU"/>
              </w:rPr>
              <w:t>t</w:t>
            </w:r>
            <w:r w:rsidR="00BC4CB7" w:rsidRPr="00BC4CB7">
              <w:rPr>
                <w:rFonts w:ascii="FuturaT-Light" w:eastAsia="Times New Roman" w:hAnsi="FuturaT-Light" w:cs="FuturaT-Light"/>
                <w:color w:val="231F20"/>
                <w:lang w:eastAsia="en-AU"/>
              </w:rPr>
              <w:t xml:space="preserve">hose parts of the high seas </w:t>
            </w:r>
            <w:r w:rsidR="0048758D">
              <w:rPr>
                <w:rFonts w:ascii="FuturaT-Light" w:eastAsia="Times New Roman" w:hAnsi="FuturaT-Light" w:cs="FuturaT-Light"/>
                <w:color w:val="231F20"/>
                <w:lang w:eastAsia="en-AU"/>
              </w:rPr>
              <w:t>west </w:t>
            </w:r>
            <w:r w:rsidR="00BC4CB7" w:rsidRPr="00BC4CB7">
              <w:rPr>
                <w:rFonts w:ascii="FuturaT-Light" w:eastAsia="Times New Roman" w:hAnsi="FuturaT-Light" w:cs="FuturaT-Light"/>
                <w:color w:val="231F20"/>
                <w:lang w:eastAsia="en-AU"/>
              </w:rPr>
              <w:t>of 141° E</w:t>
            </w:r>
            <w:r w:rsidR="0048758D">
              <w:rPr>
                <w:rFonts w:ascii="FuturaT-Light" w:eastAsia="Times New Roman" w:hAnsi="FuturaT-Light" w:cs="FuturaT-Light"/>
                <w:color w:val="231F20"/>
                <w:lang w:eastAsia="en-AU"/>
              </w:rPr>
              <w:t xml:space="preserve"> (the South Australian - New South Wales border)</w:t>
            </w:r>
            <w:r w:rsidR="00BC4CB7" w:rsidRPr="00BC4CB7">
              <w:rPr>
                <w:rFonts w:ascii="FuturaT-Light" w:eastAsia="Times New Roman" w:hAnsi="FuturaT-Light" w:cs="FuturaT-Light"/>
                <w:color w:val="231F20"/>
                <w:lang w:eastAsia="en-AU"/>
              </w:rPr>
              <w:t xml:space="preserve"> that are within the area of competence of the</w:t>
            </w:r>
            <w:r w:rsidR="00BC4CB7">
              <w:rPr>
                <w:rFonts w:ascii="FuturaT-Light" w:eastAsia="Times New Roman" w:hAnsi="FuturaT-Light" w:cs="FuturaT-Light"/>
                <w:color w:val="231F20"/>
                <w:lang w:eastAsia="en-AU"/>
              </w:rPr>
              <w:t xml:space="preserve"> Indian Ocean Tuna Commission</w:t>
            </w:r>
            <w:r w:rsidR="00BC4CB7" w:rsidRPr="00BC4CB7">
              <w:rPr>
                <w:rFonts w:ascii="FuturaT-Light" w:eastAsia="Times New Roman" w:hAnsi="FuturaT-Light" w:cs="FuturaT-Light"/>
                <w:color w:val="231F20"/>
                <w:lang w:eastAsia="en-AU"/>
              </w:rPr>
              <w:t>.</w:t>
            </w:r>
          </w:p>
          <w:p w:rsidR="00010BC3" w:rsidRPr="00F05970" w:rsidRDefault="00F05970" w:rsidP="006054DB">
            <w:pPr>
              <w:rPr>
                <w:shd w:val="clear" w:color="auto" w:fill="F2DBDB" w:themeFill="accent2" w:themeFillTint="33"/>
              </w:rPr>
            </w:pPr>
            <w:r w:rsidRPr="00F05970">
              <w:t>The areas commonly fished are Commonwealth and high seas waters off the West</w:t>
            </w:r>
            <w:r w:rsidR="00B573EC">
              <w:t>ern</w:t>
            </w:r>
            <w:r w:rsidRPr="00F05970">
              <w:t xml:space="preserve"> Australian coast between Geraldton and Albany, Commonwealth waters off the west Kimberley coast and around </w:t>
            </w:r>
            <w:r>
              <w:t xml:space="preserve">the </w:t>
            </w:r>
            <w:r w:rsidRPr="00F05970">
              <w:t>Cocos</w:t>
            </w:r>
            <w:r>
              <w:t xml:space="preserve"> (</w:t>
            </w:r>
            <w:r w:rsidRPr="00F05970">
              <w:t>Keeling</w:t>
            </w:r>
            <w:r>
              <w:t>)</w:t>
            </w:r>
            <w:r w:rsidRPr="00F05970">
              <w:t xml:space="preserve"> Island</w:t>
            </w:r>
            <w:r>
              <w:t>s</w:t>
            </w:r>
            <w:r w:rsidRPr="00F05970">
              <w:t xml:space="preserve"> and Christmas</w:t>
            </w:r>
            <w:r>
              <w:t> </w:t>
            </w:r>
            <w:r w:rsidRPr="00F05970">
              <w:t xml:space="preserve">Island (Patterson and </w:t>
            </w:r>
            <w:r w:rsidR="006054DB">
              <w:t>Stephan</w:t>
            </w:r>
            <w:r w:rsidRPr="00F05970">
              <w:t xml:space="preserve"> 2014).</w:t>
            </w:r>
          </w:p>
        </w:tc>
      </w:tr>
      <w:tr w:rsidR="00632043" w:rsidRPr="00EC24A5" w:rsidTr="004F3BD4">
        <w:trPr>
          <w:jc w:val="center"/>
        </w:trPr>
        <w:tc>
          <w:tcPr>
            <w:tcW w:w="10331" w:type="dxa"/>
            <w:gridSpan w:val="2"/>
            <w:tcBorders>
              <w:top w:val="single" w:sz="4" w:space="0" w:color="auto"/>
              <w:left w:val="single" w:sz="4" w:space="0" w:color="auto"/>
              <w:bottom w:val="single" w:sz="4" w:space="0" w:color="auto"/>
              <w:right w:val="single" w:sz="4" w:space="0" w:color="auto"/>
            </w:tcBorders>
            <w:shd w:val="clear" w:color="auto" w:fill="auto"/>
          </w:tcPr>
          <w:p w:rsidR="00632043" w:rsidRPr="00EC24A5" w:rsidRDefault="00632043" w:rsidP="005A18CF">
            <w:pPr>
              <w:pStyle w:val="Caption"/>
              <w:spacing w:before="100" w:after="200"/>
              <w:rPr>
                <w:rFonts w:cs="Arial"/>
                <w:noProof/>
                <w:lang w:eastAsia="en-AU"/>
              </w:rPr>
            </w:pPr>
            <w:r w:rsidRPr="00EC24A5">
              <w:rPr>
                <w:rFonts w:cs="Arial"/>
                <w:noProof/>
                <w:lang w:eastAsia="en-AU"/>
              </w:rPr>
              <w:t xml:space="preserve">Figure 1. Area of the </w:t>
            </w:r>
            <w:r w:rsidR="005333AD">
              <w:rPr>
                <w:rFonts w:cs="Arial"/>
                <w:noProof/>
                <w:lang w:eastAsia="en-AU"/>
              </w:rPr>
              <w:t>Western Tuna and Billfish</w:t>
            </w:r>
            <w:r w:rsidR="0051034E">
              <w:rPr>
                <w:rFonts w:cs="Arial"/>
                <w:noProof/>
                <w:lang w:eastAsia="en-AU"/>
              </w:rPr>
              <w:t xml:space="preserve"> </w:t>
            </w:r>
            <w:r w:rsidRPr="00EC24A5">
              <w:rPr>
                <w:rFonts w:cs="Arial"/>
                <w:noProof/>
                <w:lang w:eastAsia="en-AU"/>
              </w:rPr>
              <w:t xml:space="preserve">Fishery </w:t>
            </w:r>
            <w:r w:rsidRPr="00EC24A5">
              <w:rPr>
                <w:rFonts w:cs="Arial"/>
                <w:b w:val="0"/>
                <w:i/>
                <w:noProof/>
                <w:lang w:eastAsia="en-AU"/>
              </w:rPr>
              <w:t xml:space="preserve">(Source: </w:t>
            </w:r>
            <w:r w:rsidR="003A4302">
              <w:rPr>
                <w:rFonts w:cs="Arial"/>
                <w:b w:val="0"/>
                <w:i/>
                <w:noProof/>
                <w:lang w:eastAsia="en-AU"/>
              </w:rPr>
              <w:t>Patterson and Stephan (2014)</w:t>
            </w:r>
            <w:r w:rsidRPr="00EC24A5">
              <w:rPr>
                <w:rFonts w:cs="Arial"/>
                <w:b w:val="0"/>
                <w:i/>
                <w:noProof/>
                <w:lang w:eastAsia="en-AU"/>
              </w:rPr>
              <w:t>)</w:t>
            </w:r>
          </w:p>
          <w:p w:rsidR="003A4302" w:rsidRPr="00EC24A5" w:rsidRDefault="003A4302" w:rsidP="003A4302">
            <w:pPr>
              <w:jc w:val="center"/>
              <w:rPr>
                <w:rFonts w:cs="Arial"/>
                <w:noProof/>
                <w:lang w:eastAsia="en-AU"/>
              </w:rPr>
            </w:pPr>
            <w:r w:rsidRPr="003A4302">
              <w:rPr>
                <w:rFonts w:cs="Arial"/>
                <w:noProof/>
                <w:lang w:eastAsia="en-AU"/>
              </w:rPr>
              <w:drawing>
                <wp:inline distT="0" distB="0" distL="0" distR="0">
                  <wp:extent cx="6391275" cy="5210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91275" cy="5210175"/>
                          </a:xfrm>
                          <a:prstGeom prst="rect">
                            <a:avLst/>
                          </a:prstGeom>
                          <a:noFill/>
                          <a:ln>
                            <a:noFill/>
                          </a:ln>
                        </pic:spPr>
                      </pic:pic>
                    </a:graphicData>
                  </a:graphic>
                </wp:inline>
              </w:drawing>
            </w:r>
          </w:p>
        </w:tc>
      </w:tr>
      <w:tr w:rsidR="00B02D48" w:rsidRPr="00EC24A5" w:rsidTr="006B1F1F">
        <w:trPr>
          <w:trHeight w:val="5801"/>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2C48A0" w:rsidRPr="00EC24A5" w:rsidRDefault="008D0DD7" w:rsidP="00E82586">
            <w:pPr>
              <w:pStyle w:val="Heading2"/>
              <w:keepNext w:val="0"/>
              <w:pageBreakBefore/>
              <w:rPr>
                <w:snapToGrid w:val="0"/>
              </w:rPr>
            </w:pPr>
            <w:r>
              <w:rPr>
                <w:snapToGrid w:val="0"/>
              </w:rPr>
              <w:t>Target s</w:t>
            </w:r>
            <w:r w:rsidR="00B02D48" w:rsidRPr="00EC24A5">
              <w:rPr>
                <w:snapToGrid w:val="0"/>
              </w:rPr>
              <w:t xml:space="preserve">pecies </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D60B4E" w:rsidRDefault="00E210E2" w:rsidP="00D60B4E">
            <w:r>
              <w:t>Schedule 2 of the Western Tuna and Billfish Fishery Management Plan 2005 defines primary and secondary species for management purposes. The plan further defines four key species which make up the majority</w:t>
            </w:r>
            <w:r w:rsidR="00E82586">
              <w:t xml:space="preserve"> of the catch from the fishery. </w:t>
            </w:r>
            <w:r w:rsidR="00D60B4E">
              <w:t xml:space="preserve">The main target species is </w:t>
            </w:r>
            <w:r>
              <w:t xml:space="preserve">broadbill </w:t>
            </w:r>
            <w:r w:rsidR="00D60B4E">
              <w:t>swordfish</w:t>
            </w:r>
            <w:r>
              <w:t xml:space="preserve">. </w:t>
            </w:r>
            <w:proofErr w:type="spellStart"/>
            <w:r w:rsidR="00D60B4E">
              <w:t>Bigeye</w:t>
            </w:r>
            <w:proofErr w:type="spellEnd"/>
            <w:r w:rsidR="00D60B4E">
              <w:t xml:space="preserve"> </w:t>
            </w:r>
            <w:r>
              <w:t xml:space="preserve">tuna </w:t>
            </w:r>
            <w:r w:rsidR="00E82586">
              <w:t xml:space="preserve">and </w:t>
            </w:r>
            <w:proofErr w:type="spellStart"/>
            <w:r w:rsidR="00E82586">
              <w:t>yellowfin</w:t>
            </w:r>
            <w:proofErr w:type="spellEnd"/>
            <w:r w:rsidR="00E82586">
              <w:t> </w:t>
            </w:r>
            <w:r w:rsidR="00D60B4E">
              <w:t xml:space="preserve">tuna are also valuable target species, although </w:t>
            </w:r>
            <w:r>
              <w:t xml:space="preserve">Patterson and Stephan (2014) report that </w:t>
            </w:r>
            <w:r w:rsidR="00D60B4E">
              <w:t>catches of those species have never been as high as swordfi</w:t>
            </w:r>
            <w:r>
              <w:t>sh and have been more variable</w:t>
            </w:r>
            <w:r w:rsidR="00D60B4E">
              <w:t>.</w:t>
            </w:r>
          </w:p>
          <w:p w:rsidR="00B573EC" w:rsidRDefault="00E82586" w:rsidP="00196D35">
            <w:r>
              <w:rPr>
                <w:snapToGrid w:val="0"/>
              </w:rPr>
              <w:t>The target species are highly migratory and are managed on an international basis in the Indian Ocean by the I</w:t>
            </w:r>
            <w:r w:rsidR="006B1F1F">
              <w:rPr>
                <w:snapToGrid w:val="0"/>
              </w:rPr>
              <w:t>ndian Ocean Tuna Commission</w:t>
            </w:r>
            <w:r w:rsidR="006B1F1F" w:rsidRPr="008E7C9B">
              <w:t>.</w:t>
            </w:r>
            <w:r w:rsidR="006B1F1F" w:rsidRPr="008E7C9B">
              <w:rPr>
                <w:i/>
              </w:rPr>
              <w:t xml:space="preserve"> </w:t>
            </w:r>
            <w:r w:rsidR="006B1F1F">
              <w:t xml:space="preserve">Each of these species is considered to consist of a single Indian Ocean Stock </w:t>
            </w:r>
            <w:r w:rsidR="00F228A0">
              <w:t xml:space="preserve">(Patterson and Stephan, ibid.). </w:t>
            </w:r>
            <w:r>
              <w:t xml:space="preserve">In the </w:t>
            </w:r>
            <w:r w:rsidR="00DB2DA1">
              <w:t xml:space="preserve">Western </w:t>
            </w:r>
            <w:r>
              <w:t>Tuna and Billfish Fishery these species are currently managed under individual transferrable quotas and are sometimes referred to as</w:t>
            </w:r>
            <w:r w:rsidR="00B573EC">
              <w:t xml:space="preserve"> quota species.</w:t>
            </w:r>
          </w:p>
          <w:p w:rsidR="00B63DAC" w:rsidRPr="00F63FF2" w:rsidRDefault="00E82586" w:rsidP="00196D35">
            <w:r w:rsidRPr="00E82586">
              <w:t>Under the Ind</w:t>
            </w:r>
            <w:r w:rsidR="00EB6CDB">
              <w:t>ian Ocean Tuna Commission</w:t>
            </w:r>
            <w:r w:rsidRPr="00E82586">
              <w:t>, Australia</w:t>
            </w:r>
            <w:r w:rsidR="006B1F1F">
              <w:t xml:space="preserve"> claims entitlement to </w:t>
            </w:r>
            <w:r w:rsidRPr="00E82586">
              <w:t>5</w:t>
            </w:r>
            <w:r w:rsidR="00B573EC">
              <w:t> per </w:t>
            </w:r>
            <w:r>
              <w:t>cent</w:t>
            </w:r>
            <w:r w:rsidRPr="00E82586">
              <w:t xml:space="preserve"> of the </w:t>
            </w:r>
            <w:r w:rsidR="00EB6CDB">
              <w:t>sustainable take of tuna and billfish in the commission area. The to</w:t>
            </w:r>
            <w:r w:rsidR="006B1F1F">
              <w:t>t</w:t>
            </w:r>
            <w:r w:rsidR="00EB6CDB">
              <w:t xml:space="preserve">al allowable catches </w:t>
            </w:r>
            <w:r w:rsidR="006B1F1F">
              <w:t xml:space="preserve">for the key species in the Western Tuna and Billfish Fishery were derived from commission estimates of the level of take in the commission area that would support maximum sustainable yield. At these </w:t>
            </w:r>
            <w:r w:rsidR="006B1F1F" w:rsidRPr="006B1F1F">
              <w:t>relatively small proportions of broader, internationally managed ocean-wide stocks, catch</w:t>
            </w:r>
            <w:r w:rsidR="006B1F1F">
              <w:t xml:space="preserve"> from the Western Tuna and Billfish Fishery</w:t>
            </w:r>
            <w:r w:rsidR="006B1F1F" w:rsidRPr="006B1F1F">
              <w:t xml:space="preserve"> would be expected to have </w:t>
            </w:r>
            <w:r w:rsidR="006B1F1F">
              <w:t>minimal</w:t>
            </w:r>
            <w:r w:rsidR="006B1F1F" w:rsidRPr="006B1F1F">
              <w:t xml:space="preserve"> impact on the biomass of the stocks.</w:t>
            </w:r>
          </w:p>
        </w:tc>
      </w:tr>
      <w:tr w:rsidR="00E82586" w:rsidRPr="00EC24A5" w:rsidTr="00F228A0">
        <w:trPr>
          <w:trHeight w:val="415"/>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E82586" w:rsidRDefault="00E82586" w:rsidP="00E82586">
            <w:pPr>
              <w:pStyle w:val="Heading2"/>
              <w:keepNext w:val="0"/>
              <w:rPr>
                <w:snapToGrid w:val="0"/>
              </w:rPr>
            </w:pPr>
            <w:r>
              <w:rPr>
                <w:snapToGrid w:val="0"/>
              </w:rPr>
              <w:t>Stock status</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E82586" w:rsidRPr="00D60B4E" w:rsidRDefault="00E82586" w:rsidP="00F228A0">
            <w:pPr>
              <w:spacing w:after="100"/>
            </w:pPr>
            <w:r>
              <w:t>The stock status of the key</w:t>
            </w:r>
            <w:r w:rsidRPr="008E7C9B">
              <w:t xml:space="preserve"> species is based on </w:t>
            </w:r>
            <w:r>
              <w:rPr>
                <w:snapToGrid w:val="0"/>
              </w:rPr>
              <w:t xml:space="preserve">Indian Ocean Tuna Commission </w:t>
            </w:r>
            <w:r w:rsidRPr="008E7C9B">
              <w:t xml:space="preserve">regional stock assessments which are conducted on the broader </w:t>
            </w:r>
            <w:r>
              <w:t>Indian Ocean stocks</w:t>
            </w:r>
            <w:r w:rsidR="00F228A0">
              <w:t xml:space="preserve">. </w:t>
            </w:r>
            <w:r>
              <w:t>Patterson</w:t>
            </w:r>
            <w:r w:rsidRPr="008E7C9B">
              <w:t xml:space="preserve"> and </w:t>
            </w:r>
            <w:r>
              <w:t>Stephan</w:t>
            </w:r>
            <w:r w:rsidRPr="008E7C9B">
              <w:t xml:space="preserve"> (</w:t>
            </w:r>
            <w:r w:rsidR="00F228A0">
              <w:t>2014)</w:t>
            </w:r>
            <w:r w:rsidRPr="008E7C9B">
              <w:t xml:space="preserve"> discuss the stock status of each species and provide the following classification of </w:t>
            </w:r>
            <w:r>
              <w:t>the stock </w:t>
            </w:r>
            <w:r w:rsidRPr="008E7C9B">
              <w:t xml:space="preserve">status </w:t>
            </w:r>
            <w:r>
              <w:t>of the key speci</w:t>
            </w:r>
            <w:r w:rsidR="00F228A0">
              <w:t>es</w:t>
            </w:r>
            <w:r w:rsidRPr="008E7C9B">
              <w:t>:</w:t>
            </w:r>
          </w:p>
          <w:p w:rsidR="00E82586" w:rsidRPr="008E7C9B" w:rsidRDefault="00E82586" w:rsidP="00F228A0">
            <w:pPr>
              <w:numPr>
                <w:ilvl w:val="0"/>
                <w:numId w:val="9"/>
              </w:numPr>
              <w:spacing w:after="100"/>
            </w:pPr>
            <w:proofErr w:type="spellStart"/>
            <w:r w:rsidRPr="008E7C9B">
              <w:t>bigeye</w:t>
            </w:r>
            <w:proofErr w:type="spellEnd"/>
            <w:r w:rsidRPr="008E7C9B">
              <w:t xml:space="preserve"> tuna – not overfished, </w:t>
            </w:r>
            <w:r>
              <w:t>not</w:t>
            </w:r>
            <w:r w:rsidRPr="008E7C9B">
              <w:t xml:space="preserve"> subject to overfishing</w:t>
            </w:r>
          </w:p>
          <w:p w:rsidR="00E82586" w:rsidRPr="008E7C9B" w:rsidRDefault="00E82586" w:rsidP="00F228A0">
            <w:pPr>
              <w:numPr>
                <w:ilvl w:val="0"/>
                <w:numId w:val="9"/>
              </w:numPr>
              <w:spacing w:after="100"/>
            </w:pPr>
            <w:r w:rsidRPr="008E7C9B">
              <w:t>broadbill swordfish</w:t>
            </w:r>
            <w:r w:rsidR="00DB2DA1" w:rsidRPr="008E7C9B">
              <w:t xml:space="preserve"> – </w:t>
            </w:r>
            <w:r w:rsidRPr="008E7C9B">
              <w:t>not overfished, not subject to overfishing</w:t>
            </w:r>
          </w:p>
          <w:p w:rsidR="00E82586" w:rsidRPr="008E7C9B" w:rsidRDefault="00DB2DA1" w:rsidP="00F228A0">
            <w:pPr>
              <w:numPr>
                <w:ilvl w:val="0"/>
                <w:numId w:val="9"/>
              </w:numPr>
              <w:spacing w:after="100"/>
            </w:pPr>
            <w:r>
              <w:t>striped marlin</w:t>
            </w:r>
            <w:r w:rsidRPr="008E7C9B">
              <w:t xml:space="preserve"> –</w:t>
            </w:r>
            <w:r w:rsidR="00A64B74">
              <w:t xml:space="preserve"> </w:t>
            </w:r>
            <w:r w:rsidR="00E82586">
              <w:t>overfished and subject to overfishing (see below)</w:t>
            </w:r>
          </w:p>
          <w:p w:rsidR="00E82586" w:rsidRDefault="00E82586" w:rsidP="00E82586">
            <w:pPr>
              <w:numPr>
                <w:ilvl w:val="0"/>
                <w:numId w:val="9"/>
              </w:numPr>
            </w:pPr>
            <w:proofErr w:type="spellStart"/>
            <w:proofErr w:type="gramStart"/>
            <w:r w:rsidRPr="008E7C9B">
              <w:t>yellowfin</w:t>
            </w:r>
            <w:proofErr w:type="spellEnd"/>
            <w:proofErr w:type="gramEnd"/>
            <w:r w:rsidRPr="008E7C9B">
              <w:t xml:space="preserve"> tuna </w:t>
            </w:r>
            <w:r w:rsidR="00DB2DA1" w:rsidRPr="008E7C9B">
              <w:t xml:space="preserve">– </w:t>
            </w:r>
            <w:r w:rsidRPr="008E7C9B">
              <w:t>not overfished, not subject to overfishing</w:t>
            </w:r>
            <w:r>
              <w:t>.</w:t>
            </w:r>
          </w:p>
          <w:p w:rsidR="00E82586" w:rsidRDefault="00E82586" w:rsidP="00E82586">
            <w:pPr>
              <w:pStyle w:val="Heading3"/>
              <w:keepNext w:val="0"/>
            </w:pPr>
            <w:r>
              <w:t>Striped marlin</w:t>
            </w:r>
          </w:p>
          <w:p w:rsidR="00E82586" w:rsidRDefault="00E82586" w:rsidP="00E82586">
            <w:r w:rsidRPr="003F013D">
              <w:t xml:space="preserve">The first Indian Ocean Tuna Commission stock assessments for striped marlin were </w:t>
            </w:r>
            <w:r w:rsidR="00163270">
              <w:t>published</w:t>
            </w:r>
            <w:r w:rsidRPr="003F013D">
              <w:t xml:space="preserve"> in 2013</w:t>
            </w:r>
            <w:r w:rsidR="00163270">
              <w:t>, based on the most recently available set of catch data from 2011</w:t>
            </w:r>
            <w:r>
              <w:t xml:space="preserve">. The biomass of the </w:t>
            </w:r>
            <w:r w:rsidRPr="003F013D">
              <w:t xml:space="preserve">striped marlin </w:t>
            </w:r>
            <w:r>
              <w:t xml:space="preserve">stock </w:t>
            </w:r>
            <w:r w:rsidR="00163270">
              <w:t>was estimated to be</w:t>
            </w:r>
            <w:r w:rsidR="00163270">
              <w:br/>
            </w:r>
            <w:r>
              <w:t>18 per cent of unfished biomass and fishing mortality was estimated to be well above the level that would result in maximum sustainable yield</w:t>
            </w:r>
            <w:r w:rsidR="00D621D7">
              <w:t xml:space="preserve"> (IOTC 2013)</w:t>
            </w:r>
            <w:r>
              <w:t xml:space="preserve">. Hence, Patterson </w:t>
            </w:r>
            <w:r w:rsidR="004522A9">
              <w:t xml:space="preserve">and </w:t>
            </w:r>
            <w:r>
              <w:t>Stephan (ibid.) classify the stock as overfished and subject to overfishing.</w:t>
            </w:r>
          </w:p>
          <w:p w:rsidR="00E82586" w:rsidRDefault="00E82586" w:rsidP="004522A9">
            <w:r>
              <w:t xml:space="preserve">Catches of striped marlin in the </w:t>
            </w:r>
            <w:r w:rsidR="00DB2DA1">
              <w:t>Western</w:t>
            </w:r>
            <w:r w:rsidR="00A64B74">
              <w:t xml:space="preserve"> </w:t>
            </w:r>
            <w:r>
              <w:t xml:space="preserve">Tuna and Billfish Fishery have always been relatively low—less than 60 t since the mid-1980s and very low in recent years, with only 2 t taken in </w:t>
            </w:r>
            <w:r w:rsidR="004522A9">
              <w:t>each of</w:t>
            </w:r>
            <w:r w:rsidR="00A64B74">
              <w:t xml:space="preserve"> </w:t>
            </w:r>
            <w:r>
              <w:t>2012 and 2013</w:t>
            </w:r>
            <w:r w:rsidR="004522A9">
              <w:t>.</w:t>
            </w:r>
            <w:r>
              <w:t xml:space="preserve"> </w:t>
            </w:r>
            <w:r w:rsidR="004522A9">
              <w:t>T</w:t>
            </w:r>
            <w:r>
              <w:t xml:space="preserve">he total allowable commercial catch for striped marlin in the </w:t>
            </w:r>
            <w:r w:rsidR="00DB2DA1">
              <w:t xml:space="preserve">Western </w:t>
            </w:r>
            <w:r>
              <w:t xml:space="preserve">Tuna and Billfish Fishery of 125 t is less than 5 per cent of the </w:t>
            </w:r>
            <w:r>
              <w:rPr>
                <w:snapToGrid w:val="0"/>
              </w:rPr>
              <w:t xml:space="preserve">Indian Ocean </w:t>
            </w:r>
            <w:r w:rsidR="00F228A0">
              <w:t>maximum sustainable yield</w:t>
            </w:r>
            <w:r>
              <w:t>.</w:t>
            </w:r>
          </w:p>
        </w:tc>
      </w:tr>
      <w:tr w:rsidR="006F2A77" w:rsidRPr="00EC24A5"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6F2A77" w:rsidRDefault="006F2A77" w:rsidP="00F228A0">
            <w:pPr>
              <w:pageBreakBefore/>
              <w:rPr>
                <w:rFonts w:cs="Arial"/>
                <w:b/>
                <w:snapToGrid w:val="0"/>
              </w:rPr>
            </w:pPr>
            <w:proofErr w:type="spellStart"/>
            <w:r w:rsidRPr="00EC24A5">
              <w:rPr>
                <w:rFonts w:cs="Arial"/>
                <w:b/>
                <w:snapToGrid w:val="0"/>
              </w:rPr>
              <w:t>Byproduct</w:t>
            </w:r>
            <w:proofErr w:type="spellEnd"/>
            <w:r w:rsidRPr="00EC24A5">
              <w:rPr>
                <w:rFonts w:cs="Arial"/>
                <w:b/>
                <w:snapToGrid w:val="0"/>
              </w:rPr>
              <w:t xml:space="preserve"> Species</w:t>
            </w: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46710A" w:rsidRDefault="0046710A" w:rsidP="00F228A0">
            <w:pPr>
              <w:pageBreakBefore/>
              <w:rPr>
                <w:rFonts w:cs="Arial"/>
                <w:b/>
                <w:snapToGrid w:val="0"/>
              </w:rPr>
            </w:pPr>
          </w:p>
          <w:p w:rsidR="00530F08" w:rsidRDefault="00530F08" w:rsidP="00530F08">
            <w:pPr>
              <w:pStyle w:val="Tabletext"/>
              <w:rPr>
                <w:snapToGrid w:val="0"/>
              </w:rPr>
            </w:pPr>
          </w:p>
          <w:p w:rsidR="00530F08" w:rsidRPr="00EC24A5" w:rsidRDefault="00530F08" w:rsidP="00F228A0">
            <w:pPr>
              <w:pageBreakBefore/>
              <w:rPr>
                <w:rFonts w:cs="Arial"/>
                <w:snapToGrid w:val="0"/>
              </w:rPr>
            </w:pPr>
            <w:proofErr w:type="spellStart"/>
            <w:r w:rsidRPr="00EC24A5">
              <w:rPr>
                <w:rFonts w:cs="Arial"/>
                <w:b/>
                <w:snapToGrid w:val="0"/>
              </w:rPr>
              <w:t>Byproduct</w:t>
            </w:r>
            <w:proofErr w:type="spellEnd"/>
            <w:r w:rsidRPr="00EC24A5">
              <w:rPr>
                <w:rFonts w:cs="Arial"/>
                <w:b/>
                <w:snapToGrid w:val="0"/>
              </w:rPr>
              <w:t xml:space="preserve"> Species</w:t>
            </w:r>
            <w:r>
              <w:rPr>
                <w:rFonts w:cs="Arial"/>
                <w:b/>
                <w:snapToGrid w:val="0"/>
              </w:rPr>
              <w:t xml:space="preserve"> </w:t>
            </w:r>
            <w:r w:rsidRPr="00530F08">
              <w:rPr>
                <w:rFonts w:cs="Arial"/>
                <w:i/>
                <w:snapToGrid w:val="0"/>
              </w:rPr>
              <w:t>(cont.)</w:t>
            </w:r>
          </w:p>
        </w:tc>
        <w:tc>
          <w:tcPr>
            <w:tcW w:w="8163" w:type="dxa"/>
            <w:tcBorders>
              <w:top w:val="single" w:sz="4" w:space="0" w:color="auto"/>
              <w:left w:val="single" w:sz="4" w:space="0" w:color="auto"/>
              <w:bottom w:val="single" w:sz="4" w:space="0" w:color="auto"/>
              <w:right w:val="single" w:sz="4" w:space="0" w:color="auto"/>
            </w:tcBorders>
          </w:tcPr>
          <w:p w:rsidR="0041744F" w:rsidRDefault="0041744F" w:rsidP="00F228A0">
            <w:pPr>
              <w:pageBreakBefore/>
              <w:rPr>
                <w:snapToGrid w:val="0"/>
              </w:rPr>
            </w:pPr>
            <w:r>
              <w:rPr>
                <w:snapToGrid w:val="0"/>
              </w:rPr>
              <w:t>AFMA considers i</w:t>
            </w:r>
            <w:r w:rsidR="00244644" w:rsidRPr="00244644">
              <w:rPr>
                <w:snapToGrid w:val="0"/>
              </w:rPr>
              <w:t xml:space="preserve">mportant </w:t>
            </w:r>
            <w:proofErr w:type="spellStart"/>
            <w:r w:rsidR="00244644" w:rsidRPr="00244644">
              <w:rPr>
                <w:snapToGrid w:val="0"/>
              </w:rPr>
              <w:t>byproduct</w:t>
            </w:r>
            <w:proofErr w:type="spellEnd"/>
            <w:r w:rsidR="00244644" w:rsidRPr="00244644">
              <w:rPr>
                <w:snapToGrid w:val="0"/>
              </w:rPr>
              <w:t xml:space="preserve"> species </w:t>
            </w:r>
            <w:r>
              <w:rPr>
                <w:snapToGrid w:val="0"/>
              </w:rPr>
              <w:t>to be</w:t>
            </w:r>
            <w:r w:rsidR="00244644" w:rsidRPr="00244644">
              <w:rPr>
                <w:snapToGrid w:val="0"/>
              </w:rPr>
              <w:t xml:space="preserve"> </w:t>
            </w:r>
            <w:r>
              <w:rPr>
                <w:snapToGrid w:val="0"/>
              </w:rPr>
              <w:t>a</w:t>
            </w:r>
            <w:r w:rsidR="00244644" w:rsidRPr="00244644">
              <w:rPr>
                <w:snapToGrid w:val="0"/>
              </w:rPr>
              <w:t xml:space="preserve">lbacore, </w:t>
            </w:r>
            <w:proofErr w:type="spellStart"/>
            <w:r>
              <w:rPr>
                <w:snapToGrid w:val="0"/>
              </w:rPr>
              <w:t>l</w:t>
            </w:r>
            <w:r w:rsidR="00244644" w:rsidRPr="00244644">
              <w:rPr>
                <w:snapToGrid w:val="0"/>
              </w:rPr>
              <w:t>ongtail</w:t>
            </w:r>
            <w:proofErr w:type="spellEnd"/>
            <w:r w:rsidR="00244644" w:rsidRPr="00244644">
              <w:rPr>
                <w:snapToGrid w:val="0"/>
              </w:rPr>
              <w:t xml:space="preserve"> </w:t>
            </w:r>
            <w:r>
              <w:rPr>
                <w:snapToGrid w:val="0"/>
              </w:rPr>
              <w:t>t</w:t>
            </w:r>
            <w:r w:rsidR="00244644" w:rsidRPr="00244644">
              <w:rPr>
                <w:snapToGrid w:val="0"/>
              </w:rPr>
              <w:t xml:space="preserve">una, </w:t>
            </w:r>
            <w:proofErr w:type="spellStart"/>
            <w:r>
              <w:rPr>
                <w:snapToGrid w:val="0"/>
              </w:rPr>
              <w:t>e</w:t>
            </w:r>
            <w:r w:rsidR="00244644" w:rsidRPr="00244644">
              <w:rPr>
                <w:snapToGrid w:val="0"/>
              </w:rPr>
              <w:t>scolar</w:t>
            </w:r>
            <w:proofErr w:type="spellEnd"/>
            <w:r w:rsidR="00244644" w:rsidRPr="00244644">
              <w:rPr>
                <w:snapToGrid w:val="0"/>
              </w:rPr>
              <w:t xml:space="preserve">, </w:t>
            </w:r>
            <w:r>
              <w:rPr>
                <w:snapToGrid w:val="0"/>
              </w:rPr>
              <w:t>r</w:t>
            </w:r>
            <w:r w:rsidR="00244644" w:rsidRPr="00244644">
              <w:rPr>
                <w:snapToGrid w:val="0"/>
              </w:rPr>
              <w:t xml:space="preserve">udderfish, Ray's </w:t>
            </w:r>
            <w:r>
              <w:rPr>
                <w:snapToGrid w:val="0"/>
              </w:rPr>
              <w:t>b</w:t>
            </w:r>
            <w:r w:rsidR="00244644" w:rsidRPr="00244644">
              <w:rPr>
                <w:snapToGrid w:val="0"/>
              </w:rPr>
              <w:t xml:space="preserve">ream and </w:t>
            </w:r>
            <w:r>
              <w:rPr>
                <w:snapToGrid w:val="0"/>
              </w:rPr>
              <w:t>moonfish</w:t>
            </w:r>
            <w:r w:rsidR="00244644" w:rsidRPr="00244644">
              <w:rPr>
                <w:snapToGrid w:val="0"/>
              </w:rPr>
              <w:t>.</w:t>
            </w:r>
            <w:r w:rsidR="00244644">
              <w:rPr>
                <w:snapToGrid w:val="0"/>
              </w:rPr>
              <w:t xml:space="preserve"> The dominant </w:t>
            </w:r>
            <w:proofErr w:type="spellStart"/>
            <w:r w:rsidR="00244644">
              <w:rPr>
                <w:snapToGrid w:val="0"/>
              </w:rPr>
              <w:t>byproduct</w:t>
            </w:r>
            <w:proofErr w:type="spellEnd"/>
            <w:r w:rsidR="00244644">
              <w:rPr>
                <w:snapToGrid w:val="0"/>
              </w:rPr>
              <w:t xml:space="preserve"> species</w:t>
            </w:r>
            <w:r>
              <w:rPr>
                <w:snapToGrid w:val="0"/>
              </w:rPr>
              <w:t xml:space="preserve"> landed</w:t>
            </w:r>
            <w:r w:rsidR="00244644">
              <w:rPr>
                <w:snapToGrid w:val="0"/>
              </w:rPr>
              <w:t xml:space="preserve"> in 2011 and 2012 was albacore, with smaller amounts of Ray’s bream, </w:t>
            </w:r>
            <w:proofErr w:type="spellStart"/>
            <w:r w:rsidR="00244644">
              <w:rPr>
                <w:snapToGrid w:val="0"/>
              </w:rPr>
              <w:t>escolar</w:t>
            </w:r>
            <w:proofErr w:type="spellEnd"/>
            <w:r w:rsidR="00244644">
              <w:rPr>
                <w:snapToGrid w:val="0"/>
              </w:rPr>
              <w:t xml:space="preserve">, </w:t>
            </w:r>
            <w:proofErr w:type="spellStart"/>
            <w:r w:rsidR="00244644">
              <w:rPr>
                <w:snapToGrid w:val="0"/>
              </w:rPr>
              <w:t>mahi</w:t>
            </w:r>
            <w:proofErr w:type="spellEnd"/>
            <w:r w:rsidR="00244644">
              <w:rPr>
                <w:snapToGrid w:val="0"/>
              </w:rPr>
              <w:t> </w:t>
            </w:r>
            <w:proofErr w:type="spellStart"/>
            <w:r w:rsidR="00244644">
              <w:rPr>
                <w:snapToGrid w:val="0"/>
              </w:rPr>
              <w:t>mahi</w:t>
            </w:r>
            <w:proofErr w:type="spellEnd"/>
            <w:r w:rsidR="00244644">
              <w:rPr>
                <w:snapToGrid w:val="0"/>
              </w:rPr>
              <w:t xml:space="preserve"> and </w:t>
            </w:r>
            <w:r>
              <w:rPr>
                <w:snapToGrid w:val="0"/>
              </w:rPr>
              <w:t>rudderfish.</w:t>
            </w:r>
            <w:r w:rsidR="00724040">
              <w:rPr>
                <w:snapToGrid w:val="0"/>
              </w:rPr>
              <w:t xml:space="preserve"> </w:t>
            </w:r>
            <w:r>
              <w:rPr>
                <w:snapToGrid w:val="0"/>
              </w:rPr>
              <w:t>As highly migratory species</w:t>
            </w:r>
            <w:r w:rsidR="00724040">
              <w:rPr>
                <w:snapToGrid w:val="0"/>
              </w:rPr>
              <w:t>,</w:t>
            </w:r>
            <w:r>
              <w:rPr>
                <w:snapToGrid w:val="0"/>
              </w:rPr>
              <w:t xml:space="preserve"> albacore and </w:t>
            </w:r>
            <w:proofErr w:type="spellStart"/>
            <w:r>
              <w:rPr>
                <w:snapToGrid w:val="0"/>
              </w:rPr>
              <w:t>longtail</w:t>
            </w:r>
            <w:proofErr w:type="spellEnd"/>
            <w:r>
              <w:rPr>
                <w:snapToGrid w:val="0"/>
              </w:rPr>
              <w:t xml:space="preserve"> tuna are managed </w:t>
            </w:r>
            <w:r w:rsidR="00724040">
              <w:rPr>
                <w:snapToGrid w:val="0"/>
              </w:rPr>
              <w:t>internationally by the Indian Ocean Tuna Commission</w:t>
            </w:r>
            <w:r>
              <w:rPr>
                <w:snapToGrid w:val="0"/>
              </w:rPr>
              <w:t>.</w:t>
            </w:r>
          </w:p>
          <w:p w:rsidR="00817310" w:rsidRDefault="0041744F" w:rsidP="00F228A0">
            <w:pPr>
              <w:pStyle w:val="Heading3"/>
              <w:keepNext w:val="0"/>
              <w:pageBreakBefore/>
              <w:rPr>
                <w:rStyle w:val="Emphasis"/>
                <w:i/>
                <w:iCs w:val="0"/>
              </w:rPr>
            </w:pPr>
            <w:r>
              <w:rPr>
                <w:rStyle w:val="Emphasis"/>
                <w:i/>
                <w:iCs w:val="0"/>
              </w:rPr>
              <w:t>Albacore</w:t>
            </w:r>
          </w:p>
          <w:p w:rsidR="003C16AB" w:rsidRDefault="0041744F" w:rsidP="00F228A0">
            <w:pPr>
              <w:pageBreakBefore/>
            </w:pPr>
            <w:r>
              <w:t>A</w:t>
            </w:r>
            <w:r w:rsidR="00CC15EC" w:rsidRPr="008E7C9B">
              <w:t>lbacore</w:t>
            </w:r>
            <w:r>
              <w:t xml:space="preserve"> in the broader Indian Ocean is </w:t>
            </w:r>
            <w:r w:rsidR="00CE130A">
              <w:t>considered</w:t>
            </w:r>
            <w:r w:rsidR="00CC15EC">
              <w:t xml:space="preserve"> not </w:t>
            </w:r>
            <w:r w:rsidR="00CC15EC" w:rsidRPr="008E7C9B">
              <w:t xml:space="preserve">overfished, </w:t>
            </w:r>
            <w:r w:rsidR="00CC15EC">
              <w:t xml:space="preserve">but </w:t>
            </w:r>
            <w:r w:rsidR="00CC15EC" w:rsidRPr="008E7C9B">
              <w:t>subject to overfishing</w:t>
            </w:r>
            <w:r w:rsidR="003C16AB">
              <w:t xml:space="preserve">. </w:t>
            </w:r>
            <w:r w:rsidR="00CC15EC">
              <w:t>Patterson and Stephan (2014) r</w:t>
            </w:r>
            <w:r w:rsidR="0065622B">
              <w:t>eport that based on 2012 Indian </w:t>
            </w:r>
            <w:r w:rsidR="00CC15EC">
              <w:t xml:space="preserve">Ocean wide stock assessments, the total </w:t>
            </w:r>
            <w:r w:rsidR="00CC15EC" w:rsidRPr="00441149">
              <w:t xml:space="preserve">fishing mortality </w:t>
            </w:r>
            <w:r w:rsidR="00CC15EC">
              <w:t xml:space="preserve">of albacore in the </w:t>
            </w:r>
            <w:r w:rsidR="00CC15EC">
              <w:rPr>
                <w:snapToGrid w:val="0"/>
              </w:rPr>
              <w:t xml:space="preserve">Indian Ocean Tuna Commission area </w:t>
            </w:r>
            <w:r w:rsidR="00CC15EC" w:rsidRPr="00441149">
              <w:t xml:space="preserve">was estimated to be well above the level that </w:t>
            </w:r>
            <w:r w:rsidR="003C16AB" w:rsidRPr="00441149">
              <w:t>that would maintain</w:t>
            </w:r>
            <w:r w:rsidR="003C16AB">
              <w:t xml:space="preserve"> </w:t>
            </w:r>
            <w:r w:rsidR="003C16AB" w:rsidRPr="00441149">
              <w:t xml:space="preserve">catches at </w:t>
            </w:r>
            <w:r w:rsidR="00CC15EC">
              <w:t xml:space="preserve">maximum sustainable yield. </w:t>
            </w:r>
            <w:r w:rsidR="00CC15EC" w:rsidRPr="00441149">
              <w:t xml:space="preserve">The average </w:t>
            </w:r>
            <w:r w:rsidR="004522A9">
              <w:rPr>
                <w:snapToGrid w:val="0"/>
              </w:rPr>
              <w:t xml:space="preserve">Indian Ocean </w:t>
            </w:r>
            <w:r w:rsidR="00CC15EC" w:rsidRPr="00441149">
              <w:t>catches from 2007 to 2011 were around</w:t>
            </w:r>
            <w:r w:rsidR="00CC15EC">
              <w:t xml:space="preserve"> </w:t>
            </w:r>
            <w:r w:rsidR="00CC15EC" w:rsidRPr="00441149">
              <w:t xml:space="preserve">25 per cent higher than </w:t>
            </w:r>
            <w:r w:rsidR="00CC15EC">
              <w:t>the maximum sustainable yield</w:t>
            </w:r>
            <w:r w:rsidR="00CC15EC" w:rsidRPr="00441149">
              <w:t xml:space="preserve">. This high fishing mortality is </w:t>
            </w:r>
            <w:r w:rsidR="00B573EC">
              <w:t xml:space="preserve">considered </w:t>
            </w:r>
            <w:r w:rsidR="00CC15EC" w:rsidRPr="00441149">
              <w:t>likely</w:t>
            </w:r>
            <w:r w:rsidR="00CC15EC">
              <w:t xml:space="preserve"> </w:t>
            </w:r>
            <w:r w:rsidR="00CC15EC" w:rsidRPr="00441149">
              <w:t xml:space="preserve">to be related to piracy activities that have displaced </w:t>
            </w:r>
            <w:proofErr w:type="spellStart"/>
            <w:r w:rsidR="00CC15EC" w:rsidRPr="00441149">
              <w:t>longline</w:t>
            </w:r>
            <w:proofErr w:type="spellEnd"/>
            <w:r w:rsidR="00CC15EC" w:rsidRPr="00441149">
              <w:t xml:space="preserve"> effort to traditional</w:t>
            </w:r>
            <w:r w:rsidR="00CC15EC">
              <w:t xml:space="preserve"> </w:t>
            </w:r>
            <w:r w:rsidR="00CC15EC" w:rsidRPr="00441149">
              <w:t>albacore areas in the southern and eastern Indian Ocean.</w:t>
            </w:r>
          </w:p>
          <w:p w:rsidR="00CC15EC" w:rsidRDefault="00CC6DAA" w:rsidP="00F228A0">
            <w:pPr>
              <w:pageBreakBefore/>
            </w:pPr>
            <w:r>
              <w:t>Both the c</w:t>
            </w:r>
            <w:r w:rsidR="00CC15EC">
              <w:t>urrent and highest historical catch</w:t>
            </w:r>
            <w:r>
              <w:t>es</w:t>
            </w:r>
            <w:r w:rsidR="00CC15EC">
              <w:t xml:space="preserve"> of albacore in the </w:t>
            </w:r>
            <w:r>
              <w:t>Western Tuna and Billfish Fishery are</w:t>
            </w:r>
            <w:r w:rsidR="00CC15EC">
              <w:t xml:space="preserve"> less than .05 per cent of the </w:t>
            </w:r>
            <w:r w:rsidR="005D172F">
              <w:t xml:space="preserve">level of total </w:t>
            </w:r>
            <w:r w:rsidR="005D172F">
              <w:rPr>
                <w:snapToGrid w:val="0"/>
              </w:rPr>
              <w:t xml:space="preserve">Indian Ocean Tuna Commission area </w:t>
            </w:r>
            <w:r w:rsidR="005D172F">
              <w:t>catch that would support maximum sustainable yield.</w:t>
            </w:r>
          </w:p>
          <w:p w:rsidR="00CA3FBD" w:rsidRDefault="003C16AB" w:rsidP="00F228A0">
            <w:pPr>
              <w:pStyle w:val="Heading3"/>
              <w:keepNext w:val="0"/>
              <w:pageBreakBefore/>
            </w:pPr>
            <w:r>
              <w:t>Sharks</w:t>
            </w:r>
          </w:p>
          <w:p w:rsidR="00CA3FBD" w:rsidRDefault="003C16AB" w:rsidP="00F228A0">
            <w:pPr>
              <w:pageBreakBefore/>
            </w:pPr>
            <w:r>
              <w:t xml:space="preserve">A number of pelagic shark species have historically been taken as </w:t>
            </w:r>
            <w:proofErr w:type="spellStart"/>
            <w:r w:rsidR="001C09E6">
              <w:t>byproduct</w:t>
            </w:r>
            <w:proofErr w:type="spellEnd"/>
            <w:r>
              <w:t xml:space="preserve"> in the Western </w:t>
            </w:r>
            <w:r w:rsidR="00CC6DAA">
              <w:t>Tuna</w:t>
            </w:r>
            <w:r>
              <w:t xml:space="preserve"> and Billfish Fishery. </w:t>
            </w:r>
            <w:r w:rsidR="00CA3FBD" w:rsidRPr="00CA3FBD">
              <w:t>Although no shark species were identified</w:t>
            </w:r>
            <w:r w:rsidR="00CA3FBD">
              <w:t xml:space="preserve"> </w:t>
            </w:r>
            <w:r w:rsidR="00CA3FBD" w:rsidRPr="00CA3FBD">
              <w:t xml:space="preserve">as </w:t>
            </w:r>
            <w:r w:rsidR="0006732D">
              <w:t xml:space="preserve">being at </w:t>
            </w:r>
            <w:r w:rsidR="00CA3FBD" w:rsidRPr="00CA3FBD">
              <w:t>high risk</w:t>
            </w:r>
            <w:r w:rsidR="0006732D">
              <w:t xml:space="preserve"> from fishing</w:t>
            </w:r>
            <w:r w:rsidR="00CA3FBD" w:rsidRPr="00CA3FBD">
              <w:t xml:space="preserve">, </w:t>
            </w:r>
            <w:r>
              <w:t xml:space="preserve">based on the level of effort in the fishery at the time the assessment was undertaken, </w:t>
            </w:r>
            <w:r w:rsidR="00CA3FBD" w:rsidRPr="00CA3FBD">
              <w:t xml:space="preserve">an increase in effort could </w:t>
            </w:r>
            <w:r w:rsidR="004522A9">
              <w:t xml:space="preserve">potentially </w:t>
            </w:r>
            <w:r w:rsidR="00CA3FBD" w:rsidRPr="00CA3FBD">
              <w:t>move some species to a higher risk category.</w:t>
            </w:r>
            <w:r w:rsidR="00CA3FBD">
              <w:t xml:space="preserve"> </w:t>
            </w:r>
            <w:r w:rsidR="00CA3FBD" w:rsidRPr="00CA3FBD">
              <w:t>A priority action identified in the ecological risk management report</w:t>
            </w:r>
            <w:r>
              <w:t xml:space="preserve"> for the fishery</w:t>
            </w:r>
            <w:r w:rsidR="00CA3FBD" w:rsidRPr="00CA3FBD">
              <w:t xml:space="preserve"> is</w:t>
            </w:r>
            <w:r w:rsidR="00CA3FBD">
              <w:t xml:space="preserve"> </w:t>
            </w:r>
            <w:r w:rsidR="00CA3FBD" w:rsidRPr="00CA3FBD">
              <w:t>to monitor the catch and level of interaction with sharks. Management of shark</w:t>
            </w:r>
            <w:r w:rsidR="00CA3FBD">
              <w:t xml:space="preserve"> </w:t>
            </w:r>
            <w:r w:rsidR="00CA3FBD" w:rsidRPr="00CA3FBD">
              <w:t>interactions in this fishery will be reviewed if the landed amount of any one shark</w:t>
            </w:r>
            <w:r w:rsidR="00CA3FBD">
              <w:t xml:space="preserve"> </w:t>
            </w:r>
            <w:r w:rsidR="00CA3FBD" w:rsidRPr="00CA3FBD">
              <w:t>species exceeds 50 t within a year (</w:t>
            </w:r>
            <w:r w:rsidR="003C1CF2">
              <w:t>AFMA </w:t>
            </w:r>
            <w:r w:rsidR="00CA3FBD" w:rsidRPr="00CA3FBD">
              <w:t>2010). There is a limit of 20 sharks per trip</w:t>
            </w:r>
            <w:r w:rsidR="00CA3FBD">
              <w:t xml:space="preserve"> </w:t>
            </w:r>
            <w:r w:rsidR="00CA3FBD" w:rsidRPr="00CA3FBD">
              <w:t xml:space="preserve">when operating </w:t>
            </w:r>
            <w:r>
              <w:t>within</w:t>
            </w:r>
            <w:r w:rsidR="00CA3FBD" w:rsidRPr="00CA3FBD">
              <w:t xml:space="preserve"> the </w:t>
            </w:r>
            <w:r>
              <w:t>Australian Fishing Zone.</w:t>
            </w:r>
          </w:p>
          <w:p w:rsidR="00AE4B91" w:rsidRPr="007F7BCA" w:rsidRDefault="00AE4B91" w:rsidP="00F228A0">
            <w:pPr>
              <w:pStyle w:val="Heading3"/>
              <w:keepNext w:val="0"/>
              <w:pageBreakBefore/>
              <w:rPr>
                <w:rStyle w:val="Emphasis"/>
                <w:bCs/>
                <w:i/>
                <w:iCs w:val="0"/>
              </w:rPr>
            </w:pPr>
            <w:r w:rsidRPr="007F7BCA">
              <w:rPr>
                <w:rStyle w:val="Emphasis"/>
                <w:bCs/>
                <w:i/>
                <w:iCs w:val="0"/>
              </w:rPr>
              <w:t>Bait</w:t>
            </w:r>
          </w:p>
          <w:p w:rsidR="00103371" w:rsidRDefault="00103371" w:rsidP="00F228A0">
            <w:pPr>
              <w:pageBreakBefore/>
            </w:pPr>
            <w:r w:rsidRPr="00103371">
              <w:t>We</w:t>
            </w:r>
            <w:r w:rsidR="00AE4B91" w:rsidRPr="00103371">
              <w:t xml:space="preserve">stern Tuna and Billfish Fishery </w:t>
            </w:r>
            <w:r w:rsidRPr="00103371">
              <w:t xml:space="preserve">pelagic </w:t>
            </w:r>
            <w:proofErr w:type="spellStart"/>
            <w:r w:rsidRPr="00103371">
              <w:t>longliine</w:t>
            </w:r>
            <w:proofErr w:type="spellEnd"/>
            <w:r w:rsidRPr="00103371">
              <w:t xml:space="preserve"> </w:t>
            </w:r>
            <w:r w:rsidR="00AE4B91" w:rsidRPr="00103371">
              <w:t>operators may fish for bait for their own use</w:t>
            </w:r>
            <w:r w:rsidRPr="00103371">
              <w:t>.</w:t>
            </w:r>
          </w:p>
          <w:p w:rsidR="000C3D54" w:rsidRDefault="000C3D54" w:rsidP="00F228A0">
            <w:pPr>
              <w:pStyle w:val="Heading3"/>
              <w:keepNext w:val="0"/>
              <w:pageBreakBefore/>
            </w:pPr>
            <w:r>
              <w:t xml:space="preserve">Southern </w:t>
            </w:r>
            <w:proofErr w:type="spellStart"/>
            <w:r w:rsidR="005515FA">
              <w:t>b</w:t>
            </w:r>
            <w:r>
              <w:t>luefin</w:t>
            </w:r>
            <w:proofErr w:type="spellEnd"/>
            <w:r>
              <w:t xml:space="preserve"> </w:t>
            </w:r>
            <w:r w:rsidR="005515FA">
              <w:t>t</w:t>
            </w:r>
            <w:r>
              <w:t>una</w:t>
            </w:r>
          </w:p>
          <w:p w:rsidR="000C3D54" w:rsidRDefault="000C3D54" w:rsidP="00F228A0">
            <w:pPr>
              <w:pageBreakBefore/>
            </w:pPr>
            <w:r w:rsidRPr="000C3D54">
              <w:rPr>
                <w:iCs/>
              </w:rPr>
              <w:t xml:space="preserve">The area of the </w:t>
            </w:r>
            <w:r>
              <w:t>We</w:t>
            </w:r>
            <w:r w:rsidRPr="000C3D54">
              <w:t xml:space="preserve">stern Tuna and Billfish Fishery overlaps with the area of the Commonwealth Southern </w:t>
            </w:r>
            <w:proofErr w:type="spellStart"/>
            <w:r w:rsidRPr="000C3D54">
              <w:t>Bluefin</w:t>
            </w:r>
            <w:proofErr w:type="spellEnd"/>
            <w:r w:rsidRPr="000C3D54">
              <w:t xml:space="preserve"> Tuna Fishery. </w:t>
            </w:r>
            <w:r w:rsidRPr="000C3D54">
              <w:rPr>
                <w:iCs/>
              </w:rPr>
              <w:t xml:space="preserve">Take of southern </w:t>
            </w:r>
            <w:proofErr w:type="spellStart"/>
            <w:r w:rsidRPr="000C3D54">
              <w:rPr>
                <w:iCs/>
              </w:rPr>
              <w:t>bluefin</w:t>
            </w:r>
            <w:proofErr w:type="spellEnd"/>
            <w:r w:rsidRPr="000C3D54">
              <w:rPr>
                <w:iCs/>
              </w:rPr>
              <w:t xml:space="preserve"> tuna is not allowed under the </w:t>
            </w:r>
            <w:r>
              <w:t>We</w:t>
            </w:r>
            <w:r w:rsidRPr="000C3D54">
              <w:t xml:space="preserve">stern Tuna and Billfish Fishery Management Plan 2010. Some operators fishing in the </w:t>
            </w:r>
            <w:r w:rsidR="004A1870">
              <w:t>Western</w:t>
            </w:r>
            <w:r w:rsidRPr="000C3D54">
              <w:t xml:space="preserve"> Tuna and Billfish Fishery also take southern </w:t>
            </w:r>
            <w:proofErr w:type="spellStart"/>
            <w:r w:rsidRPr="000C3D54">
              <w:t>bluefin</w:t>
            </w:r>
            <w:proofErr w:type="spellEnd"/>
            <w:r w:rsidRPr="000C3D54">
              <w:t xml:space="preserve"> tuna in accordance with the Southern </w:t>
            </w:r>
            <w:proofErr w:type="spellStart"/>
            <w:r w:rsidRPr="000C3D54">
              <w:t>Bluefin</w:t>
            </w:r>
            <w:proofErr w:type="spellEnd"/>
            <w:r w:rsidRPr="000C3D54">
              <w:t xml:space="preserve"> Tuna Fishery Management Plan 1995. All catch of southern </w:t>
            </w:r>
            <w:proofErr w:type="spellStart"/>
            <w:r w:rsidRPr="000C3D54">
              <w:t>bluefin</w:t>
            </w:r>
            <w:proofErr w:type="spellEnd"/>
            <w:r w:rsidRPr="000C3D54">
              <w:t xml:space="preserve"> tuna that are not released in an alive and vigorous state has to be covered by quota under the Southern </w:t>
            </w:r>
            <w:proofErr w:type="spellStart"/>
            <w:r w:rsidRPr="000C3D54">
              <w:t>Bluefin</w:t>
            </w:r>
            <w:proofErr w:type="spellEnd"/>
            <w:r w:rsidRPr="000C3D54">
              <w:t xml:space="preserve"> Tuna Fishery Management Plan 1995.</w:t>
            </w:r>
          </w:p>
          <w:p w:rsidR="00F228A0" w:rsidRDefault="00F228A0" w:rsidP="00F228A0">
            <w:pPr>
              <w:pStyle w:val="Heading3"/>
              <w:keepNext w:val="0"/>
              <w:pageBreakBefore/>
            </w:pPr>
          </w:p>
          <w:p w:rsidR="00F228A0" w:rsidRPr="00F228A0" w:rsidRDefault="00F228A0" w:rsidP="00F228A0">
            <w:pPr>
              <w:pStyle w:val="Heading3"/>
              <w:keepNext w:val="0"/>
              <w:pageBreakBefore/>
              <w:jc w:val="right"/>
              <w:rPr>
                <w:b w:val="0"/>
              </w:rPr>
            </w:pPr>
            <w:proofErr w:type="gramStart"/>
            <w:r w:rsidRPr="00F228A0">
              <w:rPr>
                <w:b w:val="0"/>
              </w:rPr>
              <w:t>...cont.</w:t>
            </w:r>
            <w:proofErr w:type="gramEnd"/>
          </w:p>
          <w:p w:rsidR="00AE4B91" w:rsidRPr="007F7BCA" w:rsidRDefault="00AE4B91" w:rsidP="00F228A0">
            <w:pPr>
              <w:pStyle w:val="Heading3"/>
              <w:keepNext w:val="0"/>
              <w:pageBreakBefore/>
            </w:pPr>
            <w:r w:rsidRPr="007F7BCA">
              <w:t>Harvest strategy</w:t>
            </w:r>
          </w:p>
          <w:p w:rsidR="00FD5BC3" w:rsidRPr="00453590" w:rsidRDefault="00B35119" w:rsidP="00F228A0">
            <w:pPr>
              <w:pageBreakBefore/>
              <w:rPr>
                <w:rStyle w:val="Emphasis"/>
                <w:i w:val="0"/>
                <w:iCs w:val="0"/>
              </w:rPr>
            </w:pPr>
            <w:r>
              <w:t>AFMA</w:t>
            </w:r>
            <w:r w:rsidR="00AE4B91" w:rsidRPr="007F7BCA">
              <w:t xml:space="preserve"> intends to develop indicators and reference points for </w:t>
            </w:r>
            <w:proofErr w:type="spellStart"/>
            <w:r w:rsidR="00AE4B91" w:rsidRPr="007F7BCA">
              <w:t>byproduct</w:t>
            </w:r>
            <w:proofErr w:type="spellEnd"/>
            <w:r w:rsidR="00AE4B91" w:rsidRPr="007F7BCA">
              <w:t xml:space="preserve"> species as part of further development of the </w:t>
            </w:r>
            <w:r w:rsidR="00FD5BC3">
              <w:t xml:space="preserve">Australian Tuna and Billfish Fishery Harvest Strategy Framework and </w:t>
            </w:r>
            <w:r w:rsidR="00F228A0">
              <w:t>is supporting</w:t>
            </w:r>
            <w:r w:rsidR="00AE4B91" w:rsidRPr="007F7BCA">
              <w:t xml:space="preserve"> research to develop </w:t>
            </w:r>
            <w:proofErr w:type="spellStart"/>
            <w:r w:rsidR="00AE4B91" w:rsidRPr="007F7BCA">
              <w:t>byproduct</w:t>
            </w:r>
            <w:proofErr w:type="spellEnd"/>
            <w:r w:rsidR="00AE4B91" w:rsidRPr="007F7BCA">
              <w:t xml:space="preserve"> indicators and reference points.</w:t>
            </w:r>
          </w:p>
        </w:tc>
      </w:tr>
      <w:tr w:rsidR="001F757E" w:rsidRPr="00EC24A5" w:rsidTr="008D0DD7">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1F757E" w:rsidRPr="00EC24A5" w:rsidRDefault="001F757E" w:rsidP="001F757E">
            <w:pPr>
              <w:pStyle w:val="Heading2"/>
              <w:keepNext w:val="0"/>
              <w:rPr>
                <w:snapToGrid w:val="0"/>
              </w:rPr>
            </w:pPr>
            <w:r>
              <w:rPr>
                <w:snapToGrid w:val="0"/>
              </w:rPr>
              <w:t>Gear</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1F757E" w:rsidRPr="00EC24A5" w:rsidRDefault="001F757E" w:rsidP="001F757E">
            <w:pPr>
              <w:spacing w:after="120"/>
              <w:rPr>
                <w:rFonts w:cs="Arial"/>
              </w:rPr>
            </w:pPr>
            <w:r>
              <w:rPr>
                <w:rFonts w:cs="Arial"/>
              </w:rPr>
              <w:t xml:space="preserve">The </w:t>
            </w:r>
            <w:r>
              <w:t>Western Tuna and Billfish Fishery Management Plan 2005 sets out the permitted fishing gear —</w:t>
            </w:r>
            <w:r>
              <w:rPr>
                <w:snapToGrid w:val="0"/>
              </w:rPr>
              <w:t xml:space="preserve"> pelagic </w:t>
            </w:r>
            <w:proofErr w:type="spellStart"/>
            <w:r>
              <w:rPr>
                <w:snapToGrid w:val="0"/>
              </w:rPr>
              <w:t>longline</w:t>
            </w:r>
            <w:proofErr w:type="spellEnd"/>
            <w:r>
              <w:rPr>
                <w:snapToGrid w:val="0"/>
              </w:rPr>
              <w:t>, minor line or purse seine equipment.</w:t>
            </w:r>
          </w:p>
        </w:tc>
      </w:tr>
      <w:tr w:rsidR="00884838" w:rsidRPr="00EC24A5" w:rsidTr="008D0DD7">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884838" w:rsidRPr="00EC24A5" w:rsidRDefault="00884838" w:rsidP="00884838">
            <w:pPr>
              <w:pStyle w:val="Heading2"/>
              <w:keepNext w:val="0"/>
              <w:rPr>
                <w:snapToGrid w:val="0"/>
              </w:rPr>
            </w:pPr>
            <w:r w:rsidRPr="00EC24A5">
              <w:rPr>
                <w:snapToGrid w:val="0"/>
              </w:rPr>
              <w:t>Season</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884838" w:rsidRPr="00EC24A5" w:rsidRDefault="00917BC8" w:rsidP="00104E27">
            <w:pPr>
              <w:spacing w:after="120"/>
              <w:rPr>
                <w:rFonts w:cs="Arial"/>
              </w:rPr>
            </w:pPr>
            <w:r w:rsidRPr="00917BC8">
              <w:rPr>
                <w:rFonts w:cs="Arial"/>
              </w:rPr>
              <w:t>The fishing season runs for 12 months commencing on 1 February and ending on 31 January the following year.</w:t>
            </w:r>
          </w:p>
        </w:tc>
      </w:tr>
      <w:tr w:rsidR="00DA6A89" w:rsidRPr="00EC24A5" w:rsidTr="00EE2D87">
        <w:trPr>
          <w:cantSplit/>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EC24A5" w:rsidRDefault="00DA6A89" w:rsidP="0090023E">
            <w:pPr>
              <w:pStyle w:val="Heading2"/>
              <w:keepNext w:val="0"/>
              <w:rPr>
                <w:snapToGrid w:val="0"/>
              </w:rPr>
            </w:pPr>
            <w:r w:rsidRPr="00803831">
              <w:rPr>
                <w:snapToGrid w:val="0"/>
              </w:rPr>
              <w:t xml:space="preserve">Commercial harvest </w:t>
            </w:r>
            <w:r w:rsidR="00B25323" w:rsidRPr="00803831">
              <w:rPr>
                <w:snapToGrid w:val="0"/>
              </w:rPr>
              <w:t>201</w:t>
            </w:r>
            <w:r w:rsidR="0090023E" w:rsidRPr="00803831">
              <w:rPr>
                <w:snapToGrid w:val="0"/>
              </w:rPr>
              <w:t>3</w:t>
            </w:r>
          </w:p>
        </w:tc>
        <w:tc>
          <w:tcPr>
            <w:tcW w:w="8163" w:type="dxa"/>
            <w:tcBorders>
              <w:top w:val="single" w:sz="4" w:space="0" w:color="auto"/>
              <w:left w:val="single" w:sz="4" w:space="0" w:color="auto"/>
              <w:bottom w:val="single" w:sz="4" w:space="0" w:color="auto"/>
              <w:right w:val="single" w:sz="4" w:space="0" w:color="auto"/>
            </w:tcBorders>
          </w:tcPr>
          <w:p w:rsidR="0090023E" w:rsidRDefault="0090023E" w:rsidP="00EA121A">
            <w:pPr>
              <w:numPr>
                <w:ilvl w:val="0"/>
                <w:numId w:val="25"/>
              </w:numPr>
              <w:spacing w:after="120"/>
              <w:rPr>
                <w:snapToGrid w:val="0"/>
              </w:rPr>
            </w:pPr>
            <w:proofErr w:type="spellStart"/>
            <w:r>
              <w:rPr>
                <w:snapToGrid w:val="0"/>
              </w:rPr>
              <w:t>bigeye</w:t>
            </w:r>
            <w:proofErr w:type="spellEnd"/>
            <w:r>
              <w:rPr>
                <w:snapToGrid w:val="0"/>
              </w:rPr>
              <w:t xml:space="preserve"> </w:t>
            </w:r>
            <w:r w:rsidR="00803831">
              <w:rPr>
                <w:snapToGrid w:val="0"/>
              </w:rPr>
              <w:t>t</w:t>
            </w:r>
            <w:r>
              <w:rPr>
                <w:snapToGrid w:val="0"/>
              </w:rPr>
              <w:t>una</w:t>
            </w:r>
            <w:r>
              <w:rPr>
                <w:snapToGrid w:val="0"/>
              </w:rPr>
              <w:tab/>
            </w:r>
            <w:r>
              <w:rPr>
                <w:snapToGrid w:val="0"/>
              </w:rPr>
              <w:tab/>
              <w:t>–</w:t>
            </w:r>
            <w:r w:rsidR="004C4A3F">
              <w:rPr>
                <w:snapToGrid w:val="0"/>
              </w:rPr>
              <w:t xml:space="preserve"> </w:t>
            </w:r>
            <w:r>
              <w:rPr>
                <w:snapToGrid w:val="0"/>
              </w:rPr>
              <w:t xml:space="preserve"> </w:t>
            </w:r>
            <w:r w:rsidR="004C4A3F">
              <w:rPr>
                <w:snapToGrid w:val="0"/>
              </w:rPr>
              <w:t xml:space="preserve"> </w:t>
            </w:r>
            <w:r>
              <w:rPr>
                <w:snapToGrid w:val="0"/>
              </w:rPr>
              <w:t>91 t</w:t>
            </w:r>
          </w:p>
          <w:p w:rsidR="0090023E" w:rsidRDefault="0090023E" w:rsidP="00EA121A">
            <w:pPr>
              <w:numPr>
                <w:ilvl w:val="0"/>
                <w:numId w:val="25"/>
              </w:numPr>
              <w:spacing w:after="120"/>
              <w:rPr>
                <w:snapToGrid w:val="0"/>
              </w:rPr>
            </w:pPr>
            <w:r>
              <w:rPr>
                <w:snapToGrid w:val="0"/>
              </w:rPr>
              <w:t>broadbill swordfish</w:t>
            </w:r>
            <w:r>
              <w:rPr>
                <w:snapToGrid w:val="0"/>
              </w:rPr>
              <w:tab/>
              <w:t>– 204 t</w:t>
            </w:r>
          </w:p>
          <w:p w:rsidR="0090023E" w:rsidRDefault="0090023E" w:rsidP="00EA121A">
            <w:pPr>
              <w:numPr>
                <w:ilvl w:val="0"/>
                <w:numId w:val="25"/>
              </w:numPr>
              <w:spacing w:after="120"/>
              <w:rPr>
                <w:snapToGrid w:val="0"/>
              </w:rPr>
            </w:pPr>
            <w:r>
              <w:rPr>
                <w:snapToGrid w:val="0"/>
              </w:rPr>
              <w:t xml:space="preserve">striped marlin </w:t>
            </w:r>
            <w:r>
              <w:rPr>
                <w:snapToGrid w:val="0"/>
              </w:rPr>
              <w:tab/>
            </w:r>
            <w:r>
              <w:rPr>
                <w:snapToGrid w:val="0"/>
              </w:rPr>
              <w:tab/>
              <w:t>–     2 t</w:t>
            </w:r>
          </w:p>
          <w:p w:rsidR="0090023E" w:rsidRDefault="0090023E" w:rsidP="00EA121A">
            <w:pPr>
              <w:numPr>
                <w:ilvl w:val="0"/>
                <w:numId w:val="25"/>
              </w:numPr>
              <w:spacing w:after="120"/>
              <w:rPr>
                <w:snapToGrid w:val="0"/>
              </w:rPr>
            </w:pPr>
            <w:proofErr w:type="spellStart"/>
            <w:r>
              <w:rPr>
                <w:snapToGrid w:val="0"/>
              </w:rPr>
              <w:t>yellowfin</w:t>
            </w:r>
            <w:proofErr w:type="spellEnd"/>
            <w:r>
              <w:rPr>
                <w:snapToGrid w:val="0"/>
              </w:rPr>
              <w:t xml:space="preserve"> </w:t>
            </w:r>
            <w:r w:rsidR="004522A9">
              <w:rPr>
                <w:snapToGrid w:val="0"/>
              </w:rPr>
              <w:t>t</w:t>
            </w:r>
            <w:r>
              <w:rPr>
                <w:snapToGrid w:val="0"/>
              </w:rPr>
              <w:t xml:space="preserve">una </w:t>
            </w:r>
            <w:r>
              <w:rPr>
                <w:snapToGrid w:val="0"/>
              </w:rPr>
              <w:tab/>
            </w:r>
            <w:r w:rsidR="004522A9">
              <w:rPr>
                <w:snapToGrid w:val="0"/>
              </w:rPr>
              <w:tab/>
            </w:r>
            <w:r>
              <w:rPr>
                <w:snapToGrid w:val="0"/>
              </w:rPr>
              <w:t>–   40 t</w:t>
            </w:r>
          </w:p>
          <w:p w:rsidR="001F1F98" w:rsidRPr="005E1BF4" w:rsidRDefault="0090023E" w:rsidP="00EA121A">
            <w:pPr>
              <w:numPr>
                <w:ilvl w:val="0"/>
                <w:numId w:val="26"/>
              </w:numPr>
              <w:spacing w:after="120"/>
              <w:rPr>
                <w:snapToGrid w:val="0"/>
              </w:rPr>
            </w:pPr>
            <w:r>
              <w:rPr>
                <w:snapToGrid w:val="0"/>
              </w:rPr>
              <w:t xml:space="preserve">albacore </w:t>
            </w:r>
            <w:r>
              <w:rPr>
                <w:snapToGrid w:val="0"/>
              </w:rPr>
              <w:tab/>
            </w:r>
            <w:r>
              <w:rPr>
                <w:snapToGrid w:val="0"/>
              </w:rPr>
              <w:tab/>
              <w:t>–   14 t</w:t>
            </w:r>
          </w:p>
        </w:tc>
      </w:tr>
      <w:tr w:rsidR="00DA6A89" w:rsidRPr="00EC24A5"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EC24A5" w:rsidRDefault="00DA6A89" w:rsidP="00CE43C3">
            <w:pPr>
              <w:pStyle w:val="Tabletext"/>
              <w:rPr>
                <w:rFonts w:cs="Arial"/>
                <w:b/>
                <w:snapToGrid w:val="0"/>
              </w:rPr>
            </w:pPr>
            <w:r w:rsidRPr="00EC24A5">
              <w:rPr>
                <w:rFonts w:cs="Arial"/>
                <w:b/>
                <w:snapToGrid w:val="0"/>
              </w:rPr>
              <w:t>Value of commercial harvest</w:t>
            </w:r>
            <w:r w:rsidR="008448AE" w:rsidRPr="00EC24A5">
              <w:rPr>
                <w:rFonts w:cs="Arial"/>
                <w:b/>
                <w:snapToGrid w:val="0"/>
              </w:rPr>
              <w:t xml:space="preserve"> </w:t>
            </w:r>
            <w:r w:rsidR="00B25323" w:rsidRPr="00EC24A5">
              <w:rPr>
                <w:rFonts w:cs="Arial"/>
                <w:b/>
                <w:snapToGrid w:val="0"/>
              </w:rPr>
              <w:t>201</w:t>
            </w:r>
            <w:r w:rsidR="00CE43C3">
              <w:rPr>
                <w:rFonts w:cs="Arial"/>
                <w:b/>
                <w:snapToGrid w:val="0"/>
              </w:rPr>
              <w:t>3</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787D43" w:rsidRPr="00EC24A5" w:rsidRDefault="00803831" w:rsidP="00803831">
            <w:pPr>
              <w:rPr>
                <w:rFonts w:cs="Arial"/>
                <w:snapToGrid w:val="0"/>
              </w:rPr>
            </w:pPr>
            <w:r>
              <w:t>The value of catch is not reported due to the small numbers of vessel operating in the fishery.</w:t>
            </w:r>
          </w:p>
        </w:tc>
      </w:tr>
      <w:tr w:rsidR="00DA6A89" w:rsidRPr="00EC24A5" w:rsidTr="0046710A">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EC24A5" w:rsidRDefault="00DA6A89" w:rsidP="001F5ED5">
            <w:pPr>
              <w:pStyle w:val="Heading2"/>
              <w:keepNext w:val="0"/>
              <w:rPr>
                <w:snapToGrid w:val="0"/>
              </w:rPr>
            </w:pPr>
            <w:r w:rsidRPr="00EC24A5">
              <w:rPr>
                <w:snapToGrid w:val="0"/>
              </w:rPr>
              <w:t xml:space="preserve">Take by other sectors </w:t>
            </w:r>
          </w:p>
          <w:p w:rsidR="00EE2D87" w:rsidRDefault="00EE2D87"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46710A" w:rsidRDefault="0046710A" w:rsidP="001F5ED5">
            <w:pPr>
              <w:rPr>
                <w:rFonts w:cs="Arial"/>
              </w:rPr>
            </w:pPr>
          </w:p>
          <w:p w:rsidR="00EE2D87" w:rsidRPr="00EC24A5" w:rsidRDefault="00EE2D87" w:rsidP="003C1CF2">
            <w:pPr>
              <w:rPr>
                <w:rFonts w:cs="Arial"/>
                <w:b/>
              </w:rPr>
            </w:pP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453590" w:rsidRPr="007F7BCA" w:rsidRDefault="00453590" w:rsidP="00453590">
            <w:pPr>
              <w:pStyle w:val="Heading3"/>
              <w:keepNext w:val="0"/>
            </w:pPr>
            <w:r w:rsidRPr="007F7BCA">
              <w:t xml:space="preserve">Other commercial fisheries </w:t>
            </w:r>
          </w:p>
          <w:p w:rsidR="00413040" w:rsidRDefault="00803831" w:rsidP="00803831">
            <w:r>
              <w:t xml:space="preserve">Catches of tuna in other fisheries </w:t>
            </w:r>
            <w:r w:rsidR="00226D46">
              <w:t xml:space="preserve">operating in the area of the Western Tuna and Billfish Fishery </w:t>
            </w:r>
            <w:r>
              <w:t>are generally low and restricted by</w:t>
            </w:r>
            <w:r w:rsidR="00453590">
              <w:t xml:space="preserve"> small trip limits. The Eastern </w:t>
            </w:r>
            <w:r>
              <w:t xml:space="preserve">Tuna and Billfish Fishery operates in waters adjacent to the </w:t>
            </w:r>
            <w:r w:rsidR="00453590">
              <w:t>Western </w:t>
            </w:r>
            <w:r w:rsidR="00F42C19">
              <w:t xml:space="preserve">Tuna and Billfish Fishery </w:t>
            </w:r>
            <w:r>
              <w:t xml:space="preserve">but genetic studies have found differences between </w:t>
            </w:r>
            <w:r>
              <w:rPr>
                <w:rFonts w:cs="Arial"/>
              </w:rPr>
              <w:t>target species stocks in the Pacif</w:t>
            </w:r>
            <w:r w:rsidR="00F42C19">
              <w:rPr>
                <w:rFonts w:cs="Arial"/>
              </w:rPr>
              <w:t>ic Ocean compared to the Indian </w:t>
            </w:r>
            <w:r>
              <w:rPr>
                <w:rFonts w:cs="Arial"/>
              </w:rPr>
              <w:t>Ocean.</w:t>
            </w:r>
          </w:p>
          <w:p w:rsidR="00413040" w:rsidRPr="007F7BCA" w:rsidRDefault="00413040" w:rsidP="00413040">
            <w:r w:rsidRPr="007F7BCA">
              <w:t xml:space="preserve">The </w:t>
            </w:r>
            <w:r>
              <w:t>We</w:t>
            </w:r>
            <w:r w:rsidRPr="007F7BCA">
              <w:t xml:space="preserve">stern Skipjack Tuna Fishery operates in the area of the </w:t>
            </w:r>
            <w:r>
              <w:t>We</w:t>
            </w:r>
            <w:r w:rsidRPr="007F7BCA">
              <w:t xml:space="preserve">stern Tuna and Billfish Fishery. Incidental take of </w:t>
            </w:r>
            <w:r>
              <w:t>We</w:t>
            </w:r>
            <w:r w:rsidRPr="007F7BCA">
              <w:t xml:space="preserve">stern Tuna and Billfish Fishery quota species in the </w:t>
            </w:r>
            <w:r>
              <w:t>We</w:t>
            </w:r>
            <w:r w:rsidRPr="007F7BCA">
              <w:t xml:space="preserve">stern Skipjack Tuna Fishery must be covered by quota allocated under the </w:t>
            </w:r>
            <w:r>
              <w:t>We</w:t>
            </w:r>
            <w:r w:rsidRPr="007F7BCA">
              <w:t xml:space="preserve">stern Tuna and Billfish Fishery Management Plan 2010. No vessels </w:t>
            </w:r>
            <w:r w:rsidR="00A02A6E">
              <w:t xml:space="preserve">have </w:t>
            </w:r>
            <w:r w:rsidRPr="007F7BCA">
              <w:t xml:space="preserve">operated in the </w:t>
            </w:r>
            <w:r>
              <w:t>We</w:t>
            </w:r>
            <w:r w:rsidRPr="007F7BCA">
              <w:t xml:space="preserve">stern Skipjack Tuna Fishery </w:t>
            </w:r>
            <w:r w:rsidR="00A02A6E">
              <w:t>since 2011.</w:t>
            </w:r>
          </w:p>
          <w:p w:rsidR="00413040" w:rsidRDefault="00413040" w:rsidP="00803831">
            <w:r w:rsidRPr="007F7BCA">
              <w:t xml:space="preserve">A number of </w:t>
            </w:r>
            <w:r>
              <w:t>We</w:t>
            </w:r>
            <w:r w:rsidRPr="007F7BCA">
              <w:t xml:space="preserve">stern Tuna and Billfish Fishery </w:t>
            </w:r>
            <w:proofErr w:type="spellStart"/>
            <w:r w:rsidRPr="007F7BCA">
              <w:t>byproduct</w:t>
            </w:r>
            <w:proofErr w:type="spellEnd"/>
            <w:r w:rsidRPr="007F7BCA">
              <w:t xml:space="preserve"> species which are also taken in </w:t>
            </w:r>
            <w:r>
              <w:t>state</w:t>
            </w:r>
            <w:r w:rsidRPr="007F7BCA">
              <w:t xml:space="preserve"> </w:t>
            </w:r>
            <w:r>
              <w:t xml:space="preserve">and Northern Territory </w:t>
            </w:r>
            <w:r w:rsidRPr="007F7BCA">
              <w:t>managed fisheries are subject to trip limits set in conjunction with the relevant state fisheries management agencies.</w:t>
            </w:r>
          </w:p>
          <w:p w:rsidR="004B4E17" w:rsidRPr="00EC24A5" w:rsidRDefault="004B4E17" w:rsidP="001F5ED5">
            <w:pPr>
              <w:pStyle w:val="Heading3"/>
              <w:keepNext w:val="0"/>
            </w:pPr>
            <w:r w:rsidRPr="00EC24A5">
              <w:t>Recreational and charter fishing</w:t>
            </w:r>
          </w:p>
          <w:p w:rsidR="000135D3" w:rsidRDefault="005A18CF" w:rsidP="00F42C19">
            <w:r w:rsidRPr="007F7BCA">
              <w:t xml:space="preserve">Recreational and game fishers also target tuna, marlin and sharks in the area of the </w:t>
            </w:r>
            <w:r>
              <w:t>We</w:t>
            </w:r>
            <w:r w:rsidRPr="007F7BCA">
              <w:t xml:space="preserve">stern Tuna and Billfish Fishery. </w:t>
            </w:r>
            <w:proofErr w:type="spellStart"/>
            <w:r>
              <w:t>Longtail</w:t>
            </w:r>
            <w:proofErr w:type="spellEnd"/>
            <w:r>
              <w:t xml:space="preserve"> tuna is a popular species with recreational fishers in Australia, as are marlin species. </w:t>
            </w:r>
            <w:r w:rsidRPr="007F7BCA">
              <w:t xml:space="preserve">Operators in the </w:t>
            </w:r>
            <w:r w:rsidR="00F42C19">
              <w:t>Western </w:t>
            </w:r>
            <w:r w:rsidRPr="007F7BCA">
              <w:t xml:space="preserve">Tuna and Billfish Fishery are prohibited from retaining blue marlin and black marlin and catch limits apply to the harvest of </w:t>
            </w:r>
            <w:proofErr w:type="spellStart"/>
            <w:r w:rsidRPr="007F7BCA">
              <w:t>longtail</w:t>
            </w:r>
            <w:proofErr w:type="spellEnd"/>
            <w:r w:rsidRPr="007F7BCA">
              <w:t xml:space="preserve"> tuna, in recognition of the importance of these species</w:t>
            </w:r>
            <w:r w:rsidR="00D23873">
              <w:t xml:space="preserve"> to recreational and charter fishing.</w:t>
            </w:r>
          </w:p>
          <w:p w:rsidR="00226D46" w:rsidRPr="00D23873" w:rsidRDefault="00226D46" w:rsidP="003C1CF2">
            <w:pPr>
              <w:pStyle w:val="Tabletext"/>
            </w:pPr>
            <w:r>
              <w:t>The Western Tuna and Billfish Fishery Management Plan 2005</w:t>
            </w:r>
            <w:r w:rsidRPr="00495B81">
              <w:t xml:space="preserve"> </w:t>
            </w:r>
            <w:proofErr w:type="gramStart"/>
            <w:r w:rsidRPr="00495B81">
              <w:t>requires</w:t>
            </w:r>
            <w:proofErr w:type="gramEnd"/>
            <w:r w:rsidRPr="00495B81">
              <w:t xml:space="preserve"> the take of </w:t>
            </w:r>
            <w:r>
              <w:t>tuna and billfish</w:t>
            </w:r>
            <w:r w:rsidRPr="00495B81">
              <w:t xml:space="preserve"> species by other users of the fishery, such as recreational fishers,</w:t>
            </w:r>
            <w:r>
              <w:t xml:space="preserve"> </w:t>
            </w:r>
            <w:r w:rsidRPr="00495B81">
              <w:t>to be taken into account when setting total allowable</w:t>
            </w:r>
            <w:r>
              <w:t xml:space="preserve"> </w:t>
            </w:r>
            <w:r w:rsidRPr="00495B81">
              <w:t>commercial catch</w:t>
            </w:r>
            <w:r>
              <w:t>es</w:t>
            </w:r>
            <w:r w:rsidRPr="00495B81">
              <w:t>.</w:t>
            </w:r>
          </w:p>
        </w:tc>
      </w:tr>
      <w:tr w:rsidR="00DA6A89" w:rsidRPr="00EC24A5" w:rsidTr="00B123D7">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EC24A5" w:rsidRDefault="00DA6A89" w:rsidP="00CE43C3">
            <w:pPr>
              <w:pStyle w:val="Heading2"/>
              <w:keepNext w:val="0"/>
              <w:rPr>
                <w:snapToGrid w:val="0"/>
              </w:rPr>
            </w:pPr>
            <w:r w:rsidRPr="00EC24A5">
              <w:rPr>
                <w:snapToGrid w:val="0"/>
              </w:rPr>
              <w:t>Commercial licences issued</w:t>
            </w:r>
            <w:r w:rsidR="00AA7DFD" w:rsidRPr="00EC24A5">
              <w:rPr>
                <w:snapToGrid w:val="0"/>
              </w:rPr>
              <w:t xml:space="preserve"> 201</w:t>
            </w:r>
            <w:r w:rsidR="00CE43C3">
              <w:rPr>
                <w:snapToGrid w:val="0"/>
              </w:rPr>
              <w:t>3</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B123D7" w:rsidRPr="00EC24A5" w:rsidRDefault="00CE43C3" w:rsidP="00CE43C3">
            <w:r w:rsidRPr="00CE43C3">
              <w:t>95</w:t>
            </w:r>
            <w:r>
              <w:t xml:space="preserve"> boat statutory fishing rights have been issued for the Western Tuna and Billfish Fishery. Only four vessels operated in the fishery in 2013, similar to the number of participants over the past 10 years.</w:t>
            </w:r>
          </w:p>
        </w:tc>
      </w:tr>
      <w:tr w:rsidR="00DA6A89" w:rsidRPr="00EC24A5"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083480" w:rsidRPr="00EC24A5" w:rsidRDefault="001367AD" w:rsidP="00B03591">
            <w:pPr>
              <w:pStyle w:val="Heading2"/>
              <w:keepNext w:val="0"/>
              <w:rPr>
                <w:snapToGrid w:val="0"/>
              </w:rPr>
            </w:pPr>
            <w:r w:rsidRPr="00EC24A5">
              <w:rPr>
                <w:snapToGrid w:val="0"/>
              </w:rPr>
              <w:t>Management</w:t>
            </w:r>
          </w:p>
          <w:p w:rsidR="004701B1" w:rsidRDefault="004701B1" w:rsidP="00B03591">
            <w:pPr>
              <w:pStyle w:val="Heading2"/>
              <w:keepNext w:val="0"/>
              <w:rPr>
                <w:snapToGrid w:val="0"/>
              </w:rPr>
            </w:pPr>
          </w:p>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 w:rsidR="00B03591" w:rsidRDefault="00B03591" w:rsidP="00B03591">
            <w:pPr>
              <w:pStyle w:val="Tabletext"/>
              <w:rPr>
                <w:snapToGrid w:val="0"/>
              </w:rPr>
            </w:pPr>
          </w:p>
          <w:p w:rsidR="00351CB1" w:rsidRDefault="00351CB1" w:rsidP="00B03591">
            <w:pPr>
              <w:pStyle w:val="Heading2"/>
              <w:keepNext w:val="0"/>
              <w:rPr>
                <w:snapToGrid w:val="0"/>
              </w:rPr>
            </w:pPr>
          </w:p>
          <w:p w:rsidR="00351CB1" w:rsidRDefault="00351CB1" w:rsidP="00B03591">
            <w:pPr>
              <w:pStyle w:val="Heading2"/>
              <w:keepNext w:val="0"/>
              <w:rPr>
                <w:snapToGrid w:val="0"/>
              </w:rPr>
            </w:pPr>
          </w:p>
          <w:p w:rsidR="00351CB1" w:rsidRDefault="00351CB1" w:rsidP="00B03591">
            <w:pPr>
              <w:pStyle w:val="Heading2"/>
              <w:keepNext w:val="0"/>
              <w:rPr>
                <w:snapToGrid w:val="0"/>
              </w:rPr>
            </w:pPr>
          </w:p>
          <w:p w:rsidR="00351CB1" w:rsidRDefault="00351CB1" w:rsidP="00B03591">
            <w:pPr>
              <w:pStyle w:val="Heading2"/>
              <w:keepNext w:val="0"/>
              <w:rPr>
                <w:snapToGrid w:val="0"/>
              </w:rPr>
            </w:pPr>
          </w:p>
          <w:p w:rsidR="00351CB1" w:rsidRDefault="00351CB1" w:rsidP="00B03591">
            <w:pPr>
              <w:pStyle w:val="Heading2"/>
              <w:keepNext w:val="0"/>
              <w:rPr>
                <w:snapToGrid w:val="0"/>
              </w:rPr>
            </w:pPr>
          </w:p>
          <w:p w:rsidR="00351CB1" w:rsidRDefault="00351CB1" w:rsidP="00B03591">
            <w:pPr>
              <w:pStyle w:val="Heading2"/>
              <w:keepNext w:val="0"/>
              <w:rPr>
                <w:snapToGrid w:val="0"/>
              </w:rPr>
            </w:pPr>
          </w:p>
          <w:p w:rsidR="00351CB1" w:rsidRDefault="00351CB1" w:rsidP="00B03591">
            <w:pPr>
              <w:pStyle w:val="Heading2"/>
              <w:keepNext w:val="0"/>
              <w:rPr>
                <w:snapToGrid w:val="0"/>
              </w:rPr>
            </w:pPr>
          </w:p>
          <w:p w:rsidR="00351CB1" w:rsidRDefault="00351CB1" w:rsidP="00B03591">
            <w:pPr>
              <w:pStyle w:val="Heading2"/>
              <w:keepNext w:val="0"/>
              <w:rPr>
                <w:snapToGrid w:val="0"/>
              </w:rPr>
            </w:pPr>
          </w:p>
          <w:p w:rsidR="00351CB1" w:rsidRDefault="00351CB1" w:rsidP="00351CB1">
            <w:pPr>
              <w:pStyle w:val="Tabletext"/>
              <w:rPr>
                <w:snapToGrid w:val="0"/>
              </w:rPr>
            </w:pPr>
          </w:p>
          <w:p w:rsidR="00B03591" w:rsidRPr="00B03591" w:rsidRDefault="00B03591" w:rsidP="00B03591">
            <w:pPr>
              <w:pStyle w:val="Heading2"/>
              <w:keepNext w:val="0"/>
              <w:rPr>
                <w:snapToGrid w:val="0"/>
              </w:rPr>
            </w:pPr>
            <w:proofErr w:type="gramStart"/>
            <w:r w:rsidRPr="00EC24A5">
              <w:rPr>
                <w:snapToGrid w:val="0"/>
              </w:rPr>
              <w:t>Management</w:t>
            </w:r>
            <w:r>
              <w:rPr>
                <w:snapToGrid w:val="0"/>
              </w:rPr>
              <w:t xml:space="preserve"> </w:t>
            </w:r>
            <w:r w:rsidRPr="00B03591">
              <w:rPr>
                <w:b w:val="0"/>
                <w:i/>
                <w:snapToGrid w:val="0"/>
              </w:rPr>
              <w:t>(cont.)</w:t>
            </w:r>
            <w:proofErr w:type="gramEnd"/>
          </w:p>
        </w:tc>
        <w:tc>
          <w:tcPr>
            <w:tcW w:w="8163" w:type="dxa"/>
            <w:tcBorders>
              <w:top w:val="single" w:sz="4" w:space="0" w:color="auto"/>
              <w:left w:val="single" w:sz="4" w:space="0" w:color="auto"/>
              <w:bottom w:val="single" w:sz="4" w:space="0" w:color="auto"/>
              <w:right w:val="single" w:sz="4" w:space="0" w:color="auto"/>
            </w:tcBorders>
          </w:tcPr>
          <w:p w:rsidR="005515FA" w:rsidRPr="005515FA" w:rsidRDefault="005515FA" w:rsidP="00B03591">
            <w:pPr>
              <w:rPr>
                <w:iCs/>
              </w:rPr>
            </w:pPr>
            <w:r w:rsidRPr="005515FA">
              <w:t xml:space="preserve">The </w:t>
            </w:r>
            <w:r>
              <w:t>We</w:t>
            </w:r>
            <w:r w:rsidRPr="005515FA">
              <w:t xml:space="preserve">stern Tuna and Billfish Fishery </w:t>
            </w:r>
            <w:proofErr w:type="gramStart"/>
            <w:r w:rsidRPr="005515FA">
              <w:t>is</w:t>
            </w:r>
            <w:proofErr w:type="gramEnd"/>
            <w:r w:rsidRPr="005515FA">
              <w:t xml:space="preserve"> managed by </w:t>
            </w:r>
            <w:r w:rsidR="00B35119">
              <w:t>AFMA</w:t>
            </w:r>
            <w:r w:rsidRPr="005515FA">
              <w:t xml:space="preserve"> under the </w:t>
            </w:r>
            <w:r w:rsidRPr="005515FA">
              <w:rPr>
                <w:i/>
                <w:iCs/>
              </w:rPr>
              <w:t>Fisheries Management Act 1991,</w:t>
            </w:r>
            <w:r w:rsidRPr="005515FA">
              <w:rPr>
                <w:i/>
              </w:rPr>
              <w:t xml:space="preserve"> </w:t>
            </w:r>
            <w:r w:rsidRPr="005515FA">
              <w:rPr>
                <w:iCs/>
              </w:rPr>
              <w:t>Fisheries Management Regulations 1992</w:t>
            </w:r>
            <w:r w:rsidRPr="005515FA">
              <w:t xml:space="preserve"> and the </w:t>
            </w:r>
            <w:r>
              <w:t>We</w:t>
            </w:r>
            <w:r w:rsidRPr="005515FA">
              <w:t>stern Tuna and Billfish Fishery Management Plan 20</w:t>
            </w:r>
            <w:r>
              <w:t>05</w:t>
            </w:r>
            <w:r w:rsidRPr="005515FA">
              <w:t xml:space="preserve"> </w:t>
            </w:r>
            <w:r w:rsidRPr="005515FA">
              <w:rPr>
                <w:iCs/>
              </w:rPr>
              <w:t xml:space="preserve">(and associated directions, determinations and temporary orders). Specific management measures are largely implemented through conditions, as provided for under section 22(5) of the </w:t>
            </w:r>
            <w:r w:rsidRPr="005515FA">
              <w:rPr>
                <w:i/>
                <w:iCs/>
              </w:rPr>
              <w:t>Fisheries</w:t>
            </w:r>
            <w:r w:rsidRPr="005515FA">
              <w:rPr>
                <w:iCs/>
              </w:rPr>
              <w:t xml:space="preserve"> </w:t>
            </w:r>
            <w:r w:rsidRPr="005515FA">
              <w:rPr>
                <w:i/>
                <w:iCs/>
              </w:rPr>
              <w:t>Management Act 1991</w:t>
            </w:r>
            <w:r w:rsidRPr="005515FA">
              <w:rPr>
                <w:iCs/>
              </w:rPr>
              <w:t>, on boat or gear statutory fishing rights issued according to the management plan.</w:t>
            </w:r>
          </w:p>
          <w:p w:rsidR="005515FA" w:rsidRDefault="005515FA" w:rsidP="00B03591">
            <w:pPr>
              <w:rPr>
                <w:rFonts w:cs="Arial"/>
                <w:i/>
                <w:iCs/>
              </w:rPr>
            </w:pPr>
            <w:r w:rsidRPr="005515FA">
              <w:rPr>
                <w:rFonts w:cs="Arial"/>
                <w:iCs/>
              </w:rPr>
              <w:t xml:space="preserve">The management arrangements are described in detail in the </w:t>
            </w:r>
            <w:r>
              <w:rPr>
                <w:rFonts w:cs="Arial"/>
                <w:i/>
                <w:iCs/>
              </w:rPr>
              <w:t>We</w:t>
            </w:r>
            <w:r w:rsidRPr="005515FA">
              <w:rPr>
                <w:rFonts w:cs="Arial"/>
                <w:i/>
                <w:iCs/>
              </w:rPr>
              <w:t>stern Tuna and Billfish Fishery (</w:t>
            </w:r>
            <w:r>
              <w:rPr>
                <w:rFonts w:cs="Arial"/>
                <w:i/>
                <w:iCs/>
              </w:rPr>
              <w:t>W</w:t>
            </w:r>
            <w:r w:rsidRPr="005515FA">
              <w:rPr>
                <w:rFonts w:cs="Arial"/>
                <w:i/>
                <w:iCs/>
              </w:rPr>
              <w:t>BF) - Managem</w:t>
            </w:r>
            <w:r>
              <w:rPr>
                <w:rFonts w:cs="Arial"/>
                <w:i/>
                <w:iCs/>
              </w:rPr>
              <w:t>ent Arrangements Booklet – 2014.</w:t>
            </w:r>
          </w:p>
          <w:p w:rsidR="005515FA" w:rsidRPr="005515FA" w:rsidRDefault="005515FA" w:rsidP="00BA4068">
            <w:pPr>
              <w:spacing w:after="100"/>
              <w:rPr>
                <w:rFonts w:cs="Arial"/>
              </w:rPr>
            </w:pPr>
            <w:r w:rsidRPr="005515FA">
              <w:rPr>
                <w:rFonts w:cs="Arial"/>
              </w:rPr>
              <w:t>Management measures include:</w:t>
            </w:r>
          </w:p>
          <w:p w:rsidR="005515FA" w:rsidRPr="007F7BCA" w:rsidRDefault="005515FA" w:rsidP="00BA4068">
            <w:pPr>
              <w:pStyle w:val="ListBullet"/>
              <w:spacing w:after="100"/>
            </w:pPr>
            <w:r w:rsidRPr="007F7BCA">
              <w:t>limited entry (a requirement to hold statutory fishing rights and quota for one or more species</w:t>
            </w:r>
            <w:r w:rsidR="008E3341">
              <w:t>, nominated to an Australian vessel</w:t>
            </w:r>
            <w:r w:rsidRPr="007F7BCA">
              <w:t>)</w:t>
            </w:r>
          </w:p>
          <w:p w:rsidR="005515FA" w:rsidRDefault="005515FA" w:rsidP="00BA4068">
            <w:pPr>
              <w:pStyle w:val="ListBullet"/>
              <w:spacing w:after="100"/>
            </w:pPr>
            <w:r w:rsidRPr="007F7BCA">
              <w:t>a quota management</w:t>
            </w:r>
            <w:r w:rsidR="00A02A6E">
              <w:t xml:space="preserve"> system for key target species</w:t>
            </w:r>
          </w:p>
          <w:p w:rsidR="00E614E1" w:rsidRPr="00E614E1" w:rsidRDefault="00CC7400" w:rsidP="00BA4068">
            <w:pPr>
              <w:pStyle w:val="ListBullet"/>
              <w:spacing w:after="100"/>
              <w:rPr>
                <w:snapToGrid w:val="0"/>
              </w:rPr>
            </w:pPr>
            <w:proofErr w:type="spellStart"/>
            <w:r w:rsidRPr="007F7BCA">
              <w:t>byproduct</w:t>
            </w:r>
            <w:proofErr w:type="spellEnd"/>
            <w:r w:rsidRPr="007F7BCA">
              <w:t xml:space="preserve"> catch limits, generally in the form of trip limits, for a range of </w:t>
            </w:r>
            <w:proofErr w:type="spellStart"/>
            <w:r w:rsidRPr="007F7BCA">
              <w:t>byproduct</w:t>
            </w:r>
            <w:proofErr w:type="spellEnd"/>
            <w:r w:rsidRPr="007F7BCA">
              <w:t xml:space="preserve"> species</w:t>
            </w:r>
            <w:r w:rsidR="00E614E1">
              <w:t xml:space="preserve"> (size limits </w:t>
            </w:r>
            <w:r w:rsidR="00711B87">
              <w:t xml:space="preserve">also </w:t>
            </w:r>
            <w:r w:rsidR="00E614E1">
              <w:t>apply to school shark and gummy shark)</w:t>
            </w:r>
          </w:p>
          <w:p w:rsidR="00711B87" w:rsidRDefault="005515FA" w:rsidP="00BA4068">
            <w:pPr>
              <w:pStyle w:val="ListBullet"/>
              <w:spacing w:after="100"/>
            </w:pPr>
            <w:r w:rsidRPr="007F7BCA">
              <w:t>prohibition</w:t>
            </w:r>
            <w:r w:rsidR="000873C1">
              <w:t xml:space="preserve"> of the take of certain species</w:t>
            </w:r>
          </w:p>
          <w:p w:rsidR="005515FA" w:rsidRPr="007F7BCA" w:rsidRDefault="005515FA" w:rsidP="00B03591">
            <w:pPr>
              <w:pStyle w:val="ListBullet"/>
            </w:pPr>
            <w:proofErr w:type="gramStart"/>
            <w:r w:rsidRPr="007F7BCA">
              <w:t>reporting</w:t>
            </w:r>
            <w:proofErr w:type="gramEnd"/>
            <w:r w:rsidRPr="007F7BCA">
              <w:t xml:space="preserve"> obligations including logbooks, carriage of observers and independently verified catch disposal records</w:t>
            </w:r>
            <w:r w:rsidR="000873C1">
              <w:t>.</w:t>
            </w:r>
          </w:p>
          <w:p w:rsidR="005515FA" w:rsidRDefault="00711B87" w:rsidP="00BA4068">
            <w:pPr>
              <w:spacing w:after="100"/>
            </w:pPr>
            <w:r>
              <w:t>The We</w:t>
            </w:r>
            <w:r w:rsidR="005515FA" w:rsidRPr="007F7BCA">
              <w:t xml:space="preserve">stern Tuna and Billfish Fishery Management Plan 2010 requires </w:t>
            </w:r>
            <w:r w:rsidR="00B35119">
              <w:t>AFMA</w:t>
            </w:r>
            <w:r w:rsidR="005515FA" w:rsidRPr="007F7BCA">
              <w:t xml:space="preserve"> to establish a </w:t>
            </w:r>
            <w:r w:rsidR="005515FA" w:rsidRPr="001408F7">
              <w:t xml:space="preserve">reviewable </w:t>
            </w:r>
            <w:proofErr w:type="spellStart"/>
            <w:r w:rsidRPr="001408F7">
              <w:t>bycatch</w:t>
            </w:r>
            <w:proofErr w:type="spellEnd"/>
            <w:r w:rsidR="005515FA" w:rsidRPr="007F7BCA">
              <w:t xml:space="preserve"> </w:t>
            </w:r>
            <w:r w:rsidR="007458B3">
              <w:t xml:space="preserve">action </w:t>
            </w:r>
            <w:r w:rsidR="005515FA" w:rsidRPr="007F7BCA">
              <w:t>plan for the fishery, which must require action to ensure that:</w:t>
            </w:r>
          </w:p>
          <w:p w:rsidR="00974FFE" w:rsidRDefault="00974FFE" w:rsidP="00BA4068">
            <w:pPr>
              <w:pStyle w:val="ListBullet"/>
              <w:spacing w:after="100"/>
            </w:pPr>
            <w:r>
              <w:t xml:space="preserve">information is gathered about the impact of the fishery on </w:t>
            </w:r>
            <w:proofErr w:type="spellStart"/>
            <w:r>
              <w:t>bycatch</w:t>
            </w:r>
            <w:proofErr w:type="spellEnd"/>
            <w:r>
              <w:t xml:space="preserve"> species</w:t>
            </w:r>
          </w:p>
          <w:p w:rsidR="00974FFE" w:rsidRDefault="00974FFE" w:rsidP="00BA4068">
            <w:pPr>
              <w:pStyle w:val="ListBullet"/>
              <w:spacing w:after="100"/>
            </w:pPr>
            <w:r>
              <w:t xml:space="preserve">all reasonable steps are taken to minimise interactions with seabirds, marine reptiles, marine mammals and </w:t>
            </w:r>
            <w:r w:rsidR="001138C3">
              <w:t>species designated as no-take sp</w:t>
            </w:r>
            <w:r>
              <w:t>eci</w:t>
            </w:r>
            <w:r w:rsidR="001138C3">
              <w:t xml:space="preserve">es under the </w:t>
            </w:r>
            <w:r w:rsidR="001138C3" w:rsidRPr="001138C3">
              <w:rPr>
                <w:i/>
              </w:rPr>
              <w:t>Fisheries Manageme</w:t>
            </w:r>
            <w:r w:rsidRPr="001138C3">
              <w:rPr>
                <w:i/>
              </w:rPr>
              <w:t>nt Act 1991</w:t>
            </w:r>
          </w:p>
          <w:p w:rsidR="00974FFE" w:rsidRDefault="00974FFE" w:rsidP="00BA4068">
            <w:pPr>
              <w:pStyle w:val="ListBullet"/>
              <w:spacing w:after="100"/>
            </w:pPr>
            <w:r>
              <w:t>the ecological impacts of fishing operations on habitats in the area of the fishery are minimised and kept at an acceptable level</w:t>
            </w:r>
          </w:p>
          <w:p w:rsidR="00974FFE" w:rsidRDefault="00495879" w:rsidP="00B03591">
            <w:pPr>
              <w:pStyle w:val="ListBullet"/>
            </w:pPr>
            <w:proofErr w:type="spellStart"/>
            <w:proofErr w:type="gramStart"/>
            <w:r>
              <w:t>by</w:t>
            </w:r>
            <w:r w:rsidR="00974FFE">
              <w:t>catch</w:t>
            </w:r>
            <w:proofErr w:type="spellEnd"/>
            <w:proofErr w:type="gramEnd"/>
            <w:r w:rsidR="00974FFE">
              <w:t xml:space="preserve"> is reduced to, or kept at, a minimum, and below a level that might threaten </w:t>
            </w:r>
            <w:proofErr w:type="spellStart"/>
            <w:r w:rsidR="00A02A6E">
              <w:t>bycatch</w:t>
            </w:r>
            <w:proofErr w:type="spellEnd"/>
            <w:r w:rsidR="00A02A6E">
              <w:t xml:space="preserve"> </w:t>
            </w:r>
            <w:r w:rsidR="00974FFE">
              <w:t>species.</w:t>
            </w:r>
          </w:p>
          <w:p w:rsidR="00351CB1" w:rsidRPr="00351CB1" w:rsidRDefault="00351CB1" w:rsidP="00351CB1">
            <w:pPr>
              <w:rPr>
                <w:color w:val="000000"/>
              </w:rPr>
            </w:pPr>
            <w:r w:rsidRPr="007F7BCA">
              <w:t>The</w:t>
            </w:r>
            <w:r w:rsidRPr="007F7BCA">
              <w:rPr>
                <w:i/>
              </w:rPr>
              <w:t xml:space="preserve"> </w:t>
            </w:r>
            <w:r w:rsidRPr="007F7BCA">
              <w:rPr>
                <w:i/>
                <w:color w:val="000000"/>
              </w:rPr>
              <w:t xml:space="preserve">Australian Tuna and Billfish Fisheries </w:t>
            </w:r>
            <w:proofErr w:type="spellStart"/>
            <w:r w:rsidRPr="007F7BCA">
              <w:rPr>
                <w:i/>
                <w:color w:val="000000"/>
              </w:rPr>
              <w:t>Bycatch</w:t>
            </w:r>
            <w:proofErr w:type="spellEnd"/>
            <w:r w:rsidRPr="007F7BCA">
              <w:rPr>
                <w:i/>
                <w:color w:val="000000"/>
              </w:rPr>
              <w:t xml:space="preserve"> and Discarding </w:t>
            </w:r>
            <w:proofErr w:type="spellStart"/>
            <w:r w:rsidRPr="007F7BCA">
              <w:rPr>
                <w:i/>
                <w:color w:val="000000"/>
              </w:rPr>
              <w:t>Workplan</w:t>
            </w:r>
            <w:proofErr w:type="spellEnd"/>
            <w:r w:rsidRPr="007F7BCA">
              <w:rPr>
                <w:i/>
                <w:color w:val="000000"/>
              </w:rPr>
              <w:t xml:space="preserve"> 1 July 2014 – 30 June 2016</w:t>
            </w:r>
            <w:r w:rsidRPr="007F7BCA">
              <w:rPr>
                <w:color w:val="000000"/>
              </w:rPr>
              <w:t xml:space="preserve"> has a focus on the </w:t>
            </w:r>
            <w:proofErr w:type="spellStart"/>
            <w:r w:rsidRPr="007F7BCA">
              <w:rPr>
                <w:color w:val="000000"/>
              </w:rPr>
              <w:t>bycatch</w:t>
            </w:r>
            <w:proofErr w:type="spellEnd"/>
            <w:r w:rsidRPr="007F7BCA">
              <w:rPr>
                <w:color w:val="000000"/>
              </w:rPr>
              <w:t xml:space="preserve"> of seabirds and sharks, based on the outcomes of previous ecological risk assessment processes.</w:t>
            </w:r>
          </w:p>
          <w:p w:rsidR="005515FA" w:rsidRPr="007F7BCA" w:rsidRDefault="005515FA" w:rsidP="00B03591">
            <w:pPr>
              <w:pStyle w:val="Heading3"/>
              <w:keepNext w:val="0"/>
            </w:pPr>
            <w:r w:rsidRPr="007F7BCA">
              <w:t>Sharks</w:t>
            </w:r>
          </w:p>
          <w:p w:rsidR="005515FA" w:rsidRDefault="005515FA" w:rsidP="00B35119">
            <w:pPr>
              <w:spacing w:after="100"/>
            </w:pPr>
            <w:r w:rsidRPr="007F7BCA">
              <w:t xml:space="preserve">To reduce the impact of fishing on sharks, </w:t>
            </w:r>
            <w:r w:rsidR="00B35119">
              <w:t>AFMA</w:t>
            </w:r>
            <w:r w:rsidRPr="007F7BCA">
              <w:t xml:space="preserve"> has:</w:t>
            </w:r>
          </w:p>
          <w:p w:rsidR="005515FA" w:rsidRPr="007F7BCA" w:rsidRDefault="005515FA" w:rsidP="00B35119">
            <w:pPr>
              <w:pStyle w:val="ListBullet"/>
              <w:spacing w:after="100"/>
            </w:pPr>
            <w:proofErr w:type="gramStart"/>
            <w:r w:rsidRPr="007F7BCA">
              <w:rPr>
                <w:lang w:eastAsia="en-AU"/>
              </w:rPr>
              <w:t>banned</w:t>
            </w:r>
            <w:proofErr w:type="gramEnd"/>
            <w:r w:rsidRPr="007F7BCA">
              <w:rPr>
                <w:lang w:eastAsia="en-AU"/>
              </w:rPr>
              <w:t xml:space="preserve"> the use of wire leaders or ‘traces’ on </w:t>
            </w:r>
            <w:proofErr w:type="spellStart"/>
            <w:r w:rsidRPr="007F7BCA">
              <w:rPr>
                <w:lang w:eastAsia="en-AU"/>
              </w:rPr>
              <w:t>longline</w:t>
            </w:r>
            <w:proofErr w:type="spellEnd"/>
            <w:r w:rsidRPr="007F7BCA">
              <w:rPr>
                <w:lang w:eastAsia="en-AU"/>
              </w:rPr>
              <w:t xml:space="preserve"> </w:t>
            </w:r>
            <w:proofErr w:type="spellStart"/>
            <w:r w:rsidRPr="007F7BCA">
              <w:rPr>
                <w:lang w:eastAsia="en-AU"/>
              </w:rPr>
              <w:t>branchlines</w:t>
            </w:r>
            <w:proofErr w:type="spellEnd"/>
            <w:r w:rsidRPr="007F7BCA">
              <w:rPr>
                <w:lang w:eastAsia="en-AU"/>
              </w:rPr>
              <w:t xml:space="preserve"> in the </w:t>
            </w:r>
            <w:r w:rsidR="0070422E">
              <w:rPr>
                <w:lang w:eastAsia="en-AU"/>
              </w:rPr>
              <w:t>We</w:t>
            </w:r>
            <w:r w:rsidRPr="007F7BCA">
              <w:rPr>
                <w:lang w:eastAsia="en-AU"/>
              </w:rPr>
              <w:t xml:space="preserve">stern Tuna and Billfish Fishery. </w:t>
            </w:r>
            <w:r w:rsidR="00BA4068">
              <w:rPr>
                <w:lang w:eastAsia="en-AU"/>
              </w:rPr>
              <w:t>This</w:t>
            </w:r>
            <w:r w:rsidRPr="007F7BCA">
              <w:rPr>
                <w:lang w:eastAsia="en-AU"/>
              </w:rPr>
              <w:t xml:space="preserve"> is intended to reduce shark mortality, as sharks are more likely to bite through synthetic fibre leaders and escape</w:t>
            </w:r>
          </w:p>
          <w:p w:rsidR="005515FA" w:rsidRPr="007F7BCA" w:rsidRDefault="005515FA" w:rsidP="00B35119">
            <w:pPr>
              <w:pStyle w:val="ListBullet"/>
              <w:spacing w:after="0"/>
            </w:pPr>
            <w:r w:rsidRPr="007F7BCA">
              <w:rPr>
                <w:lang w:eastAsia="en-AU"/>
              </w:rPr>
              <w:t>required each vessel to carry line cutters and de-hookers to assist in releasing live sharks without harm</w:t>
            </w:r>
          </w:p>
          <w:p w:rsidR="005515FA" w:rsidRDefault="005515FA" w:rsidP="00B35119">
            <w:pPr>
              <w:pStyle w:val="ListBullet"/>
              <w:spacing w:after="100"/>
            </w:pPr>
            <w:proofErr w:type="gramStart"/>
            <w:r w:rsidRPr="007F7BCA">
              <w:t>banned</w:t>
            </w:r>
            <w:proofErr w:type="gramEnd"/>
            <w:r w:rsidRPr="007F7BCA">
              <w:t xml:space="preserve"> the practice of </w:t>
            </w:r>
            <w:proofErr w:type="spellStart"/>
            <w:r w:rsidRPr="007F7BCA">
              <w:t>finning</w:t>
            </w:r>
            <w:proofErr w:type="spellEnd"/>
            <w:r w:rsidRPr="007F7BCA">
              <w:t xml:space="preserve"> sharks at sea. This prohibits the possession or landing of fins separate from carcasses </w:t>
            </w:r>
          </w:p>
          <w:p w:rsidR="00F616BD" w:rsidRPr="00852DF5" w:rsidRDefault="0070422E" w:rsidP="00B03591">
            <w:pPr>
              <w:pStyle w:val="ListBullet"/>
            </w:pPr>
            <w:proofErr w:type="gramStart"/>
            <w:r w:rsidRPr="007F7BCA">
              <w:t>implemented</w:t>
            </w:r>
            <w:proofErr w:type="gramEnd"/>
            <w:r w:rsidRPr="007F7BCA">
              <w:t xml:space="preserve"> trip limit</w:t>
            </w:r>
            <w:r>
              <w:t>s</w:t>
            </w:r>
            <w:r w:rsidRPr="007F7BCA">
              <w:t xml:space="preserve"> for shark</w:t>
            </w:r>
            <w:r>
              <w:t xml:space="preserve"> </w:t>
            </w:r>
            <w:r w:rsidRPr="007F7BCA">
              <w:t>s</w:t>
            </w:r>
            <w:r>
              <w:t>pecies.</w:t>
            </w:r>
          </w:p>
        </w:tc>
      </w:tr>
      <w:tr w:rsidR="00DA6A89" w:rsidRPr="00EC24A5"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EC24A5" w:rsidRDefault="00DA6A89" w:rsidP="00B75C12">
            <w:pPr>
              <w:pStyle w:val="Heading2"/>
              <w:keepNext w:val="0"/>
              <w:rPr>
                <w:snapToGrid w:val="0"/>
              </w:rPr>
            </w:pPr>
            <w:r w:rsidRPr="00EC24A5">
              <w:rPr>
                <w:snapToGrid w:val="0"/>
              </w:rPr>
              <w:t>Export</w:t>
            </w:r>
          </w:p>
        </w:tc>
        <w:tc>
          <w:tcPr>
            <w:tcW w:w="8163" w:type="dxa"/>
            <w:tcBorders>
              <w:top w:val="single" w:sz="4" w:space="0" w:color="auto"/>
              <w:left w:val="single" w:sz="4" w:space="0" w:color="auto"/>
              <w:bottom w:val="single" w:sz="4" w:space="0" w:color="auto"/>
              <w:right w:val="single" w:sz="4" w:space="0" w:color="auto"/>
            </w:tcBorders>
          </w:tcPr>
          <w:p w:rsidR="00E77EDD" w:rsidRPr="00EC24A5" w:rsidRDefault="004C4A3F" w:rsidP="004C4A3F">
            <w:pPr>
              <w:rPr>
                <w:rFonts w:cs="Arial"/>
                <w:lang w:eastAsia="en-AU"/>
              </w:rPr>
            </w:pPr>
            <w:r>
              <w:rPr>
                <w:rFonts w:cs="Arial"/>
                <w:lang w:eastAsia="en-AU"/>
              </w:rPr>
              <w:t>Catch is sold on the domestic market and exported to Japan and the USA (Patterson and Stephan 2014).</w:t>
            </w:r>
          </w:p>
        </w:tc>
      </w:tr>
      <w:tr w:rsidR="00DA6A89" w:rsidRPr="00EC24A5" w:rsidTr="003103D9">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Default="00DA6A89" w:rsidP="00B75C12">
            <w:pPr>
              <w:pStyle w:val="Heading2"/>
              <w:keepNext w:val="0"/>
              <w:rPr>
                <w:snapToGrid w:val="0"/>
              </w:rPr>
            </w:pPr>
            <w:proofErr w:type="spellStart"/>
            <w:r w:rsidRPr="00A46A83">
              <w:rPr>
                <w:snapToGrid w:val="0"/>
              </w:rPr>
              <w:t>Bycatch</w:t>
            </w:r>
            <w:proofErr w:type="spellEnd"/>
          </w:p>
          <w:p w:rsidR="005A337C" w:rsidRPr="005A337C" w:rsidRDefault="005A337C" w:rsidP="005A337C">
            <w:pPr>
              <w:rPr>
                <w:highlight w:val="yellow"/>
              </w:rPr>
            </w:pP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F40323" w:rsidRPr="007F7BCA" w:rsidRDefault="00F40323" w:rsidP="00F40323">
            <w:r w:rsidRPr="007F7BCA">
              <w:t xml:space="preserve">The </w:t>
            </w:r>
            <w:proofErr w:type="spellStart"/>
            <w:r w:rsidRPr="007F7BCA">
              <w:t>bycatch</w:t>
            </w:r>
            <w:proofErr w:type="spellEnd"/>
            <w:r w:rsidRPr="007F7BCA">
              <w:t xml:space="preserve"> of species such as sharks, black and blue marlin, seabirds and marine turtles is an issue in the management of </w:t>
            </w:r>
            <w:proofErr w:type="spellStart"/>
            <w:r w:rsidRPr="007F7BCA">
              <w:t>longline</w:t>
            </w:r>
            <w:proofErr w:type="spellEnd"/>
            <w:r w:rsidRPr="007F7BCA">
              <w:t xml:space="preserve"> fisheries. </w:t>
            </w:r>
            <w:r>
              <w:t>S</w:t>
            </w:r>
            <w:r w:rsidRPr="007F7BCA">
              <w:t xml:space="preserve">pecies </w:t>
            </w:r>
            <w:r>
              <w:t>historically</w:t>
            </w:r>
            <w:r w:rsidRPr="007F7BCA">
              <w:t xml:space="preserve"> recorded as </w:t>
            </w:r>
            <w:proofErr w:type="spellStart"/>
            <w:r w:rsidRPr="007F7BCA">
              <w:t>bycatch</w:t>
            </w:r>
            <w:proofErr w:type="spellEnd"/>
            <w:r w:rsidRPr="007F7BCA">
              <w:t xml:space="preserve"> from the </w:t>
            </w:r>
            <w:r>
              <w:t>Western Tuna and Billfish Fishery</w:t>
            </w:r>
            <w:r w:rsidRPr="007F7BCA">
              <w:t xml:space="preserve"> includ</w:t>
            </w:r>
            <w:r>
              <w:t xml:space="preserve">e </w:t>
            </w:r>
            <w:r w:rsidRPr="007F7BCA">
              <w:t xml:space="preserve">sharks, rays, various other fish, seabirds and occasionally marine turtles and marine mammals. </w:t>
            </w:r>
          </w:p>
          <w:p w:rsidR="00F40323" w:rsidRPr="007F7BCA" w:rsidRDefault="00F40323" w:rsidP="00F40323">
            <w:pPr>
              <w:spacing w:after="100"/>
            </w:pPr>
            <w:r w:rsidRPr="007F7BCA">
              <w:t xml:space="preserve">Current measures to address </w:t>
            </w:r>
            <w:proofErr w:type="spellStart"/>
            <w:r w:rsidRPr="007F7BCA">
              <w:t>bycatch</w:t>
            </w:r>
            <w:proofErr w:type="spellEnd"/>
            <w:r w:rsidRPr="007F7BCA">
              <w:t xml:space="preserve"> and discarding include:</w:t>
            </w:r>
          </w:p>
          <w:p w:rsidR="00F40323" w:rsidRPr="007F7BCA" w:rsidRDefault="00F40323" w:rsidP="00F40323">
            <w:pPr>
              <w:pStyle w:val="ListBullet"/>
              <w:spacing w:after="100"/>
            </w:pPr>
            <w:r w:rsidRPr="007F7BCA">
              <w:t xml:space="preserve">measures to minimise shark </w:t>
            </w:r>
            <w:r w:rsidR="007458B3">
              <w:t xml:space="preserve">and seabird </w:t>
            </w:r>
            <w:proofErr w:type="spellStart"/>
            <w:r w:rsidRPr="007F7BCA">
              <w:t>bycatch</w:t>
            </w:r>
            <w:proofErr w:type="spellEnd"/>
            <w:r w:rsidRPr="007F7BCA">
              <w:t xml:space="preserve"> (see Management, above)</w:t>
            </w:r>
          </w:p>
          <w:p w:rsidR="00F40323" w:rsidRPr="007F7BCA" w:rsidRDefault="007458B3" w:rsidP="00F40323">
            <w:pPr>
              <w:pStyle w:val="ListBullet"/>
              <w:spacing w:after="100"/>
            </w:pPr>
            <w:r>
              <w:t xml:space="preserve">no-take species, and </w:t>
            </w:r>
            <w:r w:rsidR="00F40323" w:rsidRPr="007F7BCA">
              <w:t xml:space="preserve">catch limits for species that are managed by state </w:t>
            </w:r>
            <w:r>
              <w:t xml:space="preserve">and Northern Territory </w:t>
            </w:r>
            <w:r w:rsidR="00F40323" w:rsidRPr="007F7BCA">
              <w:t>fishery management agencies</w:t>
            </w:r>
          </w:p>
          <w:p w:rsidR="00F40323" w:rsidRPr="007F7BCA" w:rsidRDefault="00F40323" w:rsidP="00F40323">
            <w:pPr>
              <w:pStyle w:val="ListBullet"/>
              <w:spacing w:after="100"/>
            </w:pPr>
            <w:r w:rsidRPr="007F7BCA">
              <w:t>research projects:</w:t>
            </w:r>
          </w:p>
          <w:p w:rsidR="003103D9" w:rsidRPr="00A46A83" w:rsidRDefault="00F40323" w:rsidP="003103D9">
            <w:pPr>
              <w:pStyle w:val="ListBullet2"/>
            </w:pPr>
            <w:proofErr w:type="gramStart"/>
            <w:r w:rsidRPr="007F7BCA">
              <w:t>for</w:t>
            </w:r>
            <w:proofErr w:type="gramEnd"/>
            <w:r w:rsidRPr="007F7BCA">
              <w:t xml:space="preserve"> example, </w:t>
            </w:r>
            <w:r w:rsidR="005C2B3C">
              <w:t xml:space="preserve">the </w:t>
            </w:r>
            <w:r w:rsidR="009F5D44">
              <w:t>AFMA</w:t>
            </w:r>
            <w:r w:rsidR="005C2B3C">
              <w:t xml:space="preserve"> </w:t>
            </w:r>
            <w:r w:rsidRPr="007F7BCA">
              <w:t xml:space="preserve">Research Committee (ARC) 2014 call for research included research to further develop and evaluate the harvest strategies adopted in the tropical tuna and billfish fisheries, in particular the identification of fishery indicators and reference points for </w:t>
            </w:r>
            <w:proofErr w:type="spellStart"/>
            <w:r w:rsidRPr="007F7BCA">
              <w:t>byproduct</w:t>
            </w:r>
            <w:proofErr w:type="spellEnd"/>
            <w:r w:rsidRPr="007F7BCA">
              <w:t xml:space="preserve"> and </w:t>
            </w:r>
            <w:proofErr w:type="spellStart"/>
            <w:r w:rsidRPr="007F7BCA">
              <w:t>bycatch</w:t>
            </w:r>
            <w:proofErr w:type="spellEnd"/>
            <w:r w:rsidRPr="007F7BCA">
              <w:t xml:space="preserve"> species.</w:t>
            </w:r>
          </w:p>
        </w:tc>
      </w:tr>
      <w:tr w:rsidR="00DA6A89" w:rsidRPr="00EC24A5"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990D32" w:rsidRDefault="00DA6A89" w:rsidP="0070032C">
            <w:pPr>
              <w:pStyle w:val="Heading2"/>
              <w:keepNext w:val="0"/>
            </w:pPr>
            <w:r w:rsidRPr="00EC24A5">
              <w:t>Interaction with Protected Species</w:t>
            </w:r>
            <w:r w:rsidRPr="00EC24A5">
              <w:rPr>
                <w:rStyle w:val="FootnoteReference"/>
                <w:b w:val="0"/>
                <w:snapToGrid w:val="0"/>
              </w:rPr>
              <w:footnoteReference w:id="2"/>
            </w:r>
          </w:p>
          <w:p w:rsidR="004976C0" w:rsidRDefault="004976C0" w:rsidP="004976C0">
            <w:pPr>
              <w:pStyle w:val="Heading2"/>
            </w:pPr>
          </w:p>
          <w:p w:rsidR="004976C0" w:rsidRDefault="004976C0" w:rsidP="004976C0"/>
          <w:p w:rsidR="004976C0" w:rsidRDefault="004976C0" w:rsidP="004976C0"/>
          <w:p w:rsidR="004976C0" w:rsidRDefault="004976C0" w:rsidP="004976C0"/>
          <w:p w:rsidR="004976C0" w:rsidRDefault="004976C0" w:rsidP="004976C0"/>
          <w:p w:rsidR="004976C0" w:rsidRDefault="004976C0" w:rsidP="004976C0"/>
          <w:p w:rsidR="004976C0" w:rsidRDefault="004976C0" w:rsidP="004976C0"/>
          <w:p w:rsidR="004976C0" w:rsidRDefault="004976C0" w:rsidP="004976C0"/>
          <w:p w:rsidR="004976C0" w:rsidRDefault="004976C0" w:rsidP="004976C0"/>
          <w:p w:rsidR="004976C0" w:rsidRDefault="004976C0" w:rsidP="004976C0"/>
          <w:p w:rsidR="005C2B3C" w:rsidRDefault="005C2B3C" w:rsidP="004976C0">
            <w:pPr>
              <w:rPr>
                <w:b/>
              </w:rPr>
            </w:pPr>
          </w:p>
          <w:p w:rsidR="004976C0" w:rsidRPr="004976C0" w:rsidRDefault="004976C0" w:rsidP="004976C0">
            <w:r w:rsidRPr="004976C0">
              <w:rPr>
                <w:b/>
              </w:rPr>
              <w:t>Interaction with Protected Species</w:t>
            </w:r>
            <w:r>
              <w:t xml:space="preserve"> </w:t>
            </w:r>
            <w:r w:rsidRPr="004976C0">
              <w:rPr>
                <w:i/>
              </w:rPr>
              <w:t>(cont.)</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352FE1" w:rsidRDefault="00563C4A" w:rsidP="0070032C">
            <w:pPr>
              <w:rPr>
                <w:rFonts w:cs="Arial"/>
              </w:rPr>
            </w:pPr>
            <w:r w:rsidRPr="00EC24A5">
              <w:rPr>
                <w:rFonts w:cs="Arial"/>
              </w:rPr>
              <w:t xml:space="preserve">There is potential for fishing operations in the </w:t>
            </w:r>
            <w:r w:rsidR="005333AD">
              <w:rPr>
                <w:rFonts w:cs="Arial"/>
              </w:rPr>
              <w:t>Western Tuna and Billfish</w:t>
            </w:r>
            <w:r w:rsidR="00352FE1">
              <w:rPr>
                <w:rFonts w:cs="Arial"/>
              </w:rPr>
              <w:t xml:space="preserve"> </w:t>
            </w:r>
            <w:r w:rsidRPr="00EC24A5">
              <w:rPr>
                <w:rFonts w:cs="Arial"/>
              </w:rPr>
              <w:t>Fishery to interact with a number of protected species, including</w:t>
            </w:r>
            <w:r w:rsidR="00404881">
              <w:rPr>
                <w:rFonts w:cs="Arial"/>
              </w:rPr>
              <w:t xml:space="preserve"> seabirds, cetaceans, sharks and marine turtles.</w:t>
            </w:r>
          </w:p>
          <w:p w:rsidR="006A2ACF" w:rsidRDefault="00BA4068" w:rsidP="006A2ACF">
            <w:r>
              <w:t>T</w:t>
            </w:r>
            <w:r w:rsidR="006A2ACF">
              <w:t xml:space="preserve">he </w:t>
            </w:r>
            <w:r>
              <w:t>We</w:t>
            </w:r>
            <w:r w:rsidRPr="007F7BCA">
              <w:t>stern Tuna and Billfish Fishery Management Plan 20</w:t>
            </w:r>
            <w:r>
              <w:t>05</w:t>
            </w:r>
            <w:r w:rsidRPr="007F7BCA">
              <w:t xml:space="preserve"> </w:t>
            </w:r>
            <w:proofErr w:type="gramStart"/>
            <w:r w:rsidR="006A2ACF">
              <w:t>requires</w:t>
            </w:r>
            <w:proofErr w:type="gramEnd"/>
            <w:r w:rsidR="006A2ACF">
              <w:t xml:space="preserve"> that </w:t>
            </w:r>
            <w:r w:rsidR="00B35119">
              <w:t>AFMA</w:t>
            </w:r>
            <w:r w:rsidR="00F765D7">
              <w:t>, in</w:t>
            </w:r>
            <w:r w:rsidR="006A2ACF">
              <w:t xml:space="preserve"> </w:t>
            </w:r>
            <w:r w:rsidRPr="00174D0B">
              <w:t xml:space="preserve">developing a </w:t>
            </w:r>
            <w:proofErr w:type="spellStart"/>
            <w:r w:rsidRPr="00174D0B">
              <w:t>bycatch</w:t>
            </w:r>
            <w:proofErr w:type="spellEnd"/>
            <w:r w:rsidRPr="00174D0B">
              <w:t xml:space="preserve"> action pl</w:t>
            </w:r>
            <w:r>
              <w:t xml:space="preserve">an, </w:t>
            </w:r>
            <w:r w:rsidR="006A2ACF">
              <w:t xml:space="preserve">take into account EPBC Act </w:t>
            </w:r>
            <w:r w:rsidR="00F765D7">
              <w:t>protected species</w:t>
            </w:r>
            <w:r w:rsidR="00F765D7" w:rsidRPr="00174D0B">
              <w:t xml:space="preserve"> requirements</w:t>
            </w:r>
            <w:r w:rsidR="00F765D7">
              <w:t>.</w:t>
            </w:r>
          </w:p>
          <w:p w:rsidR="0048168A" w:rsidRPr="007F7BCA" w:rsidRDefault="0048168A" w:rsidP="006A2ACF">
            <w:r w:rsidRPr="007F7BCA">
              <w:t xml:space="preserve">As noted above, the </w:t>
            </w:r>
            <w:r w:rsidRPr="007F7BCA">
              <w:rPr>
                <w:i/>
                <w:color w:val="000000"/>
              </w:rPr>
              <w:t xml:space="preserve">Australian Tuna and Billfish Fisheries </w:t>
            </w:r>
            <w:proofErr w:type="spellStart"/>
            <w:r w:rsidRPr="007F7BCA">
              <w:rPr>
                <w:i/>
                <w:color w:val="000000"/>
              </w:rPr>
              <w:t>Bycatch</w:t>
            </w:r>
            <w:proofErr w:type="spellEnd"/>
            <w:r w:rsidRPr="007F7BCA">
              <w:rPr>
                <w:i/>
                <w:color w:val="000000"/>
              </w:rPr>
              <w:t xml:space="preserve"> and Discarding </w:t>
            </w:r>
            <w:proofErr w:type="spellStart"/>
            <w:r w:rsidRPr="007F7BCA">
              <w:rPr>
                <w:i/>
                <w:color w:val="000000"/>
              </w:rPr>
              <w:t>Workplan</w:t>
            </w:r>
            <w:proofErr w:type="spellEnd"/>
            <w:r w:rsidRPr="007F7BCA">
              <w:rPr>
                <w:i/>
                <w:color w:val="000000"/>
              </w:rPr>
              <w:t xml:space="preserve"> 1 July 2014 – 30 June 2016</w:t>
            </w:r>
            <w:r w:rsidRPr="007F7BCA">
              <w:rPr>
                <w:color w:val="000000"/>
              </w:rPr>
              <w:t xml:space="preserve"> focuses on seabirds and sharks and </w:t>
            </w:r>
            <w:r w:rsidRPr="007F7BCA">
              <w:t xml:space="preserve">a number of existing management measures act to prevent or mitigate interactions with protected species (see also Table 3). The </w:t>
            </w:r>
            <w:proofErr w:type="spellStart"/>
            <w:r w:rsidRPr="007F7BCA">
              <w:t>bycatch</w:t>
            </w:r>
            <w:proofErr w:type="spellEnd"/>
            <w:r w:rsidRPr="007F7BCA">
              <w:t xml:space="preserve"> and discarding </w:t>
            </w:r>
            <w:proofErr w:type="spellStart"/>
            <w:r w:rsidRPr="007F7BCA">
              <w:t>workplan</w:t>
            </w:r>
            <w:proofErr w:type="spellEnd"/>
            <w:r w:rsidRPr="007F7BCA">
              <w:t xml:space="preserve"> is reviewed annually an</w:t>
            </w:r>
            <w:r w:rsidR="00025EEE">
              <w:t>d a new plan prepared every two </w:t>
            </w:r>
            <w:r w:rsidRPr="007F7BCA">
              <w:t>years.</w:t>
            </w:r>
          </w:p>
          <w:p w:rsidR="0048168A" w:rsidRPr="007F7BCA" w:rsidRDefault="0048168A" w:rsidP="006A2ACF">
            <w:pPr>
              <w:pStyle w:val="Heading3"/>
              <w:keepNext w:val="0"/>
            </w:pPr>
            <w:r w:rsidRPr="007F7BCA">
              <w:t>Seabirds</w:t>
            </w:r>
          </w:p>
          <w:p w:rsidR="00F765D7" w:rsidRDefault="0048168A" w:rsidP="006A2ACF">
            <w:r w:rsidRPr="007F7BCA">
              <w:rPr>
                <w:lang w:eastAsia="en-AU"/>
              </w:rPr>
              <w:t xml:space="preserve">Oceanic </w:t>
            </w:r>
            <w:proofErr w:type="spellStart"/>
            <w:r w:rsidRPr="007F7BCA">
              <w:rPr>
                <w:lang w:eastAsia="en-AU"/>
              </w:rPr>
              <w:t>longline</w:t>
            </w:r>
            <w:proofErr w:type="spellEnd"/>
            <w:r w:rsidRPr="007F7BCA">
              <w:rPr>
                <w:lang w:eastAsia="en-AU"/>
              </w:rPr>
              <w:t xml:space="preserve"> fishing, the </w:t>
            </w:r>
            <w:r w:rsidRPr="007F7BCA">
              <w:t xml:space="preserve">primary fishing method in the </w:t>
            </w:r>
            <w:r w:rsidR="006A2ACF">
              <w:t>We</w:t>
            </w:r>
            <w:r w:rsidRPr="007F7BCA">
              <w:t xml:space="preserve">stern Tuna and Billfish Fishery, </w:t>
            </w:r>
            <w:r w:rsidRPr="007F7BCA">
              <w:rPr>
                <w:lang w:eastAsia="en-AU"/>
              </w:rPr>
              <w:t>is recognised internationally as a threat to seabirds and has been listed as a key threatening process under the EPBC </w:t>
            </w:r>
            <w:r w:rsidR="00C92361" w:rsidRPr="007F7BCA">
              <w:rPr>
                <w:lang w:eastAsia="en-AU"/>
              </w:rPr>
              <w:t>Act.</w:t>
            </w:r>
            <w:r w:rsidR="00C92361" w:rsidRPr="007F7BCA">
              <w:t xml:space="preserve"> An</w:t>
            </w:r>
            <w:r w:rsidRPr="007F7BCA">
              <w:t xml:space="preserve"> initial threat abatement plan was released in 1998 an</w:t>
            </w:r>
            <w:r w:rsidR="00F765D7">
              <w:t>d has since been revised twice.</w:t>
            </w:r>
          </w:p>
          <w:p w:rsidR="005C2B3C" w:rsidRDefault="005C2B3C" w:rsidP="006A2ACF"/>
          <w:p w:rsidR="005C2B3C" w:rsidRDefault="005C2B3C" w:rsidP="005C2B3C">
            <w:pPr>
              <w:pStyle w:val="Tabletext"/>
              <w:jc w:val="right"/>
            </w:pPr>
            <w:r>
              <w:t>…/cont.</w:t>
            </w:r>
          </w:p>
          <w:p w:rsidR="0048168A" w:rsidRPr="007F7BCA" w:rsidRDefault="0048168A" w:rsidP="006A2ACF">
            <w:pPr>
              <w:rPr>
                <w:lang w:eastAsia="en-AU"/>
              </w:rPr>
            </w:pPr>
            <w:r w:rsidRPr="007F7BCA">
              <w:t xml:space="preserve">The </w:t>
            </w:r>
            <w:r w:rsidRPr="007F7BCA">
              <w:rPr>
                <w:i/>
              </w:rPr>
              <w:t xml:space="preserve">Threat Abatement Plan 2014 for the incidental catch (or </w:t>
            </w:r>
            <w:proofErr w:type="spellStart"/>
            <w:r w:rsidRPr="007F7BCA">
              <w:rPr>
                <w:i/>
              </w:rPr>
              <w:t>bycatch</w:t>
            </w:r>
            <w:proofErr w:type="spellEnd"/>
            <w:r w:rsidRPr="007F7BCA">
              <w:rPr>
                <w:i/>
              </w:rPr>
              <w:t xml:space="preserve">) of seabirds during oceanic </w:t>
            </w:r>
            <w:proofErr w:type="spellStart"/>
            <w:r w:rsidRPr="007F7BCA">
              <w:rPr>
                <w:i/>
              </w:rPr>
              <w:t>longline</w:t>
            </w:r>
            <w:proofErr w:type="spellEnd"/>
            <w:r w:rsidRPr="007F7BCA">
              <w:rPr>
                <w:i/>
              </w:rPr>
              <w:t xml:space="preserve"> fishing operations </w:t>
            </w:r>
            <w:r w:rsidRPr="007F7BCA">
              <w:rPr>
                <w:lang w:eastAsia="en-AU"/>
              </w:rPr>
              <w:t xml:space="preserve">(Seabird TAP) </w:t>
            </w:r>
            <w:r w:rsidR="006A2ACF">
              <w:t>was released in mid </w:t>
            </w:r>
            <w:r w:rsidRPr="007F7BCA">
              <w:t xml:space="preserve">2014. Section 269(1) of the EPBC Act requires that the Commonwealth must implement a threat abatement plan which applies in a Commonwealth area, for example in the </w:t>
            </w:r>
            <w:r w:rsidR="00EE4818">
              <w:t>We</w:t>
            </w:r>
            <w:r w:rsidRPr="007F7BCA">
              <w:t xml:space="preserve">stern Tuna and Billfish Fishery. The mitigation and monitoring requirements of the Seabird TAP to minimise the impact of fishing on seabirds are given effect in the </w:t>
            </w:r>
            <w:r w:rsidR="00EE4818">
              <w:t>We</w:t>
            </w:r>
            <w:r w:rsidRPr="007F7BCA">
              <w:t xml:space="preserve">stern Tuna and Billfish Fishery though conditions on </w:t>
            </w:r>
            <w:proofErr w:type="spellStart"/>
            <w:r w:rsidRPr="007F7BCA">
              <w:t>longline</w:t>
            </w:r>
            <w:proofErr w:type="spellEnd"/>
            <w:r w:rsidRPr="007F7BCA">
              <w:t xml:space="preserve"> boat statutory fishing rights.</w:t>
            </w:r>
          </w:p>
          <w:p w:rsidR="0048168A" w:rsidRPr="007F7BCA" w:rsidRDefault="0048168A" w:rsidP="006A2ACF">
            <w:r w:rsidRPr="007F7BCA">
              <w:t xml:space="preserve">Specific management measures which act to minimise the threats to seabirds from </w:t>
            </w:r>
            <w:proofErr w:type="spellStart"/>
            <w:r w:rsidRPr="007F7BCA">
              <w:t>longline</w:t>
            </w:r>
            <w:proofErr w:type="spellEnd"/>
            <w:r w:rsidRPr="007F7BCA">
              <w:t xml:space="preserve"> fishing include the requirement to use </w:t>
            </w:r>
            <w:proofErr w:type="spellStart"/>
            <w:r w:rsidRPr="007F7BCA">
              <w:t>tori</w:t>
            </w:r>
            <w:proofErr w:type="spellEnd"/>
            <w:r w:rsidRPr="007F7BCA">
              <w:t xml:space="preserve"> lines, weighted lines and thawed baits and a ban on offal discharge from all vessels operating south of 2</w:t>
            </w:r>
            <w:r w:rsidR="00F40323">
              <w:t xml:space="preserve">0 degrees south of the Equator. </w:t>
            </w:r>
            <w:r w:rsidR="006A2ACF">
              <w:t>No</w:t>
            </w:r>
            <w:r w:rsidRPr="007F7BCA">
              <w:t xml:space="preserve"> seabird</w:t>
            </w:r>
            <w:r w:rsidR="00F40323">
              <w:t xml:space="preserve"> interactions have been reported from the fishery</w:t>
            </w:r>
            <w:r w:rsidRPr="007F7BCA">
              <w:t xml:space="preserve"> </w:t>
            </w:r>
            <w:r w:rsidR="00F40323">
              <w:t xml:space="preserve">since the </w:t>
            </w:r>
            <w:r w:rsidR="00025EEE">
              <w:t xml:space="preserve">Department’s </w:t>
            </w:r>
            <w:r w:rsidR="00F40323">
              <w:t xml:space="preserve">2009 assessment of the </w:t>
            </w:r>
            <w:r w:rsidR="00B83008">
              <w:t>fishery.</w:t>
            </w:r>
            <w:r w:rsidR="00B83008" w:rsidRPr="007F7BCA">
              <w:rPr>
                <w:lang w:eastAsia="en-AU"/>
              </w:rPr>
              <w:t xml:space="preserve"> Further</w:t>
            </w:r>
            <w:r w:rsidRPr="007F7BCA">
              <w:rPr>
                <w:lang w:eastAsia="en-AU"/>
              </w:rPr>
              <w:t xml:space="preserve"> information on the Seabird TAP is available from the Department’s website at</w:t>
            </w:r>
            <w:proofErr w:type="gramStart"/>
            <w:r w:rsidRPr="007F7BCA">
              <w:rPr>
                <w:lang w:eastAsia="en-AU"/>
              </w:rPr>
              <w:t>:</w:t>
            </w:r>
            <w:proofErr w:type="gramEnd"/>
            <w:r w:rsidRPr="007F7BCA">
              <w:rPr>
                <w:lang w:eastAsia="en-AU"/>
              </w:rPr>
              <w:br/>
              <w:t>http://www.antarctica.gov.au/science/southern-ocean-ecosystems-environmental-change-and-conservation/southern-ocean-fisheries/seabird-bycatch/threat-abatement-plan-seabirds.</w:t>
            </w:r>
          </w:p>
          <w:p w:rsidR="0048168A" w:rsidRPr="007F7BCA" w:rsidRDefault="0048168A" w:rsidP="00852DF5">
            <w:pPr>
              <w:pStyle w:val="Heading3"/>
              <w:keepNext w:val="0"/>
            </w:pPr>
            <w:r w:rsidRPr="007F7BCA">
              <w:t>Sharks</w:t>
            </w:r>
          </w:p>
          <w:p w:rsidR="0048168A" w:rsidRPr="007F7BCA" w:rsidRDefault="0048168A" w:rsidP="00852DF5">
            <w:r w:rsidRPr="001408F7">
              <w:t>Interactions with white sharks, which are list</w:t>
            </w:r>
            <w:r w:rsidR="00852DF5" w:rsidRPr="001408F7">
              <w:t>ed as threatened under the EPBC </w:t>
            </w:r>
            <w:r w:rsidRPr="001408F7">
              <w:t xml:space="preserve">Act, are rare in the </w:t>
            </w:r>
            <w:r w:rsidR="00852DF5" w:rsidRPr="001408F7">
              <w:t>We</w:t>
            </w:r>
            <w:r w:rsidRPr="001408F7">
              <w:t>stern Tuna and Billfish Fishery.</w:t>
            </w:r>
          </w:p>
          <w:p w:rsidR="0048168A" w:rsidRDefault="0048168A" w:rsidP="00852DF5">
            <w:pPr>
              <w:autoSpaceDE w:val="0"/>
              <w:autoSpaceDN w:val="0"/>
              <w:adjustRightInd w:val="0"/>
              <w:rPr>
                <w:shd w:val="clear" w:color="auto" w:fill="FFFFFF" w:themeFill="background1"/>
              </w:rPr>
            </w:pPr>
            <w:r w:rsidRPr="007F7BCA">
              <w:rPr>
                <w:shd w:val="clear" w:color="auto" w:fill="FFFFFF" w:themeFill="background1"/>
              </w:rPr>
              <w:t xml:space="preserve">On 20 January 2010, </w:t>
            </w:r>
            <w:proofErr w:type="spellStart"/>
            <w:r w:rsidRPr="007F7BCA">
              <w:rPr>
                <w:shd w:val="clear" w:color="auto" w:fill="FFFFFF" w:themeFill="background1"/>
              </w:rPr>
              <w:t>longfin</w:t>
            </w:r>
            <w:proofErr w:type="spellEnd"/>
            <w:r w:rsidRPr="007F7BCA">
              <w:rPr>
                <w:shd w:val="clear" w:color="auto" w:fill="FFFFFF" w:themeFill="background1"/>
              </w:rPr>
              <w:t xml:space="preserve"> and </w:t>
            </w:r>
            <w:proofErr w:type="spellStart"/>
            <w:r w:rsidRPr="007F7BCA">
              <w:rPr>
                <w:shd w:val="clear" w:color="auto" w:fill="FFFFFF" w:themeFill="background1"/>
              </w:rPr>
              <w:t>shortfin</w:t>
            </w:r>
            <w:proofErr w:type="spellEnd"/>
            <w:r w:rsidRPr="007F7BCA">
              <w:rPr>
                <w:shd w:val="clear" w:color="auto" w:fill="FFFFFF" w:themeFill="background1"/>
              </w:rPr>
              <w:t xml:space="preserve"> </w:t>
            </w:r>
            <w:proofErr w:type="spellStart"/>
            <w:r w:rsidRPr="007F7BCA">
              <w:rPr>
                <w:shd w:val="clear" w:color="auto" w:fill="FFFFFF" w:themeFill="background1"/>
              </w:rPr>
              <w:t>mako</w:t>
            </w:r>
            <w:proofErr w:type="spellEnd"/>
            <w:r w:rsidRPr="007F7BCA">
              <w:rPr>
                <w:shd w:val="clear" w:color="auto" w:fill="FFFFFF" w:themeFill="background1"/>
              </w:rPr>
              <w:t xml:space="preserve"> sharks and </w:t>
            </w:r>
            <w:proofErr w:type="spellStart"/>
            <w:r w:rsidRPr="007F7BCA">
              <w:rPr>
                <w:shd w:val="clear" w:color="auto" w:fill="FFFFFF" w:themeFill="background1"/>
              </w:rPr>
              <w:t>porbeagle</w:t>
            </w:r>
            <w:proofErr w:type="spellEnd"/>
            <w:r w:rsidRPr="007F7BCA">
              <w:rPr>
                <w:shd w:val="clear" w:color="auto" w:fill="FFFFFF" w:themeFill="background1"/>
              </w:rPr>
              <w:t xml:space="preserve"> sharks were listed as migratory under the EPBC Act. Fishers are still permitted to retain these sharks as </w:t>
            </w:r>
            <w:proofErr w:type="spellStart"/>
            <w:r w:rsidRPr="007F7BCA">
              <w:rPr>
                <w:shd w:val="clear" w:color="auto" w:fill="FFFFFF" w:themeFill="background1"/>
              </w:rPr>
              <w:t>byproduct</w:t>
            </w:r>
            <w:proofErr w:type="spellEnd"/>
            <w:r w:rsidRPr="007F7BCA">
              <w:rPr>
                <w:shd w:val="clear" w:color="auto" w:fill="FFFFFF" w:themeFill="background1"/>
              </w:rPr>
              <w:t xml:space="preserve"> if brought up to the boat dead, within the total trip limits for sharks. Live caught specimens of these shark species need to be released.</w:t>
            </w:r>
          </w:p>
          <w:p w:rsidR="0048168A" w:rsidRPr="007F7BCA" w:rsidRDefault="0048168A" w:rsidP="00BB6DC7">
            <w:pPr>
              <w:pStyle w:val="Heading3"/>
              <w:keepNext w:val="0"/>
            </w:pPr>
            <w:r w:rsidRPr="007F7BCA">
              <w:t>Marine turtles</w:t>
            </w:r>
          </w:p>
          <w:p w:rsidR="00352FE1" w:rsidRDefault="0048168A" w:rsidP="0070032C">
            <w:pPr>
              <w:rPr>
                <w:rFonts w:cs="Arial"/>
              </w:rPr>
            </w:pPr>
            <w:r w:rsidRPr="001408F7">
              <w:rPr>
                <w:lang w:eastAsia="en-AU"/>
              </w:rPr>
              <w:t>Four of the</w:t>
            </w:r>
            <w:r w:rsidRPr="007F7BCA">
              <w:rPr>
                <w:lang w:eastAsia="en-AU"/>
              </w:rPr>
              <w:t xml:space="preserve"> world’s seven marine turtle species are known to inhabit the area of the </w:t>
            </w:r>
            <w:r w:rsidR="00852DF5">
              <w:rPr>
                <w:lang w:eastAsia="en-AU"/>
              </w:rPr>
              <w:t>We</w:t>
            </w:r>
            <w:r w:rsidRPr="007F7BCA">
              <w:rPr>
                <w:lang w:eastAsia="en-AU"/>
              </w:rPr>
              <w:t>stern Tuna and Billfish Fishery. All are listed threatened species under the EPBC Act</w:t>
            </w:r>
            <w:r>
              <w:rPr>
                <w:lang w:eastAsia="en-AU"/>
              </w:rPr>
              <w:t>.</w:t>
            </w:r>
            <w:r w:rsidR="00BB6DC7" w:rsidRPr="007F7BCA">
              <w:t xml:space="preserve"> A number of management measures act to minimise the impact of fishing operations on marine turtles (see Table 3)</w:t>
            </w:r>
            <w:r w:rsidR="00BB6DC7">
              <w:t>.</w:t>
            </w:r>
            <w:r w:rsidR="00BB6DC7">
              <w:rPr>
                <w:rFonts w:cs="Arial"/>
              </w:rPr>
              <w:t xml:space="preserve"> </w:t>
            </w:r>
            <w:r w:rsidR="00BB6DC7">
              <w:t xml:space="preserve">Two </w:t>
            </w:r>
            <w:r w:rsidRPr="007F7BCA">
              <w:t xml:space="preserve">turtles were captured during the 2012 fishing year, with </w:t>
            </w:r>
            <w:r w:rsidR="00BB6DC7">
              <w:t>both</w:t>
            </w:r>
            <w:r w:rsidRPr="007F7BCA">
              <w:t xml:space="preserve"> released alive.</w:t>
            </w:r>
          </w:p>
          <w:p w:rsidR="004253D5" w:rsidRPr="00EC24A5" w:rsidRDefault="00404881" w:rsidP="0070032C">
            <w:pPr>
              <w:rPr>
                <w:rFonts w:cs="Arial"/>
              </w:rPr>
            </w:pPr>
            <w:bookmarkStart w:id="1" w:name="_GoBack"/>
            <w:bookmarkEnd w:id="1"/>
            <w:r>
              <w:t>All interactions with protected species must be reported by fishers in their logbooks and reports submitted to AFMA. AFMA publishes quarterly reports of interacti</w:t>
            </w:r>
            <w:r w:rsidR="00984A1E">
              <w:t>ons o</w:t>
            </w:r>
            <w:r>
              <w:t>n its website and, under a Memorandum of Understanding, provides quarterly reports of all interactions to the Department of the Environment.</w:t>
            </w:r>
          </w:p>
        </w:tc>
      </w:tr>
      <w:tr w:rsidR="00DA6A89" w:rsidRPr="00EC24A5" w:rsidTr="00CB7493">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EC24A5" w:rsidRDefault="00DA6A89" w:rsidP="00605EDD">
            <w:pPr>
              <w:pStyle w:val="Heading2"/>
            </w:pPr>
            <w:r w:rsidRPr="00EC24A5">
              <w:t>Ecosystem Impacts</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DA6A89" w:rsidRPr="00EC24A5" w:rsidRDefault="0048168A" w:rsidP="00984A1E">
            <w:pPr>
              <w:spacing w:after="120"/>
              <w:rPr>
                <w:rFonts w:cs="Arial"/>
              </w:rPr>
            </w:pPr>
            <w:r w:rsidRPr="007F7BCA">
              <w:t xml:space="preserve">The nature of </w:t>
            </w:r>
            <w:r>
              <w:t xml:space="preserve">potential </w:t>
            </w:r>
            <w:r w:rsidRPr="007F7BCA">
              <w:t xml:space="preserve">impacts on the ecosystem by the </w:t>
            </w:r>
            <w:r>
              <w:t>We</w:t>
            </w:r>
            <w:r w:rsidRPr="007F7BCA">
              <w:t xml:space="preserve">stern Tuna and Billfish Fishery is mainly in relation to the take of </w:t>
            </w:r>
            <w:r w:rsidR="00984A1E">
              <w:t>key</w:t>
            </w:r>
            <w:r w:rsidRPr="007F7BCA">
              <w:t xml:space="preserve"> and </w:t>
            </w:r>
            <w:proofErr w:type="spellStart"/>
            <w:r w:rsidRPr="007F7BCA">
              <w:t>byproduct</w:t>
            </w:r>
            <w:proofErr w:type="spellEnd"/>
            <w:r w:rsidRPr="007F7BCA">
              <w:t xml:space="preserve"> species and impacts on </w:t>
            </w:r>
            <w:proofErr w:type="spellStart"/>
            <w:r w:rsidRPr="007F7BCA">
              <w:t>bycatch</w:t>
            </w:r>
            <w:proofErr w:type="spellEnd"/>
            <w:r w:rsidRPr="007F7BCA">
              <w:t xml:space="preserve"> species, discussed above. No habitats were identified as high risk from the effects of pelagic </w:t>
            </w:r>
            <w:proofErr w:type="spellStart"/>
            <w:r w:rsidRPr="007F7BCA">
              <w:t>longline</w:t>
            </w:r>
            <w:proofErr w:type="spellEnd"/>
            <w:r w:rsidRPr="007F7BCA">
              <w:t xml:space="preserve"> fishing in the ecological risk assessment process.</w:t>
            </w:r>
          </w:p>
        </w:tc>
      </w:tr>
    </w:tbl>
    <w:p w:rsidR="00384293" w:rsidRPr="00EC24A5" w:rsidRDefault="00384293" w:rsidP="00296EE8"/>
    <w:p w:rsidR="00F765D7" w:rsidRDefault="00F765D7" w:rsidP="00296EE8"/>
    <w:p w:rsidR="00F765D7" w:rsidRDefault="00F765D7" w:rsidP="00296EE8"/>
    <w:p w:rsidR="00296EE8" w:rsidRPr="00EC24A5" w:rsidRDefault="00296EE8" w:rsidP="002A7A5C">
      <w:pPr>
        <w:shd w:val="clear" w:color="auto" w:fill="F2DBDB" w:themeFill="accent2" w:themeFillTint="33"/>
        <w:rPr>
          <w:rFonts w:cs="Arial"/>
          <w:b/>
        </w:rPr>
        <w:sectPr w:rsidR="00296EE8" w:rsidRPr="00EC24A5" w:rsidSect="006D3907">
          <w:footerReference w:type="first" r:id="rId17"/>
          <w:pgSz w:w="11906" w:h="16838" w:code="9"/>
          <w:pgMar w:top="1134" w:right="1418" w:bottom="709" w:left="1418" w:header="709" w:footer="0" w:gutter="0"/>
          <w:pgNumType w:start="1"/>
          <w:cols w:space="708"/>
          <w:titlePg/>
          <w:docGrid w:linePitch="360"/>
        </w:sectPr>
      </w:pPr>
    </w:p>
    <w:p w:rsidR="00DA6A89" w:rsidRPr="00EC24A5" w:rsidRDefault="00DA6A89" w:rsidP="00D90EDE">
      <w:pPr>
        <w:pStyle w:val="Heading1"/>
        <w:spacing w:after="120"/>
        <w:ind w:left="-851"/>
        <w:rPr>
          <w:szCs w:val="24"/>
        </w:rPr>
      </w:pPr>
      <w:bookmarkStart w:id="2" w:name="_Toc316301049"/>
      <w:r w:rsidRPr="00EC24A5">
        <w:rPr>
          <w:szCs w:val="24"/>
        </w:rPr>
        <w:t xml:space="preserve">Table 2: </w:t>
      </w:r>
      <w:bookmarkEnd w:id="2"/>
      <w:r w:rsidR="00E064F9" w:rsidRPr="00EC24A5">
        <w:rPr>
          <w:szCs w:val="24"/>
        </w:rPr>
        <w:t xml:space="preserve">Progress in implementation of recommendations made </w:t>
      </w:r>
      <w:r w:rsidR="00E064F9" w:rsidRPr="00AB7FD3">
        <w:rPr>
          <w:szCs w:val="24"/>
        </w:rPr>
        <w:t xml:space="preserve">in the </w:t>
      </w:r>
      <w:r w:rsidR="00AB7FD3" w:rsidRPr="00AB7FD3">
        <w:rPr>
          <w:szCs w:val="24"/>
        </w:rPr>
        <w:t>2009</w:t>
      </w:r>
      <w:r w:rsidR="00E064F9" w:rsidRPr="00EC24A5">
        <w:rPr>
          <w:szCs w:val="24"/>
        </w:rPr>
        <w:t xml:space="preserve"> assessment of the </w:t>
      </w:r>
      <w:r w:rsidR="00B27F37">
        <w:rPr>
          <w:szCs w:val="24"/>
        </w:rPr>
        <w:t>Western tuna and Billfish</w:t>
      </w:r>
      <w:r w:rsidR="00F2797D" w:rsidRPr="00EC24A5">
        <w:rPr>
          <w:szCs w:val="24"/>
        </w:rPr>
        <w:t xml:space="preserve"> </w:t>
      </w:r>
      <w:r w:rsidR="002A7A5C" w:rsidRPr="00EC24A5">
        <w:rPr>
          <w:szCs w:val="24"/>
        </w:rPr>
        <w:t>Fishery</w:t>
      </w:r>
    </w:p>
    <w:tbl>
      <w:tblPr>
        <w:tblW w:w="5638"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6"/>
        <w:gridCol w:w="7796"/>
        <w:gridCol w:w="3969"/>
      </w:tblGrid>
      <w:tr w:rsidR="00622BB4" w:rsidRPr="00EC24A5" w:rsidTr="00E56141">
        <w:trPr>
          <w:tblHeader/>
        </w:trPr>
        <w:tc>
          <w:tcPr>
            <w:tcW w:w="1360" w:type="pct"/>
            <w:shd w:val="clear" w:color="auto" w:fill="D9D9D9" w:themeFill="background1" w:themeFillShade="D9"/>
          </w:tcPr>
          <w:p w:rsidR="00622BB4" w:rsidRPr="00EC24A5" w:rsidRDefault="00F06552" w:rsidP="009C5225">
            <w:pPr>
              <w:autoSpaceDE w:val="0"/>
              <w:autoSpaceDN w:val="0"/>
              <w:adjustRightInd w:val="0"/>
              <w:rPr>
                <w:rFonts w:cs="Arial"/>
                <w:b/>
                <w:bCs/>
              </w:rPr>
            </w:pPr>
            <w:r>
              <w:rPr>
                <w:rFonts w:cs="Arial"/>
                <w:b/>
              </w:rPr>
              <w:t>Recommendation</w:t>
            </w:r>
          </w:p>
        </w:tc>
        <w:tc>
          <w:tcPr>
            <w:tcW w:w="2412" w:type="pct"/>
            <w:shd w:val="clear" w:color="auto" w:fill="D9D9D9" w:themeFill="background1" w:themeFillShade="D9"/>
          </w:tcPr>
          <w:p w:rsidR="00622BB4" w:rsidRPr="00EC24A5" w:rsidRDefault="00622BB4" w:rsidP="009C5225">
            <w:pPr>
              <w:rPr>
                <w:rFonts w:cs="Arial"/>
              </w:rPr>
            </w:pPr>
            <w:r w:rsidRPr="00EC24A5">
              <w:rPr>
                <w:rFonts w:cs="Arial"/>
                <w:b/>
              </w:rPr>
              <w:t>Progress</w:t>
            </w:r>
          </w:p>
        </w:tc>
        <w:tc>
          <w:tcPr>
            <w:tcW w:w="1228" w:type="pct"/>
            <w:shd w:val="clear" w:color="auto" w:fill="D9D9D9" w:themeFill="background1" w:themeFillShade="D9"/>
          </w:tcPr>
          <w:p w:rsidR="00622BB4" w:rsidRPr="00EC24A5" w:rsidRDefault="00622BB4" w:rsidP="009C5225">
            <w:pPr>
              <w:spacing w:after="120"/>
              <w:rPr>
                <w:rFonts w:cs="Arial"/>
              </w:rPr>
            </w:pPr>
            <w:r w:rsidRPr="00EC24A5">
              <w:rPr>
                <w:rFonts w:cs="Arial"/>
                <w:b/>
              </w:rPr>
              <w:t>Recommended Action</w:t>
            </w:r>
          </w:p>
        </w:tc>
      </w:tr>
      <w:tr w:rsidR="00D4144C" w:rsidRPr="00EC24A5" w:rsidTr="00E56141">
        <w:trPr>
          <w:cantSplit/>
        </w:trPr>
        <w:tc>
          <w:tcPr>
            <w:tcW w:w="1360" w:type="pct"/>
          </w:tcPr>
          <w:p w:rsidR="00D4144C" w:rsidRPr="00C26809" w:rsidRDefault="00593E69" w:rsidP="00C26809">
            <w:pPr>
              <w:pStyle w:val="ListParagraph"/>
              <w:numPr>
                <w:ilvl w:val="0"/>
                <w:numId w:val="22"/>
              </w:numPr>
              <w:ind w:left="419" w:hanging="357"/>
              <w:rPr>
                <w:b/>
              </w:rPr>
            </w:pPr>
            <w:r w:rsidRPr="00C26809">
              <w:t>Operation</w:t>
            </w:r>
            <w:r>
              <w:t xml:space="preserve"> of the Western Tuna and Billfish Fishery (WTBF) will be carried out in accordance with the </w:t>
            </w:r>
            <w:r w:rsidR="00C26809">
              <w:rPr>
                <w:i/>
              </w:rPr>
              <w:t>Western </w:t>
            </w:r>
            <w:r w:rsidRPr="00C26809">
              <w:rPr>
                <w:i/>
              </w:rPr>
              <w:t>Tuna and Billfish Fishery Management Plan 2005</w:t>
            </w:r>
            <w:r>
              <w:t xml:space="preserve"> in force under the Commonwealth </w:t>
            </w:r>
            <w:r w:rsidRPr="00C26809">
              <w:rPr>
                <w:i/>
              </w:rPr>
              <w:t>Fisheries Management Act 1991</w:t>
            </w:r>
            <w:r>
              <w:t>.</w:t>
            </w:r>
          </w:p>
        </w:tc>
        <w:tc>
          <w:tcPr>
            <w:tcW w:w="2412" w:type="pct"/>
          </w:tcPr>
          <w:p w:rsidR="00D4144C" w:rsidRPr="00EC24A5" w:rsidRDefault="00CF5C8F" w:rsidP="00D931CE">
            <w:pPr>
              <w:rPr>
                <w:rFonts w:cs="Arial"/>
                <w:highlight w:val="yellow"/>
              </w:rPr>
            </w:pPr>
            <w:r w:rsidRPr="00CF5C8F">
              <w:rPr>
                <w:rFonts w:cs="Arial"/>
              </w:rPr>
              <w:t xml:space="preserve">The Australian Fisheries Management Authority (AFMA) has advised that the Western Tuna and Billfish Fishery </w:t>
            </w:r>
            <w:proofErr w:type="gramStart"/>
            <w:r w:rsidRPr="00CF5C8F">
              <w:rPr>
                <w:rFonts w:cs="Arial"/>
              </w:rPr>
              <w:t>has</w:t>
            </w:r>
            <w:proofErr w:type="gramEnd"/>
            <w:r w:rsidRPr="00CF5C8F">
              <w:rPr>
                <w:rFonts w:cs="Arial"/>
              </w:rPr>
              <w:t xml:space="preserve"> been managed under the Western Tuna and Billfish Fishery Management Plan 2005 consistent with the</w:t>
            </w:r>
            <w:r w:rsidRPr="00CF5C8F">
              <w:rPr>
                <w:rFonts w:cs="Arial"/>
                <w:i/>
              </w:rPr>
              <w:t xml:space="preserve"> Fisheries Management Act 1991.</w:t>
            </w:r>
          </w:p>
        </w:tc>
        <w:tc>
          <w:tcPr>
            <w:tcW w:w="1228" w:type="pct"/>
          </w:tcPr>
          <w:p w:rsidR="00D4144C" w:rsidRPr="00EC24A5" w:rsidRDefault="00D4144C" w:rsidP="009C5225">
            <w:pPr>
              <w:spacing w:after="120"/>
              <w:rPr>
                <w:rFonts w:cs="Arial"/>
              </w:rPr>
            </w:pPr>
            <w:r w:rsidRPr="00EC24A5">
              <w:rPr>
                <w:rFonts w:cs="Arial"/>
              </w:rPr>
              <w:t xml:space="preserve">The </w:t>
            </w:r>
            <w:r w:rsidR="00EA5E26" w:rsidRPr="00EC24A5">
              <w:rPr>
                <w:rFonts w:cs="Arial"/>
              </w:rPr>
              <w:t>Department</w:t>
            </w:r>
            <w:r w:rsidRPr="00EC24A5">
              <w:rPr>
                <w:rFonts w:cs="Arial"/>
              </w:rPr>
              <w:t xml:space="preserve"> </w:t>
            </w:r>
            <w:r w:rsidR="00CF5C8F">
              <w:rPr>
                <w:rFonts w:cs="Arial"/>
              </w:rPr>
              <w:t xml:space="preserve">of the Environment </w:t>
            </w:r>
            <w:r w:rsidRPr="00EC24A5">
              <w:rPr>
                <w:rFonts w:cs="Arial"/>
              </w:rPr>
              <w:t xml:space="preserve">considers that this </w:t>
            </w:r>
            <w:r w:rsidR="00DA0C5E" w:rsidRPr="00CF5C8F">
              <w:rPr>
                <w:rFonts w:cs="Arial"/>
              </w:rPr>
              <w:t xml:space="preserve">recommendation </w:t>
            </w:r>
            <w:r w:rsidRPr="00EC24A5">
              <w:rPr>
                <w:rFonts w:cs="Arial"/>
              </w:rPr>
              <w:t>has been met.</w:t>
            </w:r>
          </w:p>
          <w:p w:rsidR="00D4144C" w:rsidRPr="00EC24A5" w:rsidRDefault="00D4144C" w:rsidP="00893D88">
            <w:pPr>
              <w:spacing w:after="120"/>
              <w:rPr>
                <w:rFonts w:cs="Arial"/>
                <w:highlight w:val="cyan"/>
              </w:rPr>
            </w:pPr>
            <w:r w:rsidRPr="00EC24A5">
              <w:rPr>
                <w:rFonts w:cs="Arial"/>
              </w:rPr>
              <w:t xml:space="preserve">The </w:t>
            </w:r>
            <w:r w:rsidR="00EA5E26" w:rsidRPr="00EC24A5">
              <w:rPr>
                <w:rFonts w:cs="Arial"/>
              </w:rPr>
              <w:t>Department</w:t>
            </w:r>
            <w:r w:rsidRPr="00EC24A5">
              <w:rPr>
                <w:rFonts w:cs="Arial"/>
              </w:rPr>
              <w:t xml:space="preserve"> considers that </w:t>
            </w:r>
            <w:r w:rsidR="00E56141">
              <w:rPr>
                <w:rFonts w:cs="Arial"/>
              </w:rPr>
              <w:t xml:space="preserve">this action be continued (see </w:t>
            </w:r>
            <w:r w:rsidR="00E56141" w:rsidRPr="00E56141">
              <w:rPr>
                <w:rFonts w:cs="Arial"/>
                <w:b/>
              </w:rPr>
              <w:t>Recommendation1, Table 4</w:t>
            </w:r>
            <w:r w:rsidR="00E56141">
              <w:rPr>
                <w:rFonts w:cs="Arial"/>
              </w:rPr>
              <w:t>).</w:t>
            </w:r>
          </w:p>
        </w:tc>
      </w:tr>
      <w:tr w:rsidR="00D4144C" w:rsidRPr="00EC24A5" w:rsidTr="00E56141">
        <w:trPr>
          <w:cantSplit/>
        </w:trPr>
        <w:tc>
          <w:tcPr>
            <w:tcW w:w="1360" w:type="pct"/>
          </w:tcPr>
          <w:p w:rsidR="00D4144C" w:rsidRPr="00EC24A5" w:rsidRDefault="00593E69" w:rsidP="00C26809">
            <w:pPr>
              <w:pStyle w:val="ListParagraph"/>
              <w:numPr>
                <w:ilvl w:val="0"/>
                <w:numId w:val="22"/>
              </w:numPr>
              <w:ind w:left="419" w:hanging="357"/>
              <w:rPr>
                <w:rFonts w:cs="Arial"/>
                <w:b/>
                <w:bCs/>
              </w:rPr>
            </w:pPr>
            <w:r>
              <w:t>AFMA to inform DEWHA of any int</w:t>
            </w:r>
            <w:r w:rsidR="00C26809">
              <w:t>ended amendments to the Western </w:t>
            </w:r>
            <w:r>
              <w:t>Tuna and Billfish Fishery management arrangements that may affect the assessment of the fishery aga</w:t>
            </w:r>
            <w:r w:rsidR="00DA0C5E">
              <w:t>inst the criteria on which EPBC </w:t>
            </w:r>
            <w:r>
              <w:t>Act decisions are based.</w:t>
            </w:r>
          </w:p>
        </w:tc>
        <w:tc>
          <w:tcPr>
            <w:tcW w:w="2412" w:type="pct"/>
          </w:tcPr>
          <w:p w:rsidR="00D4144C" w:rsidRPr="00EC24A5" w:rsidRDefault="003306FA" w:rsidP="003306FA">
            <w:pPr>
              <w:rPr>
                <w:rFonts w:cs="Arial"/>
                <w:highlight w:val="yellow"/>
              </w:rPr>
            </w:pPr>
            <w:r w:rsidRPr="003306FA">
              <w:rPr>
                <w:rFonts w:cs="Arial"/>
              </w:rPr>
              <w:t xml:space="preserve">AFMA has </w:t>
            </w:r>
            <w:r w:rsidRPr="003306FA">
              <w:rPr>
                <w:rFonts w:cs="Arial"/>
                <w:bCs/>
                <w:lang w:val="en-US"/>
              </w:rPr>
              <w:t xml:space="preserve">informed the Department of Environment of changes to management arrangements in the </w:t>
            </w:r>
            <w:r w:rsidR="00DE2939" w:rsidRPr="00CF5C8F">
              <w:rPr>
                <w:rFonts w:cs="Arial"/>
              </w:rPr>
              <w:t>Western Tuna and Billfish Fishery</w:t>
            </w:r>
            <w:r w:rsidRPr="003306FA">
              <w:rPr>
                <w:rFonts w:cs="Arial"/>
                <w:bCs/>
                <w:lang w:val="en-US"/>
              </w:rPr>
              <w:t>.</w:t>
            </w:r>
          </w:p>
        </w:tc>
        <w:tc>
          <w:tcPr>
            <w:tcW w:w="1228" w:type="pct"/>
          </w:tcPr>
          <w:p w:rsidR="00D4144C" w:rsidRPr="00EC24A5" w:rsidRDefault="00D4144C" w:rsidP="009C5225">
            <w:pPr>
              <w:spacing w:after="120"/>
              <w:rPr>
                <w:rFonts w:cs="Arial"/>
              </w:rPr>
            </w:pPr>
            <w:r w:rsidRPr="00EC24A5">
              <w:rPr>
                <w:rFonts w:cs="Arial"/>
              </w:rPr>
              <w:t xml:space="preserve">The </w:t>
            </w:r>
            <w:r w:rsidR="00EA5E26" w:rsidRPr="00EC24A5">
              <w:rPr>
                <w:rFonts w:cs="Arial"/>
              </w:rPr>
              <w:t>Department</w:t>
            </w:r>
            <w:r w:rsidRPr="00EC24A5">
              <w:rPr>
                <w:rFonts w:cs="Arial"/>
              </w:rPr>
              <w:t xml:space="preserve"> considers that this </w:t>
            </w:r>
            <w:r w:rsidR="00DA0C5E" w:rsidRPr="00CF5C8F">
              <w:rPr>
                <w:rFonts w:cs="Arial"/>
              </w:rPr>
              <w:t xml:space="preserve">recommendation </w:t>
            </w:r>
            <w:r w:rsidRPr="00EC24A5">
              <w:rPr>
                <w:rFonts w:cs="Arial"/>
              </w:rPr>
              <w:t>has been met.</w:t>
            </w:r>
          </w:p>
          <w:p w:rsidR="00D4144C" w:rsidRPr="00EC24A5" w:rsidRDefault="00D4144C" w:rsidP="00E56141">
            <w:pPr>
              <w:spacing w:after="120"/>
              <w:rPr>
                <w:rFonts w:cs="Arial"/>
              </w:rPr>
            </w:pPr>
            <w:r w:rsidRPr="00EC24A5">
              <w:rPr>
                <w:rFonts w:cs="Arial"/>
              </w:rPr>
              <w:t xml:space="preserve">The </w:t>
            </w:r>
            <w:r w:rsidR="00EA5E26" w:rsidRPr="00EC24A5">
              <w:rPr>
                <w:rFonts w:cs="Arial"/>
              </w:rPr>
              <w:t>Department</w:t>
            </w:r>
            <w:r w:rsidRPr="00EC24A5">
              <w:rPr>
                <w:rFonts w:cs="Arial"/>
              </w:rPr>
              <w:t xml:space="preserve"> considers that </w:t>
            </w:r>
            <w:r w:rsidR="00E56141">
              <w:rPr>
                <w:rFonts w:cs="Arial"/>
              </w:rPr>
              <w:t xml:space="preserve">this action be continued (see </w:t>
            </w:r>
            <w:r w:rsidR="00E56141" w:rsidRPr="00E56141">
              <w:rPr>
                <w:rFonts w:cs="Arial"/>
                <w:b/>
              </w:rPr>
              <w:t>Recommendation</w:t>
            </w:r>
            <w:r w:rsidR="00E56141">
              <w:rPr>
                <w:rFonts w:cs="Arial"/>
                <w:b/>
              </w:rPr>
              <w:t>2</w:t>
            </w:r>
            <w:r w:rsidR="00E56141" w:rsidRPr="00E56141">
              <w:rPr>
                <w:rFonts w:cs="Arial"/>
                <w:b/>
              </w:rPr>
              <w:t>, Table 4</w:t>
            </w:r>
            <w:r w:rsidR="00E56141">
              <w:rPr>
                <w:rFonts w:cs="Arial"/>
              </w:rPr>
              <w:t>).</w:t>
            </w:r>
          </w:p>
        </w:tc>
      </w:tr>
      <w:tr w:rsidR="00D4144C" w:rsidRPr="00EC24A5" w:rsidTr="00E56141">
        <w:trPr>
          <w:cantSplit/>
        </w:trPr>
        <w:tc>
          <w:tcPr>
            <w:tcW w:w="1360" w:type="pct"/>
          </w:tcPr>
          <w:p w:rsidR="00D4144C" w:rsidRPr="00EC24A5" w:rsidRDefault="003E2377" w:rsidP="00C26809">
            <w:pPr>
              <w:pStyle w:val="ListParagraph"/>
              <w:numPr>
                <w:ilvl w:val="0"/>
                <w:numId w:val="22"/>
              </w:numPr>
              <w:ind w:left="419" w:hanging="357"/>
              <w:rPr>
                <w:rFonts w:cs="Arial"/>
                <w:b/>
                <w:bCs/>
              </w:rPr>
            </w:pPr>
            <w:r>
              <w:t xml:space="preserve">AFMA to </w:t>
            </w:r>
            <w:r w:rsidRPr="00893D88">
              <w:t>produce</w:t>
            </w:r>
            <w:r>
              <w:t xml:space="preserve"> and present reports to</w:t>
            </w:r>
            <w:r w:rsidR="00DA0C5E">
              <w:t xml:space="preserve"> DEWHA annually as per Appendix </w:t>
            </w:r>
            <w:r>
              <w:t xml:space="preserve">B to the </w:t>
            </w:r>
            <w:r>
              <w:rPr>
                <w:i/>
              </w:rPr>
              <w:t>Guidelines for the Ecologically Sustainable Management of Fisheries - 2nd Edition.</w:t>
            </w:r>
          </w:p>
        </w:tc>
        <w:tc>
          <w:tcPr>
            <w:tcW w:w="2412" w:type="pct"/>
          </w:tcPr>
          <w:p w:rsidR="00D4144C" w:rsidRPr="00EC24A5" w:rsidRDefault="00CF5C8F" w:rsidP="003306FA">
            <w:pPr>
              <w:rPr>
                <w:rFonts w:cs="Arial"/>
              </w:rPr>
            </w:pPr>
            <w:r w:rsidRPr="00CF5C8F">
              <w:rPr>
                <w:rFonts w:cs="Arial"/>
                <w:bCs/>
              </w:rPr>
              <w:t xml:space="preserve">Annual reports have been </w:t>
            </w:r>
            <w:r w:rsidR="003306FA">
              <w:rPr>
                <w:rFonts w:cs="Arial"/>
              </w:rPr>
              <w:t>provided</w:t>
            </w:r>
            <w:r w:rsidRPr="00CF5C8F">
              <w:rPr>
                <w:rFonts w:cs="Arial"/>
              </w:rPr>
              <w:t xml:space="preserve"> to the Department.</w:t>
            </w:r>
          </w:p>
        </w:tc>
        <w:tc>
          <w:tcPr>
            <w:tcW w:w="1228" w:type="pct"/>
          </w:tcPr>
          <w:p w:rsidR="00D4144C" w:rsidRPr="00EC24A5" w:rsidRDefault="00D4144C" w:rsidP="009C5225">
            <w:pPr>
              <w:spacing w:after="120"/>
              <w:rPr>
                <w:rFonts w:cs="Arial"/>
              </w:rPr>
            </w:pPr>
            <w:r w:rsidRPr="00EC24A5">
              <w:rPr>
                <w:rFonts w:cs="Arial"/>
              </w:rPr>
              <w:t xml:space="preserve">The </w:t>
            </w:r>
            <w:r w:rsidR="00EA5E26" w:rsidRPr="00EC24A5">
              <w:rPr>
                <w:rFonts w:cs="Arial"/>
              </w:rPr>
              <w:t>Department</w:t>
            </w:r>
            <w:r w:rsidRPr="00EC24A5">
              <w:rPr>
                <w:rFonts w:cs="Arial"/>
              </w:rPr>
              <w:t xml:space="preserve"> considers that this </w:t>
            </w:r>
            <w:r w:rsidR="00DA0C5E" w:rsidRPr="00CF5C8F">
              <w:rPr>
                <w:rFonts w:cs="Arial"/>
              </w:rPr>
              <w:t xml:space="preserve">recommendation </w:t>
            </w:r>
            <w:r w:rsidRPr="00EC24A5">
              <w:rPr>
                <w:rFonts w:cs="Arial"/>
              </w:rPr>
              <w:t>has been met.</w:t>
            </w:r>
          </w:p>
          <w:p w:rsidR="00D4144C" w:rsidRPr="00EC24A5" w:rsidRDefault="00D4144C" w:rsidP="00E56141">
            <w:pPr>
              <w:spacing w:after="120"/>
              <w:rPr>
                <w:rFonts w:cs="Arial"/>
              </w:rPr>
            </w:pPr>
            <w:r w:rsidRPr="00EC24A5">
              <w:rPr>
                <w:rFonts w:cs="Arial"/>
              </w:rPr>
              <w:t xml:space="preserve">The </w:t>
            </w:r>
            <w:r w:rsidR="00EA5E26" w:rsidRPr="00EC24A5">
              <w:rPr>
                <w:rFonts w:cs="Arial"/>
              </w:rPr>
              <w:t>Department</w:t>
            </w:r>
            <w:r w:rsidRPr="00EC24A5">
              <w:rPr>
                <w:rFonts w:cs="Arial"/>
              </w:rPr>
              <w:t xml:space="preserve"> considers that </w:t>
            </w:r>
            <w:r w:rsidR="00E56141">
              <w:rPr>
                <w:rFonts w:cs="Arial"/>
              </w:rPr>
              <w:t xml:space="preserve">this action be continued (see </w:t>
            </w:r>
            <w:r w:rsidR="00E56141" w:rsidRPr="00E56141">
              <w:rPr>
                <w:rFonts w:cs="Arial"/>
                <w:b/>
              </w:rPr>
              <w:t>Recommendation</w:t>
            </w:r>
            <w:r w:rsidR="00E56141">
              <w:rPr>
                <w:rFonts w:cs="Arial"/>
                <w:b/>
              </w:rPr>
              <w:t>3</w:t>
            </w:r>
            <w:r w:rsidR="00E56141" w:rsidRPr="00E56141">
              <w:rPr>
                <w:rFonts w:cs="Arial"/>
                <w:b/>
              </w:rPr>
              <w:t>, Table 4</w:t>
            </w:r>
            <w:r w:rsidR="00E56141">
              <w:rPr>
                <w:rFonts w:cs="Arial"/>
              </w:rPr>
              <w:t>).</w:t>
            </w:r>
          </w:p>
        </w:tc>
      </w:tr>
      <w:tr w:rsidR="003E2377" w:rsidRPr="00EC24A5" w:rsidTr="00E56141">
        <w:trPr>
          <w:cantSplit/>
        </w:trPr>
        <w:tc>
          <w:tcPr>
            <w:tcW w:w="1360" w:type="pct"/>
          </w:tcPr>
          <w:p w:rsidR="003E2377" w:rsidRPr="00893D88" w:rsidRDefault="003E2377" w:rsidP="00C26809">
            <w:pPr>
              <w:pStyle w:val="ListParagraph"/>
              <w:numPr>
                <w:ilvl w:val="0"/>
                <w:numId w:val="22"/>
              </w:numPr>
              <w:ind w:left="419" w:hanging="357"/>
            </w:pPr>
            <w:r>
              <w:t xml:space="preserve">AFMA to provide final copies of the Ecological Risk Assessment (ERA) and Ecological Risk Management </w:t>
            </w:r>
            <w:r w:rsidR="00DA0C5E">
              <w:t>(ERM) reports for the WTBF by 1 </w:t>
            </w:r>
            <w:r>
              <w:t>December 2010, including a catch or effort level trigger within the ERM, above which the ERA is reassessed.</w:t>
            </w:r>
          </w:p>
        </w:tc>
        <w:tc>
          <w:tcPr>
            <w:tcW w:w="2412" w:type="pct"/>
          </w:tcPr>
          <w:p w:rsidR="008C4152" w:rsidRDefault="00010FE0" w:rsidP="008C4152">
            <w:pPr>
              <w:rPr>
                <w:i/>
                <w:iCs/>
              </w:rPr>
            </w:pPr>
            <w:r>
              <w:rPr>
                <w:rFonts w:cs="Arial"/>
              </w:rPr>
              <w:t xml:space="preserve">AFMA has </w:t>
            </w:r>
            <w:r w:rsidR="003306FA">
              <w:rPr>
                <w:rFonts w:cs="Arial"/>
              </w:rPr>
              <w:t xml:space="preserve">published </w:t>
            </w:r>
            <w:r>
              <w:rPr>
                <w:rFonts w:cs="Arial"/>
              </w:rPr>
              <w:t>the</w:t>
            </w:r>
            <w:r w:rsidR="008C4152">
              <w:rPr>
                <w:rFonts w:cs="Arial"/>
              </w:rPr>
              <w:t xml:space="preserve"> sustainability </w:t>
            </w:r>
            <w:r w:rsidR="008C4152" w:rsidRPr="008C4152">
              <w:rPr>
                <w:rFonts w:cs="Arial"/>
              </w:rPr>
              <w:t>assessment for fishing effects (SAFE)</w:t>
            </w:r>
            <w:r w:rsidR="008C4152">
              <w:rPr>
                <w:rFonts w:cs="Arial"/>
              </w:rPr>
              <w:t xml:space="preserve"> report (Zhou et al 2009) and the</w:t>
            </w:r>
            <w:r>
              <w:rPr>
                <w:rFonts w:cs="Arial"/>
              </w:rPr>
              <w:t xml:space="preserve"> </w:t>
            </w:r>
            <w:r w:rsidR="008C4152" w:rsidRPr="008C4152">
              <w:rPr>
                <w:iCs/>
              </w:rPr>
              <w:t>e</w:t>
            </w:r>
            <w:r w:rsidR="008C4152">
              <w:rPr>
                <w:iCs/>
              </w:rPr>
              <w:t>cological risk management</w:t>
            </w:r>
            <w:r w:rsidRPr="008C4152">
              <w:rPr>
                <w:iCs/>
              </w:rPr>
              <w:t xml:space="preserve"> report</w:t>
            </w:r>
            <w:r w:rsidR="00FE63B7">
              <w:rPr>
                <w:iCs/>
              </w:rPr>
              <w:t xml:space="preserve"> for the Western Tuna and Billfish Fishery</w:t>
            </w:r>
            <w:r w:rsidRPr="00010FE0">
              <w:rPr>
                <w:i/>
                <w:iCs/>
              </w:rPr>
              <w:t xml:space="preserve"> </w:t>
            </w:r>
            <w:r w:rsidR="008C4152">
              <w:t>(AFMA 2010) and provided copies to the Department.</w:t>
            </w:r>
          </w:p>
          <w:p w:rsidR="00FE63B7" w:rsidRPr="00FE63B7" w:rsidRDefault="003306FA" w:rsidP="005D779A">
            <w:pPr>
              <w:rPr>
                <w:rFonts w:cs="Arial"/>
              </w:rPr>
            </w:pPr>
            <w:r w:rsidRPr="00B446B6">
              <w:rPr>
                <w:rFonts w:cs="Arial"/>
              </w:rPr>
              <w:t xml:space="preserve">The </w:t>
            </w:r>
            <w:r>
              <w:rPr>
                <w:rFonts w:cs="Arial"/>
              </w:rPr>
              <w:t>ecological risk management report</w:t>
            </w:r>
            <w:r w:rsidR="008C4152">
              <w:rPr>
                <w:rFonts w:cs="Arial"/>
              </w:rPr>
              <w:t xml:space="preserve"> </w:t>
            </w:r>
            <w:r w:rsidR="00FE63B7">
              <w:rPr>
                <w:rFonts w:cs="Arial"/>
              </w:rPr>
              <w:t>indicates that the ecological risk assessment</w:t>
            </w:r>
            <w:r w:rsidRPr="00B446B6">
              <w:rPr>
                <w:rFonts w:cs="Arial"/>
              </w:rPr>
              <w:t xml:space="preserve"> process for the </w:t>
            </w:r>
            <w:r w:rsidR="00FE63B7">
              <w:rPr>
                <w:rFonts w:cs="Arial"/>
              </w:rPr>
              <w:t>fishery</w:t>
            </w:r>
            <w:r w:rsidRPr="00B446B6">
              <w:rPr>
                <w:rFonts w:cs="Arial"/>
              </w:rPr>
              <w:t xml:space="preserve"> will be reviewed if effort in the fishery reaches 2 million hooks</w:t>
            </w:r>
            <w:r>
              <w:rPr>
                <w:rFonts w:cs="Arial"/>
              </w:rPr>
              <w:t xml:space="preserve"> </w:t>
            </w:r>
            <w:r w:rsidR="008E541A">
              <w:rPr>
                <w:rFonts w:cs="Arial"/>
              </w:rPr>
              <w:t>per annum</w:t>
            </w:r>
            <w:r w:rsidR="005D779A">
              <w:rPr>
                <w:rFonts w:cs="Arial"/>
              </w:rPr>
              <w:t xml:space="preserve">, representing </w:t>
            </w:r>
            <w:r w:rsidR="005D779A" w:rsidRPr="00B446B6">
              <w:rPr>
                <w:rFonts w:cs="Arial"/>
              </w:rPr>
              <w:t>around 30</w:t>
            </w:r>
            <w:r w:rsidR="005D779A">
              <w:rPr>
                <w:rFonts w:cs="Arial"/>
              </w:rPr>
              <w:t xml:space="preserve"> per cent</w:t>
            </w:r>
            <w:r w:rsidR="005D779A" w:rsidRPr="00B446B6">
              <w:rPr>
                <w:rFonts w:cs="Arial"/>
              </w:rPr>
              <w:t xml:space="preserve"> of the peak historical effort</w:t>
            </w:r>
            <w:r w:rsidR="005D779A">
              <w:rPr>
                <w:rFonts w:cs="Arial"/>
              </w:rPr>
              <w:t xml:space="preserve"> in the fishery. </w:t>
            </w:r>
            <w:r w:rsidR="008E541A">
              <w:rPr>
                <w:rFonts w:cs="Arial"/>
              </w:rPr>
              <w:t>This compares to</w:t>
            </w:r>
            <w:r w:rsidRPr="00B446B6">
              <w:rPr>
                <w:rFonts w:cs="Arial"/>
              </w:rPr>
              <w:t xml:space="preserve"> </w:t>
            </w:r>
            <w:r w:rsidR="008E541A">
              <w:rPr>
                <w:rFonts w:cs="Arial"/>
              </w:rPr>
              <w:t xml:space="preserve">a level </w:t>
            </w:r>
            <w:r w:rsidR="005D779A">
              <w:rPr>
                <w:rFonts w:cs="Arial"/>
              </w:rPr>
              <w:t xml:space="preserve">of effort </w:t>
            </w:r>
            <w:r w:rsidR="008E541A" w:rsidRPr="00B446B6">
              <w:rPr>
                <w:rFonts w:cs="Arial"/>
              </w:rPr>
              <w:t>of around 200,000 to 400,000 hooks per annum</w:t>
            </w:r>
            <w:r w:rsidR="008E541A">
              <w:rPr>
                <w:rFonts w:cs="Arial"/>
              </w:rPr>
              <w:t xml:space="preserve"> in the years immediately preceding the 2010 report</w:t>
            </w:r>
            <w:r w:rsidR="005D779A">
              <w:rPr>
                <w:rFonts w:cs="Arial"/>
              </w:rPr>
              <w:t>.</w:t>
            </w:r>
            <w:r>
              <w:rPr>
                <w:rFonts w:cs="Arial"/>
              </w:rPr>
              <w:t xml:space="preserve"> </w:t>
            </w:r>
          </w:p>
        </w:tc>
        <w:tc>
          <w:tcPr>
            <w:tcW w:w="1228" w:type="pct"/>
          </w:tcPr>
          <w:p w:rsidR="003E2377" w:rsidRPr="00EC24A5" w:rsidRDefault="00CF5C8F" w:rsidP="009C5225">
            <w:pPr>
              <w:spacing w:after="120"/>
              <w:rPr>
                <w:rFonts w:cs="Arial"/>
              </w:rPr>
            </w:pPr>
            <w:r w:rsidRPr="00CF5C8F">
              <w:rPr>
                <w:rFonts w:cs="Arial"/>
              </w:rPr>
              <w:t>The Department considers that this recommendation has been met.</w:t>
            </w:r>
          </w:p>
        </w:tc>
      </w:tr>
      <w:tr w:rsidR="003E2377" w:rsidRPr="00EC24A5" w:rsidTr="00E56141">
        <w:tc>
          <w:tcPr>
            <w:tcW w:w="1360" w:type="pct"/>
          </w:tcPr>
          <w:p w:rsidR="003E2377" w:rsidRPr="003E2377" w:rsidRDefault="003E2377" w:rsidP="00C26809">
            <w:pPr>
              <w:pStyle w:val="ListParagraph"/>
              <w:numPr>
                <w:ilvl w:val="0"/>
                <w:numId w:val="22"/>
              </w:numPr>
              <w:ind w:left="419" w:hanging="357"/>
            </w:pPr>
            <w:r>
              <w:t xml:space="preserve">AFMA to continue to implement appropriate management responses to address and mitigate risks and impacts identified in the ERA and review the effectiveness of management responses at appropriate intervals, with a particular focus on </w:t>
            </w:r>
            <w:proofErr w:type="spellStart"/>
            <w:r>
              <w:t>chondrichthyan</w:t>
            </w:r>
            <w:proofErr w:type="spellEnd"/>
            <w:r>
              <w:t xml:space="preserve"> mortality.</w:t>
            </w:r>
          </w:p>
        </w:tc>
        <w:tc>
          <w:tcPr>
            <w:tcW w:w="2412" w:type="pct"/>
          </w:tcPr>
          <w:p w:rsidR="003306FA" w:rsidRDefault="00A81C5D" w:rsidP="003306FA">
            <w:pPr>
              <w:rPr>
                <w:rFonts w:cs="Arial"/>
              </w:rPr>
            </w:pPr>
            <w:r>
              <w:rPr>
                <w:rFonts w:cs="Arial"/>
              </w:rPr>
              <w:t xml:space="preserve">The outcomes of the SAFE risk assessment indicated that </w:t>
            </w:r>
            <w:r w:rsidR="003306FA">
              <w:rPr>
                <w:rFonts w:cs="Arial"/>
              </w:rPr>
              <w:t xml:space="preserve">no </w:t>
            </w:r>
            <w:r>
              <w:rPr>
                <w:rFonts w:cs="Arial"/>
              </w:rPr>
              <w:t>species were</w:t>
            </w:r>
            <w:r w:rsidR="003306FA">
              <w:rPr>
                <w:rFonts w:cs="Arial"/>
              </w:rPr>
              <w:t xml:space="preserve"> at high risk</w:t>
            </w:r>
            <w:r>
              <w:rPr>
                <w:rFonts w:cs="Arial"/>
              </w:rPr>
              <w:t xml:space="preserve"> </w:t>
            </w:r>
            <w:r w:rsidR="003C1CF2">
              <w:rPr>
                <w:rFonts w:cs="Arial"/>
              </w:rPr>
              <w:t>from</w:t>
            </w:r>
            <w:r>
              <w:rPr>
                <w:rFonts w:cs="Arial"/>
              </w:rPr>
              <w:t xml:space="preserve"> fishing </w:t>
            </w:r>
            <w:r w:rsidR="00F77EAA">
              <w:rPr>
                <w:rFonts w:cs="Arial"/>
              </w:rPr>
              <w:t>at current fishing levels.</w:t>
            </w:r>
            <w:r w:rsidR="002C06B1">
              <w:rPr>
                <w:rFonts w:cs="Arial"/>
              </w:rPr>
              <w:t xml:space="preserve"> As above, the ecological risk assessment</w:t>
            </w:r>
            <w:r w:rsidR="002C06B1" w:rsidRPr="00B446B6">
              <w:rPr>
                <w:rFonts w:cs="Arial"/>
              </w:rPr>
              <w:t xml:space="preserve"> will be reviewed if effort in the fishery</w:t>
            </w:r>
            <w:r w:rsidR="002C06B1">
              <w:rPr>
                <w:rFonts w:cs="Arial"/>
              </w:rPr>
              <w:t xml:space="preserve"> reaches designated trigger levels.</w:t>
            </w:r>
          </w:p>
          <w:p w:rsidR="002C06B1" w:rsidRPr="00EA121A" w:rsidRDefault="002C06B1" w:rsidP="00EA121A">
            <w:pPr>
              <w:spacing w:after="100"/>
            </w:pPr>
            <w:r>
              <w:t>M</w:t>
            </w:r>
            <w:r w:rsidRPr="007F7BCA">
              <w:t>easures to reduce the impact of the fishery</w:t>
            </w:r>
            <w:r w:rsidR="00E56141">
              <w:t xml:space="preserve"> on sharks, summarised in Table </w:t>
            </w:r>
            <w:r w:rsidRPr="007F7BCA">
              <w:t>1</w:t>
            </w:r>
            <w:r>
              <w:t>,</w:t>
            </w:r>
            <w:r w:rsidRPr="007F7BCA">
              <w:t xml:space="preserve"> </w:t>
            </w:r>
            <w:r>
              <w:t>are implemented</w:t>
            </w:r>
            <w:r w:rsidRPr="007F7BCA">
              <w:t xml:space="preserve"> through conditions </w:t>
            </w:r>
            <w:r>
              <w:t xml:space="preserve">on </w:t>
            </w:r>
            <w:r w:rsidRPr="007F7BCA">
              <w:t>stat</w:t>
            </w:r>
            <w:r>
              <w:t>utory fishing rights</w:t>
            </w:r>
            <w:r w:rsidRPr="007F7BCA">
              <w:t xml:space="preserve">. Following the listing of </w:t>
            </w:r>
            <w:proofErr w:type="spellStart"/>
            <w:r w:rsidRPr="007F7BCA">
              <w:t>shortfin</w:t>
            </w:r>
            <w:proofErr w:type="spellEnd"/>
            <w:r w:rsidRPr="007F7BCA">
              <w:t xml:space="preserve"> </w:t>
            </w:r>
            <w:proofErr w:type="spellStart"/>
            <w:r w:rsidRPr="007F7BCA">
              <w:t>mako</w:t>
            </w:r>
            <w:proofErr w:type="spellEnd"/>
            <w:r w:rsidRPr="007F7BCA">
              <w:t xml:space="preserve">, </w:t>
            </w:r>
            <w:proofErr w:type="spellStart"/>
            <w:r w:rsidRPr="007F7BCA">
              <w:t>longfin</w:t>
            </w:r>
            <w:proofErr w:type="spellEnd"/>
            <w:r w:rsidRPr="007F7BCA">
              <w:t xml:space="preserve"> </w:t>
            </w:r>
            <w:proofErr w:type="spellStart"/>
            <w:r w:rsidRPr="007F7BCA">
              <w:t>mako</w:t>
            </w:r>
            <w:proofErr w:type="spellEnd"/>
            <w:r w:rsidRPr="007F7BCA">
              <w:t xml:space="preserve"> and </w:t>
            </w:r>
            <w:proofErr w:type="spellStart"/>
            <w:r w:rsidRPr="007F7BCA">
              <w:t>porbeagle</w:t>
            </w:r>
            <w:proofErr w:type="spellEnd"/>
            <w:r w:rsidRPr="007F7BCA">
              <w:t xml:space="preserve"> shark as migratory species under the EPBC Act in 2010</w:t>
            </w:r>
            <w:r w:rsidR="008952CC">
              <w:t>,</w:t>
            </w:r>
            <w:r w:rsidR="005D779A">
              <w:t xml:space="preserve"> </w:t>
            </w:r>
            <w:r>
              <w:t>AFMA</w:t>
            </w:r>
            <w:r w:rsidRPr="007F7BCA">
              <w:rPr>
                <w:bCs/>
              </w:rPr>
              <w:t xml:space="preserve"> conducted extensive skipper education in </w:t>
            </w:r>
            <w:r w:rsidR="005D779A" w:rsidRPr="007F7BCA">
              <w:t xml:space="preserve">2011 and 2012 </w:t>
            </w:r>
            <w:r w:rsidRPr="007F7BCA">
              <w:t>regarding new management arrangements for these species (retaining and trading these species is only permitted if they are already dead when brought up to the boat. Live individ</w:t>
            </w:r>
            <w:r w:rsidR="00EA121A">
              <w:t>uals are required</w:t>
            </w:r>
            <w:r w:rsidR="005D779A">
              <w:t xml:space="preserve"> to</w:t>
            </w:r>
            <w:r w:rsidR="00EA121A">
              <w:t xml:space="preserve"> be released.) </w:t>
            </w:r>
            <w:r w:rsidRPr="007F7BCA">
              <w:t xml:space="preserve">Key objectives of the </w:t>
            </w:r>
            <w:r w:rsidRPr="007F7BCA">
              <w:rPr>
                <w:i/>
                <w:color w:val="000000"/>
              </w:rPr>
              <w:t xml:space="preserve">Australian Tuna and Billfish Fisheries </w:t>
            </w:r>
            <w:proofErr w:type="spellStart"/>
            <w:r w:rsidRPr="007F7BCA">
              <w:rPr>
                <w:i/>
                <w:color w:val="000000"/>
              </w:rPr>
              <w:t>Bycatch</w:t>
            </w:r>
            <w:proofErr w:type="spellEnd"/>
            <w:r w:rsidRPr="007F7BCA">
              <w:rPr>
                <w:i/>
                <w:color w:val="000000"/>
              </w:rPr>
              <w:t xml:space="preserve"> and Disca</w:t>
            </w:r>
            <w:r w:rsidR="00147C68">
              <w:rPr>
                <w:i/>
                <w:color w:val="000000"/>
              </w:rPr>
              <w:t xml:space="preserve">rding </w:t>
            </w:r>
            <w:proofErr w:type="spellStart"/>
            <w:r w:rsidR="00147C68">
              <w:rPr>
                <w:i/>
                <w:color w:val="000000"/>
              </w:rPr>
              <w:t>Workplan</w:t>
            </w:r>
            <w:proofErr w:type="spellEnd"/>
            <w:r w:rsidR="00147C68">
              <w:rPr>
                <w:i/>
                <w:color w:val="000000"/>
              </w:rPr>
              <w:t xml:space="preserve"> 1 July 2014 – 30 </w:t>
            </w:r>
            <w:r w:rsidRPr="007F7BCA">
              <w:rPr>
                <w:i/>
                <w:color w:val="000000"/>
              </w:rPr>
              <w:t>June 2016</w:t>
            </w:r>
            <w:r w:rsidRPr="007F7BCA">
              <w:rPr>
                <w:color w:val="000000"/>
              </w:rPr>
              <w:t xml:space="preserve"> include:</w:t>
            </w:r>
          </w:p>
          <w:p w:rsidR="002C06B1" w:rsidRPr="007F7BCA" w:rsidRDefault="002C06B1" w:rsidP="00E56141">
            <w:pPr>
              <w:pStyle w:val="ListBullet"/>
              <w:spacing w:after="100"/>
            </w:pPr>
            <w:r w:rsidRPr="007F7BCA">
              <w:t xml:space="preserve">improving post capture survival of </w:t>
            </w:r>
            <w:proofErr w:type="spellStart"/>
            <w:r w:rsidRPr="007F7BCA">
              <w:t>chondrichthyan</w:t>
            </w:r>
            <w:proofErr w:type="spellEnd"/>
            <w:r w:rsidRPr="007F7BCA">
              <w:t xml:space="preserve"> species</w:t>
            </w:r>
          </w:p>
          <w:p w:rsidR="003E2377" w:rsidRPr="00E56141" w:rsidRDefault="002C06B1" w:rsidP="00EA121A">
            <w:pPr>
              <w:pStyle w:val="ListBullet"/>
              <w:spacing w:after="100"/>
              <w:rPr>
                <w:rFonts w:cs="Arial"/>
              </w:rPr>
            </w:pPr>
            <w:proofErr w:type="gramStart"/>
            <w:r w:rsidRPr="007F7BCA">
              <w:t>improving</w:t>
            </w:r>
            <w:proofErr w:type="gramEnd"/>
            <w:r w:rsidRPr="007F7BCA">
              <w:t xml:space="preserve"> </w:t>
            </w:r>
            <w:r w:rsidR="005D779A">
              <w:t xml:space="preserve">the </w:t>
            </w:r>
            <w:r w:rsidRPr="007F7BCA">
              <w:t xml:space="preserve">understanding of catch composition in relation to </w:t>
            </w:r>
            <w:proofErr w:type="spellStart"/>
            <w:r w:rsidRPr="007F7BCA">
              <w:t>chondrichthyan</w:t>
            </w:r>
            <w:proofErr w:type="spellEnd"/>
            <w:r w:rsidRPr="007F7BCA">
              <w:t xml:space="preserve"> species.</w:t>
            </w:r>
          </w:p>
        </w:tc>
        <w:tc>
          <w:tcPr>
            <w:tcW w:w="1228" w:type="pct"/>
          </w:tcPr>
          <w:p w:rsidR="003E2377" w:rsidRDefault="00CF5C8F" w:rsidP="009C5225">
            <w:pPr>
              <w:spacing w:after="120"/>
              <w:rPr>
                <w:rFonts w:cs="Arial"/>
              </w:rPr>
            </w:pPr>
            <w:r w:rsidRPr="00CF5C8F">
              <w:rPr>
                <w:rFonts w:cs="Arial"/>
              </w:rPr>
              <w:t>The Department considers that this recommendation has been met.</w:t>
            </w:r>
          </w:p>
          <w:p w:rsidR="00CF5C8F" w:rsidRPr="002868FF" w:rsidRDefault="002868FF" w:rsidP="002868FF">
            <w:r w:rsidRPr="007F7BCA">
              <w:t xml:space="preserve">Given the potential impact of tuna </w:t>
            </w:r>
            <w:proofErr w:type="spellStart"/>
            <w:r w:rsidRPr="007F7BCA">
              <w:t>longline</w:t>
            </w:r>
            <w:proofErr w:type="spellEnd"/>
            <w:r w:rsidRPr="007F7BCA">
              <w:t xml:space="preserve"> fisheries on highly migratory shark species</w:t>
            </w:r>
            <w:r>
              <w:t xml:space="preserve"> and in light of the potential for </w:t>
            </w:r>
            <w:proofErr w:type="spellStart"/>
            <w:r>
              <w:t>longline</w:t>
            </w:r>
            <w:proofErr w:type="spellEnd"/>
            <w:r>
              <w:t xml:space="preserve"> effort</w:t>
            </w:r>
            <w:r w:rsidR="00B96CE7">
              <w:t xml:space="preserve"> </w:t>
            </w:r>
            <w:r w:rsidRPr="007F7BCA">
              <w:t xml:space="preserve">in the </w:t>
            </w:r>
            <w:r>
              <w:rPr>
                <w:iCs/>
              </w:rPr>
              <w:t>Western Tuna and Billfish Fishery to increase</w:t>
            </w:r>
            <w:r w:rsidRPr="007F7BCA">
              <w:t xml:space="preserve">, the Department recommends that the management focus on sharks in the fishery be maintained—see </w:t>
            </w:r>
            <w:r w:rsidRPr="007F7BCA">
              <w:rPr>
                <w:b/>
              </w:rPr>
              <w:t>Recommendation </w:t>
            </w:r>
            <w:r>
              <w:rPr>
                <w:b/>
              </w:rPr>
              <w:t>5</w:t>
            </w:r>
            <w:r w:rsidRPr="007F7BCA">
              <w:rPr>
                <w:b/>
              </w:rPr>
              <w:t>, Table 4.</w:t>
            </w:r>
          </w:p>
        </w:tc>
      </w:tr>
      <w:tr w:rsidR="003E2377" w:rsidRPr="00EC24A5" w:rsidTr="008E541A">
        <w:trPr>
          <w:cantSplit/>
        </w:trPr>
        <w:tc>
          <w:tcPr>
            <w:tcW w:w="1360" w:type="pct"/>
          </w:tcPr>
          <w:p w:rsidR="003E2377" w:rsidRDefault="003E2377" w:rsidP="00C26809">
            <w:pPr>
              <w:pStyle w:val="ListParagraph"/>
              <w:numPr>
                <w:ilvl w:val="0"/>
                <w:numId w:val="22"/>
              </w:numPr>
              <w:ind w:left="424"/>
            </w:pPr>
            <w:r>
              <w:t>AFMA to:</w:t>
            </w:r>
          </w:p>
          <w:p w:rsidR="003E2377" w:rsidRDefault="003E2377" w:rsidP="00C26809">
            <w:pPr>
              <w:numPr>
                <w:ilvl w:val="0"/>
                <w:numId w:val="21"/>
              </w:numPr>
              <w:tabs>
                <w:tab w:val="clear" w:pos="924"/>
              </w:tabs>
              <w:ind w:left="743" w:hanging="357"/>
            </w:pPr>
            <w:r>
              <w:t xml:space="preserve">provide the results of the formal two-year review of the </w:t>
            </w:r>
            <w:proofErr w:type="spellStart"/>
            <w:r>
              <w:t>Bycatch</w:t>
            </w:r>
            <w:proofErr w:type="spellEnd"/>
            <w:r>
              <w:t xml:space="preserve"> and Discarding </w:t>
            </w:r>
            <w:proofErr w:type="spellStart"/>
            <w:r>
              <w:t>Workplan</w:t>
            </w:r>
            <w:proofErr w:type="spellEnd"/>
            <w:r>
              <w:t xml:space="preserve"> to DEWHA by 1 April 2011; </w:t>
            </w:r>
          </w:p>
          <w:p w:rsidR="003E2377" w:rsidRPr="00EC24A5" w:rsidRDefault="003E2377" w:rsidP="00C26809">
            <w:pPr>
              <w:numPr>
                <w:ilvl w:val="0"/>
                <w:numId w:val="21"/>
              </w:numPr>
              <w:tabs>
                <w:tab w:val="clear" w:pos="924"/>
              </w:tabs>
              <w:ind w:left="743" w:hanging="357"/>
              <w:rPr>
                <w:rFonts w:cs="Arial"/>
                <w:b/>
                <w:bCs/>
              </w:rPr>
            </w:pPr>
            <w:proofErr w:type="gramStart"/>
            <w:r>
              <w:t>by</w:t>
            </w:r>
            <w:proofErr w:type="gramEnd"/>
            <w:r>
              <w:t xml:space="preserve"> 1 December 2010, outline a new </w:t>
            </w:r>
            <w:proofErr w:type="spellStart"/>
            <w:r>
              <w:t>Workplan</w:t>
            </w:r>
            <w:proofErr w:type="spellEnd"/>
            <w:r>
              <w:t xml:space="preserve"> to reduce </w:t>
            </w:r>
            <w:proofErr w:type="spellStart"/>
            <w:r>
              <w:t>bycatch</w:t>
            </w:r>
            <w:proofErr w:type="spellEnd"/>
            <w:r>
              <w:t xml:space="preserve"> and discards in the WTBF.</w:t>
            </w:r>
          </w:p>
        </w:tc>
        <w:tc>
          <w:tcPr>
            <w:tcW w:w="2412" w:type="pct"/>
          </w:tcPr>
          <w:p w:rsidR="00F7735A" w:rsidRPr="007F7BCA" w:rsidRDefault="00F7735A" w:rsidP="0015522C">
            <w:r>
              <w:t xml:space="preserve">The review of the </w:t>
            </w:r>
            <w:r w:rsidRPr="007F7BCA">
              <w:rPr>
                <w:i/>
              </w:rPr>
              <w:t xml:space="preserve">Australian Tuna and Billfish </w:t>
            </w:r>
            <w:proofErr w:type="spellStart"/>
            <w:r w:rsidRPr="007F7BCA">
              <w:rPr>
                <w:i/>
              </w:rPr>
              <w:t>Longline</w:t>
            </w:r>
            <w:proofErr w:type="spellEnd"/>
            <w:r w:rsidRPr="007F7BCA">
              <w:rPr>
                <w:i/>
              </w:rPr>
              <w:t xml:space="preserve"> Fishery</w:t>
            </w:r>
            <w:r>
              <w:rPr>
                <w:i/>
              </w:rPr>
              <w:t xml:space="preserve"> </w:t>
            </w:r>
            <w:proofErr w:type="spellStart"/>
            <w:r w:rsidRPr="007F7BCA">
              <w:rPr>
                <w:i/>
              </w:rPr>
              <w:t>Bycatch</w:t>
            </w:r>
            <w:proofErr w:type="spellEnd"/>
            <w:r w:rsidRPr="007F7BCA">
              <w:rPr>
                <w:i/>
              </w:rPr>
              <w:t xml:space="preserve"> and Discarding </w:t>
            </w:r>
            <w:proofErr w:type="spellStart"/>
            <w:r w:rsidRPr="007F7BCA">
              <w:rPr>
                <w:i/>
              </w:rPr>
              <w:t>Workplan</w:t>
            </w:r>
            <w:proofErr w:type="spellEnd"/>
            <w:r w:rsidRPr="007F7BCA">
              <w:rPr>
                <w:i/>
              </w:rPr>
              <w:t xml:space="preserve"> </w:t>
            </w:r>
            <w:r>
              <w:t xml:space="preserve">2008-2010 culminated </w:t>
            </w:r>
            <w:r w:rsidR="00B96CE7">
              <w:t>in</w:t>
            </w:r>
            <w:r>
              <w:t xml:space="preserve"> the publication of </w:t>
            </w:r>
            <w:r w:rsidR="0015522C">
              <w:t xml:space="preserve">a new two year </w:t>
            </w:r>
            <w:proofErr w:type="spellStart"/>
            <w:r w:rsidR="0015522C">
              <w:t>workplan</w:t>
            </w:r>
            <w:proofErr w:type="spellEnd"/>
            <w:r w:rsidR="0015522C">
              <w:t>.</w:t>
            </w:r>
            <w:r>
              <w:t xml:space="preserve"> </w:t>
            </w:r>
            <w:r w:rsidRPr="007F7BCA">
              <w:t xml:space="preserve">The </w:t>
            </w:r>
            <w:r w:rsidRPr="007F7BCA">
              <w:rPr>
                <w:i/>
              </w:rPr>
              <w:t xml:space="preserve">Australian Tuna and Billfish </w:t>
            </w:r>
            <w:proofErr w:type="spellStart"/>
            <w:r w:rsidRPr="007F7BCA">
              <w:rPr>
                <w:i/>
              </w:rPr>
              <w:t>Longline</w:t>
            </w:r>
            <w:proofErr w:type="spellEnd"/>
            <w:r w:rsidRPr="007F7BCA">
              <w:rPr>
                <w:i/>
              </w:rPr>
              <w:t xml:space="preserve"> Fisheries </w:t>
            </w:r>
            <w:proofErr w:type="spellStart"/>
            <w:r w:rsidRPr="007F7BCA">
              <w:rPr>
                <w:i/>
              </w:rPr>
              <w:t>Bycatch</w:t>
            </w:r>
            <w:proofErr w:type="spellEnd"/>
            <w:r w:rsidRPr="007F7BCA">
              <w:rPr>
                <w:i/>
              </w:rPr>
              <w:t xml:space="preserve"> and Discarding </w:t>
            </w:r>
            <w:proofErr w:type="spellStart"/>
            <w:r w:rsidRPr="007F7BCA">
              <w:rPr>
                <w:i/>
              </w:rPr>
              <w:t>Workplan</w:t>
            </w:r>
            <w:proofErr w:type="spellEnd"/>
            <w:r w:rsidRPr="007F7BCA">
              <w:rPr>
                <w:i/>
              </w:rPr>
              <w:t xml:space="preserve"> 2011-2013</w:t>
            </w:r>
            <w:r w:rsidRPr="007F7BCA">
              <w:t xml:space="preserve"> was</w:t>
            </w:r>
            <w:r w:rsidR="0015522C">
              <w:t xml:space="preserve"> also</w:t>
            </w:r>
            <w:r w:rsidRPr="007F7BCA">
              <w:t xml:space="preserve"> reviewed at the end of its life and a new </w:t>
            </w:r>
            <w:proofErr w:type="spellStart"/>
            <w:r w:rsidRPr="007F7BCA">
              <w:t>workplan</w:t>
            </w:r>
            <w:proofErr w:type="spellEnd"/>
            <w:r w:rsidRPr="007F7BCA">
              <w:t xml:space="preserve"> published. The </w:t>
            </w:r>
            <w:r w:rsidRPr="007F7BCA">
              <w:rPr>
                <w:i/>
                <w:color w:val="000000"/>
              </w:rPr>
              <w:t xml:space="preserve">Australian Tuna and Billfish Fisheries </w:t>
            </w:r>
            <w:proofErr w:type="spellStart"/>
            <w:r w:rsidRPr="007F7BCA">
              <w:rPr>
                <w:i/>
                <w:color w:val="000000"/>
              </w:rPr>
              <w:t>Bycatch</w:t>
            </w:r>
            <w:proofErr w:type="spellEnd"/>
            <w:r w:rsidRPr="007F7BCA">
              <w:rPr>
                <w:i/>
                <w:color w:val="000000"/>
              </w:rPr>
              <w:t xml:space="preserve"> and Discarding </w:t>
            </w:r>
            <w:proofErr w:type="spellStart"/>
            <w:r w:rsidRPr="007F7BCA">
              <w:rPr>
                <w:i/>
                <w:color w:val="000000"/>
              </w:rPr>
              <w:t>Workplan</w:t>
            </w:r>
            <w:proofErr w:type="spellEnd"/>
            <w:r w:rsidRPr="007F7BCA">
              <w:rPr>
                <w:i/>
                <w:color w:val="000000"/>
              </w:rPr>
              <w:t xml:space="preserve"> 1 July 2014 – 30 June 2016</w:t>
            </w:r>
            <w:r w:rsidRPr="007F7BCA">
              <w:t xml:space="preserve"> sets out the review process for the </w:t>
            </w:r>
            <w:proofErr w:type="spellStart"/>
            <w:r w:rsidRPr="007F7BCA">
              <w:t>workplan</w:t>
            </w:r>
            <w:proofErr w:type="spellEnd"/>
            <w:r w:rsidRPr="007F7BCA">
              <w:t>. AFMA</w:t>
            </w:r>
            <w:r w:rsidRPr="007F7BCA">
              <w:rPr>
                <w:b/>
                <w:bCs/>
              </w:rPr>
              <w:t xml:space="preserve"> </w:t>
            </w:r>
            <w:r w:rsidRPr="007F7BCA">
              <w:rPr>
                <w:rFonts w:ascii="Helvetica" w:hAnsi="Helvetica" w:cs="Helvetica"/>
                <w:sz w:val="21"/>
                <w:szCs w:val="21"/>
                <w:lang w:eastAsia="en-AU"/>
              </w:rPr>
              <w:t>will:</w:t>
            </w:r>
          </w:p>
          <w:p w:rsidR="00F7735A" w:rsidRPr="007F7BCA" w:rsidRDefault="00F7735A" w:rsidP="00F7735A">
            <w:pPr>
              <w:pStyle w:val="ListBullet"/>
              <w:pageBreakBefore/>
              <w:spacing w:after="100"/>
              <w:rPr>
                <w:b/>
                <w:bCs/>
              </w:rPr>
            </w:pPr>
            <w:r w:rsidRPr="007F7BCA">
              <w:rPr>
                <w:lang w:eastAsia="en-AU"/>
              </w:rPr>
              <w:t xml:space="preserve">review the </w:t>
            </w:r>
            <w:proofErr w:type="spellStart"/>
            <w:r w:rsidRPr="007F7BCA">
              <w:rPr>
                <w:lang w:eastAsia="en-AU"/>
              </w:rPr>
              <w:t>workplan</w:t>
            </w:r>
            <w:proofErr w:type="spellEnd"/>
            <w:r w:rsidRPr="007F7BCA">
              <w:rPr>
                <w:lang w:eastAsia="en-AU"/>
              </w:rPr>
              <w:t xml:space="preserve"> after </w:t>
            </w:r>
            <w:r w:rsidRPr="007F7BCA">
              <w:rPr>
                <w:bCs/>
              </w:rPr>
              <w:t>six months to check that the progress of actions is on track</w:t>
            </w:r>
          </w:p>
          <w:p w:rsidR="00F7735A" w:rsidRPr="007F7BCA" w:rsidRDefault="00F7735A" w:rsidP="00F7735A">
            <w:pPr>
              <w:pStyle w:val="ListBullet"/>
              <w:pageBreakBefore/>
              <w:spacing w:after="100"/>
              <w:rPr>
                <w:b/>
                <w:bCs/>
              </w:rPr>
            </w:pPr>
            <w:r w:rsidRPr="007F7BCA">
              <w:rPr>
                <w:lang w:eastAsia="en-AU"/>
              </w:rPr>
              <w:t xml:space="preserve">review the </w:t>
            </w:r>
            <w:proofErr w:type="spellStart"/>
            <w:r w:rsidRPr="007F7BCA">
              <w:rPr>
                <w:lang w:eastAsia="en-AU"/>
              </w:rPr>
              <w:t>workplan</w:t>
            </w:r>
            <w:proofErr w:type="spellEnd"/>
            <w:r w:rsidRPr="007F7BCA">
              <w:rPr>
                <w:lang w:eastAsia="en-AU"/>
              </w:rPr>
              <w:t xml:space="preserve"> after 12 months</w:t>
            </w:r>
          </w:p>
          <w:p w:rsidR="00F7735A" w:rsidRPr="007F7BCA" w:rsidRDefault="00F7735A" w:rsidP="00F7735A">
            <w:pPr>
              <w:pStyle w:val="ListBullet"/>
              <w:pageBreakBefore/>
              <w:spacing w:after="100"/>
              <w:rPr>
                <w:lang w:eastAsia="en-AU"/>
              </w:rPr>
            </w:pPr>
            <w:proofErr w:type="gramStart"/>
            <w:r w:rsidRPr="007F7BCA">
              <w:rPr>
                <w:lang w:eastAsia="en-AU"/>
              </w:rPr>
              <w:t>conduct</w:t>
            </w:r>
            <w:proofErr w:type="gramEnd"/>
            <w:r w:rsidRPr="007F7BCA">
              <w:rPr>
                <w:lang w:eastAsia="en-AU"/>
              </w:rPr>
              <w:t xml:space="preserve"> and publish a full evaluation of the </w:t>
            </w:r>
            <w:proofErr w:type="spellStart"/>
            <w:r w:rsidRPr="007F7BCA">
              <w:rPr>
                <w:lang w:eastAsia="en-AU"/>
              </w:rPr>
              <w:t>workplan</w:t>
            </w:r>
            <w:proofErr w:type="spellEnd"/>
            <w:r w:rsidRPr="007F7BCA">
              <w:rPr>
                <w:lang w:eastAsia="en-AU"/>
              </w:rPr>
              <w:t xml:space="preserve"> after two years to assess the overall effectiveness of the </w:t>
            </w:r>
            <w:proofErr w:type="spellStart"/>
            <w:r w:rsidRPr="007F7BCA">
              <w:rPr>
                <w:lang w:eastAsia="en-AU"/>
              </w:rPr>
              <w:t>workplan</w:t>
            </w:r>
            <w:proofErr w:type="spellEnd"/>
            <w:r w:rsidRPr="007F7BCA">
              <w:rPr>
                <w:lang w:eastAsia="en-AU"/>
              </w:rPr>
              <w:t xml:space="preserve"> actions in addressing the associated </w:t>
            </w:r>
            <w:proofErr w:type="spellStart"/>
            <w:r w:rsidRPr="007F7BCA">
              <w:rPr>
                <w:lang w:eastAsia="en-AU"/>
              </w:rPr>
              <w:t>bycatch</w:t>
            </w:r>
            <w:proofErr w:type="spellEnd"/>
            <w:r w:rsidRPr="007F7BCA">
              <w:rPr>
                <w:lang w:eastAsia="en-AU"/>
              </w:rPr>
              <w:t xml:space="preserve"> risks.</w:t>
            </w:r>
          </w:p>
          <w:p w:rsidR="00A92A3D" w:rsidRPr="00EC24A5" w:rsidRDefault="00F7735A" w:rsidP="003306FA">
            <w:pPr>
              <w:rPr>
                <w:rFonts w:cs="Arial"/>
              </w:rPr>
            </w:pPr>
            <w:r w:rsidRPr="007F7BCA">
              <w:rPr>
                <w:lang w:eastAsia="en-AU"/>
              </w:rPr>
              <w:t xml:space="preserve">It is intended that at the end of </w:t>
            </w:r>
            <w:r>
              <w:rPr>
                <w:lang w:eastAsia="en-AU"/>
              </w:rPr>
              <w:t xml:space="preserve">the </w:t>
            </w:r>
            <w:r w:rsidRPr="007F7BCA">
              <w:rPr>
                <w:lang w:eastAsia="en-AU"/>
              </w:rPr>
              <w:t xml:space="preserve">two year period, the risk profile of the fisheries will also be reviewed and a new </w:t>
            </w:r>
            <w:proofErr w:type="spellStart"/>
            <w:r w:rsidRPr="007F7BCA">
              <w:rPr>
                <w:lang w:eastAsia="en-AU"/>
              </w:rPr>
              <w:t>workplan</w:t>
            </w:r>
            <w:proofErr w:type="spellEnd"/>
            <w:r w:rsidRPr="007F7BCA">
              <w:rPr>
                <w:lang w:eastAsia="en-AU"/>
              </w:rPr>
              <w:t xml:space="preserve"> developed and implemented.</w:t>
            </w:r>
          </w:p>
        </w:tc>
        <w:tc>
          <w:tcPr>
            <w:tcW w:w="1228" w:type="pct"/>
          </w:tcPr>
          <w:p w:rsidR="003E2377" w:rsidRPr="00EC24A5" w:rsidRDefault="00CF5C8F" w:rsidP="009C5225">
            <w:pPr>
              <w:spacing w:after="120"/>
              <w:rPr>
                <w:rFonts w:cs="Arial"/>
              </w:rPr>
            </w:pPr>
            <w:r w:rsidRPr="00CF5C8F">
              <w:rPr>
                <w:rFonts w:cs="Arial"/>
              </w:rPr>
              <w:t>The Department considers that this recommendation has been met.</w:t>
            </w:r>
          </w:p>
        </w:tc>
      </w:tr>
      <w:tr w:rsidR="003E2377" w:rsidRPr="00EC24A5" w:rsidTr="003367B4">
        <w:tc>
          <w:tcPr>
            <w:tcW w:w="1360" w:type="pct"/>
          </w:tcPr>
          <w:p w:rsidR="005466E0" w:rsidRDefault="005466E0" w:rsidP="00EC0E50">
            <w:pPr>
              <w:pStyle w:val="ListParagraph"/>
              <w:pageBreakBefore/>
              <w:numPr>
                <w:ilvl w:val="0"/>
                <w:numId w:val="22"/>
              </w:numPr>
              <w:ind w:left="459" w:hanging="395"/>
            </w:pPr>
            <w:r>
              <w:rPr>
                <w:bCs/>
              </w:rPr>
              <w:t xml:space="preserve">By 1 December 2010, </w:t>
            </w:r>
            <w:r>
              <w:t>AFMA to revise</w:t>
            </w:r>
            <w:r w:rsidR="00E15EA8">
              <w:t xml:space="preserve"> and implement the WTBF harvest </w:t>
            </w:r>
            <w:r>
              <w:t>strategy, to include:</w:t>
            </w:r>
          </w:p>
          <w:p w:rsidR="005466E0" w:rsidRDefault="005466E0" w:rsidP="00EC0E50">
            <w:pPr>
              <w:pageBreakBefore/>
              <w:numPr>
                <w:ilvl w:val="0"/>
                <w:numId w:val="34"/>
              </w:numPr>
              <w:tabs>
                <w:tab w:val="clear" w:pos="924"/>
              </w:tabs>
              <w:ind w:left="885"/>
            </w:pPr>
            <w:r>
              <w:t>an appropriate catch or effort level trigger, above which the current WTBF harvest strategy decision rules are applied; and</w:t>
            </w:r>
          </w:p>
          <w:p w:rsidR="005466E0" w:rsidRDefault="005466E0" w:rsidP="00EC0E50">
            <w:pPr>
              <w:pageBreakBefore/>
              <w:numPr>
                <w:ilvl w:val="0"/>
                <w:numId w:val="34"/>
              </w:numPr>
              <w:tabs>
                <w:tab w:val="clear" w:pos="924"/>
              </w:tabs>
              <w:ind w:left="885"/>
              <w:rPr>
                <w:b/>
              </w:rPr>
            </w:pPr>
            <w:proofErr w:type="gramStart"/>
            <w:r>
              <w:t>a</w:t>
            </w:r>
            <w:proofErr w:type="gramEnd"/>
            <w:r>
              <w:t xml:space="preserve"> risk-based justification of the management approach in force before this trigger is reached.</w:t>
            </w:r>
          </w:p>
          <w:p w:rsidR="003E2377" w:rsidRPr="00EC24A5" w:rsidRDefault="005466E0" w:rsidP="00EC0E50">
            <w:pPr>
              <w:pageBreakBefore/>
              <w:ind w:left="525"/>
              <w:rPr>
                <w:rFonts w:cs="Arial"/>
                <w:b/>
                <w:bCs/>
              </w:rPr>
            </w:pPr>
            <w:r>
              <w:t>AFMA should provide the results of the harvest strategy to the Department of Agriculture, Fisheries and Forestry (DAFF) so they can be used for the development of the whole of government approach in any negotiations of Australia’s national allocation at the IOTC.</w:t>
            </w:r>
          </w:p>
        </w:tc>
        <w:tc>
          <w:tcPr>
            <w:tcW w:w="2412" w:type="pct"/>
          </w:tcPr>
          <w:p w:rsidR="00E15EA8" w:rsidRPr="0068492C" w:rsidRDefault="00E15EA8" w:rsidP="00EC0E50">
            <w:pPr>
              <w:pageBreakBefore/>
              <w:rPr>
                <w:iCs/>
              </w:rPr>
            </w:pPr>
            <w:r>
              <w:t xml:space="preserve">The 2009 Australian Government assessment of the </w:t>
            </w:r>
            <w:r w:rsidRPr="00A41CB4">
              <w:rPr>
                <w:iCs/>
              </w:rPr>
              <w:t>Western Tuna and Billfish Fishery</w:t>
            </w:r>
            <w:r>
              <w:rPr>
                <w:iCs/>
              </w:rPr>
              <w:t xml:space="preserve"> noted the low level of effort in the fishery and</w:t>
            </w:r>
            <w:r w:rsidR="00B84014">
              <w:rPr>
                <w:iCs/>
              </w:rPr>
              <w:t xml:space="preserve"> identified </w:t>
            </w:r>
            <w:r w:rsidR="0068492C">
              <w:rPr>
                <w:iCs/>
              </w:rPr>
              <w:t xml:space="preserve">that the fishery’s harvest strategy </w:t>
            </w:r>
            <w:r w:rsidR="00B84014">
              <w:rPr>
                <w:iCs/>
              </w:rPr>
              <w:t>lack</w:t>
            </w:r>
            <w:r w:rsidR="0068492C">
              <w:rPr>
                <w:iCs/>
              </w:rPr>
              <w:t>ed</w:t>
            </w:r>
            <w:r w:rsidR="00B84014">
              <w:rPr>
                <w:iCs/>
              </w:rPr>
              <w:t xml:space="preserve"> information</w:t>
            </w:r>
            <w:r w:rsidR="0068492C">
              <w:rPr>
                <w:iCs/>
              </w:rPr>
              <w:t xml:space="preserve"> on how AFMA’s </w:t>
            </w:r>
            <w:r w:rsidR="00B84014">
              <w:t xml:space="preserve">risk assessment process </w:t>
            </w:r>
            <w:r w:rsidR="0068492C">
              <w:t>would</w:t>
            </w:r>
            <w:r w:rsidR="00B84014">
              <w:t xml:space="preserve"> be applied</w:t>
            </w:r>
            <w:r w:rsidR="0068492C">
              <w:t xml:space="preserve"> when</w:t>
            </w:r>
            <w:r w:rsidR="0068492C">
              <w:rPr>
                <w:iCs/>
              </w:rPr>
              <w:t xml:space="preserve"> </w:t>
            </w:r>
            <w:r w:rsidR="00B84014">
              <w:t xml:space="preserve">there was insufficient catch </w:t>
            </w:r>
            <w:r w:rsidR="0068492C">
              <w:t xml:space="preserve">and effort </w:t>
            </w:r>
            <w:r w:rsidR="00B84014">
              <w:t>data to apply the harvest strategy rules.</w:t>
            </w:r>
          </w:p>
          <w:p w:rsidR="005218BC" w:rsidRDefault="005218BC" w:rsidP="00EC0E50">
            <w:pPr>
              <w:pageBreakBefore/>
              <w:spacing w:after="100"/>
            </w:pPr>
            <w:r>
              <w:t>Since that time:</w:t>
            </w:r>
          </w:p>
          <w:p w:rsidR="00B84014" w:rsidRDefault="00B84014" w:rsidP="00EC0E50">
            <w:pPr>
              <w:pStyle w:val="ListBullet"/>
              <w:pageBreakBefore/>
              <w:rPr>
                <w:rFonts w:cs="Arial"/>
              </w:rPr>
            </w:pPr>
            <w:r>
              <w:t>AFMA has completed the ecological risk management report for the fishery, whi</w:t>
            </w:r>
            <w:r w:rsidR="0068492C">
              <w:t>ch found that at the low effort</w:t>
            </w:r>
            <w:r>
              <w:t xml:space="preserve"> levels at the time, no species were at high risk </w:t>
            </w:r>
            <w:r w:rsidR="00127880">
              <w:t>from</w:t>
            </w:r>
            <w:r>
              <w:t xml:space="preserve"> </w:t>
            </w:r>
            <w:r w:rsidR="00F57481">
              <w:t>f</w:t>
            </w:r>
            <w:r>
              <w:t>ishing (AFMA 2010</w:t>
            </w:r>
            <w:r w:rsidR="00127880">
              <w:t xml:space="preserve">). The report </w:t>
            </w:r>
            <w:r w:rsidR="00127880">
              <w:rPr>
                <w:rFonts w:cs="Arial"/>
              </w:rPr>
              <w:t>indicates that the ecological risk assessment</w:t>
            </w:r>
            <w:r w:rsidR="00127880" w:rsidRPr="00B446B6">
              <w:rPr>
                <w:rFonts w:cs="Arial"/>
              </w:rPr>
              <w:t xml:space="preserve"> process</w:t>
            </w:r>
            <w:r w:rsidR="00F57481" w:rsidRPr="00B446B6">
              <w:rPr>
                <w:rFonts w:cs="Arial"/>
              </w:rPr>
              <w:t xml:space="preserve"> for the </w:t>
            </w:r>
            <w:r w:rsidR="00F57481">
              <w:rPr>
                <w:rFonts w:cs="Arial"/>
              </w:rPr>
              <w:t>fishery, including the need for any additional management responses,</w:t>
            </w:r>
            <w:r w:rsidR="00127880" w:rsidRPr="00B446B6">
              <w:rPr>
                <w:rFonts w:cs="Arial"/>
              </w:rPr>
              <w:t xml:space="preserve"> will be reviewed if effort in the fishery reaches</w:t>
            </w:r>
            <w:r w:rsidR="00127880">
              <w:rPr>
                <w:rFonts w:cs="Arial"/>
              </w:rPr>
              <w:t xml:space="preserve"> a predetermined level—see Recommendation 4 and Recommendation 5 above</w:t>
            </w:r>
          </w:p>
          <w:p w:rsidR="0036470F" w:rsidRPr="003367B4" w:rsidRDefault="005218BC" w:rsidP="00EC0E50">
            <w:pPr>
              <w:pStyle w:val="ListBullet"/>
              <w:pageBreakBefore/>
              <w:rPr>
                <w:rFonts w:cs="Arial"/>
              </w:rPr>
            </w:pPr>
            <w:r>
              <w:t>AFMA has implemented output controls for</w:t>
            </w:r>
            <w:r w:rsidR="00BB4547">
              <w:t xml:space="preserve"> the</w:t>
            </w:r>
            <w:r>
              <w:t xml:space="preserve"> fishery’s key species. </w:t>
            </w:r>
            <w:r w:rsidR="0036470F">
              <w:t>As noted in Table 1, the key species are part of much wider Indian Ocean stocks which are managed internationally by the Indian Ocean Tuna Commission</w:t>
            </w:r>
            <w:r w:rsidR="003367B4">
              <w:rPr>
                <w:rFonts w:cs="Arial"/>
              </w:rPr>
              <w:t xml:space="preserve">. </w:t>
            </w:r>
            <w:r w:rsidR="003367B4">
              <w:t>As a member of the commission</w:t>
            </w:r>
            <w:r w:rsidR="0036470F" w:rsidRPr="00E82586">
              <w:t>, Australia</w:t>
            </w:r>
            <w:r w:rsidR="0036470F">
              <w:t xml:space="preserve"> claims entitlement to </w:t>
            </w:r>
            <w:r w:rsidR="0036470F" w:rsidRPr="00E82586">
              <w:t>5</w:t>
            </w:r>
            <w:r w:rsidR="0036470F">
              <w:t> per cent</w:t>
            </w:r>
            <w:r w:rsidR="0036470F" w:rsidRPr="00E82586">
              <w:t xml:space="preserve"> of the </w:t>
            </w:r>
            <w:r w:rsidR="0036470F">
              <w:t>sustainable take of tuna and billfish in the commission area. The total allowable catches for the key species in the Western Tuna and Billfish Fishery were derived from commission estimates of the level of take in the commission area that would support maximum sustainable yield.</w:t>
            </w:r>
          </w:p>
          <w:p w:rsidR="008D2BCC" w:rsidRDefault="005218BC" w:rsidP="00EC0E50">
            <w:pPr>
              <w:pageBreakBefore/>
            </w:pPr>
            <w:r>
              <w:t>AFMA advises that</w:t>
            </w:r>
            <w:r w:rsidRPr="00A41CB4">
              <w:t xml:space="preserve"> </w:t>
            </w:r>
            <w:r w:rsidR="0068492C">
              <w:t xml:space="preserve">the </w:t>
            </w:r>
            <w:r w:rsidRPr="00A41CB4">
              <w:rPr>
                <w:iCs/>
              </w:rPr>
              <w:t xml:space="preserve">Western Tuna and Billfish Fishery </w:t>
            </w:r>
            <w:r w:rsidRPr="00A41CB4">
              <w:t>uses the same harvest strategy framework as the Ea</w:t>
            </w:r>
            <w:r>
              <w:t>stern Tuna and Billfish Fishery—the Australian Tuna and Billfish Fishery Harvest Strategy Framework</w:t>
            </w:r>
            <w:r w:rsidR="003367B4">
              <w:t xml:space="preserve">. The framework was most recently reviewed between 2010 and 2012. </w:t>
            </w:r>
            <w:r>
              <w:rPr>
                <w:rStyle w:val="Emphasis"/>
                <w:i w:val="0"/>
              </w:rPr>
              <w:t xml:space="preserve">AFMA has </w:t>
            </w:r>
            <w:r w:rsidR="003367B4">
              <w:rPr>
                <w:rStyle w:val="Emphasis"/>
                <w:i w:val="0"/>
              </w:rPr>
              <w:t xml:space="preserve">advised that it has </w:t>
            </w:r>
            <w:r w:rsidRPr="007F7BCA">
              <w:rPr>
                <w:rStyle w:val="Emphasis"/>
                <w:i w:val="0"/>
              </w:rPr>
              <w:t xml:space="preserve">commenced </w:t>
            </w:r>
            <w:r>
              <w:rPr>
                <w:rStyle w:val="Emphasis"/>
                <w:i w:val="0"/>
              </w:rPr>
              <w:t xml:space="preserve">a </w:t>
            </w:r>
            <w:r w:rsidR="003367B4">
              <w:rPr>
                <w:rStyle w:val="Emphasis"/>
                <w:i w:val="0"/>
              </w:rPr>
              <w:t xml:space="preserve">further </w:t>
            </w:r>
            <w:r w:rsidRPr="007F7BCA">
              <w:rPr>
                <w:rStyle w:val="Emphasis"/>
                <w:i w:val="0"/>
              </w:rPr>
              <w:t xml:space="preserve">review of the </w:t>
            </w:r>
            <w:r>
              <w:rPr>
                <w:rStyle w:val="Emphasis"/>
                <w:i w:val="0"/>
              </w:rPr>
              <w:t>framework</w:t>
            </w:r>
            <w:r w:rsidRPr="007F7BCA">
              <w:rPr>
                <w:rStyle w:val="Emphasis"/>
                <w:i w:val="0"/>
              </w:rPr>
              <w:t xml:space="preserve"> to include the assessment and management of </w:t>
            </w:r>
            <w:proofErr w:type="spellStart"/>
            <w:r w:rsidRPr="007F7BCA">
              <w:rPr>
                <w:rStyle w:val="Emphasis"/>
                <w:i w:val="0"/>
              </w:rPr>
              <w:t>byproduct</w:t>
            </w:r>
            <w:proofErr w:type="spellEnd"/>
            <w:r w:rsidRPr="007F7BCA">
              <w:rPr>
                <w:rStyle w:val="Emphasis"/>
                <w:i w:val="0"/>
              </w:rPr>
              <w:t xml:space="preserve"> species</w:t>
            </w:r>
            <w:r>
              <w:rPr>
                <w:rStyle w:val="Emphasis"/>
                <w:i w:val="0"/>
              </w:rPr>
              <w:t xml:space="preserve"> and has </w:t>
            </w:r>
            <w:r w:rsidRPr="007F7BCA">
              <w:rPr>
                <w:rStyle w:val="Emphasis"/>
                <w:i w:val="0"/>
              </w:rPr>
              <w:t xml:space="preserve">called for research proposals to develop </w:t>
            </w:r>
            <w:r w:rsidRPr="007F7BCA">
              <w:t xml:space="preserve">indicators and reference points for </w:t>
            </w:r>
            <w:proofErr w:type="spellStart"/>
            <w:r w:rsidRPr="007F7BCA">
              <w:t>byproduct</w:t>
            </w:r>
            <w:proofErr w:type="spellEnd"/>
            <w:r w:rsidRPr="007F7BCA">
              <w:t xml:space="preserve"> species.</w:t>
            </w:r>
          </w:p>
          <w:p w:rsidR="00EC0E50" w:rsidRDefault="00EC0E50" w:rsidP="00EC0E50">
            <w:pPr>
              <w:pStyle w:val="Tabletext"/>
              <w:jc w:val="right"/>
            </w:pPr>
            <w:r>
              <w:t>…/cont.</w:t>
            </w:r>
          </w:p>
          <w:p w:rsidR="003E2377" w:rsidRPr="003367B4" w:rsidRDefault="00B1512A" w:rsidP="00EC0E50">
            <w:pPr>
              <w:pageBreakBefore/>
            </w:pPr>
            <w:r>
              <w:t xml:space="preserve">The Department of Agriculture takes into account domestic </w:t>
            </w:r>
            <w:r w:rsidR="00DF0873">
              <w:t>fishery</w:t>
            </w:r>
            <w:r>
              <w:t xml:space="preserve"> management </w:t>
            </w:r>
            <w:r w:rsidR="00DF0873">
              <w:t>arrangements</w:t>
            </w:r>
            <w:r>
              <w:t xml:space="preserve"> such as the </w:t>
            </w:r>
            <w:r w:rsidR="00DF0873">
              <w:t>harvest strategy framework</w:t>
            </w:r>
            <w:r w:rsidR="00DF0873" w:rsidRPr="00A41CB4">
              <w:t xml:space="preserve"> </w:t>
            </w:r>
            <w:r w:rsidR="00DF0873">
              <w:t xml:space="preserve">in developing </w:t>
            </w:r>
            <w:r w:rsidR="00DF0873" w:rsidRPr="00A41CB4">
              <w:t>Australia’s whole of government position in the Indian Ocean Tuna Commission</w:t>
            </w:r>
            <w:r w:rsidR="00DF0873">
              <w:t xml:space="preserve"> (see </w:t>
            </w:r>
            <w:r w:rsidR="003367B4">
              <w:t>Recommendation 8 below</w:t>
            </w:r>
            <w:r w:rsidR="00DF0873">
              <w:t>).</w:t>
            </w:r>
          </w:p>
        </w:tc>
        <w:tc>
          <w:tcPr>
            <w:tcW w:w="1228" w:type="pct"/>
          </w:tcPr>
          <w:p w:rsidR="00BB4547" w:rsidRDefault="005218BC" w:rsidP="00EC0E50">
            <w:pPr>
              <w:pageBreakBefore/>
              <w:spacing w:after="120"/>
            </w:pPr>
            <w:r w:rsidRPr="007F7BCA">
              <w:t xml:space="preserve">The Department </w:t>
            </w:r>
            <w:r>
              <w:t>considers that this recomme</w:t>
            </w:r>
            <w:r w:rsidR="00BB4547">
              <w:t>ndation has been partially met.</w:t>
            </w:r>
          </w:p>
          <w:p w:rsidR="00CF5C8F" w:rsidRPr="00EC24A5" w:rsidRDefault="004425C8" w:rsidP="00EC0E50">
            <w:pPr>
              <w:pageBreakBefore/>
              <w:spacing w:after="120"/>
              <w:rPr>
                <w:rFonts w:cs="Arial"/>
              </w:rPr>
            </w:pPr>
            <w:r w:rsidRPr="007F7BCA">
              <w:t xml:space="preserve">The Department notes that development </w:t>
            </w:r>
            <w:r>
              <w:t xml:space="preserve">of </w:t>
            </w:r>
            <w:r w:rsidRPr="007F7BCA">
              <w:t xml:space="preserve">a formal framework for </w:t>
            </w:r>
            <w:proofErr w:type="spellStart"/>
            <w:r w:rsidRPr="007F7BCA">
              <w:t>byproduct</w:t>
            </w:r>
            <w:proofErr w:type="spellEnd"/>
            <w:r w:rsidRPr="007F7BCA">
              <w:t xml:space="preserve"> species</w:t>
            </w:r>
            <w:r>
              <w:t xml:space="preserve"> in Australia’s tropical tuna fisheries</w:t>
            </w:r>
            <w:r w:rsidRPr="007F7BCA">
              <w:t xml:space="preserve"> is underway and supports the Australian Fisheries Management Authority’s approach to this work—see </w:t>
            </w:r>
            <w:r w:rsidRPr="007F7BCA">
              <w:rPr>
                <w:b/>
              </w:rPr>
              <w:t>Recommendation</w:t>
            </w:r>
            <w:r w:rsidR="00B1512A">
              <w:rPr>
                <w:b/>
              </w:rPr>
              <w:t xml:space="preserve"> </w:t>
            </w:r>
            <w:r>
              <w:rPr>
                <w:b/>
              </w:rPr>
              <w:t>4</w:t>
            </w:r>
            <w:r w:rsidRPr="007F7BCA">
              <w:rPr>
                <w:b/>
              </w:rPr>
              <w:t>, Table 4</w:t>
            </w:r>
            <w:r w:rsidRPr="007F7BCA">
              <w:t>.</w:t>
            </w:r>
          </w:p>
        </w:tc>
      </w:tr>
      <w:tr w:rsidR="003E2377" w:rsidRPr="00A41CB4" w:rsidTr="004425C8">
        <w:trPr>
          <w:cantSplit/>
        </w:trPr>
        <w:tc>
          <w:tcPr>
            <w:tcW w:w="1360" w:type="pct"/>
          </w:tcPr>
          <w:p w:rsidR="005466E0" w:rsidRPr="00A41CB4" w:rsidRDefault="005466E0" w:rsidP="005466E0">
            <w:r w:rsidRPr="00A41CB4">
              <w:rPr>
                <w:b/>
              </w:rPr>
              <w:t xml:space="preserve">Recommendation 8: </w:t>
            </w:r>
            <w:r w:rsidRPr="00A41CB4">
              <w:t>DAFF, in consultation with relevant agencies, to:</w:t>
            </w:r>
          </w:p>
          <w:p w:rsidR="005466E0" w:rsidRPr="00A41CB4" w:rsidRDefault="005466E0" w:rsidP="006865FE">
            <w:pPr>
              <w:numPr>
                <w:ilvl w:val="0"/>
                <w:numId w:val="23"/>
              </w:numPr>
              <w:ind w:left="357" w:hanging="357"/>
            </w:pPr>
            <w:proofErr w:type="gramStart"/>
            <w:r w:rsidRPr="00A41CB4">
              <w:t>continue</w:t>
            </w:r>
            <w:proofErr w:type="gramEnd"/>
            <w:r w:rsidRPr="00A41CB4">
              <w:t xml:space="preserve"> to engage in the IOTC with the aim of improving the effectiveness of the organisation in managing and conserving target, </w:t>
            </w:r>
            <w:proofErr w:type="spellStart"/>
            <w:r w:rsidRPr="00A41CB4">
              <w:t>byproduct</w:t>
            </w:r>
            <w:proofErr w:type="spellEnd"/>
            <w:r w:rsidRPr="00A41CB4">
              <w:t xml:space="preserve"> and </w:t>
            </w:r>
            <w:proofErr w:type="spellStart"/>
            <w:r w:rsidRPr="00A41CB4">
              <w:t>bycatch</w:t>
            </w:r>
            <w:proofErr w:type="spellEnd"/>
            <w:r w:rsidRPr="00A41CB4">
              <w:t xml:space="preserve"> species in the WTBF, in the pursuit of EBFM.</w:t>
            </w:r>
          </w:p>
          <w:p w:rsidR="003E2377" w:rsidRPr="00A41CB4" w:rsidRDefault="005466E0" w:rsidP="006865FE">
            <w:pPr>
              <w:numPr>
                <w:ilvl w:val="0"/>
                <w:numId w:val="23"/>
              </w:numPr>
              <w:ind w:left="357" w:hanging="357"/>
              <w:rPr>
                <w:rFonts w:cs="Arial"/>
                <w:b/>
                <w:bCs/>
              </w:rPr>
            </w:pPr>
            <w:proofErr w:type="gramStart"/>
            <w:r w:rsidRPr="00A41CB4">
              <w:t>consider</w:t>
            </w:r>
            <w:proofErr w:type="gramEnd"/>
            <w:r w:rsidRPr="00A41CB4">
              <w:t xml:space="preserve"> the WTBF Harvest Strategy in developing the whole of government position for negotiations related to the WTBF in the IOTC, and to advocate the Commonwealth Fisheries Harvest Strategy Policy as an example of best practice in setting sustainable catch levels.</w:t>
            </w:r>
          </w:p>
        </w:tc>
        <w:tc>
          <w:tcPr>
            <w:tcW w:w="2412" w:type="pct"/>
          </w:tcPr>
          <w:p w:rsidR="003E2377" w:rsidRPr="00A41CB4" w:rsidRDefault="003E2377" w:rsidP="00B85872">
            <w:pPr>
              <w:rPr>
                <w:rFonts w:cs="Arial"/>
              </w:rPr>
            </w:pPr>
          </w:p>
          <w:p w:rsidR="006865FE" w:rsidRPr="00A41CB4" w:rsidRDefault="006865FE" w:rsidP="006865FE">
            <w:pPr>
              <w:pStyle w:val="Tabletext"/>
            </w:pPr>
          </w:p>
          <w:p w:rsidR="00916395" w:rsidRPr="00A41CB4" w:rsidRDefault="00916395" w:rsidP="006865FE">
            <w:pPr>
              <w:pStyle w:val="ListParagraph"/>
              <w:numPr>
                <w:ilvl w:val="0"/>
                <w:numId w:val="31"/>
              </w:numPr>
            </w:pPr>
            <w:r w:rsidRPr="00A41CB4">
              <w:t xml:space="preserve">Australia continues to participate in annual meetings of the Indian Ocean Tuna Commission and its subcommittees and continues to promote sustainable management of target, </w:t>
            </w:r>
            <w:proofErr w:type="spellStart"/>
            <w:r w:rsidRPr="00A41CB4">
              <w:t>byproduct</w:t>
            </w:r>
            <w:proofErr w:type="spellEnd"/>
            <w:r w:rsidRPr="00A41CB4">
              <w:t xml:space="preserve"> and </w:t>
            </w:r>
            <w:proofErr w:type="spellStart"/>
            <w:r w:rsidRPr="00A41CB4">
              <w:t>bycatch</w:t>
            </w:r>
            <w:proofErr w:type="spellEnd"/>
            <w:r w:rsidRPr="00A41CB4">
              <w:t xml:space="preserve"> species under the competence of the commission.</w:t>
            </w:r>
          </w:p>
          <w:p w:rsidR="00916395" w:rsidRPr="00A41CB4" w:rsidRDefault="00916395" w:rsidP="00916395"/>
          <w:p w:rsidR="003306FA" w:rsidRPr="00A41CB4" w:rsidRDefault="00916395" w:rsidP="00AB2C30">
            <w:pPr>
              <w:pStyle w:val="ListParagraph"/>
              <w:numPr>
                <w:ilvl w:val="0"/>
                <w:numId w:val="31"/>
              </w:numPr>
            </w:pPr>
            <w:r w:rsidRPr="00A41CB4">
              <w:t xml:space="preserve">Australia’s whole of government position in the Indian Ocean Tuna Commission is developed in consultation with AFMA and other relevant agencies and is consistent with domestic management arrangements for the </w:t>
            </w:r>
            <w:r w:rsidRPr="00A41CB4">
              <w:rPr>
                <w:iCs/>
              </w:rPr>
              <w:t xml:space="preserve">Western Tuna and Billfish Fishery </w:t>
            </w:r>
            <w:r w:rsidRPr="00A41CB4">
              <w:t xml:space="preserve">and with the </w:t>
            </w:r>
            <w:r w:rsidRPr="00AB2C30">
              <w:rPr>
                <w:i/>
              </w:rPr>
              <w:t>Commonwealth Fisheries Harvest Strategy Policy</w:t>
            </w:r>
            <w:r w:rsidR="00AB2C30" w:rsidRPr="00AB2C30">
              <w:rPr>
                <w:i/>
              </w:rPr>
              <w:t xml:space="preserve"> and </w:t>
            </w:r>
            <w:r w:rsidR="00B96CE7" w:rsidRPr="00AB2C30">
              <w:rPr>
                <w:i/>
              </w:rPr>
              <w:t>Guidelines</w:t>
            </w:r>
            <w:r w:rsidRPr="00A41CB4">
              <w:t xml:space="preserve">. Within the commission, Australia continues to advocate for and improve the capacity of the commission to adopt a best practice harvest strategy consistent with the </w:t>
            </w:r>
            <w:r w:rsidR="00AB2C30">
              <w:t>h</w:t>
            </w:r>
            <w:r w:rsidRPr="00A41CB4">
              <w:t xml:space="preserve">arvest </w:t>
            </w:r>
            <w:r w:rsidR="00AB2C30">
              <w:t>s</w:t>
            </w:r>
            <w:r w:rsidRPr="00A41CB4">
              <w:t xml:space="preserve">trategy </w:t>
            </w:r>
            <w:r w:rsidR="00AB2C30">
              <w:t>p</w:t>
            </w:r>
            <w:r w:rsidRPr="00A41CB4">
              <w:t>olicy.</w:t>
            </w:r>
            <w:r w:rsidR="002E7D5A" w:rsidRPr="00A41CB4">
              <w:rPr>
                <w:rFonts w:cs="Arial"/>
              </w:rPr>
              <w:t xml:space="preserve"> </w:t>
            </w:r>
          </w:p>
        </w:tc>
        <w:tc>
          <w:tcPr>
            <w:tcW w:w="1228" w:type="pct"/>
          </w:tcPr>
          <w:p w:rsidR="003E2377" w:rsidRPr="00A41CB4" w:rsidRDefault="00CF5C8F" w:rsidP="009C5225">
            <w:pPr>
              <w:spacing w:after="120"/>
              <w:rPr>
                <w:rFonts w:cs="Arial"/>
              </w:rPr>
            </w:pPr>
            <w:r w:rsidRPr="00A41CB4">
              <w:rPr>
                <w:rFonts w:cs="Arial"/>
              </w:rPr>
              <w:t>The Department considers that this recommendation has been met.</w:t>
            </w:r>
          </w:p>
        </w:tc>
      </w:tr>
    </w:tbl>
    <w:p w:rsidR="0005411A" w:rsidRDefault="0005411A" w:rsidP="004B06A9">
      <w:pPr>
        <w:rPr>
          <w:rFonts w:cs="Arial"/>
        </w:rPr>
      </w:pPr>
    </w:p>
    <w:p w:rsidR="0005411A" w:rsidRDefault="0005411A" w:rsidP="004B06A9">
      <w:pPr>
        <w:rPr>
          <w:rFonts w:cs="Arial"/>
        </w:rPr>
      </w:pPr>
    </w:p>
    <w:p w:rsidR="0005411A" w:rsidRDefault="0005411A" w:rsidP="004B06A9">
      <w:pPr>
        <w:rPr>
          <w:rFonts w:cs="Arial"/>
        </w:rPr>
      </w:pPr>
    </w:p>
    <w:p w:rsidR="00A05588" w:rsidRDefault="00A05588" w:rsidP="00A05588">
      <w:pPr>
        <w:sectPr w:rsidR="00A05588" w:rsidSect="003367B4">
          <w:footerReference w:type="default" r:id="rId18"/>
          <w:pgSz w:w="16838" w:h="11906" w:orient="landscape"/>
          <w:pgMar w:top="899" w:right="1361" w:bottom="709" w:left="1361" w:header="709" w:footer="68" w:gutter="0"/>
          <w:cols w:space="708"/>
          <w:docGrid w:linePitch="360"/>
        </w:sectPr>
      </w:pPr>
    </w:p>
    <w:p w:rsidR="0005411A" w:rsidRPr="00EC24A5" w:rsidRDefault="0005411A" w:rsidP="00A05588">
      <w:pPr>
        <w:sectPr w:rsidR="0005411A" w:rsidRPr="00EC24A5" w:rsidSect="00CA69E1">
          <w:footerReference w:type="default" r:id="rId19"/>
          <w:pgSz w:w="16838" w:h="11906" w:orient="landscape"/>
          <w:pgMar w:top="899" w:right="1361" w:bottom="709" w:left="1361" w:header="709" w:footer="219" w:gutter="0"/>
          <w:cols w:space="708"/>
          <w:docGrid w:linePitch="360"/>
        </w:sectPr>
      </w:pPr>
    </w:p>
    <w:p w:rsidR="00DA6A89" w:rsidRPr="00EC24A5" w:rsidRDefault="00DA6A89" w:rsidP="006820CA">
      <w:pPr>
        <w:pStyle w:val="Heading1"/>
        <w:ind w:left="-567"/>
        <w:rPr>
          <w:szCs w:val="24"/>
        </w:rPr>
      </w:pPr>
      <w:bookmarkStart w:id="3" w:name="_Toc316301050"/>
      <w:r w:rsidRPr="00EC24A5">
        <w:rPr>
          <w:szCs w:val="24"/>
        </w:rPr>
        <w:t xml:space="preserve">Table 3: </w:t>
      </w:r>
      <w:bookmarkEnd w:id="3"/>
      <w:r w:rsidR="00E064F9" w:rsidRPr="00EC24A5">
        <w:t xml:space="preserve">The </w:t>
      </w:r>
      <w:r w:rsidR="00025E6C" w:rsidRPr="00EC24A5">
        <w:t>Department of the Environment</w:t>
      </w:r>
      <w:r w:rsidR="00E064F9" w:rsidRPr="00EC24A5">
        <w:t>’</w:t>
      </w:r>
      <w:r w:rsidR="00AB658D" w:rsidRPr="00EC24A5">
        <w:t>S</w:t>
      </w:r>
      <w:r w:rsidR="00E064F9" w:rsidRPr="00EC24A5">
        <w:t xml:space="preserve"> assessment of the </w:t>
      </w:r>
      <w:r w:rsidR="005333AD">
        <w:t>Western Tuna and Billfish</w:t>
      </w:r>
      <w:r w:rsidR="004A1870">
        <w:t xml:space="preserve"> </w:t>
      </w:r>
      <w:r w:rsidR="002A7A5C" w:rsidRPr="00EC24A5">
        <w:t>Fishery</w:t>
      </w:r>
      <w:r w:rsidR="00E064F9" w:rsidRPr="00EC24A5">
        <w:t xml:space="preserve"> against the requirements of the EPBC Act related to decisions made under Part 13 and Part 13A</w:t>
      </w:r>
    </w:p>
    <w:p w:rsidR="00DA6A89" w:rsidRPr="00281148" w:rsidRDefault="00DA6A89" w:rsidP="00281148">
      <w:pPr>
        <w:ind w:left="-567"/>
        <w:rPr>
          <w:i/>
        </w:rPr>
      </w:pPr>
      <w:r w:rsidRPr="00281148">
        <w:rPr>
          <w:b/>
          <w:i/>
        </w:rPr>
        <w:t xml:space="preserve">Please Note </w:t>
      </w:r>
      <w:r w:rsidRPr="00281148">
        <w:rPr>
          <w:i/>
        </w:rPr>
        <w:t>– the table below is not a complete or exact representation of the EPBC</w:t>
      </w:r>
      <w:r w:rsidR="00834716" w:rsidRPr="00281148">
        <w:rPr>
          <w:i/>
        </w:rPr>
        <w:t> </w:t>
      </w:r>
      <w:r w:rsidRPr="00281148">
        <w:rPr>
          <w:i/>
        </w:rPr>
        <w:t xml:space="preserve">Act. It is intended as a summary of relevant sections and components of the EPBC Act to provide advice on the fishery in relation to decisions under </w:t>
      </w:r>
      <w:proofErr w:type="spellStart"/>
      <w:r w:rsidR="0075739B" w:rsidRPr="00281148">
        <w:rPr>
          <w:i/>
        </w:rPr>
        <w:t>Part</w:t>
      </w:r>
      <w:proofErr w:type="spellEnd"/>
      <w:r w:rsidR="0075739B" w:rsidRPr="00281148">
        <w:rPr>
          <w:i/>
        </w:rPr>
        <w:t> 13 and Part 13A</w:t>
      </w:r>
      <w:r w:rsidRPr="00281148">
        <w:rPr>
          <w:i/>
        </w:rPr>
        <w:t>.</w:t>
      </w:r>
      <w:r w:rsidR="00D42317" w:rsidRPr="00281148">
        <w:rPr>
          <w:i/>
        </w:rPr>
        <w:t xml:space="preserve"> A complete version of the EPBC </w:t>
      </w:r>
      <w:r w:rsidRPr="00281148">
        <w:rPr>
          <w:i/>
        </w:rPr>
        <w:t>Act can be found</w:t>
      </w:r>
      <w:r w:rsidR="002D67EE" w:rsidRPr="00281148">
        <w:rPr>
          <w:i/>
        </w:rPr>
        <w:t xml:space="preserve"> at http://www.comlaw.gov.au/</w:t>
      </w:r>
      <w:r w:rsidRPr="00281148">
        <w:rPr>
          <w:i/>
        </w:rPr>
        <w:t>.</w:t>
      </w:r>
    </w:p>
    <w:p w:rsidR="00DA6A89" w:rsidRPr="00EC24A5" w:rsidRDefault="00DA6A89" w:rsidP="00AF2935">
      <w:pPr>
        <w:pStyle w:val="Heading2"/>
        <w:ind w:left="-567"/>
      </w:pPr>
      <w:r w:rsidRPr="00EC24A5">
        <w:t>Part 13</w:t>
      </w:r>
    </w:p>
    <w:tbl>
      <w:tblPr>
        <w:tblW w:w="15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9"/>
        <w:gridCol w:w="8907"/>
      </w:tblGrid>
      <w:tr w:rsidR="00DA6A89" w:rsidRPr="00EC24A5" w:rsidTr="00CE12C1">
        <w:trPr>
          <w:tblHeader/>
          <w:jc w:val="center"/>
        </w:trPr>
        <w:tc>
          <w:tcPr>
            <w:tcW w:w="6699" w:type="dxa"/>
            <w:shd w:val="clear" w:color="auto" w:fill="auto"/>
          </w:tcPr>
          <w:p w:rsidR="00DA6A89" w:rsidRPr="00281148" w:rsidRDefault="00DA6A89" w:rsidP="00AF2935">
            <w:pPr>
              <w:pStyle w:val="Heading2"/>
              <w:spacing w:after="100"/>
            </w:pPr>
            <w:r w:rsidRPr="00281148">
              <w:t>Division 1 Listed threatened species</w:t>
            </w:r>
          </w:p>
          <w:p w:rsidR="00DA6A89" w:rsidRPr="00BE7BBA" w:rsidRDefault="00DA6A89" w:rsidP="00AF2935">
            <w:pPr>
              <w:pStyle w:val="Heading2"/>
              <w:spacing w:after="100"/>
            </w:pPr>
            <w:r w:rsidRPr="00BE7BBA">
              <w:t>Section 208A Minister may accredit plans or regimes</w:t>
            </w:r>
          </w:p>
        </w:tc>
        <w:tc>
          <w:tcPr>
            <w:tcW w:w="8907" w:type="dxa"/>
          </w:tcPr>
          <w:p w:rsidR="00DA6A89" w:rsidRPr="00281148" w:rsidRDefault="00B73546" w:rsidP="00AF2935">
            <w:pPr>
              <w:spacing w:after="100"/>
              <w:rPr>
                <w:b/>
              </w:rPr>
            </w:pPr>
            <w:r w:rsidRPr="00281148">
              <w:rPr>
                <w:b/>
              </w:rPr>
              <w:t xml:space="preserve">The </w:t>
            </w:r>
            <w:r w:rsidR="000C0401" w:rsidRPr="00281148">
              <w:rPr>
                <w:b/>
              </w:rPr>
              <w:t>Department</w:t>
            </w:r>
            <w:r w:rsidR="00EF02FA" w:rsidRPr="00281148">
              <w:rPr>
                <w:b/>
              </w:rPr>
              <w:t xml:space="preserve"> of the Environment</w:t>
            </w:r>
            <w:r w:rsidRPr="00281148">
              <w:rPr>
                <w:b/>
              </w:rPr>
              <w:t xml:space="preserve">’s </w:t>
            </w:r>
            <w:r w:rsidR="00DA6A89" w:rsidRPr="00281148">
              <w:rPr>
                <w:b/>
              </w:rPr>
              <w:t xml:space="preserve">assessment of the </w:t>
            </w:r>
            <w:r w:rsidR="005333AD" w:rsidRPr="00281148">
              <w:rPr>
                <w:b/>
              </w:rPr>
              <w:t>Western Tuna and Billfish</w:t>
            </w:r>
            <w:r w:rsidR="00281148" w:rsidRPr="00281148">
              <w:rPr>
                <w:b/>
              </w:rPr>
              <w:t xml:space="preserve"> </w:t>
            </w:r>
            <w:r w:rsidR="002A7A5C" w:rsidRPr="00281148">
              <w:rPr>
                <w:b/>
              </w:rPr>
              <w:t>Fishery</w:t>
            </w:r>
          </w:p>
        </w:tc>
      </w:tr>
      <w:tr w:rsidR="00DA6A89" w:rsidRPr="00EC24A5" w:rsidTr="00CE12C1">
        <w:trPr>
          <w:jc w:val="center"/>
        </w:trPr>
        <w:tc>
          <w:tcPr>
            <w:tcW w:w="6699" w:type="dxa"/>
            <w:shd w:val="clear" w:color="auto" w:fill="auto"/>
          </w:tcPr>
          <w:p w:rsidR="00DA6A89" w:rsidRPr="00EC24A5" w:rsidRDefault="00DA6A89" w:rsidP="00D05CA9">
            <w:pPr>
              <w:ind w:left="360" w:hanging="360"/>
              <w:rPr>
                <w:rFonts w:cs="Arial"/>
              </w:rPr>
            </w:pPr>
            <w:r w:rsidRPr="00EC24A5">
              <w:rPr>
                <w:rFonts w:cs="Arial"/>
              </w:rPr>
              <w:t>(1)</w:t>
            </w:r>
            <w:r w:rsidRPr="00EC24A5">
              <w:rPr>
                <w:rFonts w:cs="Arial"/>
              </w:rPr>
              <w:tab/>
              <w:t xml:space="preserve">Minister may, by instrument in writing, accredit for the purposes of this Division: </w:t>
            </w:r>
          </w:p>
          <w:p w:rsidR="00D05CA9" w:rsidRPr="00EC24A5" w:rsidRDefault="00D05CA9" w:rsidP="00EA121A">
            <w:pPr>
              <w:numPr>
                <w:ilvl w:val="0"/>
                <w:numId w:val="20"/>
              </w:numPr>
              <w:tabs>
                <w:tab w:val="clear" w:pos="1440"/>
              </w:tabs>
              <w:spacing w:after="100" w:line="240" w:lineRule="auto"/>
              <w:ind w:left="756" w:hanging="396"/>
              <w:rPr>
                <w:rFonts w:cs="Arial"/>
              </w:rPr>
            </w:pPr>
            <w:r w:rsidRPr="00EC24A5">
              <w:rPr>
                <w:rFonts w:cs="Arial"/>
              </w:rPr>
              <w:t>a plan of management, or a policy, regime or any other arrangement, for a fishery that is:</w:t>
            </w:r>
          </w:p>
          <w:p w:rsidR="00D05CA9" w:rsidRPr="00EC24A5" w:rsidRDefault="00D05CA9" w:rsidP="00EA121A">
            <w:pPr>
              <w:numPr>
                <w:ilvl w:val="1"/>
                <w:numId w:val="20"/>
              </w:numPr>
              <w:tabs>
                <w:tab w:val="clear" w:pos="1800"/>
              </w:tabs>
              <w:spacing w:after="100" w:line="240" w:lineRule="auto"/>
              <w:ind w:left="1040" w:hanging="284"/>
              <w:rPr>
                <w:rFonts w:cs="Arial"/>
              </w:rPr>
            </w:pPr>
            <w:r w:rsidRPr="00EC24A5">
              <w:rPr>
                <w:rFonts w:cs="Arial"/>
              </w:rPr>
              <w:t>made by a State or self-governing Territory; and</w:t>
            </w:r>
          </w:p>
          <w:p w:rsidR="00D05CA9" w:rsidRPr="00EC24A5" w:rsidRDefault="00D05CA9" w:rsidP="00EA121A">
            <w:pPr>
              <w:numPr>
                <w:ilvl w:val="1"/>
                <w:numId w:val="20"/>
              </w:numPr>
              <w:tabs>
                <w:tab w:val="clear" w:pos="1800"/>
              </w:tabs>
              <w:spacing w:line="240" w:lineRule="auto"/>
              <w:ind w:left="1040" w:hanging="284"/>
              <w:rPr>
                <w:rFonts w:cs="Arial"/>
              </w:rPr>
            </w:pPr>
            <w:r w:rsidRPr="00EC24A5">
              <w:rPr>
                <w:rFonts w:cs="Arial"/>
              </w:rPr>
              <w:t xml:space="preserve">in force under a law of the State or self-governing Territory; </w:t>
            </w:r>
          </w:p>
          <w:p w:rsidR="00DA6A89" w:rsidRPr="00EC24A5" w:rsidRDefault="00DA6A89" w:rsidP="006E4B00">
            <w:pPr>
              <w:spacing w:after="120"/>
              <w:rPr>
                <w:rFonts w:cs="Arial"/>
              </w:rPr>
            </w:pPr>
            <w:r w:rsidRPr="00EC24A5">
              <w:rPr>
                <w:rFonts w:cs="Arial"/>
              </w:rPr>
              <w:t xml:space="preserve">if </w:t>
            </w:r>
            <w:r w:rsidRPr="00EC24A5">
              <w:rPr>
                <w:rFonts w:cs="Arial"/>
                <w:b/>
              </w:rPr>
              <w:t>satisfied</w:t>
            </w:r>
            <w:r w:rsidRPr="00EC24A5">
              <w:rPr>
                <w:rFonts w:cs="Arial"/>
              </w:rPr>
              <w:t xml:space="preserve"> that:</w:t>
            </w:r>
          </w:p>
          <w:p w:rsidR="00DA6A89" w:rsidRPr="00EC24A5" w:rsidRDefault="00DA6A89" w:rsidP="00EA121A">
            <w:pPr>
              <w:pStyle w:val="ListParagraph"/>
              <w:numPr>
                <w:ilvl w:val="0"/>
                <w:numId w:val="10"/>
              </w:numPr>
              <w:ind w:left="714" w:hanging="357"/>
              <w:rPr>
                <w:rFonts w:cs="Arial"/>
              </w:rPr>
            </w:pPr>
            <w:r w:rsidRPr="00EC24A5">
              <w:rPr>
                <w:rFonts w:cs="Arial"/>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tc>
        <w:tc>
          <w:tcPr>
            <w:tcW w:w="8907" w:type="dxa"/>
          </w:tcPr>
          <w:p w:rsidR="00FC03F0" w:rsidRPr="00EC24A5" w:rsidRDefault="00FC03F0" w:rsidP="006E4B00">
            <w:pPr>
              <w:rPr>
                <w:rFonts w:cs="Arial"/>
              </w:rPr>
            </w:pPr>
            <w:r w:rsidRPr="00EC24A5">
              <w:rPr>
                <w:rFonts w:cs="Arial"/>
              </w:rPr>
              <w:br/>
            </w:r>
          </w:p>
          <w:p w:rsidR="00281148" w:rsidRPr="00281148" w:rsidRDefault="00FC2324" w:rsidP="00281148">
            <w:r w:rsidRPr="00EC24A5">
              <w:t xml:space="preserve">The </w:t>
            </w:r>
            <w:r w:rsidR="005333AD">
              <w:t>Western Tuna and Billfish</w:t>
            </w:r>
            <w:r w:rsidR="00281148">
              <w:t xml:space="preserve"> </w:t>
            </w:r>
            <w:r w:rsidRPr="00EC24A5">
              <w:t xml:space="preserve">Fishery will be managed under the </w:t>
            </w:r>
            <w:r w:rsidR="00281148" w:rsidRPr="00281148">
              <w:t xml:space="preserve">Western Tuna and Billfish Fishery Management Plan 2005 in force under the </w:t>
            </w:r>
            <w:r w:rsidR="00281148" w:rsidRPr="00281148">
              <w:rPr>
                <w:i/>
              </w:rPr>
              <w:t>Fisheries Management Act 1991</w:t>
            </w:r>
            <w:r w:rsidR="00281148" w:rsidRPr="00281148">
              <w:t>.</w:t>
            </w:r>
            <w:r w:rsidR="006054DB">
              <w:t xml:space="preserve"> </w:t>
            </w:r>
          </w:p>
          <w:p w:rsidR="00281148" w:rsidRDefault="00281148" w:rsidP="00281148">
            <w:pPr>
              <w:pStyle w:val="Tabletext"/>
            </w:pPr>
          </w:p>
          <w:p w:rsidR="00281148" w:rsidRDefault="00281148" w:rsidP="00F929FE">
            <w:pPr>
              <w:pStyle w:val="Tabletext"/>
            </w:pPr>
          </w:p>
          <w:p w:rsidR="00F929FE" w:rsidRDefault="00F929FE" w:rsidP="00F929FE">
            <w:pPr>
              <w:pStyle w:val="Tabletext"/>
            </w:pPr>
          </w:p>
          <w:p w:rsidR="00281148" w:rsidRDefault="00281148" w:rsidP="00F929FE">
            <w:pPr>
              <w:spacing w:before="120"/>
              <w:rPr>
                <w:rFonts w:cs="Arial"/>
              </w:rPr>
            </w:pPr>
            <w:r>
              <w:rPr>
                <w:rFonts w:cs="Arial"/>
              </w:rPr>
              <w:t xml:space="preserve">The </w:t>
            </w:r>
            <w:r w:rsidRPr="00281148">
              <w:t>Western Tuna and Billfish Fishery Management Plan 2005</w:t>
            </w:r>
            <w:r>
              <w:t xml:space="preserve"> </w:t>
            </w:r>
            <w:r w:rsidRPr="00EC24A5">
              <w:rPr>
                <w:rFonts w:cs="Arial"/>
              </w:rPr>
              <w:t xml:space="preserve">was most recently accredited under section 208A (Part 13) in </w:t>
            </w:r>
            <w:r>
              <w:rPr>
                <w:rFonts w:cs="Arial"/>
              </w:rPr>
              <w:t xml:space="preserve">February 2010. </w:t>
            </w:r>
            <w:r w:rsidRPr="007F7BCA">
              <w:rPr>
                <w:rFonts w:cs="Arial"/>
              </w:rPr>
              <w:t>While there have been amendments to the plan since that time, the Department considers that those amendments do not materially change the requirement for fishers to take steps to ensure that members of listed threatened species are not killed or injured as a result of the fishing.</w:t>
            </w:r>
          </w:p>
          <w:p w:rsidR="000807CF" w:rsidRDefault="00014B8C" w:rsidP="00061462">
            <w:pPr>
              <w:spacing w:after="0"/>
              <w:rPr>
                <w:color w:val="000000"/>
              </w:rPr>
            </w:pPr>
            <w:r>
              <w:t xml:space="preserve">The </w:t>
            </w:r>
            <w:r w:rsidRPr="00281148">
              <w:t>Western Tuna and Billfish Fishery Management Plan 2005</w:t>
            </w:r>
            <w:r>
              <w:t xml:space="preserve"> </w:t>
            </w:r>
            <w:proofErr w:type="gramStart"/>
            <w:r>
              <w:t>requires</w:t>
            </w:r>
            <w:proofErr w:type="gramEnd"/>
            <w:r>
              <w:t xml:space="preserve"> </w:t>
            </w:r>
            <w:r w:rsidR="005C2B3C">
              <w:t>the Australian Fisheries Management Authority (</w:t>
            </w:r>
            <w:r w:rsidR="009F5D44">
              <w:t>AFMA</w:t>
            </w:r>
            <w:r w:rsidR="005C2B3C">
              <w:t xml:space="preserve">) </w:t>
            </w:r>
            <w:r>
              <w:t xml:space="preserve">to implement a </w:t>
            </w:r>
            <w:proofErr w:type="spellStart"/>
            <w:r>
              <w:t>bycatch</w:t>
            </w:r>
            <w:proofErr w:type="spellEnd"/>
            <w:r>
              <w:t xml:space="preserve"> action plan for the fishery. </w:t>
            </w:r>
            <w:r w:rsidRPr="00174D0B">
              <w:t xml:space="preserve">In developing a </w:t>
            </w:r>
            <w:proofErr w:type="spellStart"/>
            <w:r w:rsidRPr="00174D0B">
              <w:t>bycatch</w:t>
            </w:r>
            <w:proofErr w:type="spellEnd"/>
            <w:r w:rsidRPr="00174D0B">
              <w:t xml:space="preserve"> action pl</w:t>
            </w:r>
            <w:r>
              <w:t xml:space="preserve">an, the management plan requires that the authority take into account </w:t>
            </w:r>
            <w:r w:rsidRPr="00174D0B">
              <w:t>the requirements under the</w:t>
            </w:r>
            <w:r>
              <w:t xml:space="preserve"> EPBC Act for the protection of listed threatened species. The </w:t>
            </w:r>
            <w:r w:rsidRPr="007F7BCA">
              <w:rPr>
                <w:i/>
                <w:color w:val="000000"/>
              </w:rPr>
              <w:t xml:space="preserve">Australian Tuna and Billfish Fisheries </w:t>
            </w:r>
            <w:proofErr w:type="spellStart"/>
            <w:r w:rsidRPr="007F7BCA">
              <w:rPr>
                <w:i/>
                <w:color w:val="000000"/>
              </w:rPr>
              <w:t>Bycatch</w:t>
            </w:r>
            <w:proofErr w:type="spellEnd"/>
            <w:r w:rsidRPr="007F7BCA">
              <w:rPr>
                <w:i/>
                <w:color w:val="000000"/>
              </w:rPr>
              <w:t xml:space="preserve"> and Discarding </w:t>
            </w:r>
            <w:proofErr w:type="spellStart"/>
            <w:r w:rsidRPr="007F7BCA">
              <w:rPr>
                <w:i/>
                <w:color w:val="000000"/>
              </w:rPr>
              <w:t>Workplan</w:t>
            </w:r>
            <w:proofErr w:type="spellEnd"/>
            <w:r w:rsidRPr="007F7BCA">
              <w:rPr>
                <w:i/>
                <w:color w:val="000000"/>
              </w:rPr>
              <w:t xml:space="preserve"> 1 July 2014 – 30 June 2016</w:t>
            </w:r>
            <w:r w:rsidRPr="007F7BCA">
              <w:rPr>
                <w:color w:val="000000"/>
              </w:rPr>
              <w:t xml:space="preserve"> </w:t>
            </w:r>
            <w:r w:rsidR="000807CF">
              <w:rPr>
                <w:color w:val="000000"/>
              </w:rPr>
              <w:t xml:space="preserve">outlines </w:t>
            </w:r>
            <w:proofErr w:type="spellStart"/>
            <w:r w:rsidR="000807CF">
              <w:rPr>
                <w:color w:val="000000"/>
              </w:rPr>
              <w:t>bycatch</w:t>
            </w:r>
            <w:proofErr w:type="spellEnd"/>
            <w:r w:rsidR="000807CF">
              <w:rPr>
                <w:color w:val="000000"/>
              </w:rPr>
              <w:t xml:space="preserve"> action priorities for Australia’s tropical tuna fish</w:t>
            </w:r>
            <w:r w:rsidR="008237F1">
              <w:rPr>
                <w:color w:val="000000"/>
              </w:rPr>
              <w:t>eries</w:t>
            </w:r>
            <w:r w:rsidR="00061462">
              <w:rPr>
                <w:color w:val="000000"/>
              </w:rPr>
              <w:t>, including for protected species,</w:t>
            </w:r>
            <w:r w:rsidR="008237F1">
              <w:rPr>
                <w:color w:val="000000"/>
              </w:rPr>
              <w:t xml:space="preserve"> and is reviewed regularl</w:t>
            </w:r>
            <w:r w:rsidR="000807CF">
              <w:rPr>
                <w:color w:val="000000"/>
              </w:rPr>
              <w:t>y on a pre</w:t>
            </w:r>
            <w:r w:rsidR="000807CF">
              <w:rPr>
                <w:color w:val="000000"/>
              </w:rPr>
              <w:noBreakHyphen/>
            </w:r>
            <w:proofErr w:type="spellStart"/>
            <w:r w:rsidR="000807CF">
              <w:rPr>
                <w:color w:val="000000"/>
              </w:rPr>
              <w:t>determined</w:t>
            </w:r>
            <w:proofErr w:type="spellEnd"/>
            <w:r w:rsidR="000807CF">
              <w:rPr>
                <w:color w:val="000000"/>
              </w:rPr>
              <w:t xml:space="preserve"> basis.</w:t>
            </w:r>
          </w:p>
          <w:p w:rsidR="00014B8C" w:rsidRDefault="00014B8C" w:rsidP="00781842">
            <w:pPr>
              <w:spacing w:after="100"/>
            </w:pPr>
            <w:r>
              <w:t>The management plan also provides for:</w:t>
            </w:r>
          </w:p>
          <w:p w:rsidR="00014B8C" w:rsidRDefault="00014B8C" w:rsidP="00781842">
            <w:pPr>
              <w:pageBreakBefore/>
              <w:numPr>
                <w:ilvl w:val="0"/>
                <w:numId w:val="38"/>
              </w:numPr>
              <w:spacing w:after="100"/>
            </w:pPr>
            <w:r>
              <w:t xml:space="preserve">limited entry to the fishery, </w:t>
            </w:r>
            <w:r w:rsidRPr="00B71657">
              <w:t>thereby constraining total fishing effort</w:t>
            </w:r>
            <w:r>
              <w:t xml:space="preserve"> — fishers must hold statutory fishing rights issued under the management plan and must hold quota for those target species they wish to retain</w:t>
            </w:r>
          </w:p>
          <w:p w:rsidR="00014B8C" w:rsidRPr="002130D5" w:rsidRDefault="00014B8C" w:rsidP="00781842">
            <w:pPr>
              <w:pageBreakBefore/>
              <w:numPr>
                <w:ilvl w:val="0"/>
                <w:numId w:val="38"/>
              </w:numPr>
              <w:spacing w:after="100"/>
            </w:pPr>
            <w:r w:rsidRPr="002130D5">
              <w:t>ecological risk assessments and risk managemen</w:t>
            </w:r>
            <w:r>
              <w:t>t reports</w:t>
            </w:r>
          </w:p>
          <w:p w:rsidR="000807CF" w:rsidRDefault="00014B8C" w:rsidP="000807CF">
            <w:pPr>
              <w:pageBreakBefore/>
              <w:numPr>
                <w:ilvl w:val="0"/>
                <w:numId w:val="38"/>
              </w:numPr>
              <w:ind w:left="357" w:hanging="357"/>
            </w:pPr>
            <w:proofErr w:type="gramStart"/>
            <w:r w:rsidRPr="00B71657">
              <w:t>catch</w:t>
            </w:r>
            <w:proofErr w:type="gramEnd"/>
            <w:r w:rsidRPr="00B71657">
              <w:t xml:space="preserve"> limits for key target species</w:t>
            </w:r>
            <w:r w:rsidR="000807CF">
              <w:t xml:space="preserve"> and a number of incidentally caught species.</w:t>
            </w:r>
          </w:p>
          <w:p w:rsidR="00014B8C" w:rsidRDefault="00014B8C" w:rsidP="000807CF">
            <w:bookmarkStart w:id="4" w:name="_Toc367197760"/>
            <w:r>
              <w:t>T</w:t>
            </w:r>
            <w:r w:rsidRPr="00781BE0">
              <w:t>he Fisheries Management Regulations 1992 require that Commonwealth fishing concession holders must ensure that, as far as practicable, there is no interaction with a protecte</w:t>
            </w:r>
            <w:r>
              <w:t xml:space="preserve">d species during a fishing trip and that all </w:t>
            </w:r>
            <w:r w:rsidRPr="002130D5">
              <w:t xml:space="preserve">interactions with EPBC Act </w:t>
            </w:r>
            <w:r>
              <w:t>protected</w:t>
            </w:r>
            <w:r w:rsidRPr="002130D5">
              <w:t xml:space="preserve"> species</w:t>
            </w:r>
            <w:r>
              <w:t xml:space="preserve"> are reported in relevant logbooks</w:t>
            </w:r>
            <w:r w:rsidRPr="002130D5">
              <w:t>.</w:t>
            </w:r>
            <w:r w:rsidR="008237F1">
              <w:t xml:space="preserve"> </w:t>
            </w:r>
            <w:r>
              <w:t>The regulations also make</w:t>
            </w:r>
            <w:r w:rsidRPr="002130D5">
              <w:t xml:space="preserve"> provision for observer monitoring of fishing activities</w:t>
            </w:r>
            <w:r>
              <w:t>.</w:t>
            </w:r>
          </w:p>
          <w:bookmarkEnd w:id="4"/>
          <w:p w:rsidR="00014B8C" w:rsidRDefault="00014B8C" w:rsidP="00781842">
            <w:pPr>
              <w:spacing w:after="100"/>
              <w:rPr>
                <w:rFonts w:cs="Arial"/>
              </w:rPr>
            </w:pPr>
            <w:r w:rsidRPr="00EB5638">
              <w:rPr>
                <w:rFonts w:cs="Arial"/>
              </w:rPr>
              <w:t xml:space="preserve">Conditions applied under section 22(5) of the </w:t>
            </w:r>
            <w:r w:rsidRPr="00EB5638">
              <w:rPr>
                <w:rFonts w:cs="Arial"/>
                <w:i/>
              </w:rPr>
              <w:t xml:space="preserve">Fisheries Management Act 1991 </w:t>
            </w:r>
            <w:r w:rsidRPr="00EB5638">
              <w:rPr>
                <w:rFonts w:cs="Arial"/>
              </w:rPr>
              <w:t>on statutory fishing rights issued under the management plan implement specific management measures which act to reduce the likelihood of capture and mortality of listed threatened species — for example:</w:t>
            </w:r>
          </w:p>
          <w:p w:rsidR="000807CF" w:rsidRPr="007F7BCA" w:rsidRDefault="000807CF" w:rsidP="00781842">
            <w:pPr>
              <w:pStyle w:val="ListBullet"/>
              <w:spacing w:after="100"/>
            </w:pPr>
            <w:r w:rsidRPr="007F7BCA">
              <w:t>compulsory carriage of line cutters and de-hookers to assist in releasing turtles and sharks in the water</w:t>
            </w:r>
          </w:p>
          <w:p w:rsidR="000807CF" w:rsidRPr="007F7BCA" w:rsidRDefault="000807CF" w:rsidP="00781842">
            <w:pPr>
              <w:pStyle w:val="ListBullet"/>
              <w:spacing w:after="100"/>
            </w:pPr>
            <w:r w:rsidRPr="007F7BCA">
              <w:t xml:space="preserve">the prohibition of the use of wire traces with </w:t>
            </w:r>
            <w:proofErr w:type="spellStart"/>
            <w:r w:rsidRPr="007F7BCA">
              <w:t>longline</w:t>
            </w:r>
            <w:proofErr w:type="spellEnd"/>
            <w:r w:rsidRPr="007F7BCA">
              <w:t xml:space="preserve"> gear, to allow sharks to bite free</w:t>
            </w:r>
          </w:p>
          <w:p w:rsidR="000807CF" w:rsidRPr="007F7BCA" w:rsidRDefault="000807CF" w:rsidP="00781842">
            <w:pPr>
              <w:pStyle w:val="ListBullet"/>
              <w:spacing w:after="100"/>
            </w:pPr>
            <w:r w:rsidRPr="007F7BCA">
              <w:t xml:space="preserve">prohibition of shark </w:t>
            </w:r>
            <w:proofErr w:type="spellStart"/>
            <w:r w:rsidRPr="007F7BCA">
              <w:t>finning</w:t>
            </w:r>
            <w:proofErr w:type="spellEnd"/>
          </w:p>
          <w:p w:rsidR="000807CF" w:rsidRPr="007F7BCA" w:rsidRDefault="000807CF" w:rsidP="000807CF">
            <w:pPr>
              <w:pStyle w:val="ListBullet"/>
            </w:pPr>
            <w:proofErr w:type="gramStart"/>
            <w:r w:rsidRPr="007F7BCA">
              <w:t>the</w:t>
            </w:r>
            <w:proofErr w:type="gramEnd"/>
            <w:r w:rsidRPr="007F7BCA">
              <w:t xml:space="preserve"> requirements of the </w:t>
            </w:r>
            <w:r w:rsidR="00513B34" w:rsidRPr="007F7BCA">
              <w:rPr>
                <w:i/>
              </w:rPr>
              <w:t xml:space="preserve">Threat Abatement Plan 2014 for the incidental catch (or </w:t>
            </w:r>
            <w:proofErr w:type="spellStart"/>
            <w:r w:rsidR="00513B34" w:rsidRPr="007F7BCA">
              <w:rPr>
                <w:i/>
              </w:rPr>
              <w:t>bycatch</w:t>
            </w:r>
            <w:proofErr w:type="spellEnd"/>
            <w:r w:rsidR="00513B34" w:rsidRPr="007F7BCA">
              <w:rPr>
                <w:i/>
              </w:rPr>
              <w:t xml:space="preserve">) of seabirds during oceanic </w:t>
            </w:r>
            <w:proofErr w:type="spellStart"/>
            <w:r w:rsidR="00513B34" w:rsidRPr="007F7BCA">
              <w:rPr>
                <w:i/>
              </w:rPr>
              <w:t>longline</w:t>
            </w:r>
            <w:proofErr w:type="spellEnd"/>
            <w:r w:rsidR="00513B34" w:rsidRPr="007F7BCA">
              <w:rPr>
                <w:i/>
              </w:rPr>
              <w:t xml:space="preserve"> fishing operations </w:t>
            </w:r>
            <w:r w:rsidR="00513B34" w:rsidRPr="007F7BCA">
              <w:rPr>
                <w:lang w:eastAsia="en-AU"/>
              </w:rPr>
              <w:t xml:space="preserve">(Seabird TAP) </w:t>
            </w:r>
            <w:r w:rsidR="00513B34">
              <w:t>(see </w:t>
            </w:r>
            <w:r w:rsidRPr="007F7BCA">
              <w:t>Table 1).</w:t>
            </w:r>
          </w:p>
          <w:p w:rsidR="00DA6A89" w:rsidRPr="00EC24A5" w:rsidRDefault="00781842" w:rsidP="00CE12C1">
            <w:pPr>
              <w:spacing w:after="120"/>
              <w:rPr>
                <w:rFonts w:cs="Arial"/>
              </w:rPr>
            </w:pPr>
            <w:r w:rsidRPr="007F7BCA">
              <w:t xml:space="preserve">The Department considers that the </w:t>
            </w:r>
            <w:r>
              <w:t>We</w:t>
            </w:r>
            <w:r w:rsidRPr="007F7BCA">
              <w:t>stern Tuna and Billfish Fishery Management Plan 20</w:t>
            </w:r>
            <w:r>
              <w:t>05</w:t>
            </w:r>
            <w:r w:rsidRPr="007F7BCA">
              <w:t xml:space="preserve"> </w:t>
            </w:r>
            <w:r w:rsidRPr="007F7BCA">
              <w:rPr>
                <w:rFonts w:cs="Arial"/>
              </w:rPr>
              <w:t xml:space="preserve">as administered by </w:t>
            </w:r>
            <w:r w:rsidR="009F5D44">
              <w:rPr>
                <w:rFonts w:cs="Arial"/>
              </w:rPr>
              <w:t>AFMA</w:t>
            </w:r>
            <w:r w:rsidR="00DE2939">
              <w:rPr>
                <w:rFonts w:cs="Arial"/>
              </w:rPr>
              <w:t xml:space="preserve"> </w:t>
            </w:r>
            <w:r w:rsidRPr="007F7BCA">
              <w:rPr>
                <w:rFonts w:cs="Arial"/>
              </w:rPr>
              <w:t>requires persons engaged in fishing under the plan to take all reasonable steps to ensure that members of listed threatened species are not killed or injured as a result of the fishing.</w:t>
            </w:r>
          </w:p>
        </w:tc>
      </w:tr>
      <w:tr w:rsidR="00C57A9B" w:rsidRPr="00EC24A5" w:rsidTr="008237F1">
        <w:trPr>
          <w:cantSplit/>
          <w:jc w:val="center"/>
        </w:trPr>
        <w:tc>
          <w:tcPr>
            <w:tcW w:w="6699" w:type="dxa"/>
            <w:shd w:val="clear" w:color="auto" w:fill="auto"/>
          </w:tcPr>
          <w:p w:rsidR="00C57A9B" w:rsidRPr="00EC24A5" w:rsidRDefault="00C57A9B" w:rsidP="00EA121A">
            <w:pPr>
              <w:pStyle w:val="ListParagraph"/>
              <w:numPr>
                <w:ilvl w:val="0"/>
                <w:numId w:val="10"/>
              </w:numPr>
              <w:ind w:left="714" w:hanging="357"/>
              <w:rPr>
                <w:rFonts w:cs="Arial"/>
              </w:rPr>
            </w:pPr>
            <w:r w:rsidRPr="00EC24A5">
              <w:rPr>
                <w:rFonts w:cs="Arial"/>
              </w:rPr>
              <w:t>the fishery to which the plan, regime or policy relates does not, or is not likely to, adversely affect the survival or recovery in nature of the species</w:t>
            </w:r>
          </w:p>
        </w:tc>
        <w:tc>
          <w:tcPr>
            <w:tcW w:w="8907" w:type="dxa"/>
            <w:shd w:val="clear" w:color="auto" w:fill="auto"/>
          </w:tcPr>
          <w:p w:rsidR="00C57A9B" w:rsidRPr="006B451C" w:rsidRDefault="006B451C" w:rsidP="00753647">
            <w:pPr>
              <w:rPr>
                <w:highlight w:val="yellow"/>
              </w:rPr>
            </w:pPr>
            <w:r w:rsidRPr="007F7BCA">
              <w:t>Taking into account t</w:t>
            </w:r>
            <w:r w:rsidR="00753647">
              <w:t>he management measures in place</w:t>
            </w:r>
            <w:r w:rsidRPr="007F7BCA">
              <w:t xml:space="preserve"> (summarised above and in Table 1), the most recent ecological risk management report for the fishery found no </w:t>
            </w:r>
            <w:r w:rsidRPr="007F7BCA">
              <w:rPr>
                <w:rFonts w:cs="Arial"/>
              </w:rPr>
              <w:t xml:space="preserve">listed threatened </w:t>
            </w:r>
            <w:r w:rsidRPr="007F7BCA">
              <w:t>species at high risk from the effects of fishing</w:t>
            </w:r>
            <w:r w:rsidR="00753647">
              <w:t xml:space="preserve"> </w:t>
            </w:r>
            <w:r w:rsidR="00753647" w:rsidRPr="007F7BCA">
              <w:t>(AFMA 201</w:t>
            </w:r>
            <w:r w:rsidR="00753647">
              <w:t>0</w:t>
            </w:r>
            <w:r w:rsidR="00753647" w:rsidRPr="007F7BCA">
              <w:t>)</w:t>
            </w:r>
            <w:r w:rsidRPr="007F7BCA">
              <w:t>. Given the conclusions of the ecological risk management report and that the number of reported and observed interactions with listed threatened</w:t>
            </w:r>
            <w:r>
              <w:t xml:space="preserve"> species in the fishery is low,</w:t>
            </w:r>
            <w:r w:rsidRPr="007F7BCA">
              <w:rPr>
                <w:rFonts w:cs="Arial"/>
              </w:rPr>
              <w:t xml:space="preserve"> </w:t>
            </w:r>
            <w:r w:rsidRPr="007F7BCA">
              <w:t xml:space="preserve">the Department considers that the current operation of the </w:t>
            </w:r>
            <w:r>
              <w:t>We</w:t>
            </w:r>
            <w:r w:rsidRPr="007F7BCA">
              <w:t>stern Tuna and Billfish Fishery is not likely to adversely affect the survival or recovery in nature of any listed threatened species.</w:t>
            </w:r>
          </w:p>
        </w:tc>
      </w:tr>
    </w:tbl>
    <w:p w:rsidR="00DA6A89" w:rsidRPr="00EC24A5" w:rsidRDefault="00DA6A89" w:rsidP="006E4B00">
      <w:pPr>
        <w:rPr>
          <w:rFonts w:cs="Arial"/>
        </w:rPr>
      </w:pPr>
    </w:p>
    <w:p w:rsidR="00740AF0" w:rsidRPr="00EC24A5" w:rsidRDefault="00740AF0">
      <w:pPr>
        <w:spacing w:after="0" w:line="240" w:lineRule="auto"/>
        <w:rPr>
          <w:rFonts w:cs="Arial"/>
          <w:b/>
        </w:rPr>
      </w:pPr>
      <w:r w:rsidRPr="00EC24A5">
        <w:rPr>
          <w:rFonts w:cs="Arial"/>
          <w:b/>
        </w:rPr>
        <w:br w:type="page"/>
      </w:r>
    </w:p>
    <w:p w:rsidR="00DA6A89" w:rsidRPr="00EC24A5" w:rsidRDefault="00DA6A89" w:rsidP="00A50E07">
      <w:pPr>
        <w:ind w:left="-567"/>
        <w:rPr>
          <w:rFonts w:cs="Arial"/>
          <w:b/>
        </w:rPr>
      </w:pPr>
      <w:proofErr w:type="gramStart"/>
      <w:r w:rsidRPr="00EC24A5">
        <w:rPr>
          <w:rFonts w:cs="Arial"/>
          <w:b/>
        </w:rPr>
        <w:t>Part 13</w:t>
      </w:r>
      <w:r w:rsidRPr="00EC24A5">
        <w:rPr>
          <w:rFonts w:cs="Arial"/>
          <w:i/>
        </w:rPr>
        <w:t xml:space="preserve"> (cont.)</w:t>
      </w:r>
      <w:proofErr w:type="gramEnd"/>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3"/>
        <w:gridCol w:w="8930"/>
      </w:tblGrid>
      <w:tr w:rsidR="00B73546" w:rsidRPr="00EC24A5" w:rsidTr="00A50E07">
        <w:trPr>
          <w:tblHeader/>
        </w:trPr>
        <w:tc>
          <w:tcPr>
            <w:tcW w:w="6663" w:type="dxa"/>
          </w:tcPr>
          <w:p w:rsidR="00B73546" w:rsidRPr="00BE7BBA" w:rsidRDefault="00B73546" w:rsidP="00BE7BBA">
            <w:pPr>
              <w:pStyle w:val="Heading2"/>
              <w:spacing w:after="100"/>
            </w:pPr>
            <w:r w:rsidRPr="00BE7BBA">
              <w:t>Division 2 Migratory species</w:t>
            </w:r>
          </w:p>
          <w:p w:rsidR="00B73546" w:rsidRPr="00BE7BBA" w:rsidRDefault="00B73546" w:rsidP="00BE7BBA">
            <w:pPr>
              <w:pStyle w:val="Heading2"/>
              <w:spacing w:after="100"/>
            </w:pPr>
            <w:r w:rsidRPr="00BE7BBA">
              <w:t>Section 222A Minister may accredit plans or regimes</w:t>
            </w:r>
          </w:p>
        </w:tc>
        <w:tc>
          <w:tcPr>
            <w:tcW w:w="8930" w:type="dxa"/>
          </w:tcPr>
          <w:p w:rsidR="00B73546" w:rsidRPr="00BE7BBA" w:rsidRDefault="00EF02FA" w:rsidP="00BE7BBA">
            <w:pPr>
              <w:pStyle w:val="Heading2"/>
              <w:spacing w:after="100"/>
            </w:pPr>
            <w:r w:rsidRPr="00BE7BBA">
              <w:t xml:space="preserve">The Department of the Environment’s assessment of the </w:t>
            </w:r>
            <w:r w:rsidR="005333AD">
              <w:t xml:space="preserve">Western Tuna and </w:t>
            </w:r>
            <w:r w:rsidR="006054DB">
              <w:t>Billfish</w:t>
            </w:r>
            <w:r w:rsidR="006054DB" w:rsidRPr="00BE7BBA">
              <w:t xml:space="preserve"> Fishery</w:t>
            </w:r>
          </w:p>
        </w:tc>
      </w:tr>
      <w:tr w:rsidR="00DA6A89" w:rsidRPr="00EC24A5" w:rsidTr="00A50E07">
        <w:tc>
          <w:tcPr>
            <w:tcW w:w="6663" w:type="dxa"/>
          </w:tcPr>
          <w:p w:rsidR="00DA6A89" w:rsidRPr="00EC24A5" w:rsidRDefault="00DA6A89" w:rsidP="00D05CA9">
            <w:pPr>
              <w:ind w:left="360" w:hanging="357"/>
              <w:rPr>
                <w:rFonts w:cs="Arial"/>
              </w:rPr>
            </w:pPr>
            <w:r w:rsidRPr="00EC24A5">
              <w:rPr>
                <w:rFonts w:cs="Arial"/>
              </w:rPr>
              <w:t>(1)</w:t>
            </w:r>
            <w:r w:rsidRPr="00EC24A5">
              <w:rPr>
                <w:rFonts w:cs="Arial"/>
              </w:rPr>
              <w:tab/>
              <w:t>Minister may, by instrument in writing, accredit for the purposes of this Division:</w:t>
            </w:r>
          </w:p>
          <w:p w:rsidR="00DE0403" w:rsidRPr="00EC24A5" w:rsidRDefault="00DE0403" w:rsidP="00EA121A">
            <w:pPr>
              <w:pStyle w:val="ListParagraph"/>
              <w:numPr>
                <w:ilvl w:val="0"/>
                <w:numId w:val="13"/>
              </w:numPr>
              <w:ind w:hanging="357"/>
              <w:rPr>
                <w:rFonts w:cs="Arial"/>
              </w:rPr>
            </w:pPr>
            <w:r w:rsidRPr="00EC24A5">
              <w:rPr>
                <w:rFonts w:cs="Arial"/>
              </w:rPr>
              <w:t xml:space="preserve">a plan of management within the meaning of section 17 of the </w:t>
            </w:r>
            <w:r w:rsidRPr="00EC24A5">
              <w:rPr>
                <w:rFonts w:cs="Arial"/>
                <w:i/>
              </w:rPr>
              <w:t>Fisheries Management Act 1991</w:t>
            </w:r>
            <w:r w:rsidRPr="00EC24A5">
              <w:rPr>
                <w:rFonts w:cs="Arial"/>
              </w:rPr>
              <w:t>;</w:t>
            </w:r>
          </w:p>
          <w:p w:rsidR="00AF2935" w:rsidRDefault="00AF2935" w:rsidP="00AF2935">
            <w:pPr>
              <w:pStyle w:val="Tabletext"/>
            </w:pPr>
          </w:p>
          <w:p w:rsidR="00DA6A89" w:rsidRPr="00EC24A5" w:rsidRDefault="00DA6A89" w:rsidP="006E4B00">
            <w:pPr>
              <w:rPr>
                <w:rFonts w:cs="Arial"/>
              </w:rPr>
            </w:pPr>
            <w:r w:rsidRPr="00EC24A5">
              <w:rPr>
                <w:rFonts w:cs="Arial"/>
              </w:rPr>
              <w:t xml:space="preserve">if </w:t>
            </w:r>
            <w:r w:rsidRPr="00EC24A5">
              <w:rPr>
                <w:rFonts w:cs="Arial"/>
                <w:b/>
              </w:rPr>
              <w:t>satisfied</w:t>
            </w:r>
            <w:r w:rsidRPr="00EC24A5">
              <w:rPr>
                <w:rFonts w:cs="Arial"/>
              </w:rPr>
              <w:t xml:space="preserve"> that:</w:t>
            </w:r>
          </w:p>
          <w:p w:rsidR="00DA6A89" w:rsidRPr="00EC24A5" w:rsidRDefault="00DA6A89" w:rsidP="00EA121A">
            <w:pPr>
              <w:pStyle w:val="ListParagraph"/>
              <w:numPr>
                <w:ilvl w:val="0"/>
                <w:numId w:val="15"/>
              </w:numPr>
              <w:rPr>
                <w:rFonts w:cs="Arial"/>
              </w:rPr>
            </w:pPr>
            <w:r w:rsidRPr="00EC24A5">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ED38C4" w:rsidRPr="00EC24A5" w:rsidRDefault="00ED38C4" w:rsidP="00ED38C4">
            <w:pPr>
              <w:rPr>
                <w:rFonts w:cs="Arial"/>
              </w:rPr>
            </w:pPr>
          </w:p>
          <w:p w:rsidR="00ED38C4" w:rsidRPr="00EC24A5" w:rsidRDefault="00ED38C4" w:rsidP="00ED38C4">
            <w:pPr>
              <w:rPr>
                <w:rFonts w:cs="Arial"/>
              </w:rPr>
            </w:pPr>
          </w:p>
          <w:p w:rsidR="00ED38C4" w:rsidRDefault="00ED38C4" w:rsidP="00ED38C4">
            <w:pPr>
              <w:rPr>
                <w:rFonts w:cs="Arial"/>
              </w:rPr>
            </w:pPr>
          </w:p>
          <w:p w:rsidR="008E116C" w:rsidRDefault="008E116C" w:rsidP="00ED38C4">
            <w:pPr>
              <w:rPr>
                <w:rFonts w:cs="Arial"/>
              </w:rPr>
            </w:pPr>
          </w:p>
          <w:p w:rsidR="008E116C" w:rsidRDefault="008E116C" w:rsidP="00ED38C4">
            <w:pPr>
              <w:rPr>
                <w:rFonts w:cs="Arial"/>
              </w:rPr>
            </w:pPr>
          </w:p>
          <w:p w:rsidR="00CE5240" w:rsidRDefault="00CE5240" w:rsidP="00ED38C4">
            <w:pPr>
              <w:rPr>
                <w:rFonts w:cs="Arial"/>
              </w:rPr>
            </w:pPr>
          </w:p>
          <w:p w:rsidR="00DA6A89" w:rsidRPr="00685E02" w:rsidRDefault="00DA6A89" w:rsidP="00685E02">
            <w:pPr>
              <w:rPr>
                <w:rFonts w:cs="Arial"/>
              </w:rPr>
            </w:pPr>
          </w:p>
        </w:tc>
        <w:tc>
          <w:tcPr>
            <w:tcW w:w="8930" w:type="dxa"/>
            <w:shd w:val="clear" w:color="auto" w:fill="auto"/>
          </w:tcPr>
          <w:p w:rsidR="005A28A8" w:rsidRPr="00AF2935" w:rsidRDefault="005A28A8" w:rsidP="00AF2935">
            <w:r w:rsidRPr="00EC24A5">
              <w:br/>
            </w:r>
          </w:p>
          <w:p w:rsidR="00AF2935" w:rsidRPr="00281148" w:rsidRDefault="00AF2935" w:rsidP="00AF2935">
            <w:r w:rsidRPr="00EC24A5">
              <w:t xml:space="preserve">The </w:t>
            </w:r>
            <w:r>
              <w:t xml:space="preserve">Western Tuna and Billfish </w:t>
            </w:r>
            <w:r w:rsidRPr="00EC24A5">
              <w:t xml:space="preserve">Fishery will be managed under the </w:t>
            </w:r>
            <w:r w:rsidRPr="00281148">
              <w:t xml:space="preserve">Western Tuna and Billfish Fishery Management Plan 2005 in force under the </w:t>
            </w:r>
            <w:r w:rsidRPr="00281148">
              <w:rPr>
                <w:i/>
              </w:rPr>
              <w:t>Fisheries Management Act 1991</w:t>
            </w:r>
            <w:r>
              <w:t>.</w:t>
            </w:r>
          </w:p>
          <w:p w:rsidR="00AF2935" w:rsidRDefault="00AF2935" w:rsidP="00AF2935">
            <w:pPr>
              <w:rPr>
                <w:rFonts w:cs="Arial"/>
              </w:rPr>
            </w:pPr>
          </w:p>
          <w:p w:rsidR="00AF2935" w:rsidRPr="007F7BCA" w:rsidRDefault="00AF2935" w:rsidP="00AF2935">
            <w:pPr>
              <w:rPr>
                <w:rFonts w:cs="Arial"/>
              </w:rPr>
            </w:pPr>
            <w:r>
              <w:rPr>
                <w:rFonts w:cs="Arial"/>
              </w:rPr>
              <w:t xml:space="preserve">The </w:t>
            </w:r>
            <w:r w:rsidRPr="00281148">
              <w:t>Western Tuna and Billfish Fishery Management Plan 2005</w:t>
            </w:r>
            <w:r>
              <w:t xml:space="preserve"> </w:t>
            </w:r>
            <w:r w:rsidRPr="00EC24A5">
              <w:rPr>
                <w:rFonts w:cs="Arial"/>
              </w:rPr>
              <w:t>was most recently accredited under section 2</w:t>
            </w:r>
            <w:r>
              <w:rPr>
                <w:rFonts w:cs="Arial"/>
              </w:rPr>
              <w:t>22</w:t>
            </w:r>
            <w:r w:rsidRPr="00EC24A5">
              <w:rPr>
                <w:rFonts w:cs="Arial"/>
              </w:rPr>
              <w:t xml:space="preserve">A (Part 13) in </w:t>
            </w:r>
            <w:r>
              <w:rPr>
                <w:rFonts w:cs="Arial"/>
              </w:rPr>
              <w:t xml:space="preserve">February 2010. </w:t>
            </w:r>
            <w:r w:rsidRPr="007F7BCA">
              <w:rPr>
                <w:rFonts w:cs="Arial"/>
              </w:rPr>
              <w:t xml:space="preserve">While there have been amendments to the plan since that time, the Department considers that those amendments do not materially change the requirement for fishers to take steps to ensure that members of listed </w:t>
            </w:r>
            <w:r>
              <w:rPr>
                <w:rFonts w:cs="Arial"/>
              </w:rPr>
              <w:t>migratory</w:t>
            </w:r>
            <w:r w:rsidRPr="007F7BCA">
              <w:rPr>
                <w:rFonts w:cs="Arial"/>
              </w:rPr>
              <w:t xml:space="preserve"> species are not killed or injured as a result of the fishing.</w:t>
            </w:r>
          </w:p>
          <w:p w:rsidR="00985662" w:rsidRDefault="00985662" w:rsidP="00A50E07">
            <w:pPr>
              <w:rPr>
                <w:color w:val="000000"/>
              </w:rPr>
            </w:pPr>
            <w:r>
              <w:t xml:space="preserve">The </w:t>
            </w:r>
            <w:r w:rsidRPr="00281148">
              <w:t>Western Tuna and Billfish Fishery Management Plan 2005</w:t>
            </w:r>
            <w:r w:rsidR="00A50E07">
              <w:t xml:space="preserve"> </w:t>
            </w:r>
            <w:proofErr w:type="gramStart"/>
            <w:r w:rsidR="00A50E07">
              <w:t>requires</w:t>
            </w:r>
            <w:proofErr w:type="gramEnd"/>
            <w:r w:rsidR="00A50E07">
              <w:t xml:space="preserve"> </w:t>
            </w:r>
            <w:r w:rsidR="009F5D44">
              <w:t>AFMA</w:t>
            </w:r>
            <w:r w:rsidR="00DE2939">
              <w:t xml:space="preserve"> </w:t>
            </w:r>
            <w:r>
              <w:t xml:space="preserve">to implement a </w:t>
            </w:r>
            <w:proofErr w:type="spellStart"/>
            <w:r>
              <w:t>bycatch</w:t>
            </w:r>
            <w:proofErr w:type="spellEnd"/>
            <w:r>
              <w:t xml:space="preserve"> action plan for the fishery. </w:t>
            </w:r>
            <w:r w:rsidRPr="00174D0B">
              <w:t xml:space="preserve">In developing a </w:t>
            </w:r>
            <w:proofErr w:type="spellStart"/>
            <w:r w:rsidRPr="00174D0B">
              <w:t>bycatch</w:t>
            </w:r>
            <w:proofErr w:type="spellEnd"/>
            <w:r w:rsidRPr="00174D0B">
              <w:t xml:space="preserve"> action pl</w:t>
            </w:r>
            <w:r>
              <w:t xml:space="preserve">an, the management plan requires that the authority take into account </w:t>
            </w:r>
            <w:r w:rsidRPr="00174D0B">
              <w:t>the requirements under the</w:t>
            </w:r>
            <w:r>
              <w:t xml:space="preserve"> EPBC Act for the protection of listed </w:t>
            </w:r>
            <w:r w:rsidR="00A50E07">
              <w:t>migratory</w:t>
            </w:r>
            <w:r>
              <w:t xml:space="preserve"> species. The </w:t>
            </w:r>
            <w:r w:rsidRPr="007F7BCA">
              <w:rPr>
                <w:i/>
                <w:color w:val="000000"/>
              </w:rPr>
              <w:t xml:space="preserve">Australian Tuna and Billfish Fisheries </w:t>
            </w:r>
            <w:proofErr w:type="spellStart"/>
            <w:r w:rsidRPr="007F7BCA">
              <w:rPr>
                <w:i/>
                <w:color w:val="000000"/>
              </w:rPr>
              <w:t>Bycatch</w:t>
            </w:r>
            <w:proofErr w:type="spellEnd"/>
            <w:r w:rsidRPr="007F7BCA">
              <w:rPr>
                <w:i/>
                <w:color w:val="000000"/>
              </w:rPr>
              <w:t xml:space="preserve"> and Discarding </w:t>
            </w:r>
            <w:proofErr w:type="spellStart"/>
            <w:r w:rsidRPr="007F7BCA">
              <w:rPr>
                <w:i/>
                <w:color w:val="000000"/>
              </w:rPr>
              <w:t>Workplan</w:t>
            </w:r>
            <w:proofErr w:type="spellEnd"/>
            <w:r w:rsidRPr="007F7BCA">
              <w:rPr>
                <w:i/>
                <w:color w:val="000000"/>
              </w:rPr>
              <w:t xml:space="preserve"> 1 July 2014 – 30 June 2016</w:t>
            </w:r>
            <w:r w:rsidRPr="007F7BCA">
              <w:rPr>
                <w:color w:val="000000"/>
              </w:rPr>
              <w:t xml:space="preserve"> </w:t>
            </w:r>
            <w:r>
              <w:rPr>
                <w:color w:val="000000"/>
              </w:rPr>
              <w:t xml:space="preserve">outlines </w:t>
            </w:r>
            <w:proofErr w:type="spellStart"/>
            <w:r>
              <w:rPr>
                <w:color w:val="000000"/>
              </w:rPr>
              <w:t>bycatch</w:t>
            </w:r>
            <w:proofErr w:type="spellEnd"/>
            <w:r>
              <w:rPr>
                <w:color w:val="000000"/>
              </w:rPr>
              <w:t xml:space="preserve"> action priorities for Australia’s tropical tuna fisheries</w:t>
            </w:r>
            <w:r w:rsidR="00892585">
              <w:rPr>
                <w:color w:val="000000"/>
              </w:rPr>
              <w:t xml:space="preserve">, including for protected species, </w:t>
            </w:r>
            <w:r>
              <w:rPr>
                <w:color w:val="000000"/>
              </w:rPr>
              <w:t>and is reviewed regularly on a pre</w:t>
            </w:r>
            <w:r>
              <w:rPr>
                <w:color w:val="000000"/>
              </w:rPr>
              <w:noBreakHyphen/>
            </w:r>
            <w:proofErr w:type="spellStart"/>
            <w:r>
              <w:rPr>
                <w:color w:val="000000"/>
              </w:rPr>
              <w:t>determined</w:t>
            </w:r>
            <w:proofErr w:type="spellEnd"/>
            <w:r>
              <w:rPr>
                <w:color w:val="000000"/>
              </w:rPr>
              <w:t xml:space="preserve"> basis.</w:t>
            </w:r>
          </w:p>
          <w:p w:rsidR="00985662" w:rsidRDefault="00985662" w:rsidP="00A50E07">
            <w:pPr>
              <w:spacing w:after="100"/>
            </w:pPr>
            <w:r>
              <w:t>The management plan also provides for:</w:t>
            </w:r>
          </w:p>
          <w:p w:rsidR="00985662" w:rsidRDefault="00985662" w:rsidP="00A50E07">
            <w:pPr>
              <w:pageBreakBefore/>
              <w:numPr>
                <w:ilvl w:val="0"/>
                <w:numId w:val="38"/>
              </w:numPr>
              <w:spacing w:after="100"/>
            </w:pPr>
            <w:r>
              <w:t xml:space="preserve">limited entry to the fishery, </w:t>
            </w:r>
            <w:r w:rsidRPr="00B71657">
              <w:t>thereby constraining total fishing effort</w:t>
            </w:r>
            <w:r>
              <w:t xml:space="preserve"> — fishers must hold statutory fishing rights issued under the management plan and must hold quota for those target species they wish to retain</w:t>
            </w:r>
          </w:p>
          <w:p w:rsidR="00985662" w:rsidRPr="002130D5" w:rsidRDefault="00985662" w:rsidP="00A50E07">
            <w:pPr>
              <w:pageBreakBefore/>
              <w:numPr>
                <w:ilvl w:val="0"/>
                <w:numId w:val="38"/>
              </w:numPr>
              <w:spacing w:after="100"/>
            </w:pPr>
            <w:r w:rsidRPr="002130D5">
              <w:t>ecological risk assessments and risk managemen</w:t>
            </w:r>
            <w:r>
              <w:t>t reports</w:t>
            </w:r>
          </w:p>
          <w:p w:rsidR="00985662" w:rsidRDefault="00985662" w:rsidP="00A50E07">
            <w:pPr>
              <w:pageBreakBefore/>
              <w:numPr>
                <w:ilvl w:val="0"/>
                <w:numId w:val="38"/>
              </w:numPr>
              <w:ind w:left="357" w:hanging="357"/>
            </w:pPr>
            <w:proofErr w:type="gramStart"/>
            <w:r w:rsidRPr="00B71657">
              <w:t>catch</w:t>
            </w:r>
            <w:proofErr w:type="gramEnd"/>
            <w:r w:rsidRPr="00B71657">
              <w:t xml:space="preserve"> limits for key target species</w:t>
            </w:r>
            <w:r>
              <w:t xml:space="preserve"> and a number of incidentally caught species.</w:t>
            </w:r>
          </w:p>
          <w:p w:rsidR="00DE2939" w:rsidRDefault="00DE2939" w:rsidP="00A50E07"/>
          <w:p w:rsidR="00985662" w:rsidRDefault="00985662" w:rsidP="00A50E07">
            <w:r>
              <w:t>T</w:t>
            </w:r>
            <w:r w:rsidRPr="00781BE0">
              <w:t>he Fisheries Management Regulations 1992 require that Commonwealth fishing concession holders must ensure that, as far as practicable, there is no interaction with a protecte</w:t>
            </w:r>
            <w:r>
              <w:t xml:space="preserve">d species during a fishing trip and that all </w:t>
            </w:r>
            <w:r w:rsidRPr="002130D5">
              <w:t xml:space="preserve">interactions with EPBC Act </w:t>
            </w:r>
            <w:r>
              <w:t>protected</w:t>
            </w:r>
            <w:r w:rsidRPr="002130D5">
              <w:t xml:space="preserve"> species</w:t>
            </w:r>
            <w:r>
              <w:t xml:space="preserve"> are reported in relevant logbooks</w:t>
            </w:r>
            <w:r w:rsidRPr="002130D5">
              <w:t>.</w:t>
            </w:r>
            <w:r>
              <w:t xml:space="preserve"> The regulations also make</w:t>
            </w:r>
            <w:r w:rsidRPr="002130D5">
              <w:t xml:space="preserve"> provision for observer monitoring of fishing activities</w:t>
            </w:r>
            <w:r>
              <w:t>.</w:t>
            </w:r>
          </w:p>
          <w:p w:rsidR="00985662" w:rsidRDefault="00985662" w:rsidP="00A50E07">
            <w:pPr>
              <w:spacing w:after="100"/>
              <w:rPr>
                <w:rFonts w:cs="Arial"/>
              </w:rPr>
            </w:pPr>
            <w:r w:rsidRPr="00EB5638">
              <w:rPr>
                <w:rFonts w:cs="Arial"/>
              </w:rPr>
              <w:t xml:space="preserve">Conditions applied under section 22(5) of the </w:t>
            </w:r>
            <w:r w:rsidRPr="00EB5638">
              <w:rPr>
                <w:rFonts w:cs="Arial"/>
                <w:i/>
              </w:rPr>
              <w:t xml:space="preserve">Fisheries Management Act 1991 </w:t>
            </w:r>
            <w:r w:rsidRPr="00EB5638">
              <w:rPr>
                <w:rFonts w:cs="Arial"/>
              </w:rPr>
              <w:t xml:space="preserve">on statutory fishing rights issued under the management plan implement specific management measures which act to reduce the likelihood of capture and mortality of listed </w:t>
            </w:r>
            <w:r w:rsidR="00A50E07">
              <w:rPr>
                <w:rFonts w:cs="Arial"/>
              </w:rPr>
              <w:t>migratory</w:t>
            </w:r>
            <w:r w:rsidRPr="00EB5638">
              <w:rPr>
                <w:rFonts w:cs="Arial"/>
              </w:rPr>
              <w:t xml:space="preserve"> species — for example:</w:t>
            </w:r>
          </w:p>
          <w:p w:rsidR="00985662" w:rsidRPr="007F7BCA" w:rsidRDefault="00985662" w:rsidP="00A50E07">
            <w:pPr>
              <w:pStyle w:val="ListBullet"/>
              <w:spacing w:after="100"/>
            </w:pPr>
            <w:r w:rsidRPr="007F7BCA">
              <w:t>compulsory carriage of line cutters and de-hookers to assist in releasing turtles and sharks in the water</w:t>
            </w:r>
          </w:p>
          <w:p w:rsidR="00985662" w:rsidRPr="007F7BCA" w:rsidRDefault="00985662" w:rsidP="00A50E07">
            <w:pPr>
              <w:pStyle w:val="ListBullet"/>
              <w:spacing w:after="100"/>
            </w:pPr>
            <w:r w:rsidRPr="007F7BCA">
              <w:t xml:space="preserve">the prohibition of the use of wire traces with </w:t>
            </w:r>
            <w:proofErr w:type="spellStart"/>
            <w:r w:rsidRPr="007F7BCA">
              <w:t>longline</w:t>
            </w:r>
            <w:proofErr w:type="spellEnd"/>
            <w:r w:rsidRPr="007F7BCA">
              <w:t xml:space="preserve"> gear, to allow sharks to bite free</w:t>
            </w:r>
          </w:p>
          <w:p w:rsidR="00985662" w:rsidRPr="007F7BCA" w:rsidRDefault="00985662" w:rsidP="00A50E07">
            <w:pPr>
              <w:pStyle w:val="ListBullet"/>
              <w:spacing w:after="100"/>
            </w:pPr>
            <w:r w:rsidRPr="007F7BCA">
              <w:t xml:space="preserve">prohibition of shark </w:t>
            </w:r>
            <w:proofErr w:type="spellStart"/>
            <w:r w:rsidRPr="007F7BCA">
              <w:t>finning</w:t>
            </w:r>
            <w:proofErr w:type="spellEnd"/>
          </w:p>
          <w:p w:rsidR="00985662" w:rsidRPr="007F7BCA" w:rsidRDefault="00985662" w:rsidP="00A50E07">
            <w:pPr>
              <w:pStyle w:val="ListBullet"/>
            </w:pPr>
            <w:proofErr w:type="gramStart"/>
            <w:r w:rsidRPr="007F7BCA">
              <w:t>the</w:t>
            </w:r>
            <w:proofErr w:type="gramEnd"/>
            <w:r w:rsidRPr="007F7BCA">
              <w:t xml:space="preserve"> requirements of the Seabird TAP (see Table 1).</w:t>
            </w:r>
          </w:p>
          <w:p w:rsidR="00DA6A89" w:rsidRPr="00A50E07" w:rsidRDefault="00985662" w:rsidP="00A50E07">
            <w:r w:rsidRPr="007F7BCA">
              <w:t xml:space="preserve">The Department considers that the </w:t>
            </w:r>
            <w:r>
              <w:t>We</w:t>
            </w:r>
            <w:r w:rsidRPr="007F7BCA">
              <w:t>stern Tuna and Billfish Fishery Management Plan 20</w:t>
            </w:r>
            <w:r>
              <w:t>05</w:t>
            </w:r>
            <w:r w:rsidRPr="007F7BCA">
              <w:t xml:space="preserve"> as administered by </w:t>
            </w:r>
            <w:r w:rsidR="009F5D44">
              <w:t>AFMA</w:t>
            </w:r>
            <w:r w:rsidR="00DE2939">
              <w:t xml:space="preserve"> </w:t>
            </w:r>
            <w:r w:rsidRPr="007F7BCA">
              <w:t xml:space="preserve">requires persons engaged in fishing under the plan to take all reasonable steps to ensure that members of listed </w:t>
            </w:r>
            <w:r w:rsidR="0095792E">
              <w:t>migratory</w:t>
            </w:r>
            <w:r w:rsidRPr="007F7BCA">
              <w:t xml:space="preserve"> species are not killed or injured as a result of the fishing.</w:t>
            </w:r>
          </w:p>
        </w:tc>
      </w:tr>
      <w:tr w:rsidR="00685E02" w:rsidRPr="00EC24A5" w:rsidTr="00A50E07">
        <w:trPr>
          <w:cantSplit/>
        </w:trPr>
        <w:tc>
          <w:tcPr>
            <w:tcW w:w="6663" w:type="dxa"/>
          </w:tcPr>
          <w:p w:rsidR="00685E02" w:rsidRPr="00EC24A5" w:rsidRDefault="00685E02" w:rsidP="00EA121A">
            <w:pPr>
              <w:pStyle w:val="ListParagraph"/>
              <w:numPr>
                <w:ilvl w:val="0"/>
                <w:numId w:val="15"/>
              </w:numPr>
              <w:rPr>
                <w:rFonts w:cs="Arial"/>
              </w:rPr>
            </w:pPr>
            <w:proofErr w:type="gramStart"/>
            <w:r w:rsidRPr="00EC24A5">
              <w:rPr>
                <w:rFonts w:cs="Arial"/>
              </w:rPr>
              <w:t>the</w:t>
            </w:r>
            <w:proofErr w:type="gramEnd"/>
            <w:r w:rsidRPr="00EC24A5">
              <w:rPr>
                <w:rFonts w:cs="Arial"/>
              </w:rPr>
              <w:t xml:space="preserve"> fishery to which the plan, regime or policy relates does not, or is not likely to, adversely affect the conservation status of a listed migratory species or a population of that species.</w:t>
            </w:r>
          </w:p>
        </w:tc>
        <w:tc>
          <w:tcPr>
            <w:tcW w:w="8930" w:type="dxa"/>
          </w:tcPr>
          <w:p w:rsidR="00685E02" w:rsidRPr="00EC24A5" w:rsidRDefault="00A50E07" w:rsidP="00A50E07">
            <w:pPr>
              <w:spacing w:after="100"/>
              <w:rPr>
                <w:rFonts w:cs="Arial"/>
              </w:rPr>
            </w:pPr>
            <w:r w:rsidRPr="007F7BCA">
              <w:t xml:space="preserve">Given </w:t>
            </w:r>
            <w:r w:rsidRPr="007F7BCA">
              <w:rPr>
                <w:rFonts w:cs="Arial"/>
              </w:rPr>
              <w:t xml:space="preserve">the requirements of the Seabird TAP and the implementation of management measures which act to minimise the capture and mortality of marine turtles and sharks (see above and Table 1), </w:t>
            </w:r>
            <w:r w:rsidRPr="007F7BCA">
              <w:t xml:space="preserve">the Department considers that the current operation of the </w:t>
            </w:r>
            <w:r>
              <w:t>We</w:t>
            </w:r>
            <w:r w:rsidRPr="007F7BCA">
              <w:t xml:space="preserve">stern Tuna and Billfish Fishery is not likely to adversely affect the </w:t>
            </w:r>
            <w:r w:rsidRPr="007F7BCA">
              <w:rPr>
                <w:rFonts w:cs="Arial"/>
              </w:rPr>
              <w:t>conservation status of a listed migratory species or a population of that species</w:t>
            </w:r>
            <w:r w:rsidRPr="007F7BCA">
              <w:t>.</w:t>
            </w:r>
          </w:p>
        </w:tc>
      </w:tr>
    </w:tbl>
    <w:p w:rsidR="00685E02" w:rsidRDefault="00685E02" w:rsidP="00135293">
      <w:pPr>
        <w:ind w:left="-426"/>
        <w:rPr>
          <w:rFonts w:cs="Arial"/>
          <w:b/>
        </w:rPr>
      </w:pPr>
    </w:p>
    <w:p w:rsidR="00685E02" w:rsidRDefault="00685E02">
      <w:pPr>
        <w:spacing w:after="0" w:line="240" w:lineRule="auto"/>
        <w:rPr>
          <w:rFonts w:cs="Arial"/>
          <w:b/>
        </w:rPr>
      </w:pPr>
      <w:r>
        <w:rPr>
          <w:rFonts w:cs="Arial"/>
          <w:b/>
        </w:rPr>
        <w:br w:type="page"/>
      </w:r>
    </w:p>
    <w:p w:rsidR="00DA6A89" w:rsidRPr="00EC24A5" w:rsidRDefault="00DA6A89" w:rsidP="00BE026C">
      <w:pPr>
        <w:ind w:left="-567"/>
        <w:rPr>
          <w:rFonts w:cs="Arial"/>
          <w:b/>
        </w:rPr>
      </w:pPr>
      <w:proofErr w:type="gramStart"/>
      <w:r w:rsidRPr="00EC24A5">
        <w:rPr>
          <w:rFonts w:cs="Arial"/>
          <w:b/>
        </w:rPr>
        <w:t>Part 13</w:t>
      </w:r>
      <w:r w:rsidRPr="00EC24A5">
        <w:rPr>
          <w:rFonts w:cs="Arial"/>
          <w:i/>
        </w:rPr>
        <w:t xml:space="preserve"> (cont.)</w:t>
      </w:r>
      <w:proofErr w:type="gramEnd"/>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3"/>
        <w:gridCol w:w="8930"/>
      </w:tblGrid>
      <w:tr w:rsidR="00B73546" w:rsidRPr="00EC24A5" w:rsidTr="00BE026C">
        <w:trPr>
          <w:tblHeader/>
        </w:trPr>
        <w:tc>
          <w:tcPr>
            <w:tcW w:w="6663" w:type="dxa"/>
          </w:tcPr>
          <w:p w:rsidR="00BE7BBA" w:rsidRDefault="00B73546" w:rsidP="00BE7BBA">
            <w:pPr>
              <w:pStyle w:val="Heading2"/>
              <w:spacing w:after="100"/>
            </w:pPr>
            <w:r w:rsidRPr="00BE7BBA">
              <w:t>Division 3 Whales and other cetaceans</w:t>
            </w:r>
          </w:p>
          <w:p w:rsidR="00B73546" w:rsidRPr="00BE7BBA" w:rsidRDefault="00B73546" w:rsidP="00BE7BBA">
            <w:pPr>
              <w:pStyle w:val="Heading2"/>
              <w:spacing w:after="100"/>
            </w:pPr>
            <w:r w:rsidRPr="00BE7BBA">
              <w:t>Section 245 Minister may accredit plans or regimes</w:t>
            </w:r>
          </w:p>
        </w:tc>
        <w:tc>
          <w:tcPr>
            <w:tcW w:w="8930" w:type="dxa"/>
          </w:tcPr>
          <w:p w:rsidR="00B73546" w:rsidRPr="00BE7BBA" w:rsidRDefault="00EF02FA" w:rsidP="00BE7BBA">
            <w:pPr>
              <w:pStyle w:val="Heading2"/>
              <w:spacing w:after="100"/>
            </w:pPr>
            <w:r w:rsidRPr="00BE7BBA">
              <w:t xml:space="preserve">The Department of the Environment’s assessment of the </w:t>
            </w:r>
            <w:r w:rsidR="005333AD">
              <w:t xml:space="preserve">Western Tuna and Billfish </w:t>
            </w:r>
            <w:r w:rsidR="002A7A5C" w:rsidRPr="00BE7BBA">
              <w:t>Fishery</w:t>
            </w:r>
          </w:p>
        </w:tc>
      </w:tr>
      <w:tr w:rsidR="00DA6A89" w:rsidRPr="00EC24A5" w:rsidTr="00BE026C">
        <w:tc>
          <w:tcPr>
            <w:tcW w:w="6663" w:type="dxa"/>
          </w:tcPr>
          <w:p w:rsidR="00DA6A89" w:rsidRPr="00EC24A5" w:rsidRDefault="00DA6A89" w:rsidP="00AC38BF">
            <w:pPr>
              <w:ind w:left="360" w:hanging="360"/>
              <w:rPr>
                <w:rFonts w:cs="Arial"/>
              </w:rPr>
            </w:pPr>
            <w:r w:rsidRPr="00EC24A5">
              <w:rPr>
                <w:rFonts w:cs="Arial"/>
              </w:rPr>
              <w:t>(1)</w:t>
            </w:r>
            <w:r w:rsidRPr="00EC24A5">
              <w:rPr>
                <w:rFonts w:cs="Arial"/>
              </w:rPr>
              <w:tab/>
              <w:t>Minister may, by instrument in writing, accredit for the purposes of this Division:</w:t>
            </w:r>
          </w:p>
          <w:p w:rsidR="00DE0403" w:rsidRPr="00EC24A5" w:rsidRDefault="00DE0403" w:rsidP="00AC38BF">
            <w:pPr>
              <w:pStyle w:val="ListParagraph"/>
              <w:numPr>
                <w:ilvl w:val="0"/>
                <w:numId w:val="14"/>
              </w:numPr>
              <w:rPr>
                <w:rFonts w:cs="Arial"/>
              </w:rPr>
            </w:pPr>
            <w:r w:rsidRPr="00EC24A5">
              <w:rPr>
                <w:rFonts w:cs="Arial"/>
              </w:rPr>
              <w:t xml:space="preserve">a plan of management within the meaning of section 17 of the </w:t>
            </w:r>
            <w:r w:rsidRPr="00EC24A5">
              <w:rPr>
                <w:rFonts w:cs="Arial"/>
                <w:i/>
              </w:rPr>
              <w:t>Fisheries Management Act 1991</w:t>
            </w:r>
            <w:r w:rsidRPr="00EC24A5">
              <w:rPr>
                <w:rFonts w:cs="Arial"/>
              </w:rPr>
              <w:t>;</w:t>
            </w:r>
          </w:p>
          <w:p w:rsidR="00DA6A89" w:rsidRPr="00EC24A5" w:rsidRDefault="00DA6A89" w:rsidP="00AC38BF">
            <w:pPr>
              <w:rPr>
                <w:rFonts w:cs="Arial"/>
              </w:rPr>
            </w:pPr>
            <w:r w:rsidRPr="00EC24A5">
              <w:rPr>
                <w:rFonts w:cs="Arial"/>
              </w:rPr>
              <w:t xml:space="preserve">if </w:t>
            </w:r>
            <w:r w:rsidRPr="00EC24A5">
              <w:rPr>
                <w:rFonts w:cs="Arial"/>
                <w:b/>
              </w:rPr>
              <w:t>satisfied</w:t>
            </w:r>
            <w:r w:rsidRPr="00EC24A5">
              <w:rPr>
                <w:rFonts w:cs="Arial"/>
              </w:rPr>
              <w:t xml:space="preserve"> that:</w:t>
            </w:r>
          </w:p>
          <w:p w:rsidR="00350F2F" w:rsidRDefault="00350F2F" w:rsidP="00AC38BF">
            <w:pPr>
              <w:pStyle w:val="ListParagraph"/>
              <w:numPr>
                <w:ilvl w:val="0"/>
                <w:numId w:val="16"/>
              </w:numPr>
              <w:rPr>
                <w:rFonts w:cs="Arial"/>
              </w:rPr>
            </w:pPr>
            <w:r w:rsidRPr="00EC24A5">
              <w:rPr>
                <w:rFonts w:cs="Arial"/>
              </w:rPr>
              <w:t>the plan, regime or policy requires persons engaged in fishing under the plan, regime or policy to take all reasonable steps to ensure that cetaceans are not killed or injured as a result of the fishing; and</w:t>
            </w:r>
          </w:p>
          <w:p w:rsidR="00596051" w:rsidRDefault="00596051" w:rsidP="00596051">
            <w:pPr>
              <w:rPr>
                <w:rFonts w:cs="Arial"/>
              </w:rPr>
            </w:pPr>
          </w:p>
          <w:p w:rsidR="00596051" w:rsidRDefault="00596051" w:rsidP="00596051">
            <w:pPr>
              <w:rPr>
                <w:rFonts w:cs="Arial"/>
              </w:rPr>
            </w:pPr>
          </w:p>
          <w:p w:rsidR="00596051" w:rsidRDefault="00596051" w:rsidP="00596051">
            <w:pPr>
              <w:rPr>
                <w:rFonts w:cs="Arial"/>
              </w:rPr>
            </w:pPr>
          </w:p>
          <w:p w:rsidR="00596051" w:rsidRDefault="00596051" w:rsidP="00596051">
            <w:pPr>
              <w:rPr>
                <w:rFonts w:cs="Arial"/>
              </w:rPr>
            </w:pPr>
          </w:p>
          <w:p w:rsidR="00811D0C" w:rsidRDefault="00811D0C" w:rsidP="00596051">
            <w:pPr>
              <w:rPr>
                <w:rFonts w:cs="Arial"/>
              </w:rPr>
            </w:pPr>
          </w:p>
          <w:p w:rsidR="00DA6A89" w:rsidRPr="00685E02" w:rsidRDefault="00DA6A89" w:rsidP="00685E02">
            <w:pPr>
              <w:rPr>
                <w:rFonts w:cs="Arial"/>
              </w:rPr>
            </w:pPr>
          </w:p>
        </w:tc>
        <w:tc>
          <w:tcPr>
            <w:tcW w:w="8930" w:type="dxa"/>
          </w:tcPr>
          <w:p w:rsidR="005A28A8" w:rsidRPr="00EC24A5" w:rsidRDefault="005A28A8" w:rsidP="00E42D0C">
            <w:pPr>
              <w:rPr>
                <w:rFonts w:cs="Arial"/>
              </w:rPr>
            </w:pPr>
            <w:r w:rsidRPr="00EC24A5">
              <w:rPr>
                <w:rFonts w:cs="Arial"/>
              </w:rPr>
              <w:br/>
            </w:r>
          </w:p>
          <w:p w:rsidR="00AF2935" w:rsidRPr="00281148" w:rsidRDefault="00AF2935" w:rsidP="00AC38BF">
            <w:pPr>
              <w:pStyle w:val="Tabletext"/>
            </w:pPr>
            <w:r w:rsidRPr="00EC24A5">
              <w:t xml:space="preserve">The </w:t>
            </w:r>
            <w:r>
              <w:t xml:space="preserve">Western Tuna and Billfish </w:t>
            </w:r>
            <w:r w:rsidRPr="00EC24A5">
              <w:t xml:space="preserve">Fishery will be managed under the </w:t>
            </w:r>
            <w:r w:rsidRPr="00281148">
              <w:t xml:space="preserve">Western Tuna and Billfish Fishery Management Plan 2005 in force under the </w:t>
            </w:r>
            <w:r w:rsidRPr="00281148">
              <w:rPr>
                <w:i/>
              </w:rPr>
              <w:t>Fisheries Management Act 1991</w:t>
            </w:r>
            <w:r>
              <w:t>.</w:t>
            </w:r>
          </w:p>
          <w:p w:rsidR="00AC38BF" w:rsidRDefault="00AC38BF" w:rsidP="00AC38BF">
            <w:pPr>
              <w:pStyle w:val="Tabletext"/>
            </w:pPr>
          </w:p>
          <w:p w:rsidR="00AF2935" w:rsidRPr="007F7BCA" w:rsidRDefault="00AF2935" w:rsidP="006F3879">
            <w:pPr>
              <w:spacing w:before="120"/>
              <w:rPr>
                <w:rFonts w:cs="Arial"/>
              </w:rPr>
            </w:pPr>
            <w:r>
              <w:rPr>
                <w:rFonts w:cs="Arial"/>
              </w:rPr>
              <w:t xml:space="preserve">The </w:t>
            </w:r>
            <w:r w:rsidRPr="00281148">
              <w:t>Western Tuna and Billfish Fishery Management Plan 2005</w:t>
            </w:r>
            <w:r>
              <w:t xml:space="preserve"> </w:t>
            </w:r>
            <w:r w:rsidRPr="00EC24A5">
              <w:rPr>
                <w:rFonts w:cs="Arial"/>
              </w:rPr>
              <w:t>was most rec</w:t>
            </w:r>
            <w:r w:rsidR="00107F3D">
              <w:rPr>
                <w:rFonts w:cs="Arial"/>
              </w:rPr>
              <w:t xml:space="preserve">ently accredited under section </w:t>
            </w:r>
            <w:r>
              <w:rPr>
                <w:rFonts w:cs="Arial"/>
              </w:rPr>
              <w:t>245</w:t>
            </w:r>
            <w:r w:rsidRPr="00EC24A5">
              <w:rPr>
                <w:rFonts w:cs="Arial"/>
              </w:rPr>
              <w:t xml:space="preserve"> (Part 13) in </w:t>
            </w:r>
            <w:r>
              <w:rPr>
                <w:rFonts w:cs="Arial"/>
              </w:rPr>
              <w:t xml:space="preserve">February 2010. </w:t>
            </w:r>
            <w:r w:rsidRPr="007F7BCA">
              <w:rPr>
                <w:rFonts w:cs="Arial"/>
              </w:rPr>
              <w:t xml:space="preserve">While there have been amendments to the plan since that time, the Department considers that those amendments do not materially change the requirement for fishers to take steps to ensure that </w:t>
            </w:r>
            <w:r>
              <w:rPr>
                <w:rFonts w:cs="Arial"/>
              </w:rPr>
              <w:t>whales and other cetaceans</w:t>
            </w:r>
            <w:r w:rsidRPr="007F7BCA">
              <w:rPr>
                <w:rFonts w:cs="Arial"/>
              </w:rPr>
              <w:t xml:space="preserve"> are not killed or injured as a result of the fishing.</w:t>
            </w:r>
          </w:p>
          <w:p w:rsidR="00AC38BF" w:rsidRDefault="00AC38BF" w:rsidP="00107F3D">
            <w:pPr>
              <w:rPr>
                <w:color w:val="000000"/>
              </w:rPr>
            </w:pPr>
            <w:r>
              <w:t xml:space="preserve">The </w:t>
            </w:r>
            <w:r w:rsidRPr="00281148">
              <w:t>Western Tuna and Billfish Fishery Management Plan 2005</w:t>
            </w:r>
            <w:r>
              <w:t xml:space="preserve"> </w:t>
            </w:r>
            <w:proofErr w:type="gramStart"/>
            <w:r>
              <w:t>requires</w:t>
            </w:r>
            <w:proofErr w:type="gramEnd"/>
            <w:r>
              <w:t xml:space="preserve"> </w:t>
            </w:r>
            <w:r w:rsidR="009F5D44">
              <w:t>AFMA</w:t>
            </w:r>
            <w:r w:rsidR="00DE2939">
              <w:t xml:space="preserve"> </w:t>
            </w:r>
            <w:r>
              <w:t xml:space="preserve">to implement a </w:t>
            </w:r>
            <w:proofErr w:type="spellStart"/>
            <w:r>
              <w:t>bycatch</w:t>
            </w:r>
            <w:proofErr w:type="spellEnd"/>
            <w:r>
              <w:t xml:space="preserve"> action plan for the fishery. </w:t>
            </w:r>
            <w:r w:rsidR="00107F3D" w:rsidRPr="00174D0B">
              <w:t xml:space="preserve">In developing a </w:t>
            </w:r>
            <w:proofErr w:type="spellStart"/>
            <w:r w:rsidR="00107F3D" w:rsidRPr="00174D0B">
              <w:t>bycatch</w:t>
            </w:r>
            <w:proofErr w:type="spellEnd"/>
            <w:r w:rsidR="00107F3D" w:rsidRPr="00174D0B">
              <w:t xml:space="preserve"> action pl</w:t>
            </w:r>
            <w:r w:rsidR="00107F3D">
              <w:t xml:space="preserve">an, the management plan requires that </w:t>
            </w:r>
            <w:r w:rsidR="004F68F3">
              <w:t>the authority</w:t>
            </w:r>
            <w:r w:rsidR="00107F3D">
              <w:t xml:space="preserve"> take into account</w:t>
            </w:r>
            <w:r w:rsidR="00107F3D" w:rsidRPr="00AB0953">
              <w:t xml:space="preserve"> the protection given to whales and other cetaceans under Division 3 of Part 13 of the EPBC Act</w:t>
            </w:r>
            <w:r w:rsidR="00107F3D">
              <w:t>.</w:t>
            </w:r>
            <w:r>
              <w:t xml:space="preserve"> The </w:t>
            </w:r>
            <w:r w:rsidR="009366B9">
              <w:rPr>
                <w:i/>
                <w:color w:val="000000"/>
              </w:rPr>
              <w:t>Australian </w:t>
            </w:r>
            <w:r w:rsidRPr="007F7BCA">
              <w:rPr>
                <w:i/>
                <w:color w:val="000000"/>
              </w:rPr>
              <w:t xml:space="preserve">Tuna and Billfish Fisheries </w:t>
            </w:r>
            <w:proofErr w:type="spellStart"/>
            <w:r w:rsidRPr="007F7BCA">
              <w:rPr>
                <w:i/>
                <w:color w:val="000000"/>
              </w:rPr>
              <w:t>Bycatch</w:t>
            </w:r>
            <w:proofErr w:type="spellEnd"/>
            <w:r w:rsidRPr="007F7BCA">
              <w:rPr>
                <w:i/>
                <w:color w:val="000000"/>
              </w:rPr>
              <w:t xml:space="preserve"> and Disca</w:t>
            </w:r>
            <w:r w:rsidR="009366B9">
              <w:rPr>
                <w:i/>
                <w:color w:val="000000"/>
              </w:rPr>
              <w:t xml:space="preserve">rding </w:t>
            </w:r>
            <w:proofErr w:type="spellStart"/>
            <w:r w:rsidR="009366B9">
              <w:rPr>
                <w:i/>
                <w:color w:val="000000"/>
              </w:rPr>
              <w:t>Workplan</w:t>
            </w:r>
            <w:proofErr w:type="spellEnd"/>
            <w:r w:rsidR="009366B9">
              <w:rPr>
                <w:i/>
                <w:color w:val="000000"/>
              </w:rPr>
              <w:t xml:space="preserve"> 1 July 2014 – 30 </w:t>
            </w:r>
            <w:r w:rsidRPr="007F7BCA">
              <w:rPr>
                <w:i/>
                <w:color w:val="000000"/>
              </w:rPr>
              <w:t>June 2016</w:t>
            </w:r>
            <w:r w:rsidRPr="007F7BCA">
              <w:rPr>
                <w:color w:val="000000"/>
              </w:rPr>
              <w:t xml:space="preserve"> </w:t>
            </w:r>
            <w:r>
              <w:rPr>
                <w:color w:val="000000"/>
              </w:rPr>
              <w:t xml:space="preserve">outlines </w:t>
            </w:r>
            <w:proofErr w:type="spellStart"/>
            <w:r>
              <w:rPr>
                <w:color w:val="000000"/>
              </w:rPr>
              <w:t>bycatch</w:t>
            </w:r>
            <w:proofErr w:type="spellEnd"/>
            <w:r>
              <w:rPr>
                <w:color w:val="000000"/>
              </w:rPr>
              <w:t xml:space="preserve"> action priorities for Australia’s tropical tuna fisheries</w:t>
            </w:r>
            <w:r w:rsidR="00892585">
              <w:rPr>
                <w:color w:val="000000"/>
              </w:rPr>
              <w:t>, including for protected species,</w:t>
            </w:r>
            <w:r>
              <w:rPr>
                <w:color w:val="000000"/>
              </w:rPr>
              <w:t xml:space="preserve"> and is reviewed regularly on a pre</w:t>
            </w:r>
            <w:r>
              <w:rPr>
                <w:color w:val="000000"/>
              </w:rPr>
              <w:noBreakHyphen/>
            </w:r>
            <w:proofErr w:type="spellStart"/>
            <w:r>
              <w:rPr>
                <w:color w:val="000000"/>
              </w:rPr>
              <w:t>determined</w:t>
            </w:r>
            <w:proofErr w:type="spellEnd"/>
            <w:r>
              <w:rPr>
                <w:color w:val="000000"/>
              </w:rPr>
              <w:t xml:space="preserve"> basis.</w:t>
            </w:r>
          </w:p>
          <w:p w:rsidR="00AC38BF" w:rsidRDefault="00AC38BF" w:rsidP="00107F3D">
            <w:pPr>
              <w:spacing w:after="100"/>
            </w:pPr>
            <w:r>
              <w:t>The management plan also provides for:</w:t>
            </w:r>
          </w:p>
          <w:p w:rsidR="00AC38BF" w:rsidRDefault="00AC38BF" w:rsidP="00107F3D">
            <w:pPr>
              <w:pageBreakBefore/>
              <w:numPr>
                <w:ilvl w:val="0"/>
                <w:numId w:val="38"/>
              </w:numPr>
              <w:spacing w:after="100"/>
            </w:pPr>
            <w:r>
              <w:t xml:space="preserve">limited entry to the fishery, </w:t>
            </w:r>
            <w:r w:rsidRPr="00B71657">
              <w:t>thereby constraining total fishing effort</w:t>
            </w:r>
            <w:r>
              <w:t xml:space="preserve"> — fishers must hold statutory fishing rights issued under the management plan and must hold quota for those target species they wish to retain</w:t>
            </w:r>
          </w:p>
          <w:p w:rsidR="00AC38BF" w:rsidRPr="002130D5" w:rsidRDefault="00AC38BF" w:rsidP="00107F3D">
            <w:pPr>
              <w:pageBreakBefore/>
              <w:numPr>
                <w:ilvl w:val="0"/>
                <w:numId w:val="38"/>
              </w:numPr>
              <w:spacing w:after="100"/>
            </w:pPr>
            <w:r w:rsidRPr="002130D5">
              <w:t>ecological risk assessments and risk managemen</w:t>
            </w:r>
            <w:r>
              <w:t>t reports</w:t>
            </w:r>
          </w:p>
          <w:p w:rsidR="00AC38BF" w:rsidRDefault="00AC38BF" w:rsidP="00107F3D">
            <w:pPr>
              <w:pageBreakBefore/>
              <w:numPr>
                <w:ilvl w:val="0"/>
                <w:numId w:val="38"/>
              </w:numPr>
              <w:ind w:left="357" w:hanging="357"/>
            </w:pPr>
            <w:proofErr w:type="gramStart"/>
            <w:r w:rsidRPr="00B71657">
              <w:t>catch</w:t>
            </w:r>
            <w:proofErr w:type="gramEnd"/>
            <w:r w:rsidRPr="00B71657">
              <w:t xml:space="preserve"> limits for key target species</w:t>
            </w:r>
            <w:r>
              <w:t xml:space="preserve"> and a number of incidentally caught species.</w:t>
            </w:r>
          </w:p>
          <w:p w:rsidR="00107F3D" w:rsidRDefault="00107F3D" w:rsidP="00A20B5B">
            <w:pPr>
              <w:pStyle w:val="Tabletext"/>
            </w:pPr>
          </w:p>
          <w:p w:rsidR="00DE2939" w:rsidRDefault="00DE2939" w:rsidP="00DE2939">
            <w:pPr>
              <w:pStyle w:val="Tabletext"/>
            </w:pPr>
          </w:p>
          <w:p w:rsidR="00AC38BF" w:rsidRDefault="00AC38BF" w:rsidP="00107F3D">
            <w:r>
              <w:t>T</w:t>
            </w:r>
            <w:r w:rsidRPr="00781BE0">
              <w:t>he Fisheries Management Regulations 1992 require that Commonwealth fishing concession holders must ensure that, as far as practicable, there is no interaction with a protecte</w:t>
            </w:r>
            <w:r>
              <w:t xml:space="preserve">d species during a fishing trip and that all </w:t>
            </w:r>
            <w:r w:rsidRPr="002130D5">
              <w:t xml:space="preserve">interactions with EPBC Act </w:t>
            </w:r>
            <w:r>
              <w:t>protected</w:t>
            </w:r>
            <w:r w:rsidRPr="002130D5">
              <w:t xml:space="preserve"> species</w:t>
            </w:r>
            <w:r>
              <w:t xml:space="preserve"> are reported in relevant logbooks</w:t>
            </w:r>
            <w:r w:rsidRPr="002130D5">
              <w:t>.</w:t>
            </w:r>
            <w:r>
              <w:t xml:space="preserve"> The regulations also make</w:t>
            </w:r>
            <w:r w:rsidRPr="002130D5">
              <w:t xml:space="preserve"> provision for observer monitoring of fishing activities</w:t>
            </w:r>
            <w:r>
              <w:t>.</w:t>
            </w:r>
          </w:p>
          <w:p w:rsidR="00107F3D" w:rsidRPr="007F7BCA" w:rsidRDefault="00107F3D" w:rsidP="00107F3D">
            <w:r w:rsidRPr="007F7BCA">
              <w:t>Mandatory management measures, specified as conditions on boat statutory fishing rights, which reduce the likelihood of impact on marine mammal species generally, including cetaceans, include carrying line cutters and de-hookers on board all fishing vessels to assist in the release of marine mammals in a healthy state when they have been brought up to the boat.</w:t>
            </w:r>
          </w:p>
          <w:p w:rsidR="00DA6A89" w:rsidRPr="0001221D" w:rsidRDefault="00107F3D" w:rsidP="0095792E">
            <w:r w:rsidRPr="007F7BCA">
              <w:t xml:space="preserve">The Department considers that the </w:t>
            </w:r>
            <w:r>
              <w:t>We</w:t>
            </w:r>
            <w:r w:rsidRPr="007F7BCA">
              <w:t>stern Tuna and Billfish Fishery Management Plan 20</w:t>
            </w:r>
            <w:r w:rsidR="0095792E">
              <w:t>05</w:t>
            </w:r>
            <w:r w:rsidR="00DE2939">
              <w:t xml:space="preserve"> </w:t>
            </w:r>
            <w:r w:rsidRPr="007F7BCA">
              <w:rPr>
                <w:rFonts w:cs="Arial"/>
              </w:rPr>
              <w:t xml:space="preserve">as administered by </w:t>
            </w:r>
            <w:r w:rsidR="009F5D44">
              <w:rPr>
                <w:rFonts w:cs="Arial"/>
              </w:rPr>
              <w:t>AFMA</w:t>
            </w:r>
            <w:r w:rsidR="00DE2939">
              <w:rPr>
                <w:rFonts w:cs="Arial"/>
              </w:rPr>
              <w:t xml:space="preserve"> </w:t>
            </w:r>
            <w:r w:rsidRPr="007F7BCA">
              <w:rPr>
                <w:rFonts w:cs="Arial"/>
              </w:rPr>
              <w:t>requires persons engaged in fishing under the plan to take all reasonable steps to ensure that cetaceans are not killed or injured as a result of the fishing.</w:t>
            </w:r>
          </w:p>
        </w:tc>
      </w:tr>
      <w:tr w:rsidR="00685E02" w:rsidRPr="00EC24A5" w:rsidTr="00BE026C">
        <w:trPr>
          <w:cantSplit/>
        </w:trPr>
        <w:tc>
          <w:tcPr>
            <w:tcW w:w="6663" w:type="dxa"/>
          </w:tcPr>
          <w:p w:rsidR="00685E02" w:rsidRPr="00EC24A5" w:rsidRDefault="00685E02" w:rsidP="00EA121A">
            <w:pPr>
              <w:pStyle w:val="ListParagraph"/>
              <w:numPr>
                <w:ilvl w:val="0"/>
                <w:numId w:val="16"/>
              </w:numPr>
              <w:rPr>
                <w:rFonts w:cs="Arial"/>
              </w:rPr>
            </w:pPr>
            <w:proofErr w:type="gramStart"/>
            <w:r w:rsidRPr="00EC24A5">
              <w:rPr>
                <w:rFonts w:cs="Arial"/>
              </w:rPr>
              <w:t>the</w:t>
            </w:r>
            <w:proofErr w:type="gramEnd"/>
            <w:r w:rsidRPr="00EC24A5">
              <w:rPr>
                <w:rFonts w:cs="Arial"/>
              </w:rPr>
              <w:t xml:space="preserve"> fishery to which the plan, regime or policy relates does not, or is not likely to, adversely affect the conservation status of a species of cetacean or a population of that species.</w:t>
            </w:r>
          </w:p>
        </w:tc>
        <w:tc>
          <w:tcPr>
            <w:tcW w:w="8930" w:type="dxa"/>
          </w:tcPr>
          <w:p w:rsidR="00685E02" w:rsidRPr="00EC24A5" w:rsidRDefault="0092373B" w:rsidP="0092373B">
            <w:pPr>
              <w:spacing w:after="100"/>
              <w:rPr>
                <w:rFonts w:cs="Arial"/>
              </w:rPr>
            </w:pPr>
            <w:r w:rsidRPr="007F7BCA">
              <w:t xml:space="preserve">Taking into account the management measures in place, the most recent ecological risk management report for the fishery (AFMA 2012) found no cetacean species at high risk from the effects of fishing. Accordingly, the Department considers that the current operation of the </w:t>
            </w:r>
            <w:r w:rsidR="004A1870">
              <w:t>Western</w:t>
            </w:r>
            <w:r w:rsidRPr="007F7BCA">
              <w:t xml:space="preserve"> Tuna and Billfish Fishery is not likely to adversely affect the </w:t>
            </w:r>
            <w:r w:rsidRPr="007F7BCA">
              <w:rPr>
                <w:rFonts w:cs="Arial"/>
              </w:rPr>
              <w:t>conservation status of a species of cetacean or a population of that species</w:t>
            </w:r>
            <w:r w:rsidRPr="007F7BCA">
              <w:t>.</w:t>
            </w:r>
          </w:p>
        </w:tc>
      </w:tr>
    </w:tbl>
    <w:p w:rsidR="001E16BB" w:rsidRDefault="001E16BB" w:rsidP="009D3D20">
      <w:pPr>
        <w:ind w:left="-709"/>
        <w:rPr>
          <w:rFonts w:cs="Arial"/>
          <w:b/>
        </w:rPr>
      </w:pPr>
    </w:p>
    <w:p w:rsidR="00685E02" w:rsidRDefault="00685E02">
      <w:pPr>
        <w:spacing w:after="0" w:line="240" w:lineRule="auto"/>
        <w:rPr>
          <w:rFonts w:cs="Arial"/>
          <w:b/>
        </w:rPr>
      </w:pPr>
      <w:r>
        <w:rPr>
          <w:rFonts w:cs="Arial"/>
          <w:b/>
        </w:rPr>
        <w:br w:type="page"/>
      </w:r>
    </w:p>
    <w:p w:rsidR="00DA6A89" w:rsidRPr="00EC24A5" w:rsidRDefault="00DA6A89" w:rsidP="008A3097">
      <w:pPr>
        <w:ind w:left="-567"/>
        <w:rPr>
          <w:rFonts w:cs="Arial"/>
          <w:b/>
        </w:rPr>
      </w:pPr>
      <w:proofErr w:type="gramStart"/>
      <w:r w:rsidRPr="00EC24A5">
        <w:rPr>
          <w:rFonts w:cs="Arial"/>
          <w:b/>
        </w:rPr>
        <w:t>Part 13</w:t>
      </w:r>
      <w:r w:rsidRPr="00EC24A5">
        <w:rPr>
          <w:rFonts w:cs="Arial"/>
          <w:i/>
        </w:rPr>
        <w:t xml:space="preserve"> (cont.)</w:t>
      </w:r>
      <w:proofErr w:type="gramEnd"/>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3"/>
        <w:gridCol w:w="8930"/>
      </w:tblGrid>
      <w:tr w:rsidR="00B73546" w:rsidRPr="00EC24A5" w:rsidTr="008D1721">
        <w:trPr>
          <w:tblHeader/>
        </w:trPr>
        <w:tc>
          <w:tcPr>
            <w:tcW w:w="6663" w:type="dxa"/>
          </w:tcPr>
          <w:p w:rsidR="00B73546" w:rsidRPr="00EC24A5" w:rsidRDefault="00B73546" w:rsidP="00BE7BBA">
            <w:pPr>
              <w:pStyle w:val="Heading2"/>
              <w:spacing w:after="100"/>
            </w:pPr>
            <w:r w:rsidRPr="00EC24A5">
              <w:t>Division 4 Listed marine species</w:t>
            </w:r>
          </w:p>
          <w:p w:rsidR="00B73546" w:rsidRPr="00EC24A5" w:rsidRDefault="00B73546" w:rsidP="00BE7BBA">
            <w:pPr>
              <w:pStyle w:val="Heading2"/>
              <w:spacing w:after="100"/>
            </w:pPr>
            <w:r w:rsidRPr="00EC24A5">
              <w:t>Section 265 Minister may accredit plans or regimes</w:t>
            </w:r>
          </w:p>
        </w:tc>
        <w:tc>
          <w:tcPr>
            <w:tcW w:w="8930" w:type="dxa"/>
          </w:tcPr>
          <w:p w:rsidR="00B73546" w:rsidRPr="00EC24A5" w:rsidRDefault="00EF02FA" w:rsidP="00BE7BBA">
            <w:pPr>
              <w:pStyle w:val="Heading2"/>
              <w:spacing w:after="100"/>
            </w:pPr>
            <w:r w:rsidRPr="00EC24A5">
              <w:t xml:space="preserve">The Department of the Environment’s assessment of the </w:t>
            </w:r>
            <w:r w:rsidR="005333AD">
              <w:t xml:space="preserve">Western Tuna and Billfish </w:t>
            </w:r>
            <w:r w:rsidR="002A7A5C" w:rsidRPr="00EC24A5">
              <w:t>Fishery</w:t>
            </w:r>
          </w:p>
        </w:tc>
      </w:tr>
      <w:tr w:rsidR="00DA6A89" w:rsidRPr="00EC24A5" w:rsidTr="008D1721">
        <w:tc>
          <w:tcPr>
            <w:tcW w:w="6663" w:type="dxa"/>
          </w:tcPr>
          <w:p w:rsidR="00DA6A89" w:rsidRPr="00EC24A5" w:rsidRDefault="00DA6A89" w:rsidP="006E4B00">
            <w:pPr>
              <w:ind w:left="360" w:hanging="360"/>
              <w:rPr>
                <w:rFonts w:cs="Arial"/>
              </w:rPr>
            </w:pPr>
            <w:r w:rsidRPr="00EC24A5">
              <w:rPr>
                <w:rFonts w:cs="Arial"/>
              </w:rPr>
              <w:t>(1)</w:t>
            </w:r>
            <w:r w:rsidRPr="00EC24A5">
              <w:rPr>
                <w:rFonts w:cs="Arial"/>
              </w:rPr>
              <w:tab/>
              <w:t>Minister may, by instrument in writing, accredit for the purposes of this Division:</w:t>
            </w:r>
          </w:p>
          <w:p w:rsidR="00DE0403" w:rsidRPr="00EC24A5" w:rsidRDefault="00DE0403" w:rsidP="00EA121A">
            <w:pPr>
              <w:pStyle w:val="ListParagraph"/>
              <w:numPr>
                <w:ilvl w:val="0"/>
                <w:numId w:val="18"/>
              </w:numPr>
              <w:rPr>
                <w:rFonts w:cs="Arial"/>
              </w:rPr>
            </w:pPr>
            <w:r w:rsidRPr="00EC24A5">
              <w:rPr>
                <w:rFonts w:cs="Arial"/>
              </w:rPr>
              <w:t xml:space="preserve">a plan of management within the meaning of section 17 of the </w:t>
            </w:r>
            <w:r w:rsidRPr="00EC24A5">
              <w:rPr>
                <w:rFonts w:cs="Arial"/>
                <w:i/>
              </w:rPr>
              <w:t>Fisheries Management Act 1991</w:t>
            </w:r>
            <w:r w:rsidRPr="00EC24A5">
              <w:rPr>
                <w:rFonts w:cs="Arial"/>
              </w:rPr>
              <w:t>;</w:t>
            </w:r>
            <w:r w:rsidR="00685E02">
              <w:rPr>
                <w:rFonts w:cs="Arial"/>
              </w:rPr>
              <w:br/>
            </w:r>
          </w:p>
          <w:p w:rsidR="00DA6A89" w:rsidRPr="00EC24A5" w:rsidRDefault="00DA6A89" w:rsidP="006E4B00">
            <w:pPr>
              <w:rPr>
                <w:rFonts w:cs="Arial"/>
              </w:rPr>
            </w:pPr>
            <w:r w:rsidRPr="00EC24A5">
              <w:rPr>
                <w:rFonts w:cs="Arial"/>
              </w:rPr>
              <w:t xml:space="preserve">if </w:t>
            </w:r>
            <w:r w:rsidRPr="00EC24A5">
              <w:rPr>
                <w:rFonts w:cs="Arial"/>
                <w:b/>
              </w:rPr>
              <w:t>satisfied</w:t>
            </w:r>
            <w:r w:rsidRPr="00EC24A5">
              <w:rPr>
                <w:rFonts w:cs="Arial"/>
              </w:rPr>
              <w:t xml:space="preserve"> that:</w:t>
            </w:r>
          </w:p>
          <w:p w:rsidR="00DA6A89" w:rsidRPr="00EC24A5" w:rsidRDefault="00DA6A89" w:rsidP="00EA121A">
            <w:pPr>
              <w:pStyle w:val="ListParagraph"/>
              <w:numPr>
                <w:ilvl w:val="0"/>
                <w:numId w:val="17"/>
              </w:numPr>
              <w:rPr>
                <w:rFonts w:cs="Arial"/>
              </w:rPr>
            </w:pPr>
            <w:r w:rsidRPr="00EC24A5">
              <w:rPr>
                <w:rFonts w:cs="Arial"/>
              </w:rPr>
              <w:t>the plan, regime or policy requires persons engaged in fishing under the plan, regime or policy to take all reasonable steps to ensure that members of listed marine species are not killed or injured as a result of the fishing; and</w:t>
            </w:r>
          </w:p>
          <w:p w:rsidR="00ED38C4" w:rsidRPr="00EC24A5" w:rsidRDefault="00ED38C4" w:rsidP="00ED38C4">
            <w:pPr>
              <w:rPr>
                <w:rFonts w:cs="Arial"/>
              </w:rPr>
            </w:pPr>
          </w:p>
          <w:p w:rsidR="00ED38C4" w:rsidRPr="00EC24A5" w:rsidRDefault="00ED38C4" w:rsidP="00ED38C4">
            <w:pPr>
              <w:rPr>
                <w:rFonts w:cs="Arial"/>
              </w:rPr>
            </w:pPr>
          </w:p>
          <w:p w:rsidR="00ED38C4" w:rsidRDefault="00ED38C4" w:rsidP="00ED38C4">
            <w:pPr>
              <w:rPr>
                <w:rFonts w:cs="Arial"/>
              </w:rPr>
            </w:pPr>
          </w:p>
          <w:p w:rsidR="00DA6A89" w:rsidRPr="00BE7BBA" w:rsidRDefault="00DA6A89" w:rsidP="00BE7BBA">
            <w:pPr>
              <w:rPr>
                <w:rFonts w:cs="Arial"/>
              </w:rPr>
            </w:pPr>
          </w:p>
        </w:tc>
        <w:tc>
          <w:tcPr>
            <w:tcW w:w="8930" w:type="dxa"/>
          </w:tcPr>
          <w:p w:rsidR="005A28A8" w:rsidRPr="00EC24A5" w:rsidRDefault="005A28A8" w:rsidP="00ED38C4">
            <w:pPr>
              <w:rPr>
                <w:rFonts w:cs="Arial"/>
              </w:rPr>
            </w:pPr>
            <w:r w:rsidRPr="00EC24A5">
              <w:rPr>
                <w:rFonts w:cs="Arial"/>
              </w:rPr>
              <w:br/>
            </w:r>
          </w:p>
          <w:p w:rsidR="009D3ADE" w:rsidRPr="00281148" w:rsidRDefault="009D3ADE" w:rsidP="009D3ADE">
            <w:r w:rsidRPr="00EC24A5">
              <w:t xml:space="preserve">The </w:t>
            </w:r>
            <w:r>
              <w:t xml:space="preserve">Western Tuna and Billfish </w:t>
            </w:r>
            <w:r w:rsidRPr="00EC24A5">
              <w:t xml:space="preserve">Fishery will be managed under the </w:t>
            </w:r>
            <w:r w:rsidRPr="00281148">
              <w:t xml:space="preserve">Western Tuna and Billfish Fishery Management Plan 2005 in force under the </w:t>
            </w:r>
            <w:r w:rsidRPr="00281148">
              <w:rPr>
                <w:i/>
              </w:rPr>
              <w:t>Fisheries Management Act 1991</w:t>
            </w:r>
            <w:r>
              <w:t>.</w:t>
            </w:r>
          </w:p>
          <w:p w:rsidR="009D3ADE" w:rsidRDefault="009D3ADE" w:rsidP="009D3ADE">
            <w:pPr>
              <w:rPr>
                <w:rFonts w:cs="Arial"/>
              </w:rPr>
            </w:pPr>
          </w:p>
          <w:p w:rsidR="008A3097" w:rsidRPr="007F7BCA" w:rsidRDefault="008A3097" w:rsidP="008A3097">
            <w:r w:rsidRPr="007F7BCA">
              <w:rPr>
                <w:shd w:val="clear" w:color="auto" w:fill="FFFFFF" w:themeFill="background1"/>
              </w:rPr>
              <w:t xml:space="preserve">Listed marine species of seabirds and marine turtles are known to inhabit the area of the </w:t>
            </w:r>
            <w:r w:rsidR="004A1870">
              <w:rPr>
                <w:shd w:val="clear" w:color="auto" w:fill="FFFFFF" w:themeFill="background1"/>
              </w:rPr>
              <w:t>Western</w:t>
            </w:r>
            <w:r w:rsidRPr="007F7BCA">
              <w:rPr>
                <w:shd w:val="clear" w:color="auto" w:fill="FFFFFF" w:themeFill="background1"/>
              </w:rPr>
              <w:t xml:space="preserve"> Tuna and Billfish Fishery and there is potential for pelagic </w:t>
            </w:r>
            <w:proofErr w:type="spellStart"/>
            <w:r w:rsidRPr="007F7BCA">
              <w:rPr>
                <w:shd w:val="clear" w:color="auto" w:fill="FFFFFF" w:themeFill="background1"/>
              </w:rPr>
              <w:t>longline</w:t>
            </w:r>
            <w:proofErr w:type="spellEnd"/>
            <w:r w:rsidRPr="007F7BCA">
              <w:rPr>
                <w:shd w:val="clear" w:color="auto" w:fill="FFFFFF" w:themeFill="background1"/>
              </w:rPr>
              <w:t xml:space="preserve"> fishing gear to interact with these species groups.</w:t>
            </w:r>
          </w:p>
          <w:p w:rsidR="009D3ADE" w:rsidRDefault="009D3ADE" w:rsidP="009D3ADE">
            <w:pPr>
              <w:rPr>
                <w:rFonts w:cs="Arial"/>
              </w:rPr>
            </w:pPr>
            <w:r>
              <w:rPr>
                <w:rFonts w:cs="Arial"/>
              </w:rPr>
              <w:t xml:space="preserve">The </w:t>
            </w:r>
            <w:r w:rsidRPr="00281148">
              <w:t>Western Tuna and Billfish Fishery Management Plan 2005</w:t>
            </w:r>
            <w:r>
              <w:t xml:space="preserve"> </w:t>
            </w:r>
            <w:r w:rsidRPr="00EC24A5">
              <w:rPr>
                <w:rFonts w:cs="Arial"/>
              </w:rPr>
              <w:t>was most recently accredited under section 2</w:t>
            </w:r>
            <w:r>
              <w:rPr>
                <w:rFonts w:cs="Arial"/>
              </w:rPr>
              <w:t>65</w:t>
            </w:r>
            <w:r w:rsidRPr="00EC24A5">
              <w:rPr>
                <w:rFonts w:cs="Arial"/>
              </w:rPr>
              <w:t xml:space="preserve"> (Part 13) in </w:t>
            </w:r>
            <w:r>
              <w:rPr>
                <w:rFonts w:cs="Arial"/>
              </w:rPr>
              <w:t xml:space="preserve">February 2010. </w:t>
            </w:r>
            <w:r w:rsidRPr="007F7BCA">
              <w:rPr>
                <w:rFonts w:cs="Arial"/>
              </w:rPr>
              <w:t xml:space="preserve">While there have been amendments to the plan since that time, the Department considers that those amendments do not materially change the requirement for fishers to take steps to ensure that members of listed </w:t>
            </w:r>
            <w:r>
              <w:rPr>
                <w:rFonts w:cs="Arial"/>
              </w:rPr>
              <w:t>marine</w:t>
            </w:r>
            <w:r w:rsidRPr="007F7BCA">
              <w:rPr>
                <w:rFonts w:cs="Arial"/>
              </w:rPr>
              <w:t xml:space="preserve"> species are not killed or injured as a result of the fishing.</w:t>
            </w:r>
          </w:p>
          <w:p w:rsidR="008A3097" w:rsidRDefault="008A3097" w:rsidP="008A3097">
            <w:pPr>
              <w:rPr>
                <w:color w:val="000000"/>
              </w:rPr>
            </w:pPr>
            <w:r>
              <w:t xml:space="preserve">The </w:t>
            </w:r>
            <w:r w:rsidRPr="00281148">
              <w:t>Western Tuna and Billfish Fishery Management Plan 2005</w:t>
            </w:r>
            <w:r>
              <w:t xml:space="preserve"> </w:t>
            </w:r>
            <w:proofErr w:type="gramStart"/>
            <w:r>
              <w:t>requires</w:t>
            </w:r>
            <w:proofErr w:type="gramEnd"/>
            <w:r>
              <w:t xml:space="preserve"> </w:t>
            </w:r>
            <w:r w:rsidR="009F5D44">
              <w:t>AFMA</w:t>
            </w:r>
            <w:r w:rsidR="00DE2939">
              <w:t xml:space="preserve"> </w:t>
            </w:r>
            <w:r>
              <w:t xml:space="preserve">to implement a </w:t>
            </w:r>
            <w:proofErr w:type="spellStart"/>
            <w:r>
              <w:t>bycatch</w:t>
            </w:r>
            <w:proofErr w:type="spellEnd"/>
            <w:r>
              <w:t xml:space="preserve"> action plan for the fishery. </w:t>
            </w:r>
            <w:r w:rsidRPr="00174D0B">
              <w:t xml:space="preserve">In developing a </w:t>
            </w:r>
            <w:proofErr w:type="spellStart"/>
            <w:r w:rsidRPr="00174D0B">
              <w:t>bycatch</w:t>
            </w:r>
            <w:proofErr w:type="spellEnd"/>
            <w:r w:rsidRPr="00174D0B">
              <w:t xml:space="preserve"> action pl</w:t>
            </w:r>
            <w:r>
              <w:t xml:space="preserve">an, the management plan requires that the authority take into account </w:t>
            </w:r>
            <w:r w:rsidRPr="00174D0B">
              <w:t>the requirements under the</w:t>
            </w:r>
            <w:r>
              <w:t xml:space="preserve"> EPBC Act for the protection of listed </w:t>
            </w:r>
            <w:r w:rsidR="00C46325">
              <w:t>marine</w:t>
            </w:r>
            <w:r w:rsidR="004C70A3">
              <w:t xml:space="preserve"> </w:t>
            </w:r>
            <w:r>
              <w:t xml:space="preserve">species. The </w:t>
            </w:r>
            <w:r w:rsidRPr="007F7BCA">
              <w:rPr>
                <w:i/>
                <w:color w:val="000000"/>
              </w:rPr>
              <w:t xml:space="preserve">Australian Tuna and Billfish Fisheries </w:t>
            </w:r>
            <w:proofErr w:type="spellStart"/>
            <w:r w:rsidRPr="007F7BCA">
              <w:rPr>
                <w:i/>
                <w:color w:val="000000"/>
              </w:rPr>
              <w:t>Bycatch</w:t>
            </w:r>
            <w:proofErr w:type="spellEnd"/>
            <w:r w:rsidRPr="007F7BCA">
              <w:rPr>
                <w:i/>
                <w:color w:val="000000"/>
              </w:rPr>
              <w:t xml:space="preserve"> and Discarding </w:t>
            </w:r>
            <w:proofErr w:type="spellStart"/>
            <w:r w:rsidRPr="007F7BCA">
              <w:rPr>
                <w:i/>
                <w:color w:val="000000"/>
              </w:rPr>
              <w:t>Workplan</w:t>
            </w:r>
            <w:proofErr w:type="spellEnd"/>
            <w:r w:rsidRPr="007F7BCA">
              <w:rPr>
                <w:i/>
                <w:color w:val="000000"/>
              </w:rPr>
              <w:t xml:space="preserve"> 1 July 2014 – 30 June 2016</w:t>
            </w:r>
            <w:r w:rsidRPr="007F7BCA">
              <w:rPr>
                <w:color w:val="000000"/>
              </w:rPr>
              <w:t xml:space="preserve"> </w:t>
            </w:r>
            <w:r>
              <w:rPr>
                <w:color w:val="000000"/>
              </w:rPr>
              <w:t xml:space="preserve">outlines </w:t>
            </w:r>
            <w:proofErr w:type="spellStart"/>
            <w:r>
              <w:rPr>
                <w:color w:val="000000"/>
              </w:rPr>
              <w:t>bycatch</w:t>
            </w:r>
            <w:proofErr w:type="spellEnd"/>
            <w:r>
              <w:rPr>
                <w:color w:val="000000"/>
              </w:rPr>
              <w:t xml:space="preserve"> action priorities for Australia’s tropical tuna fisheries</w:t>
            </w:r>
            <w:r w:rsidR="00892585">
              <w:rPr>
                <w:color w:val="000000"/>
              </w:rPr>
              <w:t>, including for protected species,</w:t>
            </w:r>
            <w:r>
              <w:rPr>
                <w:color w:val="000000"/>
              </w:rPr>
              <w:t xml:space="preserve"> and is reviewed regularly on a pre</w:t>
            </w:r>
            <w:r>
              <w:rPr>
                <w:color w:val="000000"/>
              </w:rPr>
              <w:noBreakHyphen/>
            </w:r>
            <w:proofErr w:type="spellStart"/>
            <w:r>
              <w:rPr>
                <w:color w:val="000000"/>
              </w:rPr>
              <w:t>determined</w:t>
            </w:r>
            <w:proofErr w:type="spellEnd"/>
            <w:r>
              <w:rPr>
                <w:color w:val="000000"/>
              </w:rPr>
              <w:t xml:space="preserve"> basis.</w:t>
            </w:r>
          </w:p>
          <w:p w:rsidR="008A3097" w:rsidRDefault="008A3097" w:rsidP="008A3097">
            <w:pPr>
              <w:spacing w:after="100"/>
            </w:pPr>
            <w:r>
              <w:t>The management plan also provides for:</w:t>
            </w:r>
          </w:p>
          <w:p w:rsidR="008A3097" w:rsidRDefault="008A3097" w:rsidP="008A3097">
            <w:pPr>
              <w:pageBreakBefore/>
              <w:numPr>
                <w:ilvl w:val="0"/>
                <w:numId w:val="38"/>
              </w:numPr>
              <w:spacing w:after="100"/>
            </w:pPr>
            <w:r>
              <w:t xml:space="preserve">limited entry to the fishery, </w:t>
            </w:r>
            <w:r w:rsidRPr="00B71657">
              <w:t>thereby constraining total fishing effort</w:t>
            </w:r>
            <w:r>
              <w:t xml:space="preserve"> — fishers must hold statutory fishing rights issued under the management plan and must hold quota for those target species they wish to retain</w:t>
            </w:r>
          </w:p>
          <w:p w:rsidR="008A3097" w:rsidRPr="002130D5" w:rsidRDefault="008A3097" w:rsidP="008A3097">
            <w:pPr>
              <w:pageBreakBefore/>
              <w:numPr>
                <w:ilvl w:val="0"/>
                <w:numId w:val="38"/>
              </w:numPr>
              <w:spacing w:after="100"/>
            </w:pPr>
            <w:r w:rsidRPr="002130D5">
              <w:t>ecological risk assessments and risk managemen</w:t>
            </w:r>
            <w:r>
              <w:t>t reports</w:t>
            </w:r>
          </w:p>
          <w:p w:rsidR="008A3097" w:rsidRDefault="008A3097" w:rsidP="008A3097">
            <w:pPr>
              <w:pageBreakBefore/>
              <w:numPr>
                <w:ilvl w:val="0"/>
                <w:numId w:val="38"/>
              </w:numPr>
              <w:ind w:left="357" w:hanging="357"/>
            </w:pPr>
            <w:proofErr w:type="gramStart"/>
            <w:r w:rsidRPr="00B71657">
              <w:t>catch</w:t>
            </w:r>
            <w:proofErr w:type="gramEnd"/>
            <w:r w:rsidRPr="00B71657">
              <w:t xml:space="preserve"> limits for key target species</w:t>
            </w:r>
            <w:r>
              <w:t xml:space="preserve"> and a number of incidentally caught species.</w:t>
            </w:r>
          </w:p>
          <w:p w:rsidR="00C46325" w:rsidRDefault="00C46325" w:rsidP="00C46325">
            <w:r>
              <w:t>T</w:t>
            </w:r>
            <w:r w:rsidRPr="00781BE0">
              <w:t>he Fisheries Management Regulations 1992 require that Commonwealth fishing concession holders must ensure that, as far as practicable, there is no interaction with a protecte</w:t>
            </w:r>
            <w:r>
              <w:t xml:space="preserve">d species during a fishing trip and that all </w:t>
            </w:r>
            <w:r w:rsidRPr="002130D5">
              <w:t xml:space="preserve">interactions with EPBC Act </w:t>
            </w:r>
            <w:r>
              <w:t>protected</w:t>
            </w:r>
            <w:r w:rsidRPr="002130D5">
              <w:t xml:space="preserve"> species</w:t>
            </w:r>
            <w:r>
              <w:t xml:space="preserve"> are reported in relevant logbooks</w:t>
            </w:r>
            <w:r w:rsidRPr="002130D5">
              <w:t>.</w:t>
            </w:r>
            <w:r>
              <w:t xml:space="preserve"> The regulations also make</w:t>
            </w:r>
            <w:r w:rsidRPr="002130D5">
              <w:t xml:space="preserve"> provision for observer monitoring of fishing activities</w:t>
            </w:r>
            <w:r>
              <w:t>.</w:t>
            </w:r>
          </w:p>
          <w:p w:rsidR="00C46325" w:rsidRPr="007F7BCA" w:rsidRDefault="00C46325" w:rsidP="004D2231">
            <w:pPr>
              <w:spacing w:after="100"/>
            </w:pPr>
            <w:r>
              <w:t>Statutory</w:t>
            </w:r>
            <w:r w:rsidRPr="007F7BCA">
              <w:t xml:space="preserve"> fishing right conditions implement specific management measures which act to reduce the likelihood of capture and mortality of listed marine species - for example:</w:t>
            </w:r>
          </w:p>
          <w:p w:rsidR="00C46325" w:rsidRPr="007F7BCA" w:rsidRDefault="00C46325" w:rsidP="004D2231">
            <w:pPr>
              <w:pStyle w:val="ListBullet"/>
              <w:spacing w:after="100"/>
            </w:pPr>
            <w:r w:rsidRPr="007F7BCA">
              <w:t xml:space="preserve">compulsory carriage of line cutters and de-hookers to assist in releasing turtles </w:t>
            </w:r>
          </w:p>
          <w:p w:rsidR="00C46325" w:rsidRPr="007F7BCA" w:rsidRDefault="00C46325" w:rsidP="004D2231">
            <w:pPr>
              <w:pStyle w:val="ListBullet"/>
              <w:spacing w:after="100"/>
            </w:pPr>
            <w:r w:rsidRPr="007F7BCA">
              <w:t xml:space="preserve">the requirement to use circle hooks on shallow sets to reduce </w:t>
            </w:r>
            <w:proofErr w:type="spellStart"/>
            <w:r w:rsidRPr="007F7BCA">
              <w:t>longline</w:t>
            </w:r>
            <w:proofErr w:type="spellEnd"/>
            <w:r w:rsidRPr="007F7BCA">
              <w:t xml:space="preserve"> capture of marine turtles and improve the chances of survival of any turtles caught</w:t>
            </w:r>
          </w:p>
          <w:p w:rsidR="00C46325" w:rsidRPr="007F7BCA" w:rsidRDefault="00C46325" w:rsidP="00C46325">
            <w:pPr>
              <w:pStyle w:val="ListBullet"/>
            </w:pPr>
            <w:proofErr w:type="gramStart"/>
            <w:r w:rsidRPr="007F7BCA">
              <w:t>the</w:t>
            </w:r>
            <w:proofErr w:type="gramEnd"/>
            <w:r w:rsidRPr="007F7BCA">
              <w:t xml:space="preserve"> requirements of the Seabird TAP (see Table 1)</w:t>
            </w:r>
            <w:r w:rsidR="00FA5DA9">
              <w:t>.</w:t>
            </w:r>
          </w:p>
          <w:p w:rsidR="00DA6A89" w:rsidRPr="00C46325" w:rsidRDefault="00C46325" w:rsidP="00C46325">
            <w:pPr>
              <w:rPr>
                <w:rFonts w:cs="Arial"/>
                <w:b/>
              </w:rPr>
            </w:pPr>
            <w:r w:rsidRPr="007F7BCA">
              <w:t xml:space="preserve">The Department considers that the </w:t>
            </w:r>
            <w:r>
              <w:t>We</w:t>
            </w:r>
            <w:r w:rsidRPr="007F7BCA">
              <w:t>stern Tuna and Billfish Fishery Management Plan 20</w:t>
            </w:r>
            <w:r>
              <w:t>05</w:t>
            </w:r>
            <w:r w:rsidRPr="007F7BCA">
              <w:t xml:space="preserve"> </w:t>
            </w:r>
            <w:r w:rsidRPr="007F7BCA">
              <w:rPr>
                <w:rFonts w:cs="Arial"/>
              </w:rPr>
              <w:t xml:space="preserve">as administered by </w:t>
            </w:r>
            <w:r w:rsidR="009F5D44">
              <w:rPr>
                <w:rFonts w:cs="Arial"/>
              </w:rPr>
              <w:t>AFMA</w:t>
            </w:r>
            <w:r w:rsidR="00DE2939">
              <w:rPr>
                <w:rFonts w:cs="Arial"/>
              </w:rPr>
              <w:t xml:space="preserve"> </w:t>
            </w:r>
            <w:r w:rsidRPr="007F7BCA">
              <w:rPr>
                <w:rFonts w:cs="Arial"/>
              </w:rPr>
              <w:t>requires persons engaged in fishing under the plan to take all reasonable steps to ensure that members of listed marine species are not killed or injured as a result of the fishing.</w:t>
            </w:r>
          </w:p>
        </w:tc>
      </w:tr>
      <w:tr w:rsidR="00BE7BBA" w:rsidRPr="00EC24A5" w:rsidTr="008D1721">
        <w:tc>
          <w:tcPr>
            <w:tcW w:w="6663" w:type="dxa"/>
          </w:tcPr>
          <w:p w:rsidR="00BE7BBA" w:rsidRPr="00EC24A5" w:rsidRDefault="00BE7BBA" w:rsidP="00EA121A">
            <w:pPr>
              <w:pStyle w:val="ListParagraph"/>
              <w:numPr>
                <w:ilvl w:val="0"/>
                <w:numId w:val="17"/>
              </w:numPr>
              <w:rPr>
                <w:rFonts w:cs="Arial"/>
              </w:rPr>
            </w:pPr>
            <w:proofErr w:type="gramStart"/>
            <w:r w:rsidRPr="00EC24A5">
              <w:rPr>
                <w:rFonts w:cs="Arial"/>
              </w:rPr>
              <w:t>the</w:t>
            </w:r>
            <w:proofErr w:type="gramEnd"/>
            <w:r w:rsidRPr="00EC24A5">
              <w:rPr>
                <w:rFonts w:cs="Arial"/>
              </w:rPr>
              <w:t xml:space="preserve"> fishery to which the plan, regime or policy relates does not, or is not likely to, adversely affect the conservation status of a listed marine species or a population of that species.</w:t>
            </w:r>
          </w:p>
        </w:tc>
        <w:tc>
          <w:tcPr>
            <w:tcW w:w="8930" w:type="dxa"/>
          </w:tcPr>
          <w:p w:rsidR="00BE7BBA" w:rsidRPr="00EC24A5" w:rsidRDefault="00E27E77" w:rsidP="00E27E77">
            <w:pPr>
              <w:rPr>
                <w:rFonts w:cs="Arial"/>
              </w:rPr>
            </w:pPr>
            <w:r w:rsidRPr="007F7BCA">
              <w:t xml:space="preserve">Given the mitigation measures employed in the fishery (see above and Table 1), the Department considers that the current operation of the </w:t>
            </w:r>
            <w:r>
              <w:t>We</w:t>
            </w:r>
            <w:r w:rsidRPr="007F7BCA">
              <w:t xml:space="preserve">stern Tuna and Billfish Fishery is not likely to adversely affect the </w:t>
            </w:r>
            <w:r w:rsidRPr="007F7BCA">
              <w:rPr>
                <w:rFonts w:cs="Arial"/>
              </w:rPr>
              <w:t>conservation status of a listed marine species or a population of that species</w:t>
            </w:r>
            <w:r w:rsidRPr="007F7BCA">
              <w:t>.</w:t>
            </w:r>
          </w:p>
        </w:tc>
      </w:tr>
    </w:tbl>
    <w:p w:rsidR="007F0754" w:rsidRDefault="007F0754" w:rsidP="00FD57D6">
      <w:pPr>
        <w:ind w:left="-426"/>
        <w:rPr>
          <w:rFonts w:cs="Arial"/>
          <w:b/>
        </w:rPr>
      </w:pPr>
    </w:p>
    <w:p w:rsidR="007F0754" w:rsidRDefault="007F0754">
      <w:pPr>
        <w:spacing w:after="0" w:line="240" w:lineRule="auto"/>
        <w:rPr>
          <w:rFonts w:cs="Arial"/>
          <w:b/>
        </w:rPr>
      </w:pPr>
      <w:r>
        <w:rPr>
          <w:rFonts w:cs="Arial"/>
          <w:b/>
        </w:rPr>
        <w:br w:type="page"/>
      </w:r>
    </w:p>
    <w:p w:rsidR="00DA6A89" w:rsidRPr="00EC24A5" w:rsidRDefault="00DA6A89" w:rsidP="00FD57D6">
      <w:pPr>
        <w:ind w:left="-426"/>
        <w:rPr>
          <w:rFonts w:cs="Arial"/>
          <w:b/>
        </w:rPr>
      </w:pPr>
      <w:proofErr w:type="gramStart"/>
      <w:r w:rsidRPr="00EC24A5">
        <w:rPr>
          <w:rFonts w:cs="Arial"/>
          <w:b/>
        </w:rPr>
        <w:t>Part 13</w:t>
      </w:r>
      <w:r w:rsidRPr="00EC24A5">
        <w:rPr>
          <w:rFonts w:cs="Arial"/>
          <w:i/>
        </w:rPr>
        <w:t xml:space="preserve"> (cont.)</w:t>
      </w:r>
      <w:proofErr w:type="gramEnd"/>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3"/>
        <w:gridCol w:w="8080"/>
      </w:tblGrid>
      <w:tr w:rsidR="00B73546" w:rsidRPr="00EC24A5" w:rsidTr="00840680">
        <w:tc>
          <w:tcPr>
            <w:tcW w:w="7513" w:type="dxa"/>
            <w:shd w:val="clear" w:color="auto" w:fill="auto"/>
          </w:tcPr>
          <w:p w:rsidR="00B73546" w:rsidRPr="00EC24A5" w:rsidRDefault="00B73546" w:rsidP="00CF61DE">
            <w:pPr>
              <w:pStyle w:val="Heading2"/>
            </w:pPr>
            <w:r w:rsidRPr="00EC24A5">
              <w:t>Section 303AA Conditions relating to accreditation of plans, regimes and policies</w:t>
            </w:r>
          </w:p>
        </w:tc>
        <w:tc>
          <w:tcPr>
            <w:tcW w:w="8080" w:type="dxa"/>
            <w:shd w:val="clear" w:color="auto" w:fill="auto"/>
          </w:tcPr>
          <w:p w:rsidR="00B73546" w:rsidRPr="00EC24A5" w:rsidRDefault="00EF02FA" w:rsidP="00CF61DE">
            <w:pPr>
              <w:pStyle w:val="Heading2"/>
            </w:pPr>
            <w:r w:rsidRPr="00EC24A5">
              <w:t xml:space="preserve">The Department of the Environment’s assessment of the </w:t>
            </w:r>
            <w:r w:rsidR="005333AD">
              <w:t xml:space="preserve">Western Tuna and Billfish </w:t>
            </w:r>
            <w:r w:rsidR="002A7A5C" w:rsidRPr="00EC24A5">
              <w:t>Fishery</w:t>
            </w:r>
          </w:p>
        </w:tc>
      </w:tr>
      <w:tr w:rsidR="00DA6A89" w:rsidRPr="00EC24A5" w:rsidTr="00840680">
        <w:tc>
          <w:tcPr>
            <w:tcW w:w="7513" w:type="dxa"/>
            <w:shd w:val="clear" w:color="auto" w:fill="auto"/>
            <w:tcMar>
              <w:top w:w="57" w:type="dxa"/>
              <w:bottom w:w="57" w:type="dxa"/>
            </w:tcMar>
          </w:tcPr>
          <w:p w:rsidR="00DA6A89" w:rsidRPr="00EC24A5" w:rsidRDefault="00DA6A89" w:rsidP="00CF61DE">
            <w:pPr>
              <w:ind w:left="540" w:hanging="540"/>
              <w:rPr>
                <w:rFonts w:cs="Arial"/>
              </w:rPr>
            </w:pPr>
            <w:r w:rsidRPr="00EC24A5">
              <w:rPr>
                <w:rFonts w:cs="Arial"/>
              </w:rPr>
              <w:t>(1)</w:t>
            </w:r>
            <w:r w:rsidRPr="00EC24A5">
              <w:rPr>
                <w:rFonts w:cs="Arial"/>
              </w:rPr>
              <w:tab/>
              <w:t>This section applies to an accreditation of a plan, regime or policy under section 208A, 222A, 245 or 265.</w:t>
            </w:r>
          </w:p>
        </w:tc>
        <w:tc>
          <w:tcPr>
            <w:tcW w:w="8080" w:type="dxa"/>
            <w:shd w:val="clear" w:color="auto" w:fill="auto"/>
            <w:tcMar>
              <w:top w:w="57" w:type="dxa"/>
              <w:bottom w:w="57" w:type="dxa"/>
            </w:tcMar>
          </w:tcPr>
          <w:p w:rsidR="00DA6A89" w:rsidRPr="00EC24A5" w:rsidRDefault="00624E31" w:rsidP="00840680">
            <w:pPr>
              <w:rPr>
                <w:rFonts w:cs="Arial"/>
              </w:rPr>
            </w:pPr>
            <w:r w:rsidRPr="00EC24A5">
              <w:rPr>
                <w:rFonts w:cs="Arial"/>
              </w:rPr>
              <w:t xml:space="preserve">The </w:t>
            </w:r>
            <w:r w:rsidR="000C0401" w:rsidRPr="00EC24A5">
              <w:rPr>
                <w:rFonts w:cs="Arial"/>
              </w:rPr>
              <w:t>Department</w:t>
            </w:r>
            <w:r w:rsidR="00DA6A89" w:rsidRPr="00EC24A5">
              <w:rPr>
                <w:rFonts w:cs="Arial"/>
              </w:rPr>
              <w:t xml:space="preserve"> recommends that</w:t>
            </w:r>
            <w:r w:rsidRPr="00EC24A5">
              <w:rPr>
                <w:rFonts w:cs="Arial"/>
              </w:rPr>
              <w:t xml:space="preserve"> the management regime for the</w:t>
            </w:r>
            <w:r w:rsidR="00DA6A89" w:rsidRPr="00EC24A5">
              <w:rPr>
                <w:rFonts w:cs="Arial"/>
              </w:rPr>
              <w:t xml:space="preserve"> </w:t>
            </w:r>
            <w:r w:rsidR="009D3ADE">
              <w:rPr>
                <w:rFonts w:cs="Arial"/>
              </w:rPr>
              <w:t>Western </w:t>
            </w:r>
            <w:r w:rsidR="005333AD">
              <w:rPr>
                <w:rFonts w:cs="Arial"/>
              </w:rPr>
              <w:t xml:space="preserve">Tuna and Billfish </w:t>
            </w:r>
            <w:r w:rsidR="00B7462F">
              <w:rPr>
                <w:rFonts w:cs="Arial"/>
              </w:rPr>
              <w:t>Fishery</w:t>
            </w:r>
            <w:r w:rsidR="00750857">
              <w:rPr>
                <w:rFonts w:cs="Arial"/>
              </w:rPr>
              <w:t xml:space="preserve"> </w:t>
            </w:r>
            <w:r w:rsidR="005F6F07" w:rsidRPr="00EC24A5">
              <w:rPr>
                <w:rFonts w:cs="Arial"/>
              </w:rPr>
              <w:t>be</w:t>
            </w:r>
            <w:r w:rsidR="00ED38C4" w:rsidRPr="00EC24A5">
              <w:rPr>
                <w:rFonts w:cs="Arial"/>
              </w:rPr>
              <w:t xml:space="preserve"> accredited under sections </w:t>
            </w:r>
            <w:r w:rsidR="00DA6A89" w:rsidRPr="00EC24A5">
              <w:rPr>
                <w:rFonts w:cs="Arial"/>
              </w:rPr>
              <w:t>208A, 222A, 245 and 265.</w:t>
            </w:r>
          </w:p>
        </w:tc>
      </w:tr>
      <w:tr w:rsidR="00DA6A89" w:rsidRPr="00EC24A5" w:rsidTr="00840680">
        <w:tc>
          <w:tcPr>
            <w:tcW w:w="7513" w:type="dxa"/>
            <w:shd w:val="clear" w:color="auto" w:fill="auto"/>
            <w:tcMar>
              <w:top w:w="57" w:type="dxa"/>
              <w:bottom w:w="57" w:type="dxa"/>
            </w:tcMar>
          </w:tcPr>
          <w:p w:rsidR="00DA6A89" w:rsidRPr="00EC24A5" w:rsidRDefault="00DA6A89" w:rsidP="008D1370">
            <w:pPr>
              <w:ind w:left="540" w:hanging="540"/>
              <w:rPr>
                <w:rFonts w:cs="Arial"/>
              </w:rPr>
            </w:pPr>
            <w:r w:rsidRPr="00EC24A5">
              <w:rPr>
                <w:rFonts w:cs="Arial"/>
              </w:rPr>
              <w:t>(2)</w:t>
            </w:r>
            <w:r w:rsidRPr="00EC24A5">
              <w:rPr>
                <w:rFonts w:cs="Arial"/>
              </w:rPr>
              <w:tab/>
              <w:t>The Minister may accredit a plan, regime or policy under that section even though he or she considers that the plan, regime or policy should be accredited only:</w:t>
            </w:r>
          </w:p>
          <w:p w:rsidR="00DA6A89" w:rsidRPr="00EC24A5" w:rsidRDefault="00DA6A89" w:rsidP="00EA121A">
            <w:pPr>
              <w:numPr>
                <w:ilvl w:val="0"/>
                <w:numId w:val="2"/>
              </w:numPr>
              <w:tabs>
                <w:tab w:val="clear" w:pos="360"/>
              </w:tabs>
              <w:ind w:left="1224" w:hanging="720"/>
              <w:rPr>
                <w:rFonts w:cs="Arial"/>
              </w:rPr>
            </w:pPr>
            <w:r w:rsidRPr="00EC24A5">
              <w:rPr>
                <w:rFonts w:cs="Arial"/>
              </w:rPr>
              <w:t>during a particular period; or</w:t>
            </w:r>
          </w:p>
          <w:p w:rsidR="00DA6A89" w:rsidRPr="00EC24A5" w:rsidRDefault="00DA6A89" w:rsidP="00EA121A">
            <w:pPr>
              <w:numPr>
                <w:ilvl w:val="0"/>
                <w:numId w:val="2"/>
              </w:numPr>
              <w:tabs>
                <w:tab w:val="clear" w:pos="360"/>
              </w:tabs>
              <w:ind w:left="1224" w:hanging="720"/>
              <w:rPr>
                <w:rFonts w:cs="Arial"/>
              </w:rPr>
            </w:pPr>
            <w:r w:rsidRPr="00EC24A5">
              <w:rPr>
                <w:rFonts w:cs="Arial"/>
              </w:rPr>
              <w:t>while certain circumstances exist; or</w:t>
            </w:r>
          </w:p>
          <w:p w:rsidR="00DA6A89" w:rsidRPr="00EC24A5" w:rsidRDefault="00DA6A89" w:rsidP="00EA121A">
            <w:pPr>
              <w:numPr>
                <w:ilvl w:val="0"/>
                <w:numId w:val="2"/>
              </w:numPr>
              <w:tabs>
                <w:tab w:val="clear" w:pos="360"/>
              </w:tabs>
              <w:ind w:left="1224" w:hanging="720"/>
              <w:rPr>
                <w:rFonts w:cs="Arial"/>
              </w:rPr>
            </w:pPr>
            <w:proofErr w:type="gramStart"/>
            <w:r w:rsidRPr="00EC24A5">
              <w:rPr>
                <w:rFonts w:cs="Arial"/>
              </w:rPr>
              <w:t>while</w:t>
            </w:r>
            <w:proofErr w:type="gramEnd"/>
            <w:r w:rsidRPr="00EC24A5">
              <w:rPr>
                <w:rFonts w:cs="Arial"/>
              </w:rPr>
              <w:t xml:space="preserve"> a certain condition is complied with.</w:t>
            </w:r>
          </w:p>
          <w:p w:rsidR="00DA6A89" w:rsidRPr="00EC24A5" w:rsidRDefault="00DA6A89" w:rsidP="008D1370">
            <w:pPr>
              <w:ind w:left="547"/>
              <w:rPr>
                <w:rFonts w:cs="Arial"/>
              </w:rPr>
            </w:pPr>
            <w:r w:rsidRPr="00EC24A5">
              <w:rPr>
                <w:rFonts w:cs="Arial"/>
              </w:rPr>
              <w:t>In such a case, the instrument of accreditation is to specify the period, circumstances or condition.</w:t>
            </w:r>
          </w:p>
        </w:tc>
        <w:tc>
          <w:tcPr>
            <w:tcW w:w="8080" w:type="dxa"/>
            <w:shd w:val="clear" w:color="auto" w:fill="auto"/>
            <w:tcMar>
              <w:top w:w="57" w:type="dxa"/>
              <w:bottom w:w="57" w:type="dxa"/>
            </w:tcMar>
          </w:tcPr>
          <w:p w:rsidR="00DA6A89" w:rsidRPr="00EC24A5" w:rsidRDefault="00DA6A89" w:rsidP="00CF61DE">
            <w:pPr>
              <w:rPr>
                <w:rFonts w:cs="Arial"/>
              </w:rPr>
            </w:pPr>
          </w:p>
          <w:p w:rsidR="00AD39E3" w:rsidRPr="00EC24A5" w:rsidRDefault="00AD39E3" w:rsidP="00CF61DE">
            <w:pPr>
              <w:rPr>
                <w:rFonts w:cs="Arial"/>
              </w:rPr>
            </w:pPr>
          </w:p>
          <w:p w:rsidR="00AD39E3" w:rsidRPr="00EC24A5" w:rsidRDefault="00AD39E3" w:rsidP="00CF61DE">
            <w:pPr>
              <w:rPr>
                <w:rFonts w:cs="Arial"/>
              </w:rPr>
            </w:pPr>
          </w:p>
          <w:p w:rsidR="00AD39E3" w:rsidRPr="00EC24A5" w:rsidRDefault="00AD39E3" w:rsidP="00CF61DE">
            <w:pPr>
              <w:rPr>
                <w:rFonts w:cs="Arial"/>
              </w:rPr>
            </w:pPr>
          </w:p>
          <w:p w:rsidR="00AD39E3" w:rsidRPr="00EC24A5" w:rsidRDefault="00AD39E3" w:rsidP="00CF61DE">
            <w:pPr>
              <w:rPr>
                <w:rFonts w:cs="Arial"/>
              </w:rPr>
            </w:pPr>
          </w:p>
          <w:p w:rsidR="00DA6A89" w:rsidRPr="00EC24A5" w:rsidRDefault="00624E31" w:rsidP="00840680">
            <w:r w:rsidRPr="00EC24A5">
              <w:t xml:space="preserve">The </w:t>
            </w:r>
            <w:r w:rsidR="000C0401" w:rsidRPr="00EC24A5">
              <w:t>Department</w:t>
            </w:r>
            <w:r w:rsidRPr="00EC24A5">
              <w:t xml:space="preserve"> considers that no conditions are required for the accreditation of the management regime for the </w:t>
            </w:r>
            <w:r w:rsidR="005333AD">
              <w:t xml:space="preserve">Western Tuna and Billfish </w:t>
            </w:r>
            <w:r w:rsidR="00B7462F">
              <w:t>Fishery</w:t>
            </w:r>
            <w:r w:rsidR="00750857">
              <w:t xml:space="preserve"> </w:t>
            </w:r>
            <w:r w:rsidR="005F6F07" w:rsidRPr="00EC24A5">
              <w:t>under</w:t>
            </w:r>
            <w:r w:rsidRPr="00EC24A5">
              <w:t xml:space="preserve"> Part </w:t>
            </w:r>
            <w:r w:rsidR="00DA6A89" w:rsidRPr="00EC24A5">
              <w:t>13.</w:t>
            </w:r>
          </w:p>
        </w:tc>
      </w:tr>
      <w:tr w:rsidR="00DA6A89" w:rsidRPr="00EC24A5" w:rsidTr="00840680">
        <w:trPr>
          <w:trHeight w:val="456"/>
        </w:trPr>
        <w:tc>
          <w:tcPr>
            <w:tcW w:w="7513" w:type="dxa"/>
            <w:shd w:val="clear" w:color="auto" w:fill="auto"/>
            <w:tcMar>
              <w:top w:w="57" w:type="dxa"/>
              <w:bottom w:w="57" w:type="dxa"/>
            </w:tcMar>
          </w:tcPr>
          <w:p w:rsidR="00DA6A89" w:rsidRPr="00EC24A5" w:rsidRDefault="00DA6A89" w:rsidP="00FF7B65">
            <w:pPr>
              <w:ind w:left="539" w:hanging="539"/>
              <w:rPr>
                <w:rFonts w:cs="Arial"/>
              </w:rPr>
            </w:pPr>
            <w:r w:rsidRPr="00EC24A5">
              <w:rPr>
                <w:rFonts w:cs="Arial"/>
              </w:rPr>
              <w:t>(7)</w:t>
            </w:r>
            <w:r w:rsidRPr="00EC24A5">
              <w:rPr>
                <w:rFonts w:cs="Arial"/>
              </w:rPr>
              <w:tab/>
              <w:t>The Minister must, in writing, revoke an accreditation if he or she is satisfied that a condition of the accreditation has been contravened.</w:t>
            </w:r>
          </w:p>
        </w:tc>
        <w:tc>
          <w:tcPr>
            <w:tcW w:w="8080" w:type="dxa"/>
            <w:shd w:val="clear" w:color="auto" w:fill="auto"/>
            <w:tcMar>
              <w:top w:w="57" w:type="dxa"/>
              <w:bottom w:w="57" w:type="dxa"/>
            </w:tcMar>
          </w:tcPr>
          <w:p w:rsidR="00DA6A89" w:rsidRPr="00EC24A5" w:rsidRDefault="00DA6A89" w:rsidP="00CF61DE">
            <w:pPr>
              <w:rPr>
                <w:rFonts w:cs="Arial"/>
              </w:rPr>
            </w:pPr>
          </w:p>
        </w:tc>
      </w:tr>
    </w:tbl>
    <w:p w:rsidR="00DA6A89" w:rsidRPr="00EC24A5" w:rsidRDefault="00DA6A89" w:rsidP="008D1370">
      <w:pPr>
        <w:rPr>
          <w:rFonts w:cs="Arial"/>
          <w:b/>
        </w:rPr>
      </w:pPr>
    </w:p>
    <w:p w:rsidR="00F06DEB" w:rsidRPr="00EC24A5" w:rsidRDefault="00F06DEB" w:rsidP="008D1370">
      <w:pPr>
        <w:rPr>
          <w:rFonts w:cs="Arial"/>
          <w:b/>
        </w:rPr>
      </w:pPr>
    </w:p>
    <w:p w:rsidR="00F06DEB" w:rsidRPr="00EC24A5" w:rsidRDefault="00F06DEB" w:rsidP="008D1370">
      <w:pPr>
        <w:rPr>
          <w:rFonts w:cs="Arial"/>
          <w:b/>
        </w:rPr>
        <w:sectPr w:rsidR="00F06DEB" w:rsidRPr="00EC24A5" w:rsidSect="006A1A47">
          <w:pgSz w:w="16838" w:h="11906" w:orient="landscape"/>
          <w:pgMar w:top="899" w:right="1361" w:bottom="567" w:left="1361" w:header="709" w:footer="69" w:gutter="0"/>
          <w:cols w:space="708"/>
          <w:docGrid w:linePitch="360"/>
        </w:sectPr>
      </w:pPr>
    </w:p>
    <w:p w:rsidR="00F078E2" w:rsidRPr="00EC24A5" w:rsidRDefault="00F078E2" w:rsidP="008D1370">
      <w:pPr>
        <w:rPr>
          <w:rFonts w:cs="Arial"/>
          <w:b/>
        </w:rPr>
      </w:pPr>
    </w:p>
    <w:p w:rsidR="00F078E2" w:rsidRPr="00EC24A5" w:rsidRDefault="00F078E2" w:rsidP="008D1370">
      <w:pPr>
        <w:rPr>
          <w:rFonts w:cs="Arial"/>
          <w:b/>
        </w:rPr>
      </w:pPr>
    </w:p>
    <w:p w:rsidR="00F06DEB" w:rsidRPr="00EC24A5" w:rsidRDefault="00F06DEB" w:rsidP="008D1370">
      <w:pPr>
        <w:rPr>
          <w:rFonts w:cs="Arial"/>
          <w:b/>
        </w:rPr>
      </w:pPr>
    </w:p>
    <w:p w:rsidR="00814CC7" w:rsidRPr="00EC24A5" w:rsidRDefault="00814CC7" w:rsidP="009D3ADE">
      <w:pPr>
        <w:pStyle w:val="Heading2"/>
      </w:pPr>
      <w:r w:rsidRPr="00EC24A5">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EC24A5" w:rsidTr="00814CC7">
        <w:tc>
          <w:tcPr>
            <w:tcW w:w="14332" w:type="dxa"/>
          </w:tcPr>
          <w:p w:rsidR="00814CC7" w:rsidRPr="00EC24A5" w:rsidRDefault="00814CC7" w:rsidP="008D1370">
            <w:pPr>
              <w:spacing w:before="60" w:after="60"/>
              <w:rPr>
                <w:rFonts w:cs="Arial"/>
              </w:rPr>
            </w:pPr>
            <w:r w:rsidRPr="00EC24A5">
              <w:rPr>
                <w:rFonts w:cs="Arial"/>
                <w:b/>
                <w:bCs/>
              </w:rPr>
              <w:t>Section 303BA Objects of Part 13A</w:t>
            </w:r>
          </w:p>
        </w:tc>
      </w:tr>
      <w:tr w:rsidR="00814CC7" w:rsidRPr="00EC24A5" w:rsidTr="00814CC7">
        <w:tc>
          <w:tcPr>
            <w:tcW w:w="14332" w:type="dxa"/>
          </w:tcPr>
          <w:p w:rsidR="00814CC7" w:rsidRPr="00EC24A5" w:rsidRDefault="00814CC7" w:rsidP="00EA121A">
            <w:pPr>
              <w:numPr>
                <w:ilvl w:val="0"/>
                <w:numId w:val="3"/>
              </w:numPr>
              <w:tabs>
                <w:tab w:val="clear" w:pos="720"/>
                <w:tab w:val="num" w:pos="360"/>
              </w:tabs>
              <w:spacing w:before="200"/>
              <w:ind w:hanging="720"/>
              <w:rPr>
                <w:rFonts w:cs="Arial"/>
              </w:rPr>
            </w:pPr>
            <w:r w:rsidRPr="00EC24A5">
              <w:rPr>
                <w:rFonts w:cs="Arial"/>
              </w:rPr>
              <w:t>The objects of this Part are as follows:</w:t>
            </w:r>
          </w:p>
          <w:p w:rsidR="00814CC7" w:rsidRPr="00EC24A5" w:rsidRDefault="00814CC7" w:rsidP="00EA121A">
            <w:pPr>
              <w:numPr>
                <w:ilvl w:val="0"/>
                <w:numId w:val="4"/>
              </w:numPr>
              <w:tabs>
                <w:tab w:val="left" w:pos="360"/>
              </w:tabs>
              <w:ind w:left="1077"/>
              <w:rPr>
                <w:rFonts w:cs="Arial"/>
              </w:rPr>
            </w:pPr>
            <w:r w:rsidRPr="00EC24A5">
              <w:rPr>
                <w:rFonts w:cs="Arial"/>
              </w:rPr>
              <w:t>to ensure that Australia complies with its obligations under CITES</w:t>
            </w:r>
            <w:r w:rsidRPr="00EC24A5">
              <w:rPr>
                <w:rStyle w:val="FootnoteReference"/>
                <w:rFonts w:cs="Arial"/>
              </w:rPr>
              <w:footnoteReference w:id="3"/>
            </w:r>
            <w:r w:rsidRPr="00EC24A5">
              <w:rPr>
                <w:rFonts w:cs="Arial"/>
              </w:rPr>
              <w:t xml:space="preserve"> and the Biodiversity Convention;</w:t>
            </w:r>
          </w:p>
          <w:p w:rsidR="00814CC7" w:rsidRPr="00EC24A5" w:rsidRDefault="00814CC7" w:rsidP="00EA121A">
            <w:pPr>
              <w:numPr>
                <w:ilvl w:val="0"/>
                <w:numId w:val="4"/>
              </w:numPr>
              <w:tabs>
                <w:tab w:val="left" w:pos="360"/>
              </w:tabs>
              <w:ind w:left="1077"/>
              <w:rPr>
                <w:rFonts w:cs="Arial"/>
              </w:rPr>
            </w:pPr>
            <w:r w:rsidRPr="00EC24A5">
              <w:rPr>
                <w:rFonts w:cs="Arial"/>
              </w:rPr>
              <w:t>to protect wildlife that may be adversely affected by trade;</w:t>
            </w:r>
          </w:p>
          <w:p w:rsidR="00814CC7" w:rsidRPr="00EC24A5" w:rsidRDefault="00814CC7" w:rsidP="00EA121A">
            <w:pPr>
              <w:numPr>
                <w:ilvl w:val="0"/>
                <w:numId w:val="4"/>
              </w:numPr>
              <w:tabs>
                <w:tab w:val="left" w:pos="360"/>
              </w:tabs>
              <w:ind w:left="1077"/>
              <w:rPr>
                <w:rFonts w:cs="Arial"/>
              </w:rPr>
            </w:pPr>
            <w:r w:rsidRPr="00EC24A5">
              <w:rPr>
                <w:rFonts w:cs="Arial"/>
              </w:rPr>
              <w:t>to promote the conservation of biodiversity in Australia and other countries;</w:t>
            </w:r>
          </w:p>
          <w:p w:rsidR="00814CC7" w:rsidRPr="00EC24A5" w:rsidRDefault="00814CC7" w:rsidP="00EA121A">
            <w:pPr>
              <w:numPr>
                <w:ilvl w:val="0"/>
                <w:numId w:val="4"/>
              </w:numPr>
              <w:tabs>
                <w:tab w:val="left" w:pos="360"/>
              </w:tabs>
              <w:ind w:left="1077"/>
              <w:rPr>
                <w:rFonts w:cs="Arial"/>
              </w:rPr>
            </w:pPr>
            <w:r w:rsidRPr="00EC24A5">
              <w:rPr>
                <w:rFonts w:cs="Arial"/>
              </w:rPr>
              <w:t>to ensure that any commercial utilisation of Australian native wildlife for the purposes of export is managed in an ecologically sustainable way;</w:t>
            </w:r>
          </w:p>
          <w:p w:rsidR="00814CC7" w:rsidRPr="00EC24A5" w:rsidRDefault="00814CC7" w:rsidP="00EA121A">
            <w:pPr>
              <w:numPr>
                <w:ilvl w:val="0"/>
                <w:numId w:val="4"/>
              </w:numPr>
              <w:tabs>
                <w:tab w:val="left" w:pos="360"/>
              </w:tabs>
              <w:ind w:left="1077"/>
              <w:rPr>
                <w:rFonts w:cs="Arial"/>
              </w:rPr>
            </w:pPr>
            <w:r w:rsidRPr="00EC24A5">
              <w:rPr>
                <w:rFonts w:cs="Arial"/>
              </w:rPr>
              <w:t>to promote the humane treatment of wildlife;</w:t>
            </w:r>
          </w:p>
          <w:p w:rsidR="00814CC7" w:rsidRPr="00EC24A5" w:rsidRDefault="00814CC7" w:rsidP="00EA121A">
            <w:pPr>
              <w:numPr>
                <w:ilvl w:val="0"/>
                <w:numId w:val="4"/>
              </w:numPr>
              <w:tabs>
                <w:tab w:val="left" w:pos="360"/>
              </w:tabs>
              <w:ind w:left="1077"/>
              <w:rPr>
                <w:rFonts w:cs="Arial"/>
              </w:rPr>
            </w:pPr>
            <w:r w:rsidRPr="00EC24A5">
              <w:rPr>
                <w:rFonts w:cs="Arial"/>
              </w:rPr>
              <w:t>to ensure ethical conduct during any research associated with the utilisation of wildlife; and</w:t>
            </w:r>
          </w:p>
          <w:p w:rsidR="00814CC7" w:rsidRPr="00EC24A5" w:rsidRDefault="00814CC7" w:rsidP="00EA121A">
            <w:pPr>
              <w:numPr>
                <w:ilvl w:val="0"/>
                <w:numId w:val="5"/>
              </w:numPr>
              <w:tabs>
                <w:tab w:val="left" w:pos="360"/>
              </w:tabs>
              <w:ind w:left="1077"/>
              <w:rPr>
                <w:rFonts w:cs="Arial"/>
              </w:rPr>
            </w:pPr>
            <w:proofErr w:type="gramStart"/>
            <w:r w:rsidRPr="00EC24A5">
              <w:rPr>
                <w:rFonts w:cs="Arial"/>
              </w:rPr>
              <w:t>to</w:t>
            </w:r>
            <w:proofErr w:type="gramEnd"/>
            <w:r w:rsidRPr="00EC24A5">
              <w:rPr>
                <w:rFonts w:cs="Arial"/>
              </w:rPr>
              <w:t xml:space="preserve"> ensure the precautionary principle is taken into account in making decisions relating to the utilisation of wildlife.</w:t>
            </w:r>
          </w:p>
        </w:tc>
      </w:tr>
    </w:tbl>
    <w:p w:rsidR="00814CC7" w:rsidRPr="00EC24A5" w:rsidRDefault="00814CC7" w:rsidP="008D1370">
      <w:pPr>
        <w:rPr>
          <w:rFonts w:cs="Arial"/>
          <w:b/>
        </w:rPr>
      </w:pPr>
    </w:p>
    <w:p w:rsidR="00814CC7" w:rsidRPr="00EC24A5" w:rsidRDefault="00814CC7" w:rsidP="002A7A5C">
      <w:pPr>
        <w:shd w:val="clear" w:color="auto" w:fill="F2DBDB" w:themeFill="accent2" w:themeFillTint="33"/>
        <w:rPr>
          <w:rFonts w:cs="Arial"/>
          <w:b/>
        </w:rPr>
        <w:sectPr w:rsidR="00814CC7" w:rsidRPr="00EC24A5" w:rsidSect="006A1A47">
          <w:pgSz w:w="16838" w:h="11906" w:orient="landscape"/>
          <w:pgMar w:top="899" w:right="1361" w:bottom="567" w:left="1361" w:header="709" w:footer="69" w:gutter="0"/>
          <w:cols w:space="708"/>
          <w:docGrid w:linePitch="360"/>
        </w:sectPr>
      </w:pPr>
    </w:p>
    <w:p w:rsidR="00DA6A89" w:rsidRPr="00EC24A5" w:rsidRDefault="00081C74" w:rsidP="008F0B56">
      <w:pPr>
        <w:spacing w:after="120"/>
        <w:ind w:left="-709"/>
        <w:rPr>
          <w:rFonts w:cs="Arial"/>
          <w:i/>
        </w:rPr>
      </w:pPr>
      <w:proofErr w:type="gramStart"/>
      <w:r w:rsidRPr="00EC24A5">
        <w:rPr>
          <w:rFonts w:cs="Arial"/>
          <w:b/>
        </w:rPr>
        <w:t>Part 13A</w:t>
      </w:r>
      <w:r w:rsidRPr="00EC24A5">
        <w:rPr>
          <w:rFonts w:cs="Arial"/>
        </w:rPr>
        <w:t xml:space="preserve"> </w:t>
      </w:r>
      <w:r w:rsidRPr="00EC24A5">
        <w:rPr>
          <w:rFonts w:cs="Arial"/>
          <w:i/>
        </w:rPr>
        <w:t>(cont.)</w:t>
      </w:r>
      <w:proofErr w:type="gramEnd"/>
    </w:p>
    <w:tbl>
      <w:tblPr>
        <w:tblW w:w="15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0"/>
        <w:gridCol w:w="9142"/>
      </w:tblGrid>
      <w:tr w:rsidR="00F10691" w:rsidRPr="00EC24A5" w:rsidTr="00E27AB7">
        <w:trPr>
          <w:tblHeader/>
          <w:jc w:val="center"/>
        </w:trPr>
        <w:tc>
          <w:tcPr>
            <w:tcW w:w="6650" w:type="dxa"/>
          </w:tcPr>
          <w:p w:rsidR="00F10691" w:rsidRPr="00EC24A5" w:rsidRDefault="00F10691" w:rsidP="00E27AB7">
            <w:pPr>
              <w:rPr>
                <w:rFonts w:cs="Arial"/>
                <w:b/>
              </w:rPr>
            </w:pPr>
            <w:r w:rsidRPr="00EC24A5">
              <w:rPr>
                <w:rFonts w:cs="Arial"/>
                <w:b/>
              </w:rPr>
              <w:t>Section 303DC Minister may amend list</w:t>
            </w:r>
          </w:p>
        </w:tc>
        <w:tc>
          <w:tcPr>
            <w:tcW w:w="9142" w:type="dxa"/>
          </w:tcPr>
          <w:p w:rsidR="00F10691" w:rsidRPr="00EC24A5" w:rsidRDefault="00F10691" w:rsidP="00F10691">
            <w:pPr>
              <w:rPr>
                <w:rFonts w:cs="Arial"/>
                <w:b/>
              </w:rPr>
            </w:pPr>
            <w:r w:rsidRPr="00EC24A5">
              <w:rPr>
                <w:rFonts w:cs="Arial"/>
                <w:b/>
              </w:rPr>
              <w:t xml:space="preserve">The Department of the Environment’s assessment of the </w:t>
            </w:r>
            <w:r w:rsidR="005333AD">
              <w:rPr>
                <w:rFonts w:cs="Arial"/>
                <w:b/>
              </w:rPr>
              <w:t xml:space="preserve">Western Tuna and Billfish </w:t>
            </w:r>
            <w:r w:rsidRPr="00EC24A5">
              <w:rPr>
                <w:rFonts w:cs="Arial"/>
                <w:b/>
              </w:rPr>
              <w:t>Fishery</w:t>
            </w:r>
          </w:p>
        </w:tc>
      </w:tr>
      <w:tr w:rsidR="00F10691" w:rsidRPr="00EC24A5" w:rsidTr="00E27AB7">
        <w:trPr>
          <w:trHeight w:val="2860"/>
          <w:jc w:val="center"/>
        </w:trPr>
        <w:tc>
          <w:tcPr>
            <w:tcW w:w="6650" w:type="dxa"/>
            <w:tcMar>
              <w:top w:w="57" w:type="dxa"/>
              <w:bottom w:w="57" w:type="dxa"/>
            </w:tcMar>
          </w:tcPr>
          <w:p w:rsidR="00F10691" w:rsidRPr="00EC24A5" w:rsidRDefault="00F10691" w:rsidP="00F53C6C">
            <w:pPr>
              <w:ind w:left="720" w:hanging="720"/>
              <w:rPr>
                <w:rFonts w:cs="Arial"/>
              </w:rPr>
            </w:pPr>
            <w:r w:rsidRPr="00EC24A5">
              <w:rPr>
                <w:rFonts w:cs="Arial"/>
              </w:rPr>
              <w:t>(1)</w:t>
            </w:r>
            <w:r w:rsidRPr="00EC24A5">
              <w:rPr>
                <w:rFonts w:cs="Arial"/>
              </w:rPr>
              <w:tab/>
              <w:t>Minister may, by instrument published in the Gazette, amend the list referred to in section 303DB (list of exempt native specimens) by:</w:t>
            </w:r>
          </w:p>
          <w:p w:rsidR="00F10691" w:rsidRPr="00EC24A5" w:rsidRDefault="00F10691" w:rsidP="00EA121A">
            <w:pPr>
              <w:numPr>
                <w:ilvl w:val="0"/>
                <w:numId w:val="1"/>
              </w:numPr>
              <w:tabs>
                <w:tab w:val="clear" w:pos="1080"/>
              </w:tabs>
              <w:ind w:left="1156" w:hanging="425"/>
              <w:rPr>
                <w:rFonts w:cs="Arial"/>
              </w:rPr>
            </w:pPr>
            <w:r w:rsidRPr="00EC24A5">
              <w:rPr>
                <w:rFonts w:cs="Arial"/>
              </w:rPr>
              <w:t xml:space="preserve">including items in the list; </w:t>
            </w:r>
          </w:p>
          <w:p w:rsidR="00F10691" w:rsidRPr="00EC24A5" w:rsidRDefault="00F10691" w:rsidP="00EA121A">
            <w:pPr>
              <w:numPr>
                <w:ilvl w:val="0"/>
                <w:numId w:val="1"/>
              </w:numPr>
              <w:tabs>
                <w:tab w:val="clear" w:pos="1080"/>
              </w:tabs>
              <w:ind w:left="1156" w:hanging="425"/>
              <w:rPr>
                <w:rFonts w:cs="Arial"/>
              </w:rPr>
            </w:pPr>
            <w:r w:rsidRPr="00EC24A5">
              <w:rPr>
                <w:rFonts w:cs="Arial"/>
              </w:rPr>
              <w:t>deleting items from the list; or</w:t>
            </w:r>
          </w:p>
          <w:p w:rsidR="00F10691" w:rsidRPr="00EC24A5" w:rsidRDefault="00F10691" w:rsidP="00EA121A">
            <w:pPr>
              <w:numPr>
                <w:ilvl w:val="0"/>
                <w:numId w:val="1"/>
              </w:numPr>
              <w:tabs>
                <w:tab w:val="clear" w:pos="1080"/>
              </w:tabs>
              <w:ind w:left="1156" w:hanging="425"/>
              <w:rPr>
                <w:rFonts w:cs="Arial"/>
              </w:rPr>
            </w:pPr>
            <w:r w:rsidRPr="00EC24A5">
              <w:rPr>
                <w:rFonts w:cs="Arial"/>
              </w:rPr>
              <w:t>imposing a condition or restriction to which the inclusion of a specimen in the list is subject; or</w:t>
            </w:r>
          </w:p>
          <w:p w:rsidR="00F10691" w:rsidRPr="00EC24A5" w:rsidRDefault="00F10691" w:rsidP="00EA121A">
            <w:pPr>
              <w:numPr>
                <w:ilvl w:val="0"/>
                <w:numId w:val="1"/>
              </w:numPr>
              <w:tabs>
                <w:tab w:val="clear" w:pos="1080"/>
              </w:tabs>
              <w:ind w:left="1156" w:hanging="425"/>
              <w:rPr>
                <w:rFonts w:cs="Arial"/>
              </w:rPr>
            </w:pPr>
            <w:r w:rsidRPr="00EC24A5">
              <w:rPr>
                <w:rFonts w:cs="Arial"/>
              </w:rPr>
              <w:t>varying of revoking a condition or restriction to which the inclusion of a specimen in the list is subject; or</w:t>
            </w:r>
          </w:p>
          <w:p w:rsidR="00F10691" w:rsidRPr="00EC24A5" w:rsidRDefault="00F10691" w:rsidP="00EA121A">
            <w:pPr>
              <w:numPr>
                <w:ilvl w:val="0"/>
                <w:numId w:val="1"/>
              </w:numPr>
              <w:tabs>
                <w:tab w:val="clear" w:pos="1080"/>
              </w:tabs>
              <w:ind w:left="1156" w:hanging="425"/>
              <w:rPr>
                <w:rFonts w:cs="Arial"/>
              </w:rPr>
            </w:pPr>
            <w:proofErr w:type="gramStart"/>
            <w:r w:rsidRPr="00EC24A5">
              <w:rPr>
                <w:rFonts w:cs="Arial"/>
              </w:rPr>
              <w:t>correcting</w:t>
            </w:r>
            <w:proofErr w:type="gramEnd"/>
            <w:r w:rsidRPr="00EC24A5">
              <w:rPr>
                <w:rFonts w:cs="Arial"/>
              </w:rPr>
              <w:t xml:space="preserve"> an inaccuracy or updating the name of a species.</w:t>
            </w:r>
          </w:p>
        </w:tc>
        <w:tc>
          <w:tcPr>
            <w:tcW w:w="9142" w:type="dxa"/>
            <w:tcMar>
              <w:top w:w="57" w:type="dxa"/>
              <w:bottom w:w="57" w:type="dxa"/>
            </w:tcMar>
          </w:tcPr>
          <w:p w:rsidR="00F10691" w:rsidRPr="00EC24A5" w:rsidRDefault="00F10691" w:rsidP="00E27AB7">
            <w:pPr>
              <w:rPr>
                <w:rFonts w:cs="Arial"/>
              </w:rPr>
            </w:pPr>
            <w:r w:rsidRPr="00EC24A5">
              <w:rPr>
                <w:rFonts w:cs="Arial"/>
              </w:rPr>
              <w:t>The Department recommends that specimens derive</w:t>
            </w:r>
            <w:r w:rsidR="00ED38C4" w:rsidRPr="00EC24A5">
              <w:rPr>
                <w:rFonts w:cs="Arial"/>
              </w:rPr>
              <w:t>d from species harvested in the</w:t>
            </w:r>
            <w:r w:rsidR="00ED38C4" w:rsidRPr="00EC24A5">
              <w:rPr>
                <w:rFonts w:cs="Arial"/>
              </w:rPr>
              <w:br/>
            </w:r>
            <w:r w:rsidR="005333AD">
              <w:rPr>
                <w:rFonts w:cs="Arial"/>
              </w:rPr>
              <w:t xml:space="preserve">Western Tuna and Billfish </w:t>
            </w:r>
            <w:r w:rsidRPr="00EC24A5">
              <w:rPr>
                <w:rFonts w:cs="Arial"/>
              </w:rPr>
              <w:t>Fishery</w:t>
            </w:r>
            <w:r w:rsidR="00830C9E">
              <w:rPr>
                <w:rFonts w:cs="Arial"/>
              </w:rPr>
              <w:t xml:space="preserve">, </w:t>
            </w:r>
            <w:r w:rsidRPr="00EC24A5">
              <w:rPr>
                <w:rFonts w:cs="Arial"/>
              </w:rPr>
              <w:t>other than:</w:t>
            </w:r>
          </w:p>
          <w:p w:rsidR="00F10691" w:rsidRPr="00EC24A5" w:rsidRDefault="00F10691" w:rsidP="00E27AB7">
            <w:pPr>
              <w:pStyle w:val="ListBullet"/>
              <w:rPr>
                <w:rFonts w:cs="Arial"/>
                <w:snapToGrid w:val="0"/>
              </w:rPr>
            </w:pPr>
            <w:r w:rsidRPr="00EC24A5">
              <w:rPr>
                <w:rFonts w:cs="Arial"/>
                <w:snapToGrid w:val="0"/>
              </w:rPr>
              <w:t xml:space="preserve">specimens that belong to </w:t>
            </w:r>
            <w:proofErr w:type="spellStart"/>
            <w:r w:rsidR="00742551">
              <w:rPr>
                <w:rFonts w:cs="Arial"/>
                <w:snapToGrid w:val="0"/>
              </w:rPr>
              <w:t>taxa</w:t>
            </w:r>
            <w:proofErr w:type="spellEnd"/>
            <w:r w:rsidRPr="00EC24A5">
              <w:rPr>
                <w:rFonts w:cs="Arial"/>
                <w:snapToGrid w:val="0"/>
              </w:rPr>
              <w:t xml:space="preserve"> listed under Part 13 of the EPBC Act, and </w:t>
            </w:r>
          </w:p>
          <w:p w:rsidR="00F10691" w:rsidRPr="00EC24A5" w:rsidRDefault="00F10691" w:rsidP="00E27AB7">
            <w:pPr>
              <w:pStyle w:val="ListBullet"/>
              <w:rPr>
                <w:rFonts w:cs="Arial"/>
                <w:snapToGrid w:val="0"/>
              </w:rPr>
            </w:pPr>
            <w:r w:rsidRPr="00EC24A5">
              <w:rPr>
                <w:rFonts w:cs="Arial"/>
                <w:snapToGrid w:val="0"/>
              </w:rPr>
              <w:t xml:space="preserve">specimens that belong to </w:t>
            </w:r>
            <w:proofErr w:type="spellStart"/>
            <w:r w:rsidRPr="00EC24A5">
              <w:rPr>
                <w:rFonts w:cs="Arial"/>
                <w:snapToGrid w:val="0"/>
              </w:rPr>
              <w:t>taxa</w:t>
            </w:r>
            <w:proofErr w:type="spellEnd"/>
            <w:r w:rsidRPr="00EC24A5">
              <w:rPr>
                <w:rFonts w:cs="Arial"/>
                <w:snapToGrid w:val="0"/>
              </w:rPr>
              <w:t xml:space="preserve"> listed under section 303CA of the EPBC Act (Australia’</w:t>
            </w:r>
            <w:r w:rsidR="00ED38C4" w:rsidRPr="00EC24A5">
              <w:rPr>
                <w:rFonts w:cs="Arial"/>
                <w:snapToGrid w:val="0"/>
              </w:rPr>
              <w:t>s </w:t>
            </w:r>
            <w:r w:rsidRPr="00EC24A5">
              <w:rPr>
                <w:rFonts w:cs="Arial"/>
                <w:snapToGrid w:val="0"/>
              </w:rPr>
              <w:t>CITES list)</w:t>
            </w:r>
          </w:p>
          <w:p w:rsidR="00F10691" w:rsidRPr="00EC24A5" w:rsidRDefault="00F10691" w:rsidP="00830C9E">
            <w:pPr>
              <w:rPr>
                <w:rFonts w:eastAsia="Times New Roman" w:cs="Arial"/>
                <w:lang w:eastAsia="en-AU"/>
              </w:rPr>
            </w:pPr>
            <w:proofErr w:type="gramStart"/>
            <w:r w:rsidRPr="00EC24A5">
              <w:rPr>
                <w:rFonts w:cs="Arial"/>
              </w:rPr>
              <w:t>be</w:t>
            </w:r>
            <w:proofErr w:type="gramEnd"/>
            <w:r w:rsidRPr="00EC24A5">
              <w:rPr>
                <w:rFonts w:cs="Arial"/>
              </w:rPr>
              <w:t xml:space="preserve"> included in the list of exempt native specimens </w:t>
            </w:r>
            <w:r w:rsidR="00830C9E">
              <w:rPr>
                <w:rFonts w:cs="Arial"/>
              </w:rPr>
              <w:t>for a period of five years, until 28 November 2019</w:t>
            </w:r>
            <w:r w:rsidRPr="00EC24A5">
              <w:rPr>
                <w:rFonts w:cs="Arial"/>
              </w:rPr>
              <w:t>.</w:t>
            </w:r>
          </w:p>
        </w:tc>
      </w:tr>
      <w:tr w:rsidR="00F10691" w:rsidRPr="00EC24A5" w:rsidTr="00E27AB7">
        <w:trPr>
          <w:jc w:val="center"/>
        </w:trPr>
        <w:tc>
          <w:tcPr>
            <w:tcW w:w="6650" w:type="dxa"/>
          </w:tcPr>
          <w:p w:rsidR="00F10691" w:rsidRPr="00EC24A5" w:rsidRDefault="00F10691" w:rsidP="00442658">
            <w:pPr>
              <w:ind w:left="720" w:hanging="720"/>
              <w:rPr>
                <w:rFonts w:cs="Arial"/>
              </w:rPr>
            </w:pPr>
            <w:r w:rsidRPr="00EC24A5">
              <w:rPr>
                <w:rFonts w:cs="Arial"/>
              </w:rPr>
              <w:t>(1A)</w:t>
            </w:r>
            <w:r w:rsidRPr="00EC24A5">
              <w:rPr>
                <w:rFonts w:cs="Arial"/>
              </w:rPr>
              <w:tab/>
              <w:t xml:space="preserve">In deciding whether to amend </w:t>
            </w:r>
            <w:r w:rsidR="008B5587">
              <w:rPr>
                <w:rFonts w:cs="Arial"/>
              </w:rPr>
              <w:t>the list referred to in section </w:t>
            </w:r>
            <w:r w:rsidRPr="00EC24A5">
              <w:rPr>
                <w:rFonts w:cs="Arial"/>
              </w:rPr>
              <w:t>303DB (list of exempt native specimens) to include a specimen derived from a commercial fishery, the Minister must rely primarily on the outcomes of any assessment in relation to the fishery carried out for the purposes of Division 1 or 2 of Part 10.</w:t>
            </w:r>
          </w:p>
        </w:tc>
        <w:tc>
          <w:tcPr>
            <w:tcW w:w="9142" w:type="dxa"/>
          </w:tcPr>
          <w:p w:rsidR="009D3ADE" w:rsidRPr="00EC24A5" w:rsidRDefault="009D3ADE" w:rsidP="00D62D0A">
            <w:pPr>
              <w:rPr>
                <w:rFonts w:cs="Arial"/>
              </w:rPr>
            </w:pPr>
            <w:r>
              <w:rPr>
                <w:rFonts w:cs="Arial"/>
              </w:rPr>
              <w:t xml:space="preserve">The impact of actions under the proposed </w:t>
            </w:r>
            <w:r w:rsidR="00CE6E5A" w:rsidRPr="00CE6E5A">
              <w:t>Western Tuna and Billfish Fishery</w:t>
            </w:r>
            <w:r w:rsidR="00CE6E5A" w:rsidRPr="009D3ADE">
              <w:rPr>
                <w:rFonts w:cs="Arial"/>
                <w:i/>
              </w:rPr>
              <w:t xml:space="preserve"> </w:t>
            </w:r>
            <w:r>
              <w:rPr>
                <w:rFonts w:cs="Arial"/>
              </w:rPr>
              <w:t>Management Plan 2005 were</w:t>
            </w:r>
            <w:r w:rsidRPr="009D3ADE">
              <w:rPr>
                <w:rFonts w:cs="Arial"/>
              </w:rPr>
              <w:t xml:space="preserve"> assessed under Part</w:t>
            </w:r>
            <w:r>
              <w:rPr>
                <w:rFonts w:cs="Arial"/>
              </w:rPr>
              <w:t xml:space="preserve"> 10 </w:t>
            </w:r>
            <w:r w:rsidRPr="00D62D0A">
              <w:rPr>
                <w:rFonts w:cs="Arial"/>
              </w:rPr>
              <w:t>of the EPBC Act in December 2004</w:t>
            </w:r>
            <w:r w:rsidR="000C4BC9" w:rsidRPr="00D62D0A">
              <w:rPr>
                <w:rFonts w:cs="Arial"/>
              </w:rPr>
              <w:t xml:space="preserve">. As a result of that assessment, the Department considered that actions taken in accordance with the </w:t>
            </w:r>
            <w:proofErr w:type="spellStart"/>
            <w:r w:rsidR="000C4BC9" w:rsidRPr="00D62D0A">
              <w:rPr>
                <w:rFonts w:cs="Arial"/>
              </w:rPr>
              <w:t>fishery’s</w:t>
            </w:r>
            <w:proofErr w:type="spellEnd"/>
            <w:r w:rsidR="000C4BC9" w:rsidRPr="00D62D0A">
              <w:rPr>
                <w:rFonts w:cs="Arial"/>
              </w:rPr>
              <w:t xml:space="preserve"> management plan would not have</w:t>
            </w:r>
            <w:r w:rsidR="000C4BC9" w:rsidRPr="000C4BC9">
              <w:rPr>
                <w:rFonts w:cs="Arial"/>
              </w:rPr>
              <w:t xml:space="preserve"> an unacceptable or unsustainable impact on the environment in a Commonwealth marine area.</w:t>
            </w:r>
          </w:p>
        </w:tc>
      </w:tr>
      <w:tr w:rsidR="00F10691" w:rsidRPr="00EC24A5" w:rsidTr="00E27AB7">
        <w:trPr>
          <w:jc w:val="center"/>
        </w:trPr>
        <w:tc>
          <w:tcPr>
            <w:tcW w:w="6650" w:type="dxa"/>
          </w:tcPr>
          <w:p w:rsidR="00F10691" w:rsidRPr="00EC24A5" w:rsidRDefault="00F10691" w:rsidP="008E7CBC">
            <w:pPr>
              <w:pageBreakBefore/>
              <w:ind w:left="720" w:hanging="720"/>
              <w:rPr>
                <w:rFonts w:cs="Arial"/>
              </w:rPr>
            </w:pPr>
            <w:r w:rsidRPr="00EC24A5">
              <w:rPr>
                <w:rFonts w:cs="Arial"/>
              </w:rPr>
              <w:t>(1C)</w:t>
            </w:r>
            <w:r w:rsidRPr="00EC24A5">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9142" w:type="dxa"/>
          </w:tcPr>
          <w:p w:rsidR="00F10691" w:rsidRPr="00EC24A5" w:rsidRDefault="00F10691" w:rsidP="008E7CBC">
            <w:pPr>
              <w:pageBreakBefore/>
              <w:rPr>
                <w:rFonts w:cs="Arial"/>
              </w:rPr>
            </w:pPr>
            <w:r w:rsidRPr="00EC24A5">
              <w:rPr>
                <w:rFonts w:cs="Arial"/>
              </w:rPr>
              <w:t xml:space="preserve">It is not possible to list exhaustively the factors that you may take into account in amending the </w:t>
            </w:r>
            <w:r w:rsidR="004A1870">
              <w:rPr>
                <w:rFonts w:cs="Arial"/>
              </w:rPr>
              <w:t>l</w:t>
            </w:r>
            <w:r w:rsidRPr="00EC24A5">
              <w:rPr>
                <w:rFonts w:cs="Arial"/>
              </w:rPr>
              <w:t xml:space="preserve">ist of </w:t>
            </w:r>
            <w:r w:rsidR="004A1870">
              <w:rPr>
                <w:rFonts w:cs="Arial"/>
              </w:rPr>
              <w:t>e</w:t>
            </w:r>
            <w:r w:rsidRPr="00EC24A5">
              <w:rPr>
                <w:rFonts w:cs="Arial"/>
              </w:rPr>
              <w:t xml:space="preserve">xempt </w:t>
            </w:r>
            <w:r w:rsidR="004A1870">
              <w:rPr>
                <w:rFonts w:cs="Arial"/>
              </w:rPr>
              <w:t>n</w:t>
            </w:r>
            <w:r w:rsidRPr="00EC24A5">
              <w:rPr>
                <w:rFonts w:cs="Arial"/>
              </w:rPr>
              <w:t xml:space="preserve">ative </w:t>
            </w:r>
            <w:r w:rsidR="004A1870">
              <w:rPr>
                <w:rFonts w:cs="Arial"/>
              </w:rPr>
              <w:t>s</w:t>
            </w:r>
            <w:r w:rsidRPr="00EC24A5">
              <w:rPr>
                <w:rFonts w:cs="Arial"/>
              </w:rPr>
              <w:t>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F10691" w:rsidRPr="00EC24A5" w:rsidRDefault="00F10691" w:rsidP="008E7CBC">
            <w:pPr>
              <w:pageBreakBefore/>
              <w:spacing w:after="100"/>
              <w:rPr>
                <w:rFonts w:cs="Arial"/>
              </w:rPr>
            </w:pPr>
            <w:r w:rsidRPr="00EC24A5">
              <w:rPr>
                <w:rFonts w:cs="Arial"/>
                <w:iCs/>
              </w:rPr>
              <w:t xml:space="preserve">The Department considers that the amendment of the </w:t>
            </w:r>
            <w:r w:rsidRPr="00EC24A5">
              <w:rPr>
                <w:rFonts w:cs="Arial"/>
              </w:rPr>
              <w:t>list of exempt native specimens</w:t>
            </w:r>
            <w:r w:rsidRPr="00EC24A5">
              <w:rPr>
                <w:rFonts w:cs="Arial"/>
                <w:iCs/>
              </w:rPr>
              <w:t xml:space="preserve"> to include product taken in the </w:t>
            </w:r>
            <w:r w:rsidR="005333AD">
              <w:rPr>
                <w:rFonts w:cs="Arial"/>
              </w:rPr>
              <w:t xml:space="preserve">Western Tuna and Billfish </w:t>
            </w:r>
            <w:r w:rsidR="00B7462F">
              <w:rPr>
                <w:rFonts w:cs="Arial"/>
              </w:rPr>
              <w:t>Fishery</w:t>
            </w:r>
            <w:r w:rsidR="00750857">
              <w:rPr>
                <w:rFonts w:cs="Arial"/>
              </w:rPr>
              <w:t xml:space="preserve"> </w:t>
            </w:r>
            <w:r w:rsidR="00115224" w:rsidRPr="00EC24A5">
              <w:rPr>
                <w:rFonts w:cs="Arial"/>
              </w:rPr>
              <w:t xml:space="preserve">(excluding </w:t>
            </w:r>
            <w:r w:rsidR="00115224" w:rsidRPr="00EC24A5">
              <w:rPr>
                <w:rFonts w:cs="Arial"/>
                <w:snapToGrid w:val="0"/>
              </w:rPr>
              <w:t xml:space="preserve">specimens of protected species and specimens of CITES listed species) </w:t>
            </w:r>
            <w:r w:rsidR="00115224" w:rsidRPr="00EC24A5">
              <w:rPr>
                <w:rFonts w:cs="Arial"/>
                <w:iCs/>
              </w:rPr>
              <w:t>would be consistent with the provisions of Part 13A as:</w:t>
            </w:r>
          </w:p>
          <w:p w:rsidR="00F10691" w:rsidRPr="00EC24A5" w:rsidRDefault="00F10691" w:rsidP="008E7CBC">
            <w:pPr>
              <w:pStyle w:val="ListBullet"/>
              <w:pageBreakBefore/>
              <w:rPr>
                <w:rFonts w:cs="Arial"/>
              </w:rPr>
            </w:pPr>
            <w:r w:rsidRPr="00EC24A5">
              <w:rPr>
                <w:rFonts w:cs="Arial"/>
              </w:rPr>
              <w:t>there are management arrangements in place to ensure that the resource is being managed in an ecologically sustainable way (see Table 1)</w:t>
            </w:r>
          </w:p>
          <w:p w:rsidR="00F10691" w:rsidRPr="00EC24A5" w:rsidRDefault="00F10691" w:rsidP="008E7CBC">
            <w:pPr>
              <w:pStyle w:val="ListBullet"/>
              <w:pageBreakBefore/>
              <w:rPr>
                <w:rFonts w:cs="Arial"/>
              </w:rPr>
            </w:pPr>
            <w:r w:rsidRPr="00EC24A5">
              <w:rPr>
                <w:rFonts w:cs="Arial"/>
              </w:rPr>
              <w:t>any CITES listed species which may be captured in the fishery are excluded from the inclusion in the list of exempt native specimens</w:t>
            </w:r>
          </w:p>
          <w:p w:rsidR="00F10691" w:rsidRPr="00EC24A5" w:rsidRDefault="00F10691" w:rsidP="008E7CBC">
            <w:pPr>
              <w:pStyle w:val="ListBullet"/>
              <w:pageBreakBefore/>
              <w:rPr>
                <w:rFonts w:cs="Arial"/>
              </w:rPr>
            </w:pPr>
            <w:r w:rsidRPr="00EC24A5">
              <w:rPr>
                <w:rFonts w:cs="Arial"/>
              </w:rPr>
              <w:t>the operation of the fishery during the period of the recommended inclusion</w:t>
            </w:r>
            <w:r w:rsidR="008B5587">
              <w:rPr>
                <w:rFonts w:cs="Arial"/>
              </w:rPr>
              <w:t xml:space="preserve"> (five years)</w:t>
            </w:r>
            <w:r w:rsidRPr="00EC24A5">
              <w:rPr>
                <w:rFonts w:cs="Arial"/>
              </w:rPr>
              <w:t xml:space="preserve"> is unlikely to be unsustainable and threaten biodiversity</w:t>
            </w:r>
          </w:p>
          <w:p w:rsidR="00F10691" w:rsidRPr="00EC24A5" w:rsidRDefault="00F10691" w:rsidP="008E7CBC">
            <w:pPr>
              <w:pStyle w:val="ListBullet"/>
              <w:pageBreakBefore/>
              <w:rPr>
                <w:rFonts w:cs="Arial"/>
              </w:rPr>
            </w:pPr>
            <w:proofErr w:type="gramStart"/>
            <w:r w:rsidRPr="00EC24A5">
              <w:rPr>
                <w:rFonts w:cs="Arial"/>
              </w:rPr>
              <w:t>the</w:t>
            </w:r>
            <w:proofErr w:type="gramEnd"/>
            <w:r w:rsidRPr="00EC24A5">
              <w:rPr>
                <w:rFonts w:cs="Arial"/>
              </w:rPr>
              <w:t xml:space="preserve"> Environment Protection and Biodiversity Conservation Regulations 2000 do not specify fish as a class of animal in relation to the welfare of live specimens.</w:t>
            </w:r>
          </w:p>
        </w:tc>
      </w:tr>
      <w:tr w:rsidR="00F10691" w:rsidRPr="00EC24A5" w:rsidTr="00E27AB7">
        <w:trPr>
          <w:jc w:val="center"/>
        </w:trPr>
        <w:tc>
          <w:tcPr>
            <w:tcW w:w="6650" w:type="dxa"/>
          </w:tcPr>
          <w:p w:rsidR="00F10691" w:rsidRPr="00EC24A5" w:rsidRDefault="00F10691" w:rsidP="008E7CBC">
            <w:pPr>
              <w:pageBreakBefore/>
              <w:ind w:left="360" w:hanging="360"/>
              <w:rPr>
                <w:rFonts w:cs="Arial"/>
              </w:rPr>
            </w:pPr>
            <w:r w:rsidRPr="00EC24A5">
              <w:rPr>
                <w:rFonts w:cs="Arial"/>
              </w:rPr>
              <w:t>(3)</w:t>
            </w:r>
            <w:r w:rsidRPr="00EC24A5">
              <w:rPr>
                <w:rFonts w:cs="Arial"/>
              </w:rPr>
              <w:tab/>
              <w:t>Before amending the list referred to in section 303DB (list of exempt native specimens), the Minister:</w:t>
            </w:r>
          </w:p>
          <w:p w:rsidR="00F10691" w:rsidRPr="00EC24A5" w:rsidRDefault="00F10691" w:rsidP="00EA121A">
            <w:pPr>
              <w:pageBreakBefore/>
              <w:numPr>
                <w:ilvl w:val="0"/>
                <w:numId w:val="11"/>
              </w:numPr>
              <w:spacing w:line="240" w:lineRule="auto"/>
              <w:rPr>
                <w:rFonts w:cs="Arial"/>
              </w:rPr>
            </w:pPr>
            <w:r w:rsidRPr="00EC24A5">
              <w:rPr>
                <w:rFonts w:cs="Arial"/>
              </w:rPr>
              <w:t>must consult such other Minister or Ministers as the Minister considers appropriate; and</w:t>
            </w:r>
          </w:p>
          <w:p w:rsidR="00F10691" w:rsidRPr="00EC24A5" w:rsidRDefault="00F10691" w:rsidP="00EA121A">
            <w:pPr>
              <w:pageBreakBefore/>
              <w:numPr>
                <w:ilvl w:val="0"/>
                <w:numId w:val="11"/>
              </w:numPr>
              <w:spacing w:line="240" w:lineRule="auto"/>
              <w:rPr>
                <w:rFonts w:cs="Arial"/>
              </w:rPr>
            </w:pPr>
            <w:r w:rsidRPr="00EC24A5">
              <w:rPr>
                <w:rFonts w:cs="Arial"/>
              </w:rPr>
              <w:t>must consult such other Minister or Ministers of each State and self-governing Territory as the Minster considers appropriate; and</w:t>
            </w:r>
          </w:p>
          <w:p w:rsidR="00F10691" w:rsidRPr="00EC24A5" w:rsidRDefault="00F10691" w:rsidP="00EA121A">
            <w:pPr>
              <w:pageBreakBefore/>
              <w:numPr>
                <w:ilvl w:val="0"/>
                <w:numId w:val="11"/>
              </w:numPr>
              <w:spacing w:after="0" w:line="240" w:lineRule="auto"/>
              <w:rPr>
                <w:rFonts w:cs="Arial"/>
              </w:rPr>
            </w:pPr>
            <w:proofErr w:type="gramStart"/>
            <w:r w:rsidRPr="00EC24A5">
              <w:rPr>
                <w:rFonts w:cs="Arial"/>
              </w:rPr>
              <w:t>may</w:t>
            </w:r>
            <w:proofErr w:type="gramEnd"/>
            <w:r w:rsidRPr="00EC24A5">
              <w:rPr>
                <w:rFonts w:cs="Arial"/>
              </w:rPr>
              <w:t xml:space="preserve"> consult such other persons and organisations as the Minister considers appropriate. </w:t>
            </w:r>
          </w:p>
          <w:p w:rsidR="00F10691" w:rsidRPr="00EC24A5" w:rsidRDefault="00F10691" w:rsidP="008E7CBC">
            <w:pPr>
              <w:pageBreakBefore/>
              <w:rPr>
                <w:rFonts w:cs="Arial"/>
              </w:rPr>
            </w:pPr>
          </w:p>
        </w:tc>
        <w:tc>
          <w:tcPr>
            <w:tcW w:w="9142" w:type="dxa"/>
          </w:tcPr>
          <w:p w:rsidR="008F26AC" w:rsidRDefault="008F26AC" w:rsidP="008E7CBC">
            <w:pPr>
              <w:pageBreakBefore/>
              <w:spacing w:after="120"/>
              <w:rPr>
                <w:rFonts w:cs="Arial"/>
                <w:iCs/>
              </w:rPr>
            </w:pPr>
          </w:p>
          <w:p w:rsidR="008F26AC" w:rsidRDefault="008F26AC" w:rsidP="008E7CBC">
            <w:pPr>
              <w:pageBreakBefore/>
              <w:spacing w:after="120"/>
              <w:rPr>
                <w:rFonts w:cs="Arial"/>
                <w:iCs/>
              </w:rPr>
            </w:pPr>
          </w:p>
          <w:p w:rsidR="008F26AC" w:rsidRPr="007F7BCA" w:rsidRDefault="008F26AC" w:rsidP="008F26AC">
            <w:pPr>
              <w:spacing w:after="120"/>
              <w:rPr>
                <w:iCs/>
              </w:rPr>
            </w:pPr>
            <w:r w:rsidRPr="007F7BCA">
              <w:rPr>
                <w:iCs/>
              </w:rPr>
              <w:t>The Department considers that the consultation requirements have been met.</w:t>
            </w:r>
          </w:p>
          <w:p w:rsidR="008F26AC" w:rsidRPr="007F7BCA" w:rsidRDefault="008F26AC" w:rsidP="008F26AC">
            <w:pPr>
              <w:spacing w:after="120"/>
              <w:rPr>
                <w:rFonts w:cs="Arial"/>
                <w:iCs/>
              </w:rPr>
            </w:pPr>
            <w:r w:rsidRPr="007F7BCA">
              <w:rPr>
                <w:rFonts w:cs="Arial"/>
                <w:iCs/>
              </w:rPr>
              <w:t>The 201</w:t>
            </w:r>
            <w:r w:rsidR="00493817">
              <w:rPr>
                <w:rFonts w:cs="Arial"/>
                <w:iCs/>
              </w:rPr>
              <w:t>4</w:t>
            </w:r>
            <w:r w:rsidRPr="007F7BCA">
              <w:rPr>
                <w:rFonts w:cs="Arial"/>
                <w:iCs/>
              </w:rPr>
              <w:t xml:space="preserve"> application for the</w:t>
            </w:r>
            <w:r w:rsidRPr="007F7BCA">
              <w:t xml:space="preserve"> </w:t>
            </w:r>
            <w:r>
              <w:t>We</w:t>
            </w:r>
            <w:r w:rsidRPr="007F7BCA">
              <w:t>stern Tuna and Billfish Fishery</w:t>
            </w:r>
            <w:r w:rsidRPr="007F7BCA">
              <w:rPr>
                <w:rFonts w:cs="Arial"/>
                <w:iCs/>
              </w:rPr>
              <w:t xml:space="preserve"> received from </w:t>
            </w:r>
            <w:r w:rsidR="00DE2939">
              <w:rPr>
                <w:rFonts w:cs="Arial"/>
                <w:iCs/>
              </w:rPr>
              <w:t>the Australian Fisheries Management Authority (</w:t>
            </w:r>
            <w:r w:rsidR="009F5D44">
              <w:rPr>
                <w:rFonts w:cs="Arial"/>
                <w:iCs/>
              </w:rPr>
              <w:t>AFMA</w:t>
            </w:r>
            <w:r w:rsidR="00DE2939">
              <w:rPr>
                <w:rFonts w:cs="Arial"/>
                <w:iCs/>
              </w:rPr>
              <w:t xml:space="preserve">) </w:t>
            </w:r>
            <w:r w:rsidRPr="007F7BCA">
              <w:rPr>
                <w:rFonts w:cs="Arial"/>
                <w:iCs/>
              </w:rPr>
              <w:t xml:space="preserve">was released for public comment from </w:t>
            </w:r>
            <w:r w:rsidR="00D62D0A" w:rsidRPr="00D62D0A">
              <w:rPr>
                <w:rFonts w:cs="Arial"/>
                <w:iCs/>
              </w:rPr>
              <w:t>22</w:t>
            </w:r>
            <w:r w:rsidRPr="00D62D0A">
              <w:rPr>
                <w:rFonts w:cs="Arial"/>
                <w:iCs/>
              </w:rPr>
              <w:t> </w:t>
            </w:r>
            <w:r w:rsidR="007E640B" w:rsidRPr="00D62D0A">
              <w:rPr>
                <w:rFonts w:cs="Arial"/>
                <w:iCs/>
              </w:rPr>
              <w:t>August</w:t>
            </w:r>
            <w:r w:rsidRPr="007E640B">
              <w:rPr>
                <w:rFonts w:cs="Arial"/>
                <w:iCs/>
              </w:rPr>
              <w:t xml:space="preserve"> to 1</w:t>
            </w:r>
            <w:r w:rsidR="007E640B" w:rsidRPr="007E640B">
              <w:rPr>
                <w:rFonts w:cs="Arial"/>
                <w:iCs/>
              </w:rPr>
              <w:t>9 Septe</w:t>
            </w:r>
            <w:r w:rsidRPr="007E640B">
              <w:rPr>
                <w:rFonts w:cs="Arial"/>
                <w:iCs/>
              </w:rPr>
              <w:t>mber 201</w:t>
            </w:r>
            <w:r w:rsidR="00493817">
              <w:rPr>
                <w:rFonts w:cs="Arial"/>
                <w:iCs/>
              </w:rPr>
              <w:t>4</w:t>
            </w:r>
            <w:r w:rsidRPr="007F7BCA">
              <w:rPr>
                <w:rFonts w:cs="Arial"/>
                <w:iCs/>
              </w:rPr>
              <w:t>. The public comment period sought comment on:</w:t>
            </w:r>
          </w:p>
          <w:p w:rsidR="008F26AC" w:rsidRPr="007F7BCA" w:rsidRDefault="008F26AC" w:rsidP="008F26AC">
            <w:pPr>
              <w:pStyle w:val="ListBullet"/>
            </w:pPr>
            <w:r w:rsidRPr="007F7BCA">
              <w:t xml:space="preserve">the proposal to amend the list of exempt native specimens to include product derived from the </w:t>
            </w:r>
            <w:r>
              <w:t>We</w:t>
            </w:r>
            <w:r w:rsidRPr="007F7BCA">
              <w:t xml:space="preserve">stern Tuna and Billfish Fishery </w:t>
            </w:r>
          </w:p>
          <w:p w:rsidR="008F26AC" w:rsidRPr="007F7BCA" w:rsidRDefault="00B35119" w:rsidP="008F26AC">
            <w:pPr>
              <w:pStyle w:val="ListBullet"/>
            </w:pPr>
            <w:r>
              <w:t>AFMA</w:t>
            </w:r>
            <w:r w:rsidR="008F26AC" w:rsidRPr="007F7BCA">
              <w:rPr>
                <w:iCs/>
              </w:rPr>
              <w:t xml:space="preserve">’s </w:t>
            </w:r>
            <w:r w:rsidR="008F26AC" w:rsidRPr="007F7BCA">
              <w:t>application.</w:t>
            </w:r>
          </w:p>
          <w:p w:rsidR="00F10691" w:rsidRPr="00EC24A5" w:rsidRDefault="00346B05" w:rsidP="00D62D0A">
            <w:pPr>
              <w:pageBreakBefore/>
              <w:spacing w:after="120"/>
            </w:pPr>
            <w:r w:rsidRPr="00346B05">
              <w:t>One comment was</w:t>
            </w:r>
            <w:r w:rsidR="00F10691" w:rsidRPr="00346B05">
              <w:t xml:space="preserve"> received.</w:t>
            </w:r>
          </w:p>
        </w:tc>
      </w:tr>
      <w:tr w:rsidR="00F10691" w:rsidRPr="00EC24A5" w:rsidTr="00E27AB7">
        <w:trPr>
          <w:jc w:val="center"/>
        </w:trPr>
        <w:tc>
          <w:tcPr>
            <w:tcW w:w="6650" w:type="dxa"/>
          </w:tcPr>
          <w:p w:rsidR="00F10691" w:rsidRPr="00EC24A5" w:rsidRDefault="00F10691" w:rsidP="00E27AB7">
            <w:pPr>
              <w:spacing w:before="120" w:after="120"/>
              <w:ind w:left="360" w:hanging="360"/>
              <w:rPr>
                <w:rFonts w:cs="Arial"/>
              </w:rPr>
            </w:pPr>
            <w:r w:rsidRPr="00EC24A5">
              <w:rPr>
                <w:rFonts w:cs="Arial"/>
              </w:rPr>
              <w:t>(5)</w:t>
            </w:r>
            <w:r w:rsidRPr="00EC24A5">
              <w:rPr>
                <w:rFonts w:cs="Arial"/>
              </w:rPr>
              <w:tab/>
              <w:t>A copy of an instrument made under section 303DC is to be made available for inspection on the Internet.</w:t>
            </w:r>
          </w:p>
        </w:tc>
        <w:tc>
          <w:tcPr>
            <w:tcW w:w="9142" w:type="dxa"/>
          </w:tcPr>
          <w:p w:rsidR="00F10691" w:rsidRPr="00EC24A5" w:rsidRDefault="00F10691" w:rsidP="002365A9">
            <w:pPr>
              <w:spacing w:before="120" w:after="120"/>
              <w:rPr>
                <w:rFonts w:cs="Arial"/>
              </w:rPr>
            </w:pPr>
            <w:r w:rsidRPr="00EC24A5">
              <w:rPr>
                <w:rFonts w:cs="Arial"/>
              </w:rPr>
              <w:t xml:space="preserve">The instrument </w:t>
            </w:r>
            <w:r w:rsidR="002365A9">
              <w:rPr>
                <w:rFonts w:cs="Arial"/>
              </w:rPr>
              <w:t xml:space="preserve">amending the list of exempt native specimens derived from the </w:t>
            </w:r>
            <w:r w:rsidR="005333AD">
              <w:rPr>
                <w:rFonts w:cs="Arial"/>
              </w:rPr>
              <w:t xml:space="preserve">Western Tuna and Billfish </w:t>
            </w:r>
            <w:r w:rsidR="00FC2324">
              <w:rPr>
                <w:rFonts w:cs="Arial"/>
              </w:rPr>
              <w:t>Fishery</w:t>
            </w:r>
            <w:r w:rsidR="002365A9">
              <w:rPr>
                <w:rFonts w:cs="Arial"/>
              </w:rPr>
              <w:t xml:space="preserve">, </w:t>
            </w:r>
            <w:r w:rsidR="008E7CBC" w:rsidRPr="00EC24A5">
              <w:rPr>
                <w:rFonts w:cs="Arial"/>
              </w:rPr>
              <w:t>made under section </w:t>
            </w:r>
            <w:r w:rsidRPr="00EC24A5">
              <w:rPr>
                <w:rFonts w:cs="Arial"/>
              </w:rPr>
              <w:t>303DC</w:t>
            </w:r>
            <w:r w:rsidR="002365A9">
              <w:rPr>
                <w:rFonts w:cs="Arial"/>
              </w:rPr>
              <w:t>,</w:t>
            </w:r>
            <w:r w:rsidRPr="00EC24A5">
              <w:rPr>
                <w:rFonts w:cs="Arial"/>
              </w:rPr>
              <w:t xml:space="preserve"> will be gazetted and made available through the Department’s website.</w:t>
            </w:r>
          </w:p>
        </w:tc>
      </w:tr>
    </w:tbl>
    <w:p w:rsidR="0017107A" w:rsidRDefault="0017107A" w:rsidP="0017107A">
      <w:pPr>
        <w:spacing w:after="120"/>
        <w:rPr>
          <w:rFonts w:cs="Arial"/>
          <w:i/>
        </w:rPr>
      </w:pPr>
    </w:p>
    <w:p w:rsidR="0017107A" w:rsidRPr="0017107A" w:rsidRDefault="0017107A" w:rsidP="0017107A">
      <w:pPr>
        <w:spacing w:after="120"/>
        <w:ind w:left="-709"/>
        <w:rPr>
          <w:rFonts w:cs="Arial"/>
          <w:i/>
        </w:rPr>
        <w:sectPr w:rsidR="0017107A" w:rsidRPr="0017107A" w:rsidSect="0055572E">
          <w:pgSz w:w="16838" w:h="11906" w:orient="landscape"/>
          <w:pgMar w:top="899" w:right="1361" w:bottom="567" w:left="1361" w:header="709" w:footer="0" w:gutter="0"/>
          <w:cols w:space="708"/>
          <w:docGrid w:linePitch="360"/>
        </w:sectPr>
      </w:pPr>
    </w:p>
    <w:p w:rsidR="000F7C9D" w:rsidRPr="00EC24A5" w:rsidRDefault="000F7C9D" w:rsidP="00FD43BC">
      <w:pPr>
        <w:pStyle w:val="Heading2"/>
        <w:ind w:left="-709"/>
      </w:pPr>
      <w:r w:rsidRPr="00EC24A5">
        <w:t>Part 12</w:t>
      </w:r>
    </w:p>
    <w:tbl>
      <w:tblPr>
        <w:tblW w:w="1587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55"/>
        <w:gridCol w:w="8221"/>
      </w:tblGrid>
      <w:tr w:rsidR="004737CB" w:rsidRPr="00EC24A5" w:rsidTr="004737CB">
        <w:tc>
          <w:tcPr>
            <w:tcW w:w="7655" w:type="dxa"/>
          </w:tcPr>
          <w:p w:rsidR="004737CB" w:rsidRPr="00EC24A5" w:rsidRDefault="004737CB" w:rsidP="00D55818">
            <w:pPr>
              <w:pStyle w:val="Heading2"/>
            </w:pPr>
            <w:r w:rsidRPr="00EC24A5">
              <w:t>Section 176 Bioregional Plans</w:t>
            </w:r>
          </w:p>
        </w:tc>
        <w:tc>
          <w:tcPr>
            <w:tcW w:w="8221" w:type="dxa"/>
          </w:tcPr>
          <w:p w:rsidR="004737CB" w:rsidRPr="00EC24A5" w:rsidRDefault="004737CB" w:rsidP="008461B1">
            <w:pPr>
              <w:rPr>
                <w:rFonts w:cs="Arial"/>
                <w:b/>
              </w:rPr>
            </w:pPr>
            <w:r w:rsidRPr="00EC24A5">
              <w:rPr>
                <w:rFonts w:cs="Arial"/>
                <w:b/>
              </w:rPr>
              <w:t xml:space="preserve">The Department of the Environment’s assessment of the </w:t>
            </w:r>
            <w:r w:rsidR="00D318B5">
              <w:rPr>
                <w:rFonts w:cs="Arial"/>
                <w:b/>
              </w:rPr>
              <w:t xml:space="preserve">Western Tuna and Billfish </w:t>
            </w:r>
            <w:r w:rsidRPr="00EC24A5">
              <w:rPr>
                <w:rFonts w:cs="Arial"/>
                <w:b/>
              </w:rPr>
              <w:t>Fishery</w:t>
            </w:r>
          </w:p>
        </w:tc>
      </w:tr>
      <w:tr w:rsidR="004737CB" w:rsidRPr="00EC24A5" w:rsidTr="004737CB">
        <w:tc>
          <w:tcPr>
            <w:tcW w:w="7655" w:type="dxa"/>
          </w:tcPr>
          <w:p w:rsidR="004737CB" w:rsidRPr="00EC24A5" w:rsidRDefault="004737CB" w:rsidP="00D55818">
            <w:pPr>
              <w:ind w:left="360" w:hanging="360"/>
              <w:rPr>
                <w:rFonts w:cs="Arial"/>
              </w:rPr>
            </w:pPr>
            <w:r w:rsidRPr="00EC24A5">
              <w:rPr>
                <w:rFonts w:cs="Arial"/>
              </w:rPr>
              <w:t>(5)</w:t>
            </w:r>
            <w:r w:rsidRPr="00EC24A5">
              <w:rPr>
                <w:rFonts w:cs="Arial"/>
              </w:rPr>
              <w:tab/>
              <w:t>Subject to this Act, the Minister must have regard to a bioregional plan in making any decision under this Act to which the plan is relevant.</w:t>
            </w:r>
          </w:p>
        </w:tc>
        <w:tc>
          <w:tcPr>
            <w:tcW w:w="8221" w:type="dxa"/>
            <w:tcMar>
              <w:top w:w="57" w:type="dxa"/>
              <w:bottom w:w="57" w:type="dxa"/>
            </w:tcMar>
          </w:tcPr>
          <w:p w:rsidR="00BD1D4D" w:rsidRPr="00B91D4F" w:rsidRDefault="00BD1D4D" w:rsidP="00BD1D4D">
            <w:r>
              <w:t>The</w:t>
            </w:r>
            <w:r w:rsidRPr="00EC24A5">
              <w:t xml:space="preserve"> area </w:t>
            </w:r>
            <w:r>
              <w:t xml:space="preserve">of the Western Tuna and Billfish Fishery partially overlaps with the South-west Marine Region and the North-west Marine Region. </w:t>
            </w:r>
            <w:proofErr w:type="spellStart"/>
            <w:r w:rsidRPr="007F7BCA">
              <w:t>Bycatch</w:t>
            </w:r>
            <w:proofErr w:type="spellEnd"/>
            <w:r w:rsidRPr="007F7BCA">
              <w:t xml:space="preserve"> associated with commercial and recreational fishing activities is identified as a widespread pressure on the conservation values of the</w:t>
            </w:r>
            <w:r>
              <w:t>se</w:t>
            </w:r>
            <w:r w:rsidRPr="007F7BCA">
              <w:t xml:space="preserve"> region</w:t>
            </w:r>
            <w:r>
              <w:t>s</w:t>
            </w:r>
            <w:r w:rsidRPr="007F7BCA">
              <w:t xml:space="preserve">. </w:t>
            </w:r>
            <w:r>
              <w:t xml:space="preserve">The </w:t>
            </w:r>
            <w:r>
              <w:rPr>
                <w:i/>
              </w:rPr>
              <w:t>Marine </w:t>
            </w:r>
            <w:r w:rsidRPr="00180CBF">
              <w:rPr>
                <w:i/>
              </w:rPr>
              <w:t>Bioregional Plan for the North-west Marine Region 2012</w:t>
            </w:r>
            <w:r>
              <w:t xml:space="preserve"> and the </w:t>
            </w:r>
            <w:r w:rsidR="006465EF">
              <w:rPr>
                <w:i/>
              </w:rPr>
              <w:t>Marine </w:t>
            </w:r>
            <w:r w:rsidRPr="00180CBF">
              <w:rPr>
                <w:i/>
              </w:rPr>
              <w:t>Bioregional Plan for the South-west Marine Region 2012</w:t>
            </w:r>
            <w:r w:rsidRPr="007A1A0E">
              <w:t xml:space="preserve"> </w:t>
            </w:r>
            <w:r>
              <w:t>identify</w:t>
            </w:r>
            <w:r w:rsidRPr="00B91D4F">
              <w:t xml:space="preserve"> </w:t>
            </w:r>
            <w:r w:rsidRPr="007F7BCA">
              <w:t xml:space="preserve">a number of regional priorities, some of which are relevant to the </w:t>
            </w:r>
            <w:r>
              <w:t xml:space="preserve">Western Tuna and Billfish Fishery. In particular, </w:t>
            </w:r>
            <w:proofErr w:type="spellStart"/>
            <w:r w:rsidRPr="007F7BCA">
              <w:t>bycatch</w:t>
            </w:r>
            <w:proofErr w:type="spellEnd"/>
            <w:r w:rsidRPr="007F7BCA">
              <w:rPr>
                <w:b/>
              </w:rPr>
              <w:t xml:space="preserve"> </w:t>
            </w:r>
            <w:r w:rsidRPr="007F7BCA">
              <w:t xml:space="preserve">from commercial fishing activities has been assessed as </w:t>
            </w:r>
            <w:r w:rsidRPr="007F7BCA">
              <w:rPr>
                <w:i/>
                <w:iCs/>
              </w:rPr>
              <w:t xml:space="preserve">of concern </w:t>
            </w:r>
            <w:r w:rsidRPr="007F7BCA">
              <w:t>for marine turtles</w:t>
            </w:r>
            <w:r>
              <w:t>,</w:t>
            </w:r>
            <w:r w:rsidRPr="007F7BCA">
              <w:t xml:space="preserve"> foraging seabirds</w:t>
            </w:r>
            <w:r>
              <w:t xml:space="preserve"> and several species of whales.</w:t>
            </w:r>
          </w:p>
          <w:p w:rsidR="00B428A4" w:rsidRPr="00180CBF" w:rsidRDefault="00BD1D4D" w:rsidP="00BD1D4D">
            <w:pPr>
              <w:rPr>
                <w:rFonts w:cs="Arial"/>
              </w:rPr>
            </w:pPr>
            <w:r w:rsidRPr="007F7BCA">
              <w:t xml:space="preserve">Management measures are in place and, through the </w:t>
            </w:r>
            <w:r w:rsidRPr="007F7BCA">
              <w:rPr>
                <w:i/>
              </w:rPr>
              <w:t xml:space="preserve">Australian Tuna and Billfish Fisheries </w:t>
            </w:r>
            <w:proofErr w:type="spellStart"/>
            <w:r w:rsidRPr="007F7BCA">
              <w:rPr>
                <w:i/>
              </w:rPr>
              <w:t>Bycatch</w:t>
            </w:r>
            <w:proofErr w:type="spellEnd"/>
            <w:r w:rsidRPr="007F7BCA">
              <w:rPr>
                <w:i/>
              </w:rPr>
              <w:t xml:space="preserve"> and Discarding </w:t>
            </w:r>
            <w:proofErr w:type="spellStart"/>
            <w:r w:rsidRPr="007F7BCA">
              <w:rPr>
                <w:i/>
              </w:rPr>
              <w:t>Workplan</w:t>
            </w:r>
            <w:proofErr w:type="spellEnd"/>
            <w:r w:rsidRPr="007F7BCA">
              <w:rPr>
                <w:i/>
              </w:rPr>
              <w:t xml:space="preserve"> 1 July 2014 – 30 June 2016</w:t>
            </w:r>
            <w:r w:rsidRPr="007F7BCA">
              <w:t xml:space="preserve">, are continuously being reviewed, with the objective of reducing the impact of fishing operations on </w:t>
            </w:r>
            <w:proofErr w:type="spellStart"/>
            <w:r w:rsidRPr="007F7BCA">
              <w:t>bycatch</w:t>
            </w:r>
            <w:proofErr w:type="spellEnd"/>
            <w:r w:rsidRPr="007F7BCA">
              <w:t xml:space="preserve"> species. As discussed in Table 1, </w:t>
            </w:r>
            <w:r w:rsidR="004A1870">
              <w:t xml:space="preserve">AFMA </w:t>
            </w:r>
            <w:r w:rsidR="004A1870" w:rsidRPr="007F7BCA">
              <w:t>is</w:t>
            </w:r>
            <w:r w:rsidRPr="007F7BCA">
              <w:t xml:space="preserve"> required to implement the </w:t>
            </w:r>
            <w:r w:rsidRPr="007F7BCA">
              <w:rPr>
                <w:i/>
              </w:rPr>
              <w:t xml:space="preserve">Threat Abatement Plan 2014 for the incidental catch (or </w:t>
            </w:r>
            <w:proofErr w:type="spellStart"/>
            <w:r w:rsidRPr="007F7BCA">
              <w:rPr>
                <w:i/>
              </w:rPr>
              <w:t>bycatch</w:t>
            </w:r>
            <w:proofErr w:type="spellEnd"/>
            <w:r w:rsidRPr="007F7BCA">
              <w:rPr>
                <w:i/>
              </w:rPr>
              <w:t xml:space="preserve">) of seabirds during oceanic </w:t>
            </w:r>
            <w:proofErr w:type="spellStart"/>
            <w:r w:rsidRPr="007F7BCA">
              <w:rPr>
                <w:i/>
              </w:rPr>
              <w:t>longline</w:t>
            </w:r>
            <w:proofErr w:type="spellEnd"/>
            <w:r w:rsidRPr="007F7BCA">
              <w:rPr>
                <w:i/>
              </w:rPr>
              <w:t xml:space="preserve"> fishing operations</w:t>
            </w:r>
            <w:r w:rsidRPr="007F7BCA">
              <w:t xml:space="preserve"> in Commonwealth waters, including the </w:t>
            </w:r>
            <w:r>
              <w:t>We</w:t>
            </w:r>
            <w:r w:rsidRPr="007F7BCA">
              <w:t xml:space="preserve">stern Tuna and Billfish Fishery. The mitigation and monitoring requirements of the </w:t>
            </w:r>
            <w:r>
              <w:t>threat abatement plan</w:t>
            </w:r>
            <w:r w:rsidRPr="007F7BCA">
              <w:t xml:space="preserve"> to minimise the impact of fishing on seabirds are given effect in the </w:t>
            </w:r>
            <w:r>
              <w:t>f</w:t>
            </w:r>
            <w:r w:rsidRPr="007F7BCA">
              <w:t xml:space="preserve">ishery though conditions on </w:t>
            </w:r>
            <w:proofErr w:type="spellStart"/>
            <w:r w:rsidRPr="007F7BCA">
              <w:t>longline</w:t>
            </w:r>
            <w:proofErr w:type="spellEnd"/>
            <w:r w:rsidRPr="007F7BCA">
              <w:t xml:space="preserve"> boat statutory fishing rights.</w:t>
            </w:r>
          </w:p>
        </w:tc>
      </w:tr>
    </w:tbl>
    <w:p w:rsidR="000F7C9D" w:rsidRPr="00EC24A5" w:rsidRDefault="000F7C9D" w:rsidP="008D1370">
      <w:pPr>
        <w:spacing w:after="120"/>
        <w:ind w:left="-567"/>
        <w:rPr>
          <w:rFonts w:cs="Arial"/>
          <w:b/>
        </w:rPr>
      </w:pPr>
    </w:p>
    <w:p w:rsidR="00327BB2" w:rsidRDefault="00327BB2">
      <w:pPr>
        <w:spacing w:after="0" w:line="240" w:lineRule="auto"/>
        <w:rPr>
          <w:rFonts w:cs="Arial"/>
          <w:b/>
        </w:rPr>
      </w:pPr>
      <w:r>
        <w:rPr>
          <w:rFonts w:cs="Arial"/>
          <w:b/>
        </w:rPr>
        <w:br w:type="page"/>
      </w:r>
    </w:p>
    <w:p w:rsidR="00DA6A89" w:rsidRPr="00EC24A5" w:rsidRDefault="00DA6A89" w:rsidP="00CA7056">
      <w:pPr>
        <w:pStyle w:val="Heading2"/>
        <w:ind w:left="-709"/>
      </w:pPr>
      <w:r w:rsidRPr="00EC24A5">
        <w:t>Part 16</w:t>
      </w: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55"/>
        <w:gridCol w:w="8222"/>
      </w:tblGrid>
      <w:tr w:rsidR="00B73546" w:rsidRPr="00EC24A5" w:rsidTr="00F94690">
        <w:tc>
          <w:tcPr>
            <w:tcW w:w="7655" w:type="dxa"/>
          </w:tcPr>
          <w:p w:rsidR="00B73546" w:rsidRPr="00EC24A5" w:rsidRDefault="00B73546" w:rsidP="008D1370">
            <w:pPr>
              <w:rPr>
                <w:rFonts w:cs="Arial"/>
                <w:b/>
              </w:rPr>
            </w:pPr>
            <w:r w:rsidRPr="00EC24A5">
              <w:rPr>
                <w:rFonts w:cs="Arial"/>
                <w:b/>
              </w:rPr>
              <w:t>Section 391 Minister must consider precautionary principle in making decisions</w:t>
            </w:r>
          </w:p>
        </w:tc>
        <w:tc>
          <w:tcPr>
            <w:tcW w:w="8222" w:type="dxa"/>
          </w:tcPr>
          <w:p w:rsidR="00B73546" w:rsidRPr="00EC24A5" w:rsidRDefault="00EF02FA" w:rsidP="008D1370">
            <w:pPr>
              <w:rPr>
                <w:rFonts w:cs="Arial"/>
                <w:b/>
              </w:rPr>
            </w:pPr>
            <w:r w:rsidRPr="00EC24A5">
              <w:rPr>
                <w:rFonts w:cs="Arial"/>
                <w:b/>
              </w:rPr>
              <w:t xml:space="preserve">The Department of the Environment’s assessment of the </w:t>
            </w:r>
            <w:r w:rsidR="00D318B5">
              <w:rPr>
                <w:rFonts w:cs="Arial"/>
                <w:b/>
              </w:rPr>
              <w:t xml:space="preserve">Western Tuna and Billfish </w:t>
            </w:r>
            <w:r w:rsidR="002A7A5C" w:rsidRPr="00EC24A5">
              <w:rPr>
                <w:rFonts w:cs="Arial"/>
                <w:b/>
              </w:rPr>
              <w:t>Fishery</w:t>
            </w:r>
          </w:p>
        </w:tc>
      </w:tr>
      <w:tr w:rsidR="001221FB" w:rsidRPr="00EC24A5" w:rsidTr="0019321D">
        <w:trPr>
          <w:trHeight w:val="1845"/>
        </w:trPr>
        <w:tc>
          <w:tcPr>
            <w:tcW w:w="7655" w:type="dxa"/>
            <w:tcMar>
              <w:top w:w="57" w:type="dxa"/>
              <w:bottom w:w="57" w:type="dxa"/>
            </w:tcMar>
          </w:tcPr>
          <w:p w:rsidR="001221FB" w:rsidRPr="00EC24A5" w:rsidRDefault="001221FB" w:rsidP="008D1370">
            <w:pPr>
              <w:ind w:left="360" w:hanging="360"/>
              <w:rPr>
                <w:rFonts w:cs="Arial"/>
              </w:rPr>
            </w:pPr>
            <w:r w:rsidRPr="00EC24A5">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8222" w:type="dxa"/>
            <w:tcMar>
              <w:top w:w="57" w:type="dxa"/>
              <w:bottom w:w="57" w:type="dxa"/>
            </w:tcMar>
          </w:tcPr>
          <w:p w:rsidR="001221FB" w:rsidRPr="00BE7B3D" w:rsidRDefault="0019321D" w:rsidP="00CA7056">
            <w:pPr>
              <w:rPr>
                <w:rFonts w:cs="Arial"/>
              </w:rPr>
            </w:pPr>
            <w:r w:rsidRPr="007F7BCA">
              <w:t xml:space="preserve">Recognising the risks and uncertainties associated with the operations of the </w:t>
            </w:r>
            <w:r>
              <w:t>We</w:t>
            </w:r>
            <w:r w:rsidRPr="007F7BCA">
              <w:t xml:space="preserve">stern Tuna and Billfish Fishery, AFMA has put in place precautionary management arrangements for the fishery, summarised in Table 1. The utilisation of ecological risk assessments, harvest strategies containing harvest control rules, a </w:t>
            </w:r>
            <w:proofErr w:type="spellStart"/>
            <w:r w:rsidRPr="007F7BCA">
              <w:t>bycatch</w:t>
            </w:r>
            <w:proofErr w:type="spellEnd"/>
            <w:r w:rsidRPr="007F7BCA">
              <w:t xml:space="preserve"> and discarding </w:t>
            </w:r>
            <w:proofErr w:type="spellStart"/>
            <w:r w:rsidRPr="007F7BCA">
              <w:t>workplan</w:t>
            </w:r>
            <w:proofErr w:type="spellEnd"/>
            <w:r w:rsidRPr="007F7BCA">
              <w:t xml:space="preserve"> and the implementation of the </w:t>
            </w:r>
            <w:r w:rsidRPr="0019321D">
              <w:rPr>
                <w:i/>
              </w:rPr>
              <w:t xml:space="preserve">Threat Abatement Plan 2014 for the incidental catch (or </w:t>
            </w:r>
            <w:proofErr w:type="spellStart"/>
            <w:r w:rsidRPr="0019321D">
              <w:rPr>
                <w:i/>
              </w:rPr>
              <w:t>bycatch</w:t>
            </w:r>
            <w:proofErr w:type="spellEnd"/>
            <w:r w:rsidRPr="0019321D">
              <w:rPr>
                <w:i/>
              </w:rPr>
              <w:t xml:space="preserve">) of seabirds during oceanic </w:t>
            </w:r>
            <w:proofErr w:type="spellStart"/>
            <w:r w:rsidRPr="0019321D">
              <w:rPr>
                <w:i/>
              </w:rPr>
              <w:t>longline</w:t>
            </w:r>
            <w:proofErr w:type="spellEnd"/>
            <w:r w:rsidRPr="0019321D">
              <w:rPr>
                <w:i/>
              </w:rPr>
              <w:t xml:space="preserve"> fishing operations</w:t>
            </w:r>
            <w:r>
              <w:t xml:space="preserve"> </w:t>
            </w:r>
            <w:r w:rsidRPr="007F7BCA">
              <w:t xml:space="preserve">is considered to provide a means by which damage to the environment </w:t>
            </w:r>
            <w:r w:rsidR="00CA7056">
              <w:t>could</w:t>
            </w:r>
            <w:r w:rsidRPr="007F7BCA">
              <w:t xml:space="preserve"> be avoided.</w:t>
            </w:r>
          </w:p>
        </w:tc>
      </w:tr>
      <w:tr w:rsidR="00DA6A89" w:rsidRPr="00EC24A5" w:rsidTr="00F94690">
        <w:tc>
          <w:tcPr>
            <w:tcW w:w="7655" w:type="dxa"/>
            <w:tcMar>
              <w:top w:w="57" w:type="dxa"/>
              <w:bottom w:w="57" w:type="dxa"/>
            </w:tcMar>
          </w:tcPr>
          <w:p w:rsidR="00DA6A89" w:rsidRPr="00EC24A5" w:rsidRDefault="00DA6A89" w:rsidP="008D1370">
            <w:pPr>
              <w:spacing w:after="120"/>
              <w:ind w:left="357" w:hanging="357"/>
              <w:rPr>
                <w:rFonts w:cs="Arial"/>
              </w:rPr>
            </w:pPr>
            <w:r w:rsidRPr="00EC24A5">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8222" w:type="dxa"/>
            <w:tcMar>
              <w:top w:w="57" w:type="dxa"/>
              <w:bottom w:w="57" w:type="dxa"/>
            </w:tcMar>
          </w:tcPr>
          <w:p w:rsidR="00DA6A89" w:rsidRPr="00EC24A5" w:rsidRDefault="00DA6A89" w:rsidP="008D1370">
            <w:pPr>
              <w:rPr>
                <w:rFonts w:cs="Arial"/>
              </w:rPr>
            </w:pPr>
          </w:p>
        </w:tc>
      </w:tr>
    </w:tbl>
    <w:p w:rsidR="000F7C9D" w:rsidRPr="00EC24A5" w:rsidRDefault="000F7C9D" w:rsidP="000F7C9D">
      <w:pPr>
        <w:spacing w:after="120"/>
        <w:ind w:left="-567"/>
        <w:rPr>
          <w:rFonts w:cs="Arial"/>
          <w:b/>
        </w:rPr>
      </w:pPr>
    </w:p>
    <w:p w:rsidR="000F7C9D" w:rsidRDefault="000F7C9D" w:rsidP="000F7C9D">
      <w:pPr>
        <w:rPr>
          <w:rFonts w:cs="Arial"/>
        </w:rPr>
      </w:pPr>
    </w:p>
    <w:p w:rsidR="00B83008" w:rsidRDefault="00B83008" w:rsidP="000F7C9D">
      <w:pPr>
        <w:rPr>
          <w:rFonts w:cs="Arial"/>
        </w:rPr>
      </w:pPr>
    </w:p>
    <w:p w:rsidR="00B83008" w:rsidRPr="00EC24A5" w:rsidRDefault="00B83008" w:rsidP="000F7C9D">
      <w:pPr>
        <w:rPr>
          <w:rFonts w:cs="Arial"/>
        </w:rPr>
      </w:pPr>
    </w:p>
    <w:p w:rsidR="000F7C9D" w:rsidRPr="00EC24A5" w:rsidRDefault="000F7C9D" w:rsidP="002A7A5C">
      <w:pPr>
        <w:shd w:val="clear" w:color="auto" w:fill="F2DBDB" w:themeFill="accent2" w:themeFillTint="33"/>
        <w:tabs>
          <w:tab w:val="left" w:pos="360"/>
        </w:tabs>
        <w:ind w:left="1080"/>
        <w:rPr>
          <w:rFonts w:cs="Arial"/>
        </w:rPr>
        <w:sectPr w:rsidR="000F7C9D" w:rsidRPr="00EC24A5" w:rsidSect="00DD6D84">
          <w:pgSz w:w="16838" w:h="11906" w:orient="landscape"/>
          <w:pgMar w:top="899" w:right="1361" w:bottom="567" w:left="1361" w:header="709" w:footer="77" w:gutter="0"/>
          <w:cols w:space="708"/>
          <w:docGrid w:linePitch="360"/>
        </w:sectPr>
      </w:pPr>
    </w:p>
    <w:p w:rsidR="00987942" w:rsidRDefault="00987942" w:rsidP="00216401">
      <w:pPr>
        <w:pStyle w:val="Heading1"/>
      </w:pPr>
      <w:bookmarkStart w:id="5" w:name="Final_recs"/>
      <w:r w:rsidRPr="00216401">
        <w:t>The Department of the Environment’s final recommendations to the Australian Fisheries Management Authority for the Western Tuna and Billfish Fishery</w:t>
      </w:r>
    </w:p>
    <w:bookmarkEnd w:id="5"/>
    <w:p w:rsidR="00987942" w:rsidRPr="007F7BCA" w:rsidRDefault="00987942" w:rsidP="00987942">
      <w:pPr>
        <w:tabs>
          <w:tab w:val="left" w:pos="360"/>
        </w:tabs>
        <w:rPr>
          <w:rFonts w:cs="Arial"/>
          <w:noProof/>
        </w:rPr>
      </w:pPr>
      <w:r w:rsidRPr="007F7BCA">
        <w:rPr>
          <w:rFonts w:cs="Arial"/>
          <w:noProof/>
        </w:rPr>
        <w:t>The material submitted by the Australia</w:t>
      </w:r>
      <w:r>
        <w:rPr>
          <w:rFonts w:cs="Arial"/>
          <w:noProof/>
        </w:rPr>
        <w:t>n Fisheries Management Au</w:t>
      </w:r>
      <w:r w:rsidRPr="007F7BCA">
        <w:rPr>
          <w:rFonts w:cs="Arial"/>
          <w:noProof/>
        </w:rPr>
        <w:t xml:space="preserve">thority (AFMA) indicates that the </w:t>
      </w:r>
      <w:r>
        <w:t>We</w:t>
      </w:r>
      <w:r w:rsidRPr="007F7BCA">
        <w:t xml:space="preserve">stern Tuna and Billfish Fishery </w:t>
      </w:r>
      <w:r w:rsidRPr="007F7BCA">
        <w:rPr>
          <w:rFonts w:cs="Arial"/>
          <w:noProof/>
        </w:rPr>
        <w:t xml:space="preserve">operates in accordance with the Australian Government </w:t>
      </w:r>
      <w:r w:rsidRPr="007F7BCA">
        <w:rPr>
          <w:rFonts w:cs="Arial"/>
          <w:i/>
          <w:noProof/>
        </w:rPr>
        <w:t>Guidelines for the Ecologically Sustainable Management of Fisheries – 2nd Edition</w:t>
      </w:r>
      <w:r w:rsidRPr="007F7BCA">
        <w:rPr>
          <w:rFonts w:cs="Arial"/>
          <w:noProof/>
        </w:rPr>
        <w:t>.</w:t>
      </w:r>
    </w:p>
    <w:p w:rsidR="00987942" w:rsidRPr="007F7BCA" w:rsidRDefault="00987942" w:rsidP="00987942">
      <w:pPr>
        <w:pStyle w:val="Heading2"/>
        <w:rPr>
          <w:color w:val="1F497D"/>
        </w:rPr>
      </w:pPr>
      <w:r w:rsidRPr="007F7BCA">
        <w:t>Stock Status and Recovery</w:t>
      </w:r>
    </w:p>
    <w:p w:rsidR="00987942" w:rsidRPr="007F7BCA" w:rsidRDefault="00077D34" w:rsidP="00077D34">
      <w:r w:rsidRPr="00077D34">
        <w:t>O</w:t>
      </w:r>
      <w:r w:rsidR="00987942" w:rsidRPr="00077D34">
        <w:t xml:space="preserve">utput controls in the form of quota statutory fishing rights for </w:t>
      </w:r>
      <w:r w:rsidRPr="00077D34">
        <w:t xml:space="preserve">the fishery’s </w:t>
      </w:r>
      <w:r w:rsidR="00987942" w:rsidRPr="00077D34">
        <w:t>key species were introduced in the fishery</w:t>
      </w:r>
      <w:r w:rsidR="002E465B">
        <w:t xml:space="preserve"> in 2010</w:t>
      </w:r>
      <w:r w:rsidR="00987942" w:rsidRPr="00077D34">
        <w:t>. Trip limits and other measures to limit take</w:t>
      </w:r>
      <w:r w:rsidR="002E465B">
        <w:t xml:space="preserve"> (see </w:t>
      </w:r>
      <w:r w:rsidR="00987942" w:rsidRPr="00077D34">
        <w:t xml:space="preserve">Table 1) apply to many species caught incidentally while targeting the </w:t>
      </w:r>
      <w:r w:rsidR="002E465B">
        <w:t>key</w:t>
      </w:r>
      <w:r w:rsidR="00987942" w:rsidRPr="00077D34">
        <w:t xml:space="preserve"> species. The Australian Fisheries Management Authority intends to develop indicators and reference points for </w:t>
      </w:r>
      <w:proofErr w:type="spellStart"/>
      <w:r w:rsidR="00987942" w:rsidRPr="00077D34">
        <w:t>byproduct</w:t>
      </w:r>
      <w:proofErr w:type="spellEnd"/>
      <w:r w:rsidR="00987942" w:rsidRPr="00077D34">
        <w:t xml:space="preserve"> species as part</w:t>
      </w:r>
      <w:r w:rsidR="002E465B">
        <w:t xml:space="preserve"> of further development of the </w:t>
      </w:r>
      <w:r w:rsidR="00987942" w:rsidRPr="00077D34">
        <w:t>harvest strategy</w:t>
      </w:r>
      <w:r w:rsidRPr="00077D34">
        <w:t xml:space="preserve"> framework for Australia’s tropical tuna fisheries</w:t>
      </w:r>
      <w:r w:rsidR="00987942" w:rsidRPr="00077D34">
        <w:t>.</w:t>
      </w:r>
    </w:p>
    <w:p w:rsidR="00987942" w:rsidRPr="007F7BCA" w:rsidRDefault="00987942" w:rsidP="00987942">
      <w:pPr>
        <w:tabs>
          <w:tab w:val="left" w:pos="360"/>
        </w:tabs>
        <w:rPr>
          <w:rFonts w:cs="Arial"/>
          <w:noProof/>
        </w:rPr>
      </w:pPr>
      <w:r w:rsidRPr="007F7BCA">
        <w:rPr>
          <w:rFonts w:cs="Arial"/>
          <w:noProof/>
        </w:rPr>
        <w:t xml:space="preserve">The Department considers that the management measures in place in the </w:t>
      </w:r>
      <w:r>
        <w:t>Western </w:t>
      </w:r>
      <w:r w:rsidRPr="007F7BCA">
        <w:t xml:space="preserve">Tuna and Billfish Fishery </w:t>
      </w:r>
      <w:r w:rsidRPr="007F7BCA">
        <w:rPr>
          <w:rFonts w:cs="Arial"/>
          <w:noProof/>
        </w:rPr>
        <w:t>are sufficient to ensure that the fishery is conducted in a manner that does not lead to</w:t>
      </w:r>
      <w:r w:rsidR="006659FD">
        <w:rPr>
          <w:rFonts w:cs="Arial"/>
          <w:noProof/>
        </w:rPr>
        <w:t xml:space="preserve"> over</w:t>
      </w:r>
      <w:r w:rsidRPr="007F7BCA">
        <w:rPr>
          <w:rFonts w:cs="Arial"/>
          <w:noProof/>
        </w:rPr>
        <w:t>fishing</w:t>
      </w:r>
      <w:r w:rsidRPr="006659FD">
        <w:rPr>
          <w:rFonts w:cs="Arial"/>
          <w:noProof/>
        </w:rPr>
        <w:t>.</w:t>
      </w:r>
      <w:r w:rsidRPr="006659FD">
        <w:t xml:space="preserve"> While </w:t>
      </w:r>
      <w:r w:rsidR="00077D34" w:rsidRPr="006659FD">
        <w:t>some species</w:t>
      </w:r>
      <w:r w:rsidRPr="006659FD">
        <w:t xml:space="preserve"> in the wider </w:t>
      </w:r>
      <w:r w:rsidR="00077D34" w:rsidRPr="00077D34">
        <w:t>Indian Ocean</w:t>
      </w:r>
      <w:r w:rsidRPr="00077D34">
        <w:t xml:space="preserve"> region </w:t>
      </w:r>
      <w:r w:rsidR="00077D34" w:rsidRPr="00077D34">
        <w:t>are</w:t>
      </w:r>
      <w:r w:rsidRPr="00077D34">
        <w:t xml:space="preserve"> likely to be classified as overfished</w:t>
      </w:r>
      <w:r w:rsidR="00077D34" w:rsidRPr="00077D34">
        <w:t xml:space="preserve"> and/or subject to overfishing from time to time</w:t>
      </w:r>
      <w:r w:rsidR="006659FD">
        <w:t>,</w:t>
      </w:r>
      <w:r w:rsidR="00077D34" w:rsidRPr="00077D34">
        <w:t xml:space="preserve"> </w:t>
      </w:r>
      <w:r w:rsidRPr="00077D34">
        <w:t>the Department is satisfied that fishing within the total allowable catch</w:t>
      </w:r>
      <w:r w:rsidR="00077D34" w:rsidRPr="00077D34">
        <w:t>es</w:t>
      </w:r>
      <w:r w:rsidRPr="00077D34">
        <w:t xml:space="preserve"> in the </w:t>
      </w:r>
      <w:r w:rsidR="004A1870">
        <w:t>Western</w:t>
      </w:r>
      <w:r w:rsidRPr="00077D34">
        <w:t xml:space="preserve"> Tuna and Billfish Fishery would not be detrimental to recovery of the stock</w:t>
      </w:r>
      <w:r w:rsidR="006659FD">
        <w:t>s</w:t>
      </w:r>
      <w:r w:rsidRPr="00077D34">
        <w:t xml:space="preserve"> (see Table 1).</w:t>
      </w:r>
    </w:p>
    <w:p w:rsidR="00987942" w:rsidRPr="007F7BCA" w:rsidRDefault="00987942" w:rsidP="00987942">
      <w:pPr>
        <w:pStyle w:val="Heading2"/>
        <w:rPr>
          <w:i/>
        </w:rPr>
      </w:pPr>
      <w:r w:rsidRPr="007F7BCA">
        <w:t xml:space="preserve">Ecosystem Impacts </w:t>
      </w:r>
    </w:p>
    <w:p w:rsidR="00987942" w:rsidRPr="007F7BCA" w:rsidRDefault="00987942" w:rsidP="00987942">
      <w:pPr>
        <w:spacing w:after="100"/>
      </w:pPr>
      <w:r w:rsidRPr="007F7BCA">
        <w:t>Taking into account:</w:t>
      </w:r>
    </w:p>
    <w:p w:rsidR="00987942" w:rsidRPr="007F7BCA" w:rsidRDefault="00987942" w:rsidP="00987942">
      <w:pPr>
        <w:pStyle w:val="ListBullet"/>
        <w:spacing w:after="100"/>
      </w:pPr>
      <w:r w:rsidRPr="007F7BCA">
        <w:t>the 201</w:t>
      </w:r>
      <w:r>
        <w:t>0</w:t>
      </w:r>
      <w:r w:rsidRPr="007F7BCA">
        <w:t xml:space="preserve"> ecological risk management report for the fishery</w:t>
      </w:r>
    </w:p>
    <w:p w:rsidR="00987942" w:rsidRPr="007F7BCA" w:rsidRDefault="00987942" w:rsidP="00987942">
      <w:pPr>
        <w:pStyle w:val="ListBullet"/>
        <w:spacing w:after="100"/>
      </w:pPr>
      <w:r w:rsidRPr="007F7BCA">
        <w:t>the management measures applying to retained and incidental</w:t>
      </w:r>
      <w:r>
        <w:t>ly caught</w:t>
      </w:r>
      <w:r w:rsidRPr="007F7BCA">
        <w:t xml:space="preserve"> species</w:t>
      </w:r>
    </w:p>
    <w:p w:rsidR="00987942" w:rsidRPr="007F7BCA" w:rsidRDefault="00987942" w:rsidP="00987942">
      <w:pPr>
        <w:pStyle w:val="ListBullet"/>
        <w:spacing w:after="100"/>
      </w:pPr>
      <w:r w:rsidRPr="007F7BCA">
        <w:t>designated no-take species</w:t>
      </w:r>
    </w:p>
    <w:p w:rsidR="00987942" w:rsidRPr="007F7BCA" w:rsidRDefault="00987942" w:rsidP="00987942">
      <w:pPr>
        <w:pStyle w:val="ListBullet"/>
        <w:spacing w:after="100"/>
      </w:pPr>
      <w:r w:rsidRPr="007F7BCA">
        <w:t xml:space="preserve">a </w:t>
      </w:r>
      <w:proofErr w:type="spellStart"/>
      <w:r w:rsidRPr="007F7BCA">
        <w:t>bycatch</w:t>
      </w:r>
      <w:proofErr w:type="spellEnd"/>
      <w:r w:rsidRPr="007F7BCA">
        <w:t xml:space="preserve"> and discarding </w:t>
      </w:r>
      <w:proofErr w:type="spellStart"/>
      <w:r w:rsidRPr="007F7BCA">
        <w:t>workplan</w:t>
      </w:r>
      <w:proofErr w:type="spellEnd"/>
      <w:r w:rsidRPr="007F7BCA">
        <w:t>, reviewed annually</w:t>
      </w:r>
    </w:p>
    <w:p w:rsidR="00987942" w:rsidRPr="007F7BCA" w:rsidRDefault="00987942" w:rsidP="00987942">
      <w:pPr>
        <w:pStyle w:val="ListBullet"/>
      </w:pPr>
      <w:r w:rsidRPr="007F7BCA">
        <w:t xml:space="preserve">the implementation of the </w:t>
      </w:r>
      <w:r w:rsidRPr="007F7BCA">
        <w:rPr>
          <w:i/>
        </w:rPr>
        <w:t xml:space="preserve">Threat Abatement Plan 2014 for the incidental catch (or </w:t>
      </w:r>
      <w:proofErr w:type="spellStart"/>
      <w:r w:rsidRPr="007F7BCA">
        <w:rPr>
          <w:i/>
        </w:rPr>
        <w:t>bycatch</w:t>
      </w:r>
      <w:proofErr w:type="spellEnd"/>
      <w:r w:rsidRPr="007F7BCA">
        <w:rPr>
          <w:i/>
        </w:rPr>
        <w:t xml:space="preserve">) of seabirds during oceanic </w:t>
      </w:r>
      <w:proofErr w:type="spellStart"/>
      <w:r w:rsidRPr="007F7BCA">
        <w:rPr>
          <w:i/>
        </w:rPr>
        <w:t>longline</w:t>
      </w:r>
      <w:proofErr w:type="spellEnd"/>
      <w:r w:rsidRPr="007F7BCA">
        <w:rPr>
          <w:i/>
        </w:rPr>
        <w:t xml:space="preserve"> fishing operations</w:t>
      </w:r>
    </w:p>
    <w:p w:rsidR="00987942" w:rsidRPr="007F7BCA" w:rsidRDefault="00987942" w:rsidP="00987942">
      <w:pPr>
        <w:pStyle w:val="ListBullet"/>
        <w:numPr>
          <w:ilvl w:val="0"/>
          <w:numId w:val="0"/>
        </w:numPr>
        <w:rPr>
          <w:highlight w:val="yellow"/>
        </w:rPr>
      </w:pPr>
      <w:proofErr w:type="gramStart"/>
      <w:r w:rsidRPr="007F7BCA">
        <w:t>the</w:t>
      </w:r>
      <w:proofErr w:type="gramEnd"/>
      <w:r w:rsidRPr="007F7BCA">
        <w:t xml:space="preserve"> Department considers that </w:t>
      </w:r>
      <w:r w:rsidRPr="007F7BCA">
        <w:rPr>
          <w:rFonts w:cs="Arial"/>
          <w:noProof/>
        </w:rPr>
        <w:t>fishing operations are managed to minimise their impact on the structure, productivity, function and biological diversity of the ecosystem.</w:t>
      </w:r>
    </w:p>
    <w:p w:rsidR="00987942" w:rsidRPr="007F7BCA" w:rsidRDefault="00987942" w:rsidP="00987942">
      <w:pPr>
        <w:pStyle w:val="Heading2"/>
      </w:pPr>
      <w:r w:rsidRPr="007F7BCA">
        <w:t>Conclusion</w:t>
      </w:r>
    </w:p>
    <w:p w:rsidR="00D318B5" w:rsidRDefault="00987942" w:rsidP="0017797D">
      <w:pPr>
        <w:rPr>
          <w:noProof/>
        </w:rPr>
      </w:pPr>
      <w:r w:rsidRPr="007F7BCA">
        <w:rPr>
          <w:noProof/>
        </w:rPr>
        <w:t xml:space="preserve">Given the management measures in place, the Department considers that product taken in the </w:t>
      </w:r>
      <w:r>
        <w:t>We</w:t>
      </w:r>
      <w:r w:rsidRPr="007F7BCA">
        <w:t xml:space="preserve">stern Tuna and Billfish Fishery </w:t>
      </w:r>
      <w:r w:rsidRPr="007F7BCA">
        <w:rPr>
          <w:noProof/>
        </w:rPr>
        <w:t xml:space="preserve">should be included in the list of exempt native specimens under Part 13A of the </w:t>
      </w:r>
      <w:r w:rsidRPr="007F7BCA">
        <w:rPr>
          <w:i/>
          <w:noProof/>
        </w:rPr>
        <w:t xml:space="preserve">Environment Protection and Biodiversity Conservation Act 1999 </w:t>
      </w:r>
      <w:r w:rsidRPr="007F7BCA">
        <w:rPr>
          <w:noProof/>
        </w:rPr>
        <w:t xml:space="preserve">(EPBC Act) for five years, until </w:t>
      </w:r>
      <w:r>
        <w:t>28 November</w:t>
      </w:r>
      <w:r w:rsidRPr="007F7BCA">
        <w:t xml:space="preserve"> 2019. </w:t>
      </w:r>
      <w:r w:rsidRPr="007F7BCA">
        <w:rPr>
          <w:noProof/>
        </w:rPr>
        <w:t xml:space="preserve">To ensure that the decisions for the </w:t>
      </w:r>
      <w:r>
        <w:t>We</w:t>
      </w:r>
      <w:r w:rsidRPr="007F7BCA">
        <w:t xml:space="preserve">stern Tuna and Billfish Fishery </w:t>
      </w:r>
      <w:r w:rsidRPr="007F7BCA">
        <w:rPr>
          <w:noProof/>
        </w:rPr>
        <w:t xml:space="preserve">under the EPBC Act continue to be valid, </w:t>
      </w:r>
      <w:r w:rsidR="007B7FB7">
        <w:rPr>
          <w:rFonts w:cs="Arial"/>
          <w:noProof/>
        </w:rPr>
        <w:t>and t</w:t>
      </w:r>
      <w:r w:rsidR="007B7FB7" w:rsidRPr="009C7335">
        <w:rPr>
          <w:rFonts w:cs="Arial"/>
          <w:noProof/>
        </w:rPr>
        <w:t>o contain and minimise the risks in the longer term</w:t>
      </w:r>
      <w:r w:rsidR="007B7FB7">
        <w:rPr>
          <w:rFonts w:cs="Arial"/>
          <w:noProof/>
        </w:rPr>
        <w:t xml:space="preserve">, </w:t>
      </w:r>
      <w:r w:rsidRPr="007F7BCA">
        <w:rPr>
          <w:noProof/>
        </w:rPr>
        <w:t xml:space="preserve">the recommendations listed in Table 4 have been made. </w:t>
      </w:r>
    </w:p>
    <w:p w:rsidR="0017797D" w:rsidRDefault="0017797D" w:rsidP="00CA744C"/>
    <w:p w:rsidR="00235F6C" w:rsidRDefault="00235F6C" w:rsidP="00CA744C">
      <w:pPr>
        <w:sectPr w:rsidR="00235F6C" w:rsidSect="00570C32">
          <w:footerReference w:type="default" r:id="rId20"/>
          <w:pgSz w:w="11906" w:h="16838"/>
          <w:pgMar w:top="1134" w:right="1701" w:bottom="709" w:left="1701" w:header="709" w:footer="194" w:gutter="0"/>
          <w:cols w:space="708"/>
          <w:docGrid w:linePitch="360"/>
        </w:sectPr>
      </w:pPr>
    </w:p>
    <w:p w:rsidR="00B83008" w:rsidRDefault="00B83008" w:rsidP="00CA744C"/>
    <w:p w:rsidR="00235F6C" w:rsidRDefault="00235F6C" w:rsidP="00CA744C"/>
    <w:p w:rsidR="00B83008" w:rsidRPr="00EC24A5" w:rsidRDefault="00B83008" w:rsidP="00CA744C"/>
    <w:p w:rsidR="009B708E" w:rsidRPr="00EC24A5" w:rsidRDefault="009B708E" w:rsidP="009B708E">
      <w:pPr>
        <w:rPr>
          <w:rFonts w:cs="Arial"/>
          <w:strike/>
        </w:rPr>
        <w:sectPr w:rsidR="009B708E" w:rsidRPr="00EC24A5" w:rsidSect="00570C32">
          <w:pgSz w:w="11906" w:h="16838"/>
          <w:pgMar w:top="1134" w:right="1701" w:bottom="709" w:left="1701" w:header="709" w:footer="194" w:gutter="0"/>
          <w:cols w:space="708"/>
          <w:docGrid w:linePitch="360"/>
        </w:sectPr>
      </w:pPr>
    </w:p>
    <w:p w:rsidR="002E37B5" w:rsidRDefault="002E37B5" w:rsidP="00010FE0">
      <w:bookmarkStart w:id="6" w:name="_Toc316301052"/>
    </w:p>
    <w:p w:rsidR="00DA6A89" w:rsidRDefault="00DA6A89" w:rsidP="00DC6512">
      <w:pPr>
        <w:pStyle w:val="Heading1"/>
        <w:ind w:left="-426"/>
      </w:pPr>
      <w:r w:rsidRPr="00EC24A5">
        <w:t xml:space="preserve">Table 4: </w:t>
      </w:r>
      <w:bookmarkEnd w:id="6"/>
      <w:r w:rsidR="00D318B5">
        <w:t xml:space="preserve">Western Tuna and Billfish </w:t>
      </w:r>
      <w:r w:rsidR="002A7A5C" w:rsidRPr="00EC24A5">
        <w:t>Fishery</w:t>
      </w:r>
      <w:r w:rsidR="00E24D1B" w:rsidRPr="00EC24A5">
        <w:t xml:space="preserve"> Assessment – Summary of Issues and Recommendations, </w:t>
      </w:r>
      <w:r w:rsidR="00752954">
        <w:t>November</w:t>
      </w:r>
      <w:r w:rsidR="00E24D1B" w:rsidRPr="00EC24A5">
        <w:t xml:space="preserve"> 201</w:t>
      </w:r>
      <w:r w:rsidR="0097779F" w:rsidRPr="00EC24A5">
        <w:t>4</w:t>
      </w:r>
    </w:p>
    <w:tbl>
      <w:tblPr>
        <w:tblW w:w="15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05"/>
        <w:gridCol w:w="5723"/>
      </w:tblGrid>
      <w:tr w:rsidR="008912FB" w:rsidRPr="00EC24A5" w:rsidTr="00C32828">
        <w:trPr>
          <w:tblHeader/>
          <w:jc w:val="center"/>
        </w:trPr>
        <w:tc>
          <w:tcPr>
            <w:tcW w:w="10205" w:type="dxa"/>
            <w:shd w:val="clear" w:color="auto" w:fill="D9D9D9"/>
          </w:tcPr>
          <w:p w:rsidR="008912FB" w:rsidRPr="00EC24A5" w:rsidRDefault="008912FB" w:rsidP="004A6B73">
            <w:pPr>
              <w:rPr>
                <w:rFonts w:cs="Arial"/>
                <w:b/>
              </w:rPr>
            </w:pPr>
            <w:r w:rsidRPr="00EC24A5">
              <w:rPr>
                <w:rFonts w:cs="Arial"/>
                <w:b/>
              </w:rPr>
              <w:t>Issue</w:t>
            </w:r>
          </w:p>
        </w:tc>
        <w:tc>
          <w:tcPr>
            <w:tcW w:w="5723" w:type="dxa"/>
            <w:shd w:val="clear" w:color="auto" w:fill="D9D9D9"/>
          </w:tcPr>
          <w:p w:rsidR="008912FB" w:rsidRPr="00EC24A5" w:rsidRDefault="00A34463" w:rsidP="004A6B73">
            <w:pPr>
              <w:rPr>
                <w:rFonts w:cs="Arial"/>
                <w:b/>
              </w:rPr>
            </w:pPr>
            <w:r w:rsidRPr="00EC24A5">
              <w:rPr>
                <w:rFonts w:cs="Arial"/>
                <w:b/>
              </w:rPr>
              <w:t>Recommendation</w:t>
            </w:r>
          </w:p>
        </w:tc>
      </w:tr>
      <w:tr w:rsidR="00B273AD" w:rsidRPr="00EC24A5" w:rsidTr="00C32828">
        <w:trPr>
          <w:jc w:val="center"/>
        </w:trPr>
        <w:tc>
          <w:tcPr>
            <w:tcW w:w="10205" w:type="dxa"/>
          </w:tcPr>
          <w:p w:rsidR="00B273AD" w:rsidRPr="00EC24A5" w:rsidRDefault="00B273AD" w:rsidP="00A12528">
            <w:pPr>
              <w:pStyle w:val="Heading3"/>
              <w:keepNext w:val="0"/>
            </w:pPr>
            <w:r w:rsidRPr="00EC24A5">
              <w:t>General Management</w:t>
            </w:r>
          </w:p>
          <w:p w:rsidR="00B273AD" w:rsidRPr="00EC24A5" w:rsidRDefault="00B273AD" w:rsidP="00B273AD">
            <w:pPr>
              <w:rPr>
                <w:rFonts w:cs="Arial"/>
              </w:rPr>
            </w:pPr>
            <w:r w:rsidRPr="00EC24A5">
              <w:rPr>
                <w:rFonts w:cs="Arial"/>
              </w:rPr>
              <w:t>Export decisions relate to the arrangements in force at the time of the decision. To ensure that these decisions remain valid and export approval continues uninterrupted, th</w:t>
            </w:r>
            <w:r w:rsidR="004A1870">
              <w:rPr>
                <w:rFonts w:cs="Arial"/>
              </w:rPr>
              <w:t>e Department of the Environment</w:t>
            </w:r>
            <w:r w:rsidRPr="00EC24A5">
              <w:rPr>
                <w:rFonts w:cs="Arial"/>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EC24A5">
              <w:rPr>
                <w:rFonts w:cs="Arial"/>
              </w:rPr>
              <w:t>byproduct</w:t>
            </w:r>
            <w:proofErr w:type="spellEnd"/>
            <w:r w:rsidRPr="00EC24A5">
              <w:rPr>
                <w:rFonts w:cs="Arial"/>
              </w:rPr>
              <w:t xml:space="preserve">, </w:t>
            </w:r>
            <w:proofErr w:type="spellStart"/>
            <w:r w:rsidRPr="00EC24A5">
              <w:rPr>
                <w:rFonts w:cs="Arial"/>
              </w:rPr>
              <w:t>bycatch</w:t>
            </w:r>
            <w:proofErr w:type="spellEnd"/>
            <w:r w:rsidRPr="00EC24A5">
              <w:rPr>
                <w:rFonts w:cs="Arial"/>
              </w:rPr>
              <w:t>, protected species or the ecosystem.</w:t>
            </w:r>
          </w:p>
        </w:tc>
        <w:tc>
          <w:tcPr>
            <w:tcW w:w="5723" w:type="dxa"/>
          </w:tcPr>
          <w:p w:rsidR="004F468D" w:rsidRPr="008A6D46" w:rsidRDefault="00F6764F" w:rsidP="004F468D">
            <w:r w:rsidRPr="004F468D">
              <w:rPr>
                <w:b/>
                <w:i/>
              </w:rPr>
              <w:t>Recommendation 1:</w:t>
            </w:r>
            <w:r w:rsidR="004F468D" w:rsidRPr="00F06A82">
              <w:t xml:space="preserve"> Operation of the </w:t>
            </w:r>
            <w:r w:rsidR="004F468D">
              <w:t>Western Tuna and Billfish F</w:t>
            </w:r>
            <w:r w:rsidR="004F468D" w:rsidRPr="00F06A82">
              <w:t xml:space="preserve">ishery </w:t>
            </w:r>
            <w:r w:rsidR="004F468D">
              <w:t xml:space="preserve">will be carried out in accordance with the management regime for the fishery made under the </w:t>
            </w:r>
            <w:r w:rsidR="004F468D">
              <w:rPr>
                <w:i/>
              </w:rPr>
              <w:t>Fisheries Management Act 1991</w:t>
            </w:r>
            <w:r w:rsidR="004F468D" w:rsidRPr="008E2D28">
              <w:t>, Fisheries Management Regulations 1992 and th</w:t>
            </w:r>
            <w:r w:rsidR="004F468D">
              <w:t>e Western Tuna and Billfish Fishery Management Plan 2005.</w:t>
            </w:r>
          </w:p>
          <w:p w:rsidR="00B273AD" w:rsidRPr="00EC24A5" w:rsidRDefault="004F468D" w:rsidP="004F468D">
            <w:pPr>
              <w:rPr>
                <w:rFonts w:cs="Arial"/>
              </w:rPr>
            </w:pPr>
            <w:r w:rsidRPr="00041161">
              <w:rPr>
                <w:rStyle w:val="Heading3Char"/>
              </w:rPr>
              <w:t>Recommendation 2:</w:t>
            </w:r>
            <w:r w:rsidRPr="00F06A82">
              <w:t xml:space="preserve"> </w:t>
            </w:r>
            <w:r>
              <w:t>The Australian Fisheries Management Authority</w:t>
            </w:r>
            <w:r w:rsidRPr="00F06A82">
              <w:t xml:space="preserve"> to inform the </w:t>
            </w:r>
            <w:r w:rsidRPr="008468F9">
              <w:t xml:space="preserve">Department of the Environment </w:t>
            </w:r>
            <w:r>
              <w:t xml:space="preserve">of any intended amendments to the Western Tuna and Billfish Fishery management arrangements that may affect the assessment of the fishery against the criteria on which </w:t>
            </w:r>
            <w:r>
              <w:rPr>
                <w:i/>
              </w:rPr>
              <w:t>Environment Protection and Biodiversity Conservation Act 1999</w:t>
            </w:r>
            <w:r>
              <w:t xml:space="preserve"> decisions are based.</w:t>
            </w:r>
          </w:p>
        </w:tc>
      </w:tr>
      <w:tr w:rsidR="00204BCA" w:rsidRPr="00EC24A5" w:rsidTr="00C32828">
        <w:trPr>
          <w:jc w:val="center"/>
        </w:trPr>
        <w:tc>
          <w:tcPr>
            <w:tcW w:w="10205" w:type="dxa"/>
          </w:tcPr>
          <w:p w:rsidR="00204BCA" w:rsidRPr="00EC24A5" w:rsidRDefault="00204BCA" w:rsidP="00CA3357">
            <w:pPr>
              <w:pStyle w:val="Heading3"/>
              <w:keepNext w:val="0"/>
            </w:pPr>
            <w:r w:rsidRPr="00EC24A5">
              <w:t>Annual Reporting</w:t>
            </w:r>
          </w:p>
          <w:p w:rsidR="00204BCA" w:rsidRPr="00EC24A5" w:rsidRDefault="00204BCA" w:rsidP="004A1870">
            <w:pPr>
              <w:rPr>
                <w:rFonts w:cs="Arial"/>
              </w:rPr>
            </w:pPr>
            <w:r w:rsidRPr="00EC24A5">
              <w:rPr>
                <w:rFonts w:cs="Arial"/>
              </w:rPr>
              <w:t xml:space="preserve">It is important that reports be produced and presented to </w:t>
            </w:r>
            <w:r w:rsidRPr="00EC24A5">
              <w:rPr>
                <w:rFonts w:cs="Arial"/>
                <w:color w:val="000000"/>
              </w:rPr>
              <w:t>the Department</w:t>
            </w:r>
            <w:r w:rsidRPr="00EC24A5">
              <w:rPr>
                <w:rFonts w:cs="Arial"/>
              </w:rPr>
              <w:t xml:space="preserve"> annually for the performance of the fishery and progress in implementing the recommendations in this report and other managerial commitments to be monitored and </w:t>
            </w:r>
            <w:r w:rsidRPr="00EC24A5">
              <w:rPr>
                <w:rFonts w:cs="Arial"/>
                <w:color w:val="000000"/>
              </w:rPr>
              <w:t>assessed throughout the life of the declaration.</w:t>
            </w:r>
            <w:r w:rsidRPr="00EC24A5">
              <w:rPr>
                <w:rFonts w:cs="Arial"/>
                <w:color w:val="3366FF"/>
              </w:rPr>
              <w:t xml:space="preserve"> </w:t>
            </w:r>
            <w:r w:rsidRPr="00EC24A5">
              <w:rPr>
                <w:rFonts w:cs="Arial"/>
                <w:color w:val="000000"/>
              </w:rPr>
              <w:t xml:space="preserve">Annual reports should follow Appendix B to the </w:t>
            </w:r>
            <w:r w:rsidRPr="00EC24A5">
              <w:rPr>
                <w:rFonts w:cs="Arial"/>
                <w:i/>
                <w:color w:val="000000"/>
              </w:rPr>
              <w:t>Guidelines for the Ecologically Sustainable Management of Fisheries - 2</w:t>
            </w:r>
            <w:r w:rsidRPr="00EC24A5">
              <w:rPr>
                <w:rFonts w:cs="Arial"/>
                <w:i/>
                <w:color w:val="000000"/>
                <w:vertAlign w:val="superscript"/>
              </w:rPr>
              <w:t>nd</w:t>
            </w:r>
            <w:r w:rsidRPr="00EC24A5">
              <w:rPr>
                <w:rFonts w:cs="Arial"/>
                <w:i/>
                <w:color w:val="000000"/>
              </w:rPr>
              <w:t> Edition</w:t>
            </w:r>
            <w:r w:rsidRPr="00EC24A5">
              <w:rPr>
                <w:rFonts w:cs="Arial"/>
                <w:color w:val="000000"/>
              </w:rPr>
              <w:t xml:space="preserve"> and include a description of the fishery, management arrangements in place, research and monitoring outcomes, recent catch data for all sectors of the fishery, status of target stock, interactions with protected species, impacts of the fishery on the ecosystem in which it operates and progress in implementing recommendations. Electronic copies of the guidelines are available from the Department's website at </w:t>
            </w:r>
            <w:r w:rsidRPr="00EC24A5">
              <w:rPr>
                <w:rFonts w:cs="Arial"/>
              </w:rPr>
              <w:t>http://www.environment.gov.au/resource/guidelines-ecologically-sustainable-management-fisheries.</w:t>
            </w:r>
          </w:p>
        </w:tc>
        <w:tc>
          <w:tcPr>
            <w:tcW w:w="5723" w:type="dxa"/>
          </w:tcPr>
          <w:p w:rsidR="00204BCA" w:rsidRPr="00CA3357" w:rsidRDefault="00F6764F" w:rsidP="00CA3357">
            <w:r w:rsidRPr="004F468D">
              <w:rPr>
                <w:b/>
                <w:i/>
              </w:rPr>
              <w:t>Recommendation 3:</w:t>
            </w:r>
            <w:r w:rsidR="004F468D">
              <w:t xml:space="preserve"> The Australian Fisheries Management Authority</w:t>
            </w:r>
            <w:r w:rsidR="004F468D" w:rsidRPr="00F06A82">
              <w:t xml:space="preserve"> </w:t>
            </w:r>
            <w:r w:rsidR="004F468D" w:rsidRPr="00C63DE5">
              <w:t xml:space="preserve">to produce and present reports to the </w:t>
            </w:r>
            <w:r w:rsidR="004F468D" w:rsidRPr="008468F9">
              <w:t xml:space="preserve">Department of the Environment </w:t>
            </w:r>
            <w:r w:rsidR="004F468D" w:rsidRPr="00C63DE5">
              <w:t>annually as per Appendix B to the</w:t>
            </w:r>
            <w:r w:rsidR="004F468D" w:rsidRPr="00C63DE5">
              <w:rPr>
                <w:color w:val="000000"/>
              </w:rPr>
              <w:t xml:space="preserve"> </w:t>
            </w:r>
            <w:r w:rsidR="004F468D" w:rsidRPr="00ED238A">
              <w:rPr>
                <w:i/>
                <w:color w:val="000000"/>
              </w:rPr>
              <w:t>Guidelines for the Ecologically Sustainable Management of Fisheries - 2nd Edition</w:t>
            </w:r>
            <w:r w:rsidR="004F468D" w:rsidRPr="00C63DE5">
              <w:t>.</w:t>
            </w:r>
          </w:p>
        </w:tc>
      </w:tr>
      <w:tr w:rsidR="00F83052" w:rsidRPr="00EC24A5" w:rsidTr="00093221">
        <w:trPr>
          <w:jc w:val="center"/>
        </w:trPr>
        <w:tc>
          <w:tcPr>
            <w:tcW w:w="10205" w:type="dxa"/>
          </w:tcPr>
          <w:p w:rsidR="00650591" w:rsidRPr="00FC321A" w:rsidRDefault="00650591" w:rsidP="00650591">
            <w:pPr>
              <w:pStyle w:val="Heading3"/>
              <w:keepNext w:val="0"/>
              <w:pageBreakBefore/>
              <w:widowControl w:val="0"/>
              <w:rPr>
                <w:b w:val="0"/>
              </w:rPr>
            </w:pPr>
            <w:r w:rsidRPr="00FC321A">
              <w:rPr>
                <w:b w:val="0"/>
              </w:rPr>
              <w:t xml:space="preserve">Sustainable management of non-quota species (including </w:t>
            </w:r>
            <w:proofErr w:type="spellStart"/>
            <w:r w:rsidRPr="00FC321A">
              <w:rPr>
                <w:b w:val="0"/>
              </w:rPr>
              <w:t>bycatch</w:t>
            </w:r>
            <w:proofErr w:type="spellEnd"/>
            <w:r w:rsidRPr="00FC321A">
              <w:rPr>
                <w:b w:val="0"/>
              </w:rPr>
              <w:t>)</w:t>
            </w:r>
          </w:p>
          <w:p w:rsidR="00650591" w:rsidRDefault="00650591" w:rsidP="00650591">
            <w:pPr>
              <w:pageBreakBefore/>
              <w:widowControl w:val="0"/>
            </w:pPr>
            <w:r w:rsidRPr="00FC321A">
              <w:t>To ensure that catch levels are sustainable, target species in Commonwealth fisheries (excluding highly migratory species for which the Australian catch is a relatively small proportion of the stock—see Table 1</w:t>
            </w:r>
            <w:r w:rsidR="00B20EE7">
              <w:t>, Table 2</w:t>
            </w:r>
            <w:r w:rsidRPr="00FC321A">
              <w:t xml:space="preserve">) are managed under a harvest strategy framework that utilises performance measures and decision rules to determine </w:t>
            </w:r>
            <w:r w:rsidRPr="00FC321A">
              <w:rPr>
                <w:bCs/>
              </w:rPr>
              <w:t>recommended biological catches which inform the setting of total allowable commercial catches</w:t>
            </w:r>
            <w:r w:rsidR="006D4437">
              <w:t xml:space="preserve">. </w:t>
            </w:r>
            <w:r w:rsidRPr="007F7BCA">
              <w:t xml:space="preserve">At present, there is no comparable framework that ensures that the </w:t>
            </w:r>
            <w:r>
              <w:t>fishing</w:t>
            </w:r>
            <w:r>
              <w:noBreakHyphen/>
            </w:r>
            <w:proofErr w:type="spellStart"/>
            <w:r>
              <w:t>related</w:t>
            </w:r>
            <w:proofErr w:type="spellEnd"/>
            <w:r>
              <w:t xml:space="preserve"> mortality of </w:t>
            </w:r>
            <w:proofErr w:type="spellStart"/>
            <w:r>
              <w:t>by</w:t>
            </w:r>
            <w:r w:rsidRPr="007F7BCA">
              <w:t>product</w:t>
            </w:r>
            <w:proofErr w:type="spellEnd"/>
            <w:r w:rsidRPr="007F7BCA">
              <w:t xml:space="preserve"> and </w:t>
            </w:r>
            <w:proofErr w:type="spellStart"/>
            <w:r w:rsidRPr="007F7BCA">
              <w:t>bycatch</w:t>
            </w:r>
            <w:proofErr w:type="spellEnd"/>
            <w:r w:rsidRPr="007F7BCA">
              <w:t xml:space="preserve"> species is sustainable.</w:t>
            </w:r>
          </w:p>
          <w:p w:rsidR="00093221" w:rsidRPr="00FC321A" w:rsidRDefault="00093221" w:rsidP="00093221">
            <w:pPr>
              <w:pageBreakBefore/>
              <w:widowControl w:val="0"/>
              <w:spacing w:after="100"/>
            </w:pPr>
            <w:r w:rsidRPr="00FC321A">
              <w:t>Catches of non-quota species from the Western Tuna and Billfish Fishery in recent years include:</w:t>
            </w:r>
          </w:p>
          <w:p w:rsidR="00093221" w:rsidRPr="00FC321A" w:rsidRDefault="00093221" w:rsidP="00093221">
            <w:pPr>
              <w:pStyle w:val="ListBullet"/>
              <w:pageBreakBefore/>
              <w:widowControl w:val="0"/>
              <w:tabs>
                <w:tab w:val="left" w:pos="2036"/>
                <w:tab w:val="left" w:pos="2444"/>
              </w:tabs>
              <w:spacing w:after="100"/>
            </w:pPr>
            <w:r w:rsidRPr="00FC321A">
              <w:t>albacore</w:t>
            </w:r>
            <w:r w:rsidRPr="00FC321A">
              <w:tab/>
              <w:t xml:space="preserve">– </w:t>
            </w:r>
            <w:r w:rsidRPr="00FC321A">
              <w:tab/>
              <w:t>approximately 15 t per annum</w:t>
            </w:r>
          </w:p>
          <w:p w:rsidR="00093221" w:rsidRPr="00FC321A" w:rsidRDefault="00093221" w:rsidP="00093221">
            <w:pPr>
              <w:pStyle w:val="ListBullet"/>
              <w:pageBreakBefore/>
              <w:widowControl w:val="0"/>
              <w:tabs>
                <w:tab w:val="left" w:pos="2036"/>
                <w:tab w:val="left" w:pos="2444"/>
              </w:tabs>
              <w:spacing w:after="100"/>
            </w:pPr>
            <w:r w:rsidRPr="00FC321A">
              <w:t xml:space="preserve">other fin fish such as </w:t>
            </w:r>
            <w:proofErr w:type="spellStart"/>
            <w:r w:rsidRPr="00FC321A">
              <w:t>mahi</w:t>
            </w:r>
            <w:proofErr w:type="spellEnd"/>
            <w:r w:rsidRPr="00FC321A">
              <w:t xml:space="preserve"> </w:t>
            </w:r>
            <w:proofErr w:type="spellStart"/>
            <w:r w:rsidRPr="00FC321A">
              <w:t>mahi</w:t>
            </w:r>
            <w:proofErr w:type="spellEnd"/>
            <w:r w:rsidRPr="00FC321A">
              <w:t xml:space="preserve"> and rudderfish (see Table 1)</w:t>
            </w:r>
            <w:r w:rsidRPr="00FC321A">
              <w:br/>
            </w:r>
            <w:r w:rsidRPr="00FC321A">
              <w:tab/>
              <w:t xml:space="preserve">– </w:t>
            </w:r>
            <w:r w:rsidRPr="00FC321A">
              <w:tab/>
              <w:t>less than 10 t per annum combined</w:t>
            </w:r>
          </w:p>
          <w:p w:rsidR="00093221" w:rsidRPr="00FC321A" w:rsidRDefault="00093221" w:rsidP="00093221">
            <w:pPr>
              <w:pStyle w:val="ListBullet"/>
              <w:pageBreakBefore/>
              <w:widowControl w:val="0"/>
              <w:tabs>
                <w:tab w:val="left" w:pos="2036"/>
                <w:tab w:val="left" w:pos="2444"/>
              </w:tabs>
              <w:spacing w:after="100"/>
            </w:pPr>
            <w:r w:rsidRPr="00FC321A">
              <w:t xml:space="preserve">sharks </w:t>
            </w:r>
            <w:r w:rsidRPr="00FC321A">
              <w:softHyphen/>
              <w:t>– less than 1 t per annum - predominantly:</w:t>
            </w:r>
          </w:p>
          <w:p w:rsidR="00093221" w:rsidRPr="00FC321A" w:rsidRDefault="00093221" w:rsidP="00093221">
            <w:pPr>
              <w:pStyle w:val="ListBullet2"/>
              <w:pageBreakBefore/>
              <w:widowControl w:val="0"/>
              <w:tabs>
                <w:tab w:val="left" w:pos="2036"/>
                <w:tab w:val="left" w:pos="2444"/>
              </w:tabs>
              <w:spacing w:after="100"/>
            </w:pPr>
            <w:proofErr w:type="spellStart"/>
            <w:r w:rsidRPr="00FC321A">
              <w:t>shortfin</w:t>
            </w:r>
            <w:proofErr w:type="spellEnd"/>
            <w:r w:rsidRPr="00FC321A">
              <w:t> </w:t>
            </w:r>
            <w:proofErr w:type="spellStart"/>
            <w:r w:rsidRPr="00FC321A">
              <w:t>mako</w:t>
            </w:r>
            <w:proofErr w:type="spellEnd"/>
            <w:r w:rsidRPr="00FC321A">
              <w:t xml:space="preserve"> shark </w:t>
            </w:r>
            <w:r w:rsidRPr="00FC321A">
              <w:rPr>
                <w:rFonts w:cs="Arial"/>
              </w:rPr>
              <w:t>(</w:t>
            </w:r>
            <w:proofErr w:type="spellStart"/>
            <w:r w:rsidRPr="00FC321A">
              <w:rPr>
                <w:rFonts w:cs="Arial"/>
                <w:i/>
              </w:rPr>
              <w:t>Isurus</w:t>
            </w:r>
            <w:proofErr w:type="spellEnd"/>
            <w:r w:rsidRPr="00FC321A">
              <w:rPr>
                <w:rFonts w:cs="Arial"/>
                <w:i/>
              </w:rPr>
              <w:t> </w:t>
            </w:r>
            <w:proofErr w:type="spellStart"/>
            <w:r w:rsidRPr="00FC321A">
              <w:rPr>
                <w:rFonts w:cs="Arial"/>
                <w:i/>
              </w:rPr>
              <w:t>oxyrinchus</w:t>
            </w:r>
            <w:proofErr w:type="spellEnd"/>
            <w:r w:rsidRPr="00FC321A">
              <w:rPr>
                <w:rFonts w:cs="Arial"/>
              </w:rPr>
              <w:t>)</w:t>
            </w:r>
          </w:p>
          <w:p w:rsidR="00093221" w:rsidRPr="00FC321A" w:rsidRDefault="00093221" w:rsidP="00093221">
            <w:pPr>
              <w:pStyle w:val="ListBullet2"/>
              <w:pageBreakBefore/>
              <w:widowControl w:val="0"/>
              <w:tabs>
                <w:tab w:val="left" w:pos="2036"/>
                <w:tab w:val="left" w:pos="2444"/>
              </w:tabs>
              <w:spacing w:after="100"/>
            </w:pPr>
            <w:r w:rsidRPr="00FC321A">
              <w:t xml:space="preserve">blue shark </w:t>
            </w:r>
            <w:r w:rsidRPr="00FC321A">
              <w:rPr>
                <w:rFonts w:cs="Arial"/>
              </w:rPr>
              <w:t>(</w:t>
            </w:r>
            <w:proofErr w:type="spellStart"/>
            <w:r w:rsidRPr="00FC321A">
              <w:rPr>
                <w:rFonts w:cs="Arial"/>
                <w:i/>
              </w:rPr>
              <w:t>Prionace</w:t>
            </w:r>
            <w:proofErr w:type="spellEnd"/>
            <w:r w:rsidRPr="00FC321A">
              <w:rPr>
                <w:rFonts w:cs="Arial"/>
                <w:i/>
              </w:rPr>
              <w:t> </w:t>
            </w:r>
            <w:proofErr w:type="spellStart"/>
            <w:r w:rsidRPr="00FC321A">
              <w:rPr>
                <w:rFonts w:cs="Arial"/>
                <w:i/>
              </w:rPr>
              <w:t>glauca</w:t>
            </w:r>
            <w:proofErr w:type="spellEnd"/>
            <w:r w:rsidRPr="00FC321A">
              <w:rPr>
                <w:rFonts w:cs="Arial"/>
              </w:rPr>
              <w:t>)</w:t>
            </w:r>
          </w:p>
          <w:p w:rsidR="00093221" w:rsidRPr="00FC321A" w:rsidRDefault="00093221" w:rsidP="00093221">
            <w:pPr>
              <w:pStyle w:val="ListBullet2"/>
              <w:pageBreakBefore/>
              <w:widowControl w:val="0"/>
              <w:tabs>
                <w:tab w:val="left" w:pos="2036"/>
                <w:tab w:val="left" w:pos="2444"/>
              </w:tabs>
              <w:spacing w:after="100"/>
            </w:pPr>
            <w:proofErr w:type="gramStart"/>
            <w:r w:rsidRPr="00FC321A">
              <w:t>crocodile</w:t>
            </w:r>
            <w:proofErr w:type="gramEnd"/>
            <w:r w:rsidRPr="00FC321A">
              <w:t> shark (</w:t>
            </w:r>
            <w:proofErr w:type="spellStart"/>
            <w:r w:rsidRPr="00FC321A">
              <w:rPr>
                <w:rStyle w:val="st"/>
                <w:rFonts w:cs="Arial"/>
                <w:i/>
                <w:color w:val="222222"/>
              </w:rPr>
              <w:t>Pseudocarcharias</w:t>
            </w:r>
            <w:proofErr w:type="spellEnd"/>
            <w:r w:rsidRPr="00FC321A">
              <w:rPr>
                <w:rStyle w:val="st"/>
                <w:rFonts w:cs="Arial"/>
                <w:i/>
                <w:color w:val="222222"/>
              </w:rPr>
              <w:t xml:space="preserve"> </w:t>
            </w:r>
            <w:proofErr w:type="spellStart"/>
            <w:r w:rsidRPr="00FC321A">
              <w:rPr>
                <w:rStyle w:val="st"/>
                <w:rFonts w:cs="Arial"/>
                <w:i/>
                <w:color w:val="222222"/>
              </w:rPr>
              <w:t>kamoharai</w:t>
            </w:r>
            <w:proofErr w:type="spellEnd"/>
            <w:r w:rsidRPr="00FC321A">
              <w:rPr>
                <w:rStyle w:val="st"/>
                <w:rFonts w:cs="Arial"/>
                <w:color w:val="222222"/>
              </w:rPr>
              <w:t>).</w:t>
            </w:r>
            <w:r w:rsidRPr="00FC321A">
              <w:tab/>
              <w:t>.</w:t>
            </w:r>
          </w:p>
          <w:p w:rsidR="00093221" w:rsidRDefault="00093221" w:rsidP="00093221">
            <w:pPr>
              <w:pageBreakBefore/>
              <w:widowControl w:val="0"/>
            </w:pPr>
            <w:r w:rsidRPr="00FC321A">
              <w:t xml:space="preserve">The current volumes of </w:t>
            </w:r>
            <w:proofErr w:type="spellStart"/>
            <w:r w:rsidRPr="00FC321A">
              <w:t>bycatch</w:t>
            </w:r>
            <w:proofErr w:type="spellEnd"/>
            <w:r w:rsidRPr="00FC321A">
              <w:t xml:space="preserve"> and discarding of quota species also appear to be low.</w:t>
            </w:r>
          </w:p>
          <w:p w:rsidR="006D4437" w:rsidRDefault="006D4437" w:rsidP="006D4437">
            <w:pPr>
              <w:pageBreakBefore/>
              <w:widowControl w:val="0"/>
              <w:spacing w:after="120"/>
              <w:rPr>
                <w:i/>
              </w:rPr>
            </w:pPr>
            <w:r>
              <w:t>C</w:t>
            </w:r>
            <w:r w:rsidRPr="00FC321A">
              <w:t>atches of quota species</w:t>
            </w:r>
            <w:r w:rsidR="00B20EE7">
              <w:t xml:space="preserve"> in the fishery</w:t>
            </w:r>
            <w:r w:rsidRPr="00FC321A">
              <w:t xml:space="preserve"> from the past four years are at levels less than approximately 10 per cent of historical highest catches of </w:t>
            </w:r>
            <w:proofErr w:type="spellStart"/>
            <w:r w:rsidRPr="00FC321A">
              <w:t>yellowfin</w:t>
            </w:r>
            <w:proofErr w:type="spellEnd"/>
            <w:r w:rsidRPr="00FC321A">
              <w:t xml:space="preserve"> tuna, broadbill swordfish</w:t>
            </w:r>
            <w:r w:rsidR="00B20EE7">
              <w:t xml:space="preserve"> and striped marlin and between </w:t>
            </w:r>
            <w:r w:rsidRPr="00FC321A">
              <w:t xml:space="preserve">0.5 </w:t>
            </w:r>
            <w:r>
              <w:t xml:space="preserve">per cent </w:t>
            </w:r>
            <w:r w:rsidRPr="00FC321A">
              <w:t>and 10 per cent of the annual total allowable catches for all quota species</w:t>
            </w:r>
            <w:r w:rsidRPr="00FC321A">
              <w:rPr>
                <w:rStyle w:val="FootnoteReference"/>
              </w:rPr>
              <w:footnoteReference w:id="4"/>
            </w:r>
            <w:r w:rsidRPr="00FC321A">
              <w:t xml:space="preserve">. Should the utilisation of quota increase, it will be important that </w:t>
            </w:r>
            <w:r>
              <w:t>the fishery</w:t>
            </w:r>
            <w:r w:rsidRPr="00FC321A">
              <w:t xml:space="preserve"> management framework ensures that the fishing</w:t>
            </w:r>
            <w:r w:rsidRPr="00FC321A">
              <w:noBreakHyphen/>
            </w:r>
            <w:proofErr w:type="spellStart"/>
            <w:r w:rsidRPr="00FC321A">
              <w:t>related</w:t>
            </w:r>
            <w:proofErr w:type="spellEnd"/>
            <w:r w:rsidRPr="00FC321A">
              <w:t xml:space="preserve"> mortality of </w:t>
            </w:r>
            <w:proofErr w:type="spellStart"/>
            <w:r w:rsidRPr="00FC321A">
              <w:t>byproduct</w:t>
            </w:r>
            <w:proofErr w:type="spellEnd"/>
            <w:r w:rsidRPr="00FC321A">
              <w:t xml:space="preserve"> and </w:t>
            </w:r>
            <w:proofErr w:type="spellStart"/>
            <w:r w:rsidRPr="00FC321A">
              <w:t>bycatch</w:t>
            </w:r>
            <w:proofErr w:type="spellEnd"/>
            <w:r w:rsidRPr="00FC321A">
              <w:t xml:space="preserve"> species</w:t>
            </w:r>
            <w:r>
              <w:t xml:space="preserve"> in the </w:t>
            </w:r>
            <w:r w:rsidR="00F64F86">
              <w:t>Western</w:t>
            </w:r>
            <w:r>
              <w:t xml:space="preserve"> Tuna and Billfish fishery</w:t>
            </w:r>
            <w:r w:rsidRPr="00FC321A">
              <w:t xml:space="preserve"> is sustainable</w:t>
            </w:r>
            <w:r>
              <w:t>.</w:t>
            </w:r>
            <w:r w:rsidRPr="00FC321A">
              <w:rPr>
                <w:i/>
              </w:rPr>
              <w:t xml:space="preserve"> </w:t>
            </w:r>
            <w:r>
              <w:rPr>
                <w:i/>
              </w:rPr>
              <w:tab/>
            </w:r>
            <w:r>
              <w:rPr>
                <w:i/>
              </w:rPr>
              <w:tab/>
            </w:r>
            <w:r>
              <w:rPr>
                <w:i/>
              </w:rPr>
              <w:tab/>
            </w:r>
            <w:r>
              <w:rPr>
                <w:i/>
              </w:rPr>
              <w:tab/>
            </w:r>
            <w:r>
              <w:rPr>
                <w:i/>
              </w:rPr>
              <w:tab/>
            </w:r>
            <w:r>
              <w:rPr>
                <w:i/>
              </w:rPr>
              <w:tab/>
            </w:r>
            <w:r>
              <w:rPr>
                <w:i/>
              </w:rPr>
              <w:tab/>
            </w:r>
            <w:r>
              <w:rPr>
                <w:i/>
              </w:rPr>
              <w:tab/>
            </w:r>
            <w:r>
              <w:rPr>
                <w:i/>
              </w:rPr>
              <w:tab/>
            </w:r>
            <w:r>
              <w:rPr>
                <w:i/>
              </w:rPr>
              <w:tab/>
            </w:r>
          </w:p>
          <w:p w:rsidR="00ED303D" w:rsidRPr="00FC321A" w:rsidRDefault="00650591" w:rsidP="00ED303D">
            <w:r w:rsidRPr="007F7BCA">
              <w:t>Since the 20</w:t>
            </w:r>
            <w:r w:rsidR="00ED303D">
              <w:t>09</w:t>
            </w:r>
            <w:r w:rsidRPr="007F7BCA">
              <w:t xml:space="preserve"> EPBC Act assessment of the fishery, </w:t>
            </w:r>
            <w:r w:rsidR="004A1870">
              <w:t xml:space="preserve">AFMA </w:t>
            </w:r>
            <w:r w:rsidR="004A1870" w:rsidRPr="007F7BCA">
              <w:t>has</w:t>
            </w:r>
            <w:r w:rsidRPr="007F7BCA">
              <w:t xml:space="preserve"> commenced a review of the </w:t>
            </w:r>
            <w:r>
              <w:t>Australian Tuna and Billfish Harvest Strategy F</w:t>
            </w:r>
            <w:r w:rsidR="005A2762">
              <w:t>r</w:t>
            </w:r>
            <w:r>
              <w:t>amework</w:t>
            </w:r>
            <w:r w:rsidR="005A2762">
              <w:t>,</w:t>
            </w:r>
            <w:r>
              <w:t xml:space="preserve"> </w:t>
            </w:r>
            <w:r w:rsidR="005A2762">
              <w:t xml:space="preserve">including </w:t>
            </w:r>
            <w:proofErr w:type="gramStart"/>
            <w:r w:rsidR="005A2762">
              <w:t>to incorporate</w:t>
            </w:r>
            <w:proofErr w:type="gramEnd"/>
            <w:r w:rsidRPr="007F7BCA">
              <w:t xml:space="preserve"> the assessment and management of</w:t>
            </w:r>
            <w:r w:rsidRPr="007F7BCA">
              <w:rPr>
                <w:color w:val="FF0000"/>
              </w:rPr>
              <w:t xml:space="preserve"> </w:t>
            </w:r>
            <w:r w:rsidRPr="007F7BCA">
              <w:t xml:space="preserve">key </w:t>
            </w:r>
            <w:proofErr w:type="spellStart"/>
            <w:r w:rsidRPr="007F7BCA">
              <w:t>byproduct</w:t>
            </w:r>
            <w:proofErr w:type="spellEnd"/>
            <w:r w:rsidRPr="007F7BCA">
              <w:t xml:space="preserve"> and </w:t>
            </w:r>
            <w:proofErr w:type="spellStart"/>
            <w:r w:rsidRPr="007F7BCA">
              <w:t>bycatch</w:t>
            </w:r>
            <w:proofErr w:type="spellEnd"/>
            <w:r w:rsidRPr="007F7BCA">
              <w:t xml:space="preserve"> species.</w:t>
            </w:r>
            <w:r>
              <w:t xml:space="preserve"> </w:t>
            </w:r>
            <w:r w:rsidRPr="00FC321A">
              <w:tab/>
            </w:r>
            <w:r w:rsidR="00B20EE7">
              <w:tab/>
            </w:r>
            <w:r w:rsidR="00B20EE7">
              <w:tab/>
            </w:r>
            <w:r w:rsidR="00B20EE7">
              <w:tab/>
            </w:r>
            <w:r w:rsidR="00B20EE7">
              <w:tab/>
            </w:r>
            <w:r w:rsidR="00ED303D" w:rsidRPr="00FC321A">
              <w:rPr>
                <w:i/>
              </w:rPr>
              <w:t>…/cont</w:t>
            </w:r>
            <w:r w:rsidR="00ED303D" w:rsidRPr="00FC321A">
              <w:t>.</w:t>
            </w:r>
          </w:p>
          <w:p w:rsidR="00F83052" w:rsidRPr="006D4437" w:rsidRDefault="00650591" w:rsidP="006D4437">
            <w:r w:rsidRPr="00FC321A">
              <w:t xml:space="preserve">The Department recommends that the revised </w:t>
            </w:r>
            <w:r w:rsidR="006D4437">
              <w:t>h</w:t>
            </w:r>
            <w:r w:rsidRPr="00FC321A">
              <w:t xml:space="preserve">arvest </w:t>
            </w:r>
            <w:r w:rsidR="006D4437">
              <w:t>s</w:t>
            </w:r>
            <w:r w:rsidRPr="00FC321A">
              <w:t>trategy</w:t>
            </w:r>
            <w:r>
              <w:t xml:space="preserve"> </w:t>
            </w:r>
            <w:r w:rsidR="006D4437">
              <w:t>f</w:t>
            </w:r>
            <w:r>
              <w:t>ramework</w:t>
            </w:r>
            <w:r w:rsidRPr="00FC321A">
              <w:t xml:space="preserve"> be completed, taking into account the results of relevant reviews and </w:t>
            </w:r>
            <w:r w:rsidR="005A2762">
              <w:t xml:space="preserve">any </w:t>
            </w:r>
            <w:r w:rsidR="00093221">
              <w:t xml:space="preserve">relevant </w:t>
            </w:r>
            <w:r w:rsidRPr="00FC321A">
              <w:t>research</w:t>
            </w:r>
            <w:r w:rsidR="005A2762">
              <w:t xml:space="preserve"> outcomes relating to the</w:t>
            </w:r>
            <w:r w:rsidR="00F64F86">
              <w:t xml:space="preserve"> </w:t>
            </w:r>
            <w:r w:rsidRPr="00FC321A">
              <w:t>assessment and management of non</w:t>
            </w:r>
            <w:r w:rsidRPr="00FC321A">
              <w:noBreakHyphen/>
            </w:r>
            <w:proofErr w:type="spellStart"/>
            <w:r w:rsidRPr="00FC321A">
              <w:t>quota</w:t>
            </w:r>
            <w:proofErr w:type="spellEnd"/>
            <w:r w:rsidRPr="00FC321A">
              <w:t xml:space="preserve"> and </w:t>
            </w:r>
            <w:proofErr w:type="spellStart"/>
            <w:r w:rsidRPr="00FC321A">
              <w:t>bycatch</w:t>
            </w:r>
            <w:proofErr w:type="spellEnd"/>
            <w:r w:rsidRPr="00FC321A">
              <w:t xml:space="preserve"> species. </w:t>
            </w:r>
            <w:r w:rsidR="005A2762">
              <w:t>Ideally, the framework would clearly communicate how elements of the framework would be activated</w:t>
            </w:r>
            <w:r w:rsidR="005A2762" w:rsidRPr="00FC321A">
              <w:t xml:space="preserve"> should catch or effort increase above risk based thresholds.</w:t>
            </w:r>
          </w:p>
        </w:tc>
        <w:tc>
          <w:tcPr>
            <w:tcW w:w="5723" w:type="dxa"/>
          </w:tcPr>
          <w:p w:rsidR="00F83052" w:rsidRPr="00CA3357" w:rsidRDefault="00F6764F" w:rsidP="00CA3357">
            <w:pPr>
              <w:widowControl w:val="0"/>
            </w:pPr>
            <w:r w:rsidRPr="00CA3357">
              <w:rPr>
                <w:b/>
                <w:i/>
              </w:rPr>
              <w:t>Recommendation 4:</w:t>
            </w:r>
            <w:r w:rsidR="00CA3357">
              <w:t xml:space="preserve"> </w:t>
            </w:r>
            <w:r w:rsidR="00CA3357" w:rsidRPr="007F7BCA">
              <w:t>The Australian Fisheries Management Authority</w:t>
            </w:r>
            <w:r w:rsidR="00CA3357">
              <w:t xml:space="preserve">, in accordance with the reviews of the harvest strategy policy for Commonwealth fisheries and the </w:t>
            </w:r>
            <w:r w:rsidR="00CA3357" w:rsidRPr="00AE6383">
              <w:t xml:space="preserve">Commonwealth Policy on Fisheries </w:t>
            </w:r>
            <w:proofErr w:type="spellStart"/>
            <w:r w:rsidR="00CA3357" w:rsidRPr="00AE6383">
              <w:t>Bycatch</w:t>
            </w:r>
            <w:proofErr w:type="spellEnd"/>
            <w:r w:rsidR="00CA3357">
              <w:t xml:space="preserve">, </w:t>
            </w:r>
            <w:r w:rsidR="00CA3357" w:rsidRPr="007F7BCA">
              <w:t xml:space="preserve">to continue to develop and implement a formal framework applicable to the </w:t>
            </w:r>
            <w:r w:rsidR="00CA3357">
              <w:t>We</w:t>
            </w:r>
            <w:r w:rsidR="00CA3357" w:rsidRPr="007F7BCA">
              <w:t>stern Tuna and Billfish Fishery to guide the management of non</w:t>
            </w:r>
            <w:r w:rsidR="00CA3357" w:rsidRPr="007F7BCA">
              <w:noBreakHyphen/>
            </w:r>
            <w:proofErr w:type="spellStart"/>
            <w:r w:rsidR="00CA3357" w:rsidRPr="007F7BCA">
              <w:t>quota</w:t>
            </w:r>
            <w:proofErr w:type="spellEnd"/>
            <w:r w:rsidR="00CA3357" w:rsidRPr="007F7BCA">
              <w:t xml:space="preserve"> and </w:t>
            </w:r>
            <w:proofErr w:type="spellStart"/>
            <w:r w:rsidR="00CA3357" w:rsidRPr="007F7BCA">
              <w:t>bycatch</w:t>
            </w:r>
            <w:proofErr w:type="spellEnd"/>
            <w:r w:rsidR="00CA3357" w:rsidRPr="007F7BCA">
              <w:t xml:space="preserve"> species, to include objectives, performance measures, management responses and information requirements as appropriate.</w:t>
            </w:r>
          </w:p>
        </w:tc>
      </w:tr>
      <w:tr w:rsidR="00CA3357" w:rsidRPr="00EC24A5" w:rsidTr="00C32828">
        <w:trPr>
          <w:jc w:val="center"/>
        </w:trPr>
        <w:tc>
          <w:tcPr>
            <w:tcW w:w="10205" w:type="dxa"/>
          </w:tcPr>
          <w:p w:rsidR="00CA3357" w:rsidRDefault="00CA3357" w:rsidP="00CA3357">
            <w:pPr>
              <w:pStyle w:val="Tabletext"/>
              <w:pageBreakBefore/>
              <w:rPr>
                <w:b/>
                <w:i/>
              </w:rPr>
            </w:pPr>
            <w:r w:rsidRPr="005A28F2">
              <w:rPr>
                <w:b/>
                <w:i/>
              </w:rPr>
              <w:t>Sustainable management of sharks</w:t>
            </w:r>
          </w:p>
          <w:p w:rsidR="00CA3357" w:rsidRPr="003E3D08" w:rsidRDefault="00CA3357" w:rsidP="00CA3357">
            <w:r w:rsidRPr="003E3D08">
              <w:t>Australia has a high diversity of shark species, which has generated national and international interest in the conservation and long term management of Australian sharks. Sharks worldwide are generally considered more vulnerable to fisheries</w:t>
            </w:r>
            <w:r>
              <w:t xml:space="preserve"> </w:t>
            </w:r>
            <w:r w:rsidRPr="003E3D08">
              <w:t>impacts than bony fish, due to their slow growth, late maturation and lower reproductive output. A number of shark (and ray) species have been included on international threatened species lists in recent years, such as the Bonn Convention (Convention on the Conservation of Migratory Species of Wild Animals—CMS) and the Convention on International Trade in Endangered Species of Fauna and Flora (CITES), and this trend appears likely to continue.</w:t>
            </w:r>
          </w:p>
          <w:p w:rsidR="00CA3357" w:rsidRPr="008F3CAD" w:rsidRDefault="00CA3357" w:rsidP="00CA3357">
            <w:r>
              <w:t>Less than 1 t of shark was harvested from the</w:t>
            </w:r>
            <w:r w:rsidRPr="001B24E3">
              <w:t xml:space="preserve"> </w:t>
            </w:r>
            <w:r>
              <w:t>We</w:t>
            </w:r>
            <w:r w:rsidRPr="001B24E3">
              <w:t>stern Tuna and Billfish Fishery</w:t>
            </w:r>
            <w:r>
              <w:t xml:space="preserve"> in the 2011 and 2012 fishing seasons, representing less than one per cent of the total catch. The predominant species caught were </w:t>
            </w:r>
            <w:proofErr w:type="spellStart"/>
            <w:r>
              <w:t>shortfin</w:t>
            </w:r>
            <w:proofErr w:type="spellEnd"/>
            <w:r>
              <w:t> </w:t>
            </w:r>
            <w:proofErr w:type="spellStart"/>
            <w:r w:rsidRPr="008F3CAD">
              <w:t>mako</w:t>
            </w:r>
            <w:proofErr w:type="spellEnd"/>
            <w:r>
              <w:t> </w:t>
            </w:r>
            <w:r w:rsidRPr="008F3CAD">
              <w:t xml:space="preserve">shark </w:t>
            </w:r>
            <w:r>
              <w:t xml:space="preserve">and </w:t>
            </w:r>
            <w:r w:rsidRPr="008F3CAD">
              <w:t>blue shark</w:t>
            </w:r>
            <w:r>
              <w:t xml:space="preserve">. </w:t>
            </w:r>
            <w:r w:rsidR="00235F6C">
              <w:t>V</w:t>
            </w:r>
            <w:r>
              <w:t xml:space="preserve">arious </w:t>
            </w:r>
            <w:r w:rsidR="00235F6C">
              <w:t>ray species have also been</w:t>
            </w:r>
            <w:r>
              <w:t xml:space="preserve"> </w:t>
            </w:r>
            <w:r w:rsidR="00235F6C">
              <w:t xml:space="preserve">recorded historically as </w:t>
            </w:r>
            <w:proofErr w:type="spellStart"/>
            <w:r w:rsidR="00235F6C">
              <w:t>bycatch</w:t>
            </w:r>
            <w:proofErr w:type="spellEnd"/>
            <w:r w:rsidR="00235F6C">
              <w:t>.</w:t>
            </w:r>
          </w:p>
          <w:p w:rsidR="00CA3357" w:rsidRDefault="00CA3357" w:rsidP="00CA3357">
            <w:pPr>
              <w:rPr>
                <w:i/>
              </w:rPr>
            </w:pPr>
            <w:r>
              <w:rPr>
                <w:rFonts w:cs="Arial"/>
              </w:rPr>
              <w:t xml:space="preserve">The 2009 EPBC Act assessment noted that the catch of sharks in the years preceding the assessment was high </w:t>
            </w:r>
            <w:r>
              <w:t>relative to effort, particularly for blue shark (</w:t>
            </w:r>
            <w:proofErr w:type="spellStart"/>
            <w:r>
              <w:t>byproduct</w:t>
            </w:r>
            <w:proofErr w:type="spellEnd"/>
            <w:r>
              <w:t xml:space="preserve"> and discarded), crocodile shark (</w:t>
            </w:r>
            <w:proofErr w:type="spellStart"/>
            <w:r>
              <w:t>bycatch</w:t>
            </w:r>
            <w:proofErr w:type="spellEnd"/>
            <w:r>
              <w:t xml:space="preserve">) and </w:t>
            </w:r>
            <w:proofErr w:type="spellStart"/>
            <w:r>
              <w:t>shortfin</w:t>
            </w:r>
            <w:proofErr w:type="spellEnd"/>
            <w:r>
              <w:t> </w:t>
            </w:r>
            <w:proofErr w:type="spellStart"/>
            <w:r>
              <w:t>mako</w:t>
            </w:r>
            <w:proofErr w:type="spellEnd"/>
            <w:r>
              <w:t xml:space="preserve"> shark (</w:t>
            </w:r>
            <w:proofErr w:type="spellStart"/>
            <w:r>
              <w:t>byproduct</w:t>
            </w:r>
            <w:proofErr w:type="spellEnd"/>
            <w:r>
              <w:t xml:space="preserve"> and discarded).</w:t>
            </w:r>
            <w:r w:rsidRPr="00800510">
              <w:rPr>
                <w:i/>
              </w:rPr>
              <w:t xml:space="preserve"> </w:t>
            </w:r>
            <w:r>
              <w:rPr>
                <w:i/>
              </w:rPr>
              <w:tab/>
            </w:r>
            <w:r>
              <w:rPr>
                <w:i/>
              </w:rPr>
              <w:tab/>
            </w:r>
            <w:r>
              <w:rPr>
                <w:i/>
              </w:rPr>
              <w:tab/>
            </w:r>
            <w:r>
              <w:rPr>
                <w:i/>
              </w:rPr>
              <w:tab/>
            </w:r>
            <w:r>
              <w:rPr>
                <w:i/>
              </w:rPr>
              <w:tab/>
            </w:r>
          </w:p>
          <w:p w:rsidR="00CA3357" w:rsidRDefault="00CA3357" w:rsidP="00CA3357">
            <w:r>
              <w:t>The ecological risk assessment for the Western Tuna and Billfish Fishery identified three shark species as being at high risk in the fishery—dusky shark (</w:t>
            </w:r>
            <w:proofErr w:type="spellStart"/>
            <w:r w:rsidRPr="0035090F">
              <w:rPr>
                <w:i/>
              </w:rPr>
              <w:t>Carcharhinus</w:t>
            </w:r>
            <w:proofErr w:type="spellEnd"/>
            <w:r w:rsidRPr="0035090F">
              <w:rPr>
                <w:i/>
              </w:rPr>
              <w:t xml:space="preserve"> </w:t>
            </w:r>
            <w:proofErr w:type="spellStart"/>
            <w:r w:rsidRPr="0035090F">
              <w:rPr>
                <w:i/>
              </w:rPr>
              <w:t>obscurus</w:t>
            </w:r>
            <w:proofErr w:type="spellEnd"/>
            <w:r>
              <w:t xml:space="preserve">), </w:t>
            </w:r>
            <w:proofErr w:type="spellStart"/>
            <w:r>
              <w:t>porbeagle</w:t>
            </w:r>
            <w:proofErr w:type="spellEnd"/>
            <w:r>
              <w:t xml:space="preserve"> shark (</w:t>
            </w:r>
            <w:proofErr w:type="spellStart"/>
            <w:r w:rsidRPr="0035090F">
              <w:rPr>
                <w:i/>
              </w:rPr>
              <w:t>Lamna</w:t>
            </w:r>
            <w:proofErr w:type="spellEnd"/>
            <w:r w:rsidRPr="0035090F">
              <w:rPr>
                <w:i/>
              </w:rPr>
              <w:t xml:space="preserve"> </w:t>
            </w:r>
            <w:proofErr w:type="spellStart"/>
            <w:r w:rsidRPr="0035090F">
              <w:rPr>
                <w:i/>
              </w:rPr>
              <w:t>nasus</w:t>
            </w:r>
            <w:proofErr w:type="spellEnd"/>
            <w:r>
              <w:t>) and white shark (</w:t>
            </w:r>
            <w:proofErr w:type="spellStart"/>
            <w:r w:rsidRPr="0035090F">
              <w:rPr>
                <w:i/>
              </w:rPr>
              <w:t>Carcharodon</w:t>
            </w:r>
            <w:proofErr w:type="spellEnd"/>
            <w:r w:rsidRPr="0035090F">
              <w:rPr>
                <w:i/>
              </w:rPr>
              <w:t> </w:t>
            </w:r>
            <w:proofErr w:type="spellStart"/>
            <w:r w:rsidRPr="0035090F">
              <w:rPr>
                <w:i/>
              </w:rPr>
              <w:t>carcharius</w:t>
            </w:r>
            <w:proofErr w:type="spellEnd"/>
            <w:r>
              <w:t xml:space="preserve">) </w:t>
            </w:r>
            <w:r>
              <w:rPr>
                <w:rFonts w:cs="Arial"/>
                <w:iCs/>
              </w:rPr>
              <w:t>(Webb et al. 2007</w:t>
            </w:r>
            <w:r>
              <w:t xml:space="preserve">). However, taking into account the low level of effort in the fishery at the time, the </w:t>
            </w:r>
            <w:r w:rsidRPr="00486F80">
              <w:rPr>
                <w:rFonts w:cs="Arial"/>
                <w:iCs/>
              </w:rPr>
              <w:t xml:space="preserve">Sustainability Assessment for Fishing Effects (SAFE) </w:t>
            </w:r>
            <w:r>
              <w:t>assessment of the fisher</w:t>
            </w:r>
            <w:r w:rsidR="004A1870">
              <w:t xml:space="preserve">y found no species at high risk </w:t>
            </w:r>
            <w:r w:rsidRPr="00486F80">
              <w:rPr>
                <w:rFonts w:cs="Arial"/>
                <w:iCs/>
              </w:rPr>
              <w:t>(Zhou et al. 2009)</w:t>
            </w:r>
            <w:r>
              <w:rPr>
                <w:rFonts w:cs="Arial"/>
                <w:iCs/>
              </w:rPr>
              <w:t>.</w:t>
            </w:r>
            <w:r>
              <w:t xml:space="preserve"> The ecological risk management report for the fishery provides for the ecological risk assessment to be repeated if the level of effort exceeds a precautionary trigger (AFMA 2010).</w:t>
            </w:r>
          </w:p>
          <w:p w:rsidR="00A30954" w:rsidRDefault="00CA3357" w:rsidP="00650591">
            <w:pPr>
              <w:pageBreakBefore/>
            </w:pPr>
            <w:r>
              <w:rPr>
                <w:rFonts w:cs="Arial"/>
              </w:rPr>
              <w:t xml:space="preserve">Within Australian waters, a number of </w:t>
            </w:r>
            <w:r>
              <w:t>We</w:t>
            </w:r>
            <w:r w:rsidRPr="001B24E3">
              <w:t>stern Tuna and Billfish Fishery</w:t>
            </w:r>
            <w:r>
              <w:rPr>
                <w:rFonts w:cs="Arial"/>
              </w:rPr>
              <w:t xml:space="preserve"> shark species are also caught in Western Australian and other Commonwealth managed fisheries. Should increase in effort result in increasing overlap of </w:t>
            </w:r>
            <w:r>
              <w:t>Western</w:t>
            </w:r>
            <w:r w:rsidRPr="001B24E3">
              <w:t xml:space="preserve"> Tuna and Billfish Fishery</w:t>
            </w:r>
            <w:r>
              <w:t xml:space="preserve"> fishing with other fisheries, the cumulative impact of all fishing related mortality becomes increasingly important in the sustainability of susceptible species (see also Recommendation 4).</w:t>
            </w:r>
            <w:r w:rsidR="00650591">
              <w:tab/>
            </w:r>
            <w:r w:rsidR="00650591">
              <w:tab/>
            </w:r>
            <w:r w:rsidR="00650591">
              <w:tab/>
            </w:r>
            <w:r w:rsidR="00650591">
              <w:tab/>
            </w:r>
            <w:r w:rsidR="00650591">
              <w:tab/>
            </w:r>
            <w:r w:rsidR="00650591">
              <w:tab/>
            </w:r>
            <w:r w:rsidR="00650591">
              <w:tab/>
            </w:r>
          </w:p>
          <w:p w:rsidR="003857C5" w:rsidRDefault="003857C5" w:rsidP="00650591">
            <w:pPr>
              <w:pageBreakBefore/>
            </w:pPr>
          </w:p>
          <w:p w:rsidR="0082627F" w:rsidRDefault="0082627F" w:rsidP="003857C5">
            <w:pPr>
              <w:pageBreakBefore/>
              <w:spacing w:after="120"/>
              <w:jc w:val="right"/>
            </w:pPr>
            <w:r>
              <w:t>…/cont.</w:t>
            </w:r>
          </w:p>
          <w:p w:rsidR="00CA3357" w:rsidRDefault="00CA3357" w:rsidP="00CA3357">
            <w:pPr>
              <w:spacing w:after="60"/>
            </w:pPr>
            <w:r>
              <w:t xml:space="preserve">Sharks are a significant </w:t>
            </w:r>
            <w:proofErr w:type="spellStart"/>
            <w:r>
              <w:t>byproduct</w:t>
            </w:r>
            <w:proofErr w:type="spellEnd"/>
            <w:r>
              <w:t xml:space="preserve"> in many Indian Ocean Tuna Commission (IOTC) </w:t>
            </w:r>
            <w:proofErr w:type="spellStart"/>
            <w:r>
              <w:t>longline</w:t>
            </w:r>
            <w:proofErr w:type="spellEnd"/>
            <w:r>
              <w:t xml:space="preserve"> tuna fisheries, the key species being:</w:t>
            </w:r>
          </w:p>
          <w:p w:rsidR="00CA3357" w:rsidRPr="008F3CAD" w:rsidRDefault="00CA3357" w:rsidP="00CA3357">
            <w:pPr>
              <w:pStyle w:val="ListBullet"/>
              <w:numPr>
                <w:ilvl w:val="0"/>
                <w:numId w:val="35"/>
              </w:numPr>
              <w:spacing w:after="100"/>
            </w:pPr>
            <w:r w:rsidRPr="00D21985">
              <w:t>blue</w:t>
            </w:r>
            <w:r>
              <w:t xml:space="preserve"> shark</w:t>
            </w:r>
          </w:p>
          <w:p w:rsidR="00CA3357" w:rsidRPr="008C2867" w:rsidRDefault="00CA3357" w:rsidP="00CA3357">
            <w:pPr>
              <w:pStyle w:val="ListBullet"/>
              <w:numPr>
                <w:ilvl w:val="0"/>
                <w:numId w:val="35"/>
              </w:numPr>
              <w:spacing w:after="100"/>
            </w:pPr>
            <w:proofErr w:type="spellStart"/>
            <w:r w:rsidRPr="00D21985">
              <w:t>shortfin</w:t>
            </w:r>
            <w:proofErr w:type="spellEnd"/>
            <w:r w:rsidRPr="00D21985">
              <w:t xml:space="preserve"> </w:t>
            </w:r>
            <w:proofErr w:type="spellStart"/>
            <w:r w:rsidRPr="00D21985">
              <w:t>mako</w:t>
            </w:r>
            <w:proofErr w:type="spellEnd"/>
            <w:r>
              <w:t xml:space="preserve"> shark</w:t>
            </w:r>
          </w:p>
          <w:p w:rsidR="00CA3357" w:rsidRDefault="00CA3357" w:rsidP="00CA3357">
            <w:pPr>
              <w:pStyle w:val="ListBullet"/>
              <w:numPr>
                <w:ilvl w:val="0"/>
                <w:numId w:val="35"/>
              </w:numPr>
              <w:spacing w:after="100"/>
            </w:pPr>
            <w:r>
              <w:t>scalloped hammerhead shark (</w:t>
            </w:r>
            <w:proofErr w:type="spellStart"/>
            <w:r w:rsidRPr="008C2867">
              <w:rPr>
                <w:i/>
              </w:rPr>
              <w:t>Sphyrna</w:t>
            </w:r>
            <w:proofErr w:type="spellEnd"/>
            <w:r w:rsidRPr="008C2867">
              <w:rPr>
                <w:i/>
              </w:rPr>
              <w:t xml:space="preserve"> </w:t>
            </w:r>
            <w:proofErr w:type="spellStart"/>
            <w:r w:rsidRPr="008C2867">
              <w:rPr>
                <w:i/>
              </w:rPr>
              <w:t>lewini</w:t>
            </w:r>
            <w:proofErr w:type="spellEnd"/>
            <w:r>
              <w:t>)</w:t>
            </w:r>
          </w:p>
          <w:p w:rsidR="00CA3357" w:rsidRDefault="00CA3357" w:rsidP="00CA3357">
            <w:pPr>
              <w:pStyle w:val="ListBullet"/>
              <w:numPr>
                <w:ilvl w:val="0"/>
                <w:numId w:val="35"/>
              </w:numPr>
              <w:spacing w:after="100"/>
            </w:pPr>
            <w:r w:rsidRPr="00D21985">
              <w:t>silky</w:t>
            </w:r>
            <w:r>
              <w:t xml:space="preserve"> shark (</w:t>
            </w:r>
            <w:proofErr w:type="spellStart"/>
            <w:r w:rsidRPr="00BE712C">
              <w:rPr>
                <w:rStyle w:val="st"/>
                <w:rFonts w:cs="Arial"/>
                <w:i/>
                <w:color w:val="222222"/>
              </w:rPr>
              <w:t>Carcharhinus</w:t>
            </w:r>
            <w:proofErr w:type="spellEnd"/>
            <w:r w:rsidRPr="00BE712C">
              <w:rPr>
                <w:rStyle w:val="st"/>
                <w:rFonts w:cs="Arial"/>
                <w:i/>
                <w:color w:val="222222"/>
              </w:rPr>
              <w:t xml:space="preserve"> </w:t>
            </w:r>
            <w:proofErr w:type="spellStart"/>
            <w:r w:rsidRPr="00BE712C">
              <w:rPr>
                <w:rStyle w:val="st"/>
                <w:rFonts w:cs="Arial"/>
                <w:i/>
                <w:color w:val="222222"/>
              </w:rPr>
              <w:t>falciformis</w:t>
            </w:r>
            <w:proofErr w:type="spellEnd"/>
            <w:r w:rsidRPr="00BE712C">
              <w:rPr>
                <w:rStyle w:val="st"/>
                <w:rFonts w:cs="Arial"/>
                <w:color w:val="222222"/>
              </w:rPr>
              <w:t>)</w:t>
            </w:r>
          </w:p>
          <w:p w:rsidR="00CA3357" w:rsidRPr="008C2867" w:rsidRDefault="00CA3357" w:rsidP="00CA3357">
            <w:pPr>
              <w:pStyle w:val="ListBullet"/>
              <w:numPr>
                <w:ilvl w:val="0"/>
                <w:numId w:val="35"/>
              </w:numPr>
              <w:spacing w:after="100"/>
            </w:pPr>
            <w:proofErr w:type="spellStart"/>
            <w:r>
              <w:t>bigeye</w:t>
            </w:r>
            <w:proofErr w:type="spellEnd"/>
            <w:r>
              <w:t xml:space="preserve"> thresher shark</w:t>
            </w:r>
            <w:r w:rsidRPr="008C2867">
              <w:t xml:space="preserve"> (</w:t>
            </w:r>
            <w:proofErr w:type="spellStart"/>
            <w:r w:rsidRPr="00BE712C">
              <w:rPr>
                <w:i/>
                <w:iCs/>
              </w:rPr>
              <w:t>Alopias</w:t>
            </w:r>
            <w:proofErr w:type="spellEnd"/>
            <w:r w:rsidRPr="00BE712C">
              <w:rPr>
                <w:i/>
                <w:iCs/>
              </w:rPr>
              <w:t xml:space="preserve"> </w:t>
            </w:r>
            <w:proofErr w:type="spellStart"/>
            <w:r w:rsidRPr="00BE712C">
              <w:rPr>
                <w:i/>
                <w:iCs/>
              </w:rPr>
              <w:t>superciliosus</w:t>
            </w:r>
            <w:proofErr w:type="spellEnd"/>
            <w:r w:rsidRPr="008C2867">
              <w:t>)</w:t>
            </w:r>
          </w:p>
          <w:p w:rsidR="00CA3357" w:rsidRPr="008C2867" w:rsidRDefault="00CA3357" w:rsidP="0082627F">
            <w:pPr>
              <w:pStyle w:val="ListBullet"/>
              <w:numPr>
                <w:ilvl w:val="0"/>
                <w:numId w:val="35"/>
              </w:numPr>
            </w:pPr>
            <w:proofErr w:type="gramStart"/>
            <w:r>
              <w:t>pelagic</w:t>
            </w:r>
            <w:proofErr w:type="gramEnd"/>
            <w:r>
              <w:t xml:space="preserve"> thresher shark</w:t>
            </w:r>
            <w:r w:rsidRPr="008C2867">
              <w:t xml:space="preserve"> (</w:t>
            </w:r>
            <w:proofErr w:type="spellStart"/>
            <w:r w:rsidRPr="008C2867">
              <w:rPr>
                <w:i/>
                <w:iCs/>
              </w:rPr>
              <w:t>Alopias</w:t>
            </w:r>
            <w:proofErr w:type="spellEnd"/>
            <w:r w:rsidRPr="008C2867">
              <w:rPr>
                <w:i/>
                <w:iCs/>
              </w:rPr>
              <w:t xml:space="preserve"> </w:t>
            </w:r>
            <w:proofErr w:type="spellStart"/>
            <w:r w:rsidRPr="008C2867">
              <w:rPr>
                <w:i/>
                <w:iCs/>
              </w:rPr>
              <w:t>pelagicus</w:t>
            </w:r>
            <w:proofErr w:type="spellEnd"/>
            <w:r w:rsidRPr="008C2867">
              <w:t>)</w:t>
            </w:r>
            <w:r>
              <w:t>.</w:t>
            </w:r>
          </w:p>
          <w:p w:rsidR="00CA3357" w:rsidRDefault="00CA3357" w:rsidP="00CA3357">
            <w:r w:rsidRPr="008445D2">
              <w:t>In 2012, Australia articulated its priorities for actions to improve</w:t>
            </w:r>
            <w:r w:rsidR="00093221">
              <w:t xml:space="preserve"> shark management through Shark</w:t>
            </w:r>
            <w:r w:rsidR="00093221">
              <w:noBreakHyphen/>
            </w:r>
            <w:proofErr w:type="spellStart"/>
            <w:r w:rsidRPr="008445D2">
              <w:t>Plan</w:t>
            </w:r>
            <w:proofErr w:type="spellEnd"/>
            <w:r w:rsidRPr="008445D2">
              <w:t xml:space="preserve"> 2, the </w:t>
            </w:r>
            <w:r w:rsidRPr="008445D2">
              <w:rPr>
                <w:i/>
              </w:rPr>
              <w:t>National Plan of Action for Shark Conservation and Management 2012</w:t>
            </w:r>
            <w:r w:rsidRPr="008445D2">
              <w:t>. Consistent with Shark-Plan 2, to assist with international efforts to manage globally threatened shark stocks, the Department recommends that</w:t>
            </w:r>
            <w:r w:rsidRPr="001B24E3">
              <w:t xml:space="preserve"> </w:t>
            </w:r>
            <w:r>
              <w:t xml:space="preserve">the species of sharks caught in the Western Tuna and Billfish </w:t>
            </w:r>
            <w:r w:rsidRPr="008445D2">
              <w:t xml:space="preserve">Fishery </w:t>
            </w:r>
            <w:r>
              <w:t>continue to be</w:t>
            </w:r>
            <w:r w:rsidRPr="008445D2">
              <w:t xml:space="preserve"> </w:t>
            </w:r>
            <w:r w:rsidRPr="008445D2">
              <w:rPr>
                <w:lang w:val="en-US"/>
              </w:rPr>
              <w:t>accurately</w:t>
            </w:r>
            <w:r w:rsidRPr="008445D2">
              <w:t xml:space="preserve"> recorded, to enable the extent of impact to be determined.</w:t>
            </w:r>
            <w:r>
              <w:t xml:space="preserve"> </w:t>
            </w:r>
            <w:r w:rsidRPr="001B24E3">
              <w:t xml:space="preserve">This should inform the implementation of appropriate management measures for shark species identified through </w:t>
            </w:r>
            <w:r>
              <w:t xml:space="preserve">research and </w:t>
            </w:r>
            <w:r w:rsidRPr="001B24E3">
              <w:t>prote</w:t>
            </w:r>
            <w:r>
              <w:t>cted species listing, CITES non</w:t>
            </w:r>
            <w:r>
              <w:noBreakHyphen/>
            </w:r>
            <w:proofErr w:type="spellStart"/>
            <w:r w:rsidRPr="001B24E3">
              <w:t>detriment</w:t>
            </w:r>
            <w:proofErr w:type="spellEnd"/>
            <w:r w:rsidRPr="001B24E3">
              <w:t xml:space="preserve"> finding </w:t>
            </w:r>
            <w:r>
              <w:t>and ecological risk assessment</w:t>
            </w:r>
            <w:r w:rsidRPr="001B24E3">
              <w:t xml:space="preserve"> processes. Improved information and management of these species will contribute to mitigating </w:t>
            </w:r>
            <w:r>
              <w:t xml:space="preserve">the </w:t>
            </w:r>
            <w:r w:rsidRPr="001B24E3">
              <w:t>impact on Australian populations of shark species that are potentially at risk internationally.</w:t>
            </w:r>
          </w:p>
          <w:p w:rsidR="00CA3357" w:rsidRPr="005A28F2" w:rsidRDefault="00CA3357" w:rsidP="00CA3357">
            <w:r>
              <w:t xml:space="preserve">The Department </w:t>
            </w:r>
            <w:r w:rsidRPr="00444ED3">
              <w:t>considers that a formal framework for managing sharks</w:t>
            </w:r>
            <w:r>
              <w:t xml:space="preserve"> and rays</w:t>
            </w:r>
            <w:r w:rsidRPr="00444ED3">
              <w:t xml:space="preserve"> taken as </w:t>
            </w:r>
            <w:proofErr w:type="spellStart"/>
            <w:r w:rsidRPr="00444ED3">
              <w:t>byproduct</w:t>
            </w:r>
            <w:proofErr w:type="spellEnd"/>
            <w:r w:rsidRPr="00444ED3">
              <w:t xml:space="preserve"> is likely to provide improved mechanisms for ensuring the sustainability of </w:t>
            </w:r>
            <w:r>
              <w:t xml:space="preserve">the </w:t>
            </w:r>
            <w:r w:rsidRPr="00E72559">
              <w:t xml:space="preserve">catch </w:t>
            </w:r>
            <w:r>
              <w:t>of these species</w:t>
            </w:r>
            <w:r w:rsidRPr="00444ED3">
              <w:t xml:space="preserve"> </w:t>
            </w:r>
            <w:r w:rsidRPr="00E72559">
              <w:t xml:space="preserve">(see also Recommendation </w:t>
            </w:r>
            <w:r>
              <w:t>4</w:t>
            </w:r>
            <w:r w:rsidRPr="00E72559">
              <w:t>).</w:t>
            </w:r>
          </w:p>
        </w:tc>
        <w:tc>
          <w:tcPr>
            <w:tcW w:w="5723" w:type="dxa"/>
          </w:tcPr>
          <w:p w:rsidR="00CA3357" w:rsidRDefault="00CA3357" w:rsidP="00CA3357">
            <w:pPr>
              <w:pStyle w:val="Heading3"/>
              <w:keepNext w:val="0"/>
              <w:pageBreakBefore/>
            </w:pPr>
            <w:r>
              <w:t>Recommendation 5:</w:t>
            </w:r>
          </w:p>
          <w:p w:rsidR="00CA3357" w:rsidRPr="005A28F2" w:rsidRDefault="00CA3357" w:rsidP="00CA3357">
            <w:pPr>
              <w:rPr>
                <w:b/>
              </w:rPr>
            </w:pPr>
            <w:r w:rsidRPr="00777D58">
              <w:t>The Australian Fisheries Management Authority to</w:t>
            </w:r>
            <w:r>
              <w:t>:</w:t>
            </w:r>
          </w:p>
          <w:p w:rsidR="00CA3357" w:rsidRPr="00777D58" w:rsidRDefault="00CA3357" w:rsidP="00CA3357">
            <w:pPr>
              <w:pStyle w:val="ListParagraph"/>
              <w:pageBreakBefore/>
              <w:numPr>
                <w:ilvl w:val="0"/>
                <w:numId w:val="37"/>
              </w:numPr>
              <w:rPr>
                <w:rFonts w:cs="Arial"/>
              </w:rPr>
            </w:pPr>
            <w:r>
              <w:t>continue to</w:t>
            </w:r>
            <w:r w:rsidRPr="00777D58">
              <w:rPr>
                <w:rFonts w:cs="Arial"/>
              </w:rPr>
              <w:t xml:space="preserve"> determine the extent of the impact of fishing in the </w:t>
            </w:r>
            <w:r>
              <w:rPr>
                <w:rFonts w:cs="Arial"/>
              </w:rPr>
              <w:t>Western</w:t>
            </w:r>
            <w:r w:rsidRPr="00777D58">
              <w:rPr>
                <w:rFonts w:cs="Arial"/>
              </w:rPr>
              <w:t xml:space="preserve"> Tuna and Billfish Fishery on shark species, including to:</w:t>
            </w:r>
          </w:p>
          <w:p w:rsidR="00CA3357" w:rsidRPr="00777D58" w:rsidRDefault="00CA3357" w:rsidP="00CA3357">
            <w:pPr>
              <w:pStyle w:val="ListNumber3"/>
              <w:pageBreakBefore/>
              <w:numPr>
                <w:ilvl w:val="2"/>
                <w:numId w:val="36"/>
              </w:numPr>
              <w:spacing w:after="100"/>
              <w:ind w:left="884"/>
              <w:rPr>
                <w:rFonts w:cs="Arial"/>
              </w:rPr>
            </w:pPr>
            <w:r w:rsidRPr="00745309">
              <w:t xml:space="preserve">identify </w:t>
            </w:r>
            <w:r w:rsidRPr="00777D58">
              <w:rPr>
                <w:rFonts w:cs="Arial"/>
              </w:rPr>
              <w:t>the species impacted</w:t>
            </w:r>
          </w:p>
          <w:p w:rsidR="00CA3357" w:rsidRPr="00777D58" w:rsidRDefault="00CA3357" w:rsidP="00CA3357">
            <w:pPr>
              <w:pStyle w:val="ListNumber3"/>
              <w:pageBreakBefore/>
              <w:numPr>
                <w:ilvl w:val="2"/>
                <w:numId w:val="36"/>
              </w:numPr>
              <w:spacing w:after="100"/>
              <w:ind w:left="884"/>
              <w:rPr>
                <w:b/>
              </w:rPr>
            </w:pPr>
            <w:r w:rsidRPr="00777D58">
              <w:t>develop</w:t>
            </w:r>
            <w:r w:rsidRPr="00777D58">
              <w:rPr>
                <w:rFonts w:cs="Arial"/>
              </w:rPr>
              <w:t>, document and implement appropriate management measures to mitigate</w:t>
            </w:r>
            <w:r w:rsidRPr="00745309">
              <w:t xml:space="preserve"> impacts on shark species identified through ecological risk assessment</w:t>
            </w:r>
            <w:r>
              <w:t xml:space="preserve">s, </w:t>
            </w:r>
            <w:r w:rsidRPr="00745309">
              <w:t>prote</w:t>
            </w:r>
            <w:r>
              <w:t>cted species listing and/or other processes</w:t>
            </w:r>
          </w:p>
          <w:p w:rsidR="00CA3357" w:rsidRPr="005A28F2" w:rsidRDefault="00CA3357" w:rsidP="00CA3357">
            <w:pPr>
              <w:pStyle w:val="ListParagraph"/>
              <w:pageBreakBefore/>
              <w:numPr>
                <w:ilvl w:val="0"/>
                <w:numId w:val="37"/>
              </w:numPr>
              <w:rPr>
                <w:b/>
              </w:rPr>
            </w:pPr>
            <w:proofErr w:type="gramStart"/>
            <w:r w:rsidRPr="000A51A6">
              <w:t>continue</w:t>
            </w:r>
            <w:proofErr w:type="gramEnd"/>
            <w:r w:rsidRPr="000A51A6">
              <w:t xml:space="preserve"> and encourage further co</w:t>
            </w:r>
            <w:r w:rsidRPr="000A51A6">
              <w:noBreakHyphen/>
              <w:t xml:space="preserve">operation with relevant jurisdictions to pursue increased knowledge and complementary management of </w:t>
            </w:r>
            <w:r>
              <w:t>shark species</w:t>
            </w:r>
            <w:r w:rsidRPr="000A51A6">
              <w:t xml:space="preserve"> </w:t>
            </w:r>
            <w:r>
              <w:t>identified through the above processes</w:t>
            </w:r>
            <w:r w:rsidRPr="000A51A6">
              <w:t xml:space="preserve"> across fisheries and across jurisdictions.</w:t>
            </w:r>
          </w:p>
        </w:tc>
      </w:tr>
    </w:tbl>
    <w:p w:rsidR="000D6013" w:rsidRPr="00EC24A5" w:rsidRDefault="000D6013" w:rsidP="004A6B73">
      <w:pPr>
        <w:tabs>
          <w:tab w:val="left" w:pos="360"/>
        </w:tabs>
        <w:rPr>
          <w:rFonts w:cs="Arial"/>
        </w:rPr>
      </w:pPr>
    </w:p>
    <w:p w:rsidR="00832897" w:rsidRPr="00EC24A5" w:rsidRDefault="00832897" w:rsidP="004A6B73">
      <w:pPr>
        <w:tabs>
          <w:tab w:val="left" w:pos="360"/>
        </w:tabs>
        <w:rPr>
          <w:rFonts w:cs="Arial"/>
        </w:rPr>
        <w:sectPr w:rsidR="00832897" w:rsidRPr="00EC24A5" w:rsidSect="00EF50F9">
          <w:footerReference w:type="default" r:id="rId21"/>
          <w:pgSz w:w="16838" w:h="11906" w:orient="landscape"/>
          <w:pgMar w:top="851" w:right="1021" w:bottom="567" w:left="1021" w:header="709" w:footer="91" w:gutter="0"/>
          <w:cols w:space="708"/>
          <w:docGrid w:linePitch="360"/>
        </w:sectPr>
      </w:pPr>
    </w:p>
    <w:p w:rsidR="00DA6A89" w:rsidRPr="00EC24A5" w:rsidRDefault="00DA6A89" w:rsidP="00873FF8">
      <w:pPr>
        <w:pStyle w:val="Heading1"/>
      </w:pPr>
      <w:bookmarkStart w:id="7" w:name="_Toc316301053"/>
      <w:r w:rsidRPr="00EC24A5">
        <w:t>References</w:t>
      </w:r>
      <w:bookmarkEnd w:id="7"/>
    </w:p>
    <w:p w:rsidR="00941B92" w:rsidRDefault="00AD20D9" w:rsidP="00873FF8">
      <w:r>
        <w:t xml:space="preserve">AFMA </w:t>
      </w:r>
      <w:r w:rsidR="00941B92" w:rsidRPr="00941B92">
        <w:t xml:space="preserve">(Australian Fisheries Management Authority) </w:t>
      </w:r>
      <w:r>
        <w:t xml:space="preserve">(2010) </w:t>
      </w:r>
      <w:r w:rsidR="00941B92" w:rsidRPr="00941B92">
        <w:rPr>
          <w:i/>
          <w:iCs/>
        </w:rPr>
        <w:t>Ecological risk</w:t>
      </w:r>
      <w:r w:rsidR="00941B92">
        <w:rPr>
          <w:i/>
          <w:iCs/>
        </w:rPr>
        <w:t xml:space="preserve"> </w:t>
      </w:r>
      <w:r w:rsidR="00941B92" w:rsidRPr="00941B92">
        <w:rPr>
          <w:i/>
          <w:iCs/>
        </w:rPr>
        <w:t>management: report for the Western Tuna and Billfish Fishery</w:t>
      </w:r>
      <w:r w:rsidR="009D2C48">
        <w:rPr>
          <w:i/>
          <w:iCs/>
        </w:rPr>
        <w:t>—March 2010</w:t>
      </w:r>
      <w:r w:rsidR="00941B92">
        <w:t xml:space="preserve">. </w:t>
      </w:r>
      <w:proofErr w:type="gramStart"/>
      <w:r w:rsidR="00941B92">
        <w:t>AFMA.</w:t>
      </w:r>
      <w:proofErr w:type="gramEnd"/>
      <w:r w:rsidR="00941B92" w:rsidRPr="00941B92">
        <w:t xml:space="preserve"> Canberra.</w:t>
      </w:r>
    </w:p>
    <w:p w:rsidR="00420C72" w:rsidRDefault="00420C72" w:rsidP="00873FF8">
      <w:r>
        <w:t xml:space="preserve">IOTC (Indian Ocean Tuna Commission) (2013) Status of the Indian Ocean striped marlin (MLS: </w:t>
      </w:r>
      <w:proofErr w:type="spellStart"/>
      <w:r w:rsidRPr="00420C72">
        <w:rPr>
          <w:i/>
        </w:rPr>
        <w:t>Tetrapturus</w:t>
      </w:r>
      <w:proofErr w:type="spellEnd"/>
      <w:r w:rsidRPr="00420C72">
        <w:rPr>
          <w:i/>
        </w:rPr>
        <w:t xml:space="preserve"> </w:t>
      </w:r>
      <w:proofErr w:type="spellStart"/>
      <w:r w:rsidRPr="00420C72">
        <w:rPr>
          <w:i/>
        </w:rPr>
        <w:t>audax</w:t>
      </w:r>
      <w:proofErr w:type="spellEnd"/>
      <w:r>
        <w:t>) resource.</w:t>
      </w:r>
    </w:p>
    <w:p w:rsidR="0000405D" w:rsidRPr="00941B92" w:rsidRDefault="00B56443" w:rsidP="00873FF8">
      <w:proofErr w:type="gramStart"/>
      <w:r>
        <w:t xml:space="preserve">Patterson H (2014) </w:t>
      </w:r>
      <w:r w:rsidR="005002CA">
        <w:rPr>
          <w:i/>
        </w:rPr>
        <w:t>International fishery management arrangements</w:t>
      </w:r>
      <w:r w:rsidR="005002CA">
        <w:t>.</w:t>
      </w:r>
      <w:proofErr w:type="gramEnd"/>
      <w:r>
        <w:t xml:space="preserve"> </w:t>
      </w:r>
      <w:proofErr w:type="gramStart"/>
      <w:r w:rsidR="0000405D">
        <w:t>in</w:t>
      </w:r>
      <w:proofErr w:type="gramEnd"/>
      <w:r w:rsidR="0000405D">
        <w:t xml:space="preserve"> </w:t>
      </w:r>
      <w:proofErr w:type="spellStart"/>
      <w:r w:rsidR="0000405D">
        <w:t>Georgeson</w:t>
      </w:r>
      <w:proofErr w:type="spellEnd"/>
      <w:r w:rsidR="0000405D">
        <w:t xml:space="preserve"> L, </w:t>
      </w:r>
      <w:proofErr w:type="spellStart"/>
      <w:r w:rsidR="0000405D">
        <w:t>Stobutzki</w:t>
      </w:r>
      <w:proofErr w:type="spellEnd"/>
      <w:r w:rsidR="0000405D">
        <w:t xml:space="preserve"> I &amp; </w:t>
      </w:r>
      <w:proofErr w:type="spellStart"/>
      <w:r w:rsidR="0000405D">
        <w:t>Curtotti</w:t>
      </w:r>
      <w:proofErr w:type="spellEnd"/>
      <w:r w:rsidR="0000405D" w:rsidRPr="00453590">
        <w:t xml:space="preserve"> R (</w:t>
      </w:r>
      <w:proofErr w:type="spellStart"/>
      <w:r w:rsidR="0000405D" w:rsidRPr="00453590">
        <w:t>eds</w:t>
      </w:r>
      <w:proofErr w:type="spellEnd"/>
      <w:r w:rsidR="0000405D" w:rsidRPr="00453590">
        <w:t xml:space="preserve">) </w:t>
      </w:r>
      <w:r w:rsidR="0000405D">
        <w:t>(2014)</w:t>
      </w:r>
      <w:r w:rsidR="0000405D" w:rsidRPr="00453590">
        <w:t xml:space="preserve"> </w:t>
      </w:r>
      <w:r w:rsidR="0000405D" w:rsidRPr="0000405D">
        <w:rPr>
          <w:i/>
        </w:rPr>
        <w:t>Fishery</w:t>
      </w:r>
      <w:r w:rsidR="0000405D" w:rsidRPr="005002CA">
        <w:rPr>
          <w:rFonts w:ascii="Cambria-Italic" w:hAnsi="Cambria-Italic" w:cs="Cambria-Italic"/>
          <w:i/>
          <w:iCs/>
          <w:sz w:val="14"/>
          <w:szCs w:val="14"/>
          <w:lang w:eastAsia="en-AU"/>
        </w:rPr>
        <w:t xml:space="preserve"> </w:t>
      </w:r>
      <w:r w:rsidR="0000405D">
        <w:rPr>
          <w:i/>
          <w:iCs/>
        </w:rPr>
        <w:t>status reports 2013–14.</w:t>
      </w:r>
      <w:r w:rsidR="0000405D" w:rsidRPr="005002CA">
        <w:rPr>
          <w:i/>
          <w:iCs/>
        </w:rPr>
        <w:t xml:space="preserve"> </w:t>
      </w:r>
      <w:proofErr w:type="gramStart"/>
      <w:r w:rsidR="0000405D" w:rsidRPr="005002CA">
        <w:t xml:space="preserve">Australian Bureau of Agricultural and </w:t>
      </w:r>
      <w:r w:rsidR="0000405D">
        <w:t>Resource Economics and Sciences.</w:t>
      </w:r>
      <w:proofErr w:type="gramEnd"/>
      <w:r w:rsidR="0000405D" w:rsidRPr="005002CA">
        <w:t xml:space="preserve"> Canberra.</w:t>
      </w:r>
    </w:p>
    <w:p w:rsidR="0000405D" w:rsidRPr="00941B92" w:rsidRDefault="006054DB" w:rsidP="00873FF8">
      <w:proofErr w:type="gramStart"/>
      <w:r>
        <w:t xml:space="preserve">Patterson </w:t>
      </w:r>
      <w:r w:rsidR="00B56443">
        <w:t xml:space="preserve">H </w:t>
      </w:r>
      <w:r>
        <w:t>and Stephan</w:t>
      </w:r>
      <w:r w:rsidR="0000405D">
        <w:t xml:space="preserve"> M</w:t>
      </w:r>
      <w:r>
        <w:t xml:space="preserve"> (2014)</w:t>
      </w:r>
      <w:r w:rsidR="00B56443">
        <w:t xml:space="preserve"> </w:t>
      </w:r>
      <w:r w:rsidR="00B56443" w:rsidRPr="0000405D">
        <w:rPr>
          <w:i/>
        </w:rPr>
        <w:t>Western Tuna and Billfish Fishery</w:t>
      </w:r>
      <w:r w:rsidR="0000405D">
        <w:t>.</w:t>
      </w:r>
      <w:proofErr w:type="gramEnd"/>
      <w:r w:rsidR="00B56443">
        <w:t xml:space="preserve"> </w:t>
      </w:r>
      <w:proofErr w:type="gramStart"/>
      <w:r w:rsidR="0000405D">
        <w:t>in</w:t>
      </w:r>
      <w:proofErr w:type="gramEnd"/>
      <w:r w:rsidR="0000405D">
        <w:t xml:space="preserve"> </w:t>
      </w:r>
      <w:proofErr w:type="spellStart"/>
      <w:r w:rsidR="0000405D">
        <w:t>Georgeson</w:t>
      </w:r>
      <w:proofErr w:type="spellEnd"/>
      <w:r w:rsidR="0000405D">
        <w:t xml:space="preserve"> L, </w:t>
      </w:r>
      <w:proofErr w:type="spellStart"/>
      <w:r w:rsidR="0000405D">
        <w:t>Stobutzki</w:t>
      </w:r>
      <w:proofErr w:type="spellEnd"/>
      <w:r w:rsidR="0000405D">
        <w:t xml:space="preserve"> I &amp; </w:t>
      </w:r>
      <w:proofErr w:type="spellStart"/>
      <w:r w:rsidR="0000405D">
        <w:t>Curtotti</w:t>
      </w:r>
      <w:proofErr w:type="spellEnd"/>
      <w:r w:rsidR="0000405D" w:rsidRPr="00453590">
        <w:t xml:space="preserve"> R (</w:t>
      </w:r>
      <w:proofErr w:type="spellStart"/>
      <w:r w:rsidR="0000405D" w:rsidRPr="00453590">
        <w:t>eds</w:t>
      </w:r>
      <w:proofErr w:type="spellEnd"/>
      <w:r w:rsidR="0000405D" w:rsidRPr="00453590">
        <w:t xml:space="preserve">) </w:t>
      </w:r>
      <w:r w:rsidR="0000405D">
        <w:t>(2014)</w:t>
      </w:r>
      <w:r w:rsidR="0000405D" w:rsidRPr="00453590">
        <w:t xml:space="preserve"> </w:t>
      </w:r>
      <w:r w:rsidR="0000405D" w:rsidRPr="0000405D">
        <w:rPr>
          <w:i/>
        </w:rPr>
        <w:t>Fishery</w:t>
      </w:r>
      <w:r w:rsidR="0000405D" w:rsidRPr="005002CA">
        <w:rPr>
          <w:rFonts w:ascii="Cambria-Italic" w:hAnsi="Cambria-Italic" w:cs="Cambria-Italic"/>
          <w:i/>
          <w:iCs/>
          <w:sz w:val="14"/>
          <w:szCs w:val="14"/>
          <w:lang w:eastAsia="en-AU"/>
        </w:rPr>
        <w:t xml:space="preserve"> </w:t>
      </w:r>
      <w:r w:rsidR="0000405D">
        <w:rPr>
          <w:i/>
          <w:iCs/>
        </w:rPr>
        <w:t>status reports 2013–14.</w:t>
      </w:r>
      <w:r w:rsidR="0000405D" w:rsidRPr="005002CA">
        <w:rPr>
          <w:i/>
          <w:iCs/>
        </w:rPr>
        <w:t xml:space="preserve"> </w:t>
      </w:r>
      <w:proofErr w:type="gramStart"/>
      <w:r w:rsidR="0000405D" w:rsidRPr="005002CA">
        <w:t xml:space="preserve">Australian Bureau of Agricultural and </w:t>
      </w:r>
      <w:r w:rsidR="0000405D">
        <w:t>Resource Economics and Sciences.</w:t>
      </w:r>
      <w:proofErr w:type="gramEnd"/>
      <w:r w:rsidR="0000405D" w:rsidRPr="005002CA">
        <w:t xml:space="preserve"> Canberra.</w:t>
      </w:r>
    </w:p>
    <w:p w:rsidR="00815D3C" w:rsidRPr="00815D3C" w:rsidRDefault="00007053" w:rsidP="00873FF8">
      <w:r>
        <w:t xml:space="preserve">Zhou S, </w:t>
      </w:r>
      <w:r w:rsidR="00297811">
        <w:t xml:space="preserve">Fuller M and </w:t>
      </w:r>
      <w:r>
        <w:t>Smith</w:t>
      </w:r>
      <w:r w:rsidR="00297811">
        <w:t xml:space="preserve"> T</w:t>
      </w:r>
      <w:r>
        <w:t xml:space="preserve"> (2009)</w:t>
      </w:r>
      <w:r w:rsidR="00815D3C" w:rsidRPr="00815D3C">
        <w:t xml:space="preserve"> </w:t>
      </w:r>
      <w:r w:rsidR="00815D3C" w:rsidRPr="00007053">
        <w:rPr>
          <w:i/>
        </w:rPr>
        <w:t xml:space="preserve">Rapid quantitative risk assessment for fish species in </w:t>
      </w:r>
      <w:r w:rsidR="00297811" w:rsidRPr="00297811">
        <w:rPr>
          <w:i/>
        </w:rPr>
        <w:t>additional seven</w:t>
      </w:r>
      <w:r w:rsidR="00297811">
        <w:rPr>
          <w:i/>
        </w:rPr>
        <w:t xml:space="preserve"> </w:t>
      </w:r>
      <w:r w:rsidR="00815D3C" w:rsidRPr="00007053">
        <w:rPr>
          <w:i/>
        </w:rPr>
        <w:t>Commonwealth fisheries,</w:t>
      </w:r>
      <w:r w:rsidR="00815D3C" w:rsidRPr="00815D3C">
        <w:t xml:space="preserve"> report to AFMA, Canberra.</w:t>
      </w:r>
    </w:p>
    <w:p w:rsidR="00AD20D9" w:rsidRDefault="00AD20D9" w:rsidP="00873FF8">
      <w:pPr>
        <w:tabs>
          <w:tab w:val="left" w:pos="360"/>
        </w:tabs>
        <w:spacing w:after="240"/>
        <w:rPr>
          <w:color w:val="000000"/>
        </w:rPr>
      </w:pPr>
    </w:p>
    <w:p w:rsidR="00AD20D9" w:rsidRDefault="00AD20D9" w:rsidP="00873FF8">
      <w:pPr>
        <w:tabs>
          <w:tab w:val="left" w:pos="360"/>
        </w:tabs>
        <w:spacing w:after="240"/>
        <w:rPr>
          <w:color w:val="000000"/>
        </w:rPr>
      </w:pPr>
    </w:p>
    <w:p w:rsidR="00DA6A89" w:rsidRPr="00EC24A5" w:rsidRDefault="00DA6A89" w:rsidP="00873FF8">
      <w:pPr>
        <w:pStyle w:val="Heading1"/>
      </w:pPr>
      <w:bookmarkStart w:id="8" w:name="_Toc316301054"/>
      <w:r w:rsidRPr="00EC24A5">
        <w:t>Acronyms</w:t>
      </w:r>
      <w:bookmarkEnd w:id="8"/>
    </w:p>
    <w:tbl>
      <w:tblPr>
        <w:tblW w:w="0" w:type="auto"/>
        <w:tblLook w:val="01E0"/>
      </w:tblPr>
      <w:tblGrid>
        <w:gridCol w:w="1548"/>
        <w:gridCol w:w="6980"/>
      </w:tblGrid>
      <w:tr w:rsidR="00E70BCC" w:rsidRPr="00EC24A5" w:rsidTr="00814CC7">
        <w:tc>
          <w:tcPr>
            <w:tcW w:w="1548" w:type="dxa"/>
          </w:tcPr>
          <w:p w:rsidR="00E70BCC" w:rsidRPr="00EC24A5" w:rsidRDefault="00E70BCC" w:rsidP="003B67BA">
            <w:pPr>
              <w:tabs>
                <w:tab w:val="left" w:pos="360"/>
              </w:tabs>
              <w:rPr>
                <w:rFonts w:cs="Arial"/>
              </w:rPr>
            </w:pPr>
            <w:r>
              <w:rPr>
                <w:rFonts w:cs="Arial"/>
              </w:rPr>
              <w:t>AFMA</w:t>
            </w:r>
          </w:p>
        </w:tc>
        <w:tc>
          <w:tcPr>
            <w:tcW w:w="6980" w:type="dxa"/>
          </w:tcPr>
          <w:p w:rsidR="00E70BCC" w:rsidRPr="00EC24A5" w:rsidRDefault="00E70BCC" w:rsidP="003B67BA">
            <w:pPr>
              <w:tabs>
                <w:tab w:val="left" w:pos="360"/>
              </w:tabs>
              <w:rPr>
                <w:rFonts w:cs="Arial"/>
                <w:snapToGrid w:val="0"/>
              </w:rPr>
            </w:pPr>
            <w:r>
              <w:rPr>
                <w:rFonts w:cs="Arial"/>
                <w:snapToGrid w:val="0"/>
              </w:rPr>
              <w:t>Australian Fisheries Management Authority</w:t>
            </w:r>
          </w:p>
        </w:tc>
      </w:tr>
      <w:tr w:rsidR="00DA6A89" w:rsidRPr="00EC24A5" w:rsidTr="00814CC7">
        <w:tc>
          <w:tcPr>
            <w:tcW w:w="1548" w:type="dxa"/>
          </w:tcPr>
          <w:p w:rsidR="00DA6A89" w:rsidRPr="00EC24A5" w:rsidRDefault="00590D95" w:rsidP="003B67BA">
            <w:pPr>
              <w:tabs>
                <w:tab w:val="left" w:pos="360"/>
              </w:tabs>
              <w:rPr>
                <w:rFonts w:cs="Arial"/>
              </w:rPr>
            </w:pPr>
            <w:r w:rsidRPr="00EC24A5">
              <w:rPr>
                <w:rFonts w:cs="Arial"/>
              </w:rPr>
              <w:t>CITES</w:t>
            </w:r>
          </w:p>
        </w:tc>
        <w:tc>
          <w:tcPr>
            <w:tcW w:w="6980" w:type="dxa"/>
          </w:tcPr>
          <w:p w:rsidR="00DA6A89" w:rsidRPr="00EC24A5" w:rsidRDefault="00590D95" w:rsidP="003B67BA">
            <w:pPr>
              <w:tabs>
                <w:tab w:val="left" w:pos="360"/>
              </w:tabs>
              <w:rPr>
                <w:rFonts w:cs="Arial"/>
              </w:rPr>
            </w:pPr>
            <w:r w:rsidRPr="00EC24A5">
              <w:rPr>
                <w:rFonts w:cs="Arial"/>
                <w:snapToGrid w:val="0"/>
              </w:rPr>
              <w:t>Convention on International Trade in Endangered Species of Wild Fauna and Flora</w:t>
            </w:r>
          </w:p>
        </w:tc>
      </w:tr>
      <w:tr w:rsidR="00F53FDA" w:rsidRPr="00EC24A5" w:rsidTr="00814CC7">
        <w:tc>
          <w:tcPr>
            <w:tcW w:w="1548" w:type="dxa"/>
          </w:tcPr>
          <w:p w:rsidR="00F53FDA" w:rsidRPr="00EC24A5" w:rsidRDefault="00EA0E6A" w:rsidP="003B67BA">
            <w:pPr>
              <w:tabs>
                <w:tab w:val="left" w:pos="360"/>
              </w:tabs>
              <w:rPr>
                <w:rFonts w:cs="Arial"/>
              </w:rPr>
            </w:pPr>
            <w:r>
              <w:rPr>
                <w:rFonts w:cs="Arial"/>
              </w:rPr>
              <w:t>DEWHA</w:t>
            </w:r>
          </w:p>
        </w:tc>
        <w:tc>
          <w:tcPr>
            <w:tcW w:w="6980" w:type="dxa"/>
          </w:tcPr>
          <w:p w:rsidR="00F53FDA" w:rsidRPr="00EC24A5" w:rsidRDefault="00C8012C" w:rsidP="00C8012C">
            <w:pPr>
              <w:tabs>
                <w:tab w:val="left" w:pos="360"/>
              </w:tabs>
              <w:rPr>
                <w:rFonts w:cs="Arial"/>
                <w:iCs/>
              </w:rPr>
            </w:pPr>
            <w:r>
              <w:rPr>
                <w:rFonts w:cs="Arial"/>
                <w:iCs/>
              </w:rPr>
              <w:t>Department of the Environment, Water, Heritage and the Arts</w:t>
            </w:r>
          </w:p>
        </w:tc>
      </w:tr>
      <w:tr w:rsidR="00C8012C" w:rsidRPr="00EC24A5" w:rsidTr="00814CC7">
        <w:tc>
          <w:tcPr>
            <w:tcW w:w="1548" w:type="dxa"/>
          </w:tcPr>
          <w:p w:rsidR="00C8012C" w:rsidRDefault="00C8012C" w:rsidP="003B67BA">
            <w:pPr>
              <w:tabs>
                <w:tab w:val="left" w:pos="360"/>
              </w:tabs>
              <w:rPr>
                <w:rFonts w:cs="Arial"/>
              </w:rPr>
            </w:pPr>
            <w:r>
              <w:rPr>
                <w:rFonts w:cs="Arial"/>
              </w:rPr>
              <w:t>DAFF</w:t>
            </w:r>
          </w:p>
        </w:tc>
        <w:tc>
          <w:tcPr>
            <w:tcW w:w="6980" w:type="dxa"/>
          </w:tcPr>
          <w:p w:rsidR="00C8012C" w:rsidRDefault="00C8012C" w:rsidP="00EA0E6A">
            <w:pPr>
              <w:tabs>
                <w:tab w:val="left" w:pos="360"/>
              </w:tabs>
              <w:rPr>
                <w:rFonts w:cs="Arial"/>
                <w:iCs/>
              </w:rPr>
            </w:pPr>
            <w:r>
              <w:rPr>
                <w:rFonts w:cs="Arial"/>
                <w:iCs/>
              </w:rPr>
              <w:t>Department of Agriculture, Fisheries and Forestry</w:t>
            </w:r>
          </w:p>
        </w:tc>
      </w:tr>
      <w:tr w:rsidR="00C8012C" w:rsidRPr="00EC24A5" w:rsidTr="00814CC7">
        <w:tc>
          <w:tcPr>
            <w:tcW w:w="1548" w:type="dxa"/>
          </w:tcPr>
          <w:p w:rsidR="00C8012C" w:rsidRDefault="00C8012C" w:rsidP="003B67BA">
            <w:pPr>
              <w:tabs>
                <w:tab w:val="left" w:pos="360"/>
              </w:tabs>
              <w:rPr>
                <w:rFonts w:cs="Arial"/>
              </w:rPr>
            </w:pPr>
            <w:r>
              <w:rPr>
                <w:rFonts w:cs="Arial"/>
              </w:rPr>
              <w:t>EBFM</w:t>
            </w:r>
          </w:p>
        </w:tc>
        <w:tc>
          <w:tcPr>
            <w:tcW w:w="6980" w:type="dxa"/>
          </w:tcPr>
          <w:p w:rsidR="00C8012C" w:rsidRDefault="00C8012C" w:rsidP="00EA0E6A">
            <w:pPr>
              <w:tabs>
                <w:tab w:val="left" w:pos="360"/>
              </w:tabs>
              <w:rPr>
                <w:rFonts w:cs="Arial"/>
                <w:iCs/>
              </w:rPr>
            </w:pPr>
            <w:r>
              <w:rPr>
                <w:rFonts w:cs="Arial"/>
                <w:iCs/>
              </w:rPr>
              <w:t>Ecologically based fisheries management</w:t>
            </w:r>
          </w:p>
        </w:tc>
      </w:tr>
      <w:tr w:rsidR="007605F1" w:rsidRPr="00EC24A5" w:rsidTr="00814CC7">
        <w:tc>
          <w:tcPr>
            <w:tcW w:w="1548" w:type="dxa"/>
          </w:tcPr>
          <w:p w:rsidR="007605F1" w:rsidRPr="00EC24A5" w:rsidRDefault="00EA0E6A" w:rsidP="003B67BA">
            <w:pPr>
              <w:tabs>
                <w:tab w:val="left" w:pos="360"/>
              </w:tabs>
              <w:rPr>
                <w:rFonts w:cs="Arial"/>
              </w:rPr>
            </w:pPr>
            <w:r>
              <w:rPr>
                <w:rFonts w:cs="Arial"/>
              </w:rPr>
              <w:t>ERA</w:t>
            </w:r>
          </w:p>
        </w:tc>
        <w:tc>
          <w:tcPr>
            <w:tcW w:w="6980" w:type="dxa"/>
          </w:tcPr>
          <w:p w:rsidR="00EA0E6A" w:rsidRPr="00EC24A5" w:rsidRDefault="00EA0E6A" w:rsidP="00EA0E6A">
            <w:pPr>
              <w:tabs>
                <w:tab w:val="left" w:pos="360"/>
              </w:tabs>
              <w:rPr>
                <w:rFonts w:cs="Arial"/>
                <w:iCs/>
              </w:rPr>
            </w:pPr>
            <w:r>
              <w:rPr>
                <w:rFonts w:cs="Arial"/>
                <w:iCs/>
              </w:rPr>
              <w:t>Ecological risk assessment</w:t>
            </w:r>
          </w:p>
        </w:tc>
      </w:tr>
      <w:tr w:rsidR="00DA6A89" w:rsidRPr="00EC24A5" w:rsidTr="00814CC7">
        <w:tc>
          <w:tcPr>
            <w:tcW w:w="1548" w:type="dxa"/>
          </w:tcPr>
          <w:p w:rsidR="00DA6A89" w:rsidRPr="00EC24A5" w:rsidRDefault="00EA0E6A" w:rsidP="003B67BA">
            <w:pPr>
              <w:tabs>
                <w:tab w:val="left" w:pos="360"/>
              </w:tabs>
              <w:rPr>
                <w:rFonts w:cs="Arial"/>
              </w:rPr>
            </w:pPr>
            <w:r>
              <w:rPr>
                <w:rFonts w:cs="Arial"/>
              </w:rPr>
              <w:t>ERM</w:t>
            </w:r>
          </w:p>
        </w:tc>
        <w:tc>
          <w:tcPr>
            <w:tcW w:w="6980" w:type="dxa"/>
          </w:tcPr>
          <w:p w:rsidR="00DA6A89" w:rsidRPr="00EC24A5" w:rsidRDefault="00EA0E6A" w:rsidP="00EA0E6A">
            <w:pPr>
              <w:tabs>
                <w:tab w:val="left" w:pos="360"/>
              </w:tabs>
              <w:rPr>
                <w:rFonts w:cs="Arial"/>
              </w:rPr>
            </w:pPr>
            <w:r>
              <w:rPr>
                <w:rFonts w:cs="Arial"/>
                <w:iCs/>
              </w:rPr>
              <w:t>Ecological risk management</w:t>
            </w:r>
          </w:p>
        </w:tc>
      </w:tr>
      <w:tr w:rsidR="00EA0E6A" w:rsidRPr="00EC24A5" w:rsidTr="00814CC7">
        <w:tc>
          <w:tcPr>
            <w:tcW w:w="1548" w:type="dxa"/>
          </w:tcPr>
          <w:p w:rsidR="00EA0E6A" w:rsidRPr="00EC24A5" w:rsidRDefault="00EA0E6A" w:rsidP="00987942">
            <w:pPr>
              <w:tabs>
                <w:tab w:val="left" w:pos="360"/>
              </w:tabs>
              <w:rPr>
                <w:rFonts w:cs="Arial"/>
              </w:rPr>
            </w:pPr>
            <w:r w:rsidRPr="00EC24A5">
              <w:rPr>
                <w:rFonts w:cs="Arial"/>
              </w:rPr>
              <w:t>EPBC Act</w:t>
            </w:r>
          </w:p>
        </w:tc>
        <w:tc>
          <w:tcPr>
            <w:tcW w:w="6980" w:type="dxa"/>
          </w:tcPr>
          <w:p w:rsidR="00EA0E6A" w:rsidRPr="00EC24A5" w:rsidRDefault="00EA0E6A" w:rsidP="00987942">
            <w:pPr>
              <w:tabs>
                <w:tab w:val="left" w:pos="360"/>
              </w:tabs>
              <w:rPr>
                <w:rFonts w:cs="Arial"/>
              </w:rPr>
            </w:pPr>
            <w:r w:rsidRPr="00EC24A5">
              <w:rPr>
                <w:rFonts w:cs="Arial"/>
                <w:i/>
                <w:iCs/>
              </w:rPr>
              <w:t>Environment Protection and Biodiversity Conservation Act 1999</w:t>
            </w:r>
          </w:p>
        </w:tc>
      </w:tr>
      <w:tr w:rsidR="00B56443" w:rsidRPr="00EC24A5" w:rsidTr="00814CC7">
        <w:tc>
          <w:tcPr>
            <w:tcW w:w="1548" w:type="dxa"/>
          </w:tcPr>
          <w:p w:rsidR="00B56443" w:rsidRDefault="00B56443" w:rsidP="003B67BA">
            <w:pPr>
              <w:tabs>
                <w:tab w:val="left" w:pos="360"/>
              </w:tabs>
              <w:rPr>
                <w:rFonts w:cs="Arial"/>
              </w:rPr>
            </w:pPr>
            <w:r>
              <w:rPr>
                <w:rFonts w:cs="Arial"/>
              </w:rPr>
              <w:t>HSP</w:t>
            </w:r>
          </w:p>
        </w:tc>
        <w:tc>
          <w:tcPr>
            <w:tcW w:w="6980" w:type="dxa"/>
          </w:tcPr>
          <w:p w:rsidR="00B56443" w:rsidRDefault="00B56443" w:rsidP="003B67BA">
            <w:pPr>
              <w:tabs>
                <w:tab w:val="left" w:pos="360"/>
              </w:tabs>
              <w:rPr>
                <w:iCs/>
              </w:rPr>
            </w:pPr>
            <w:r>
              <w:rPr>
                <w:iCs/>
              </w:rPr>
              <w:t>Harvest Strategy Policy</w:t>
            </w:r>
          </w:p>
        </w:tc>
      </w:tr>
      <w:tr w:rsidR="00EA0E6A" w:rsidRPr="00EC24A5" w:rsidTr="00814CC7">
        <w:tc>
          <w:tcPr>
            <w:tcW w:w="1548" w:type="dxa"/>
          </w:tcPr>
          <w:p w:rsidR="00EA0E6A" w:rsidRPr="00EC24A5" w:rsidRDefault="00EA0E6A" w:rsidP="003B67BA">
            <w:pPr>
              <w:tabs>
                <w:tab w:val="left" w:pos="360"/>
              </w:tabs>
              <w:rPr>
                <w:rFonts w:cs="Arial"/>
              </w:rPr>
            </w:pPr>
            <w:r>
              <w:rPr>
                <w:rFonts w:cs="Arial"/>
              </w:rPr>
              <w:t>IOTC</w:t>
            </w:r>
          </w:p>
        </w:tc>
        <w:tc>
          <w:tcPr>
            <w:tcW w:w="6980" w:type="dxa"/>
          </w:tcPr>
          <w:p w:rsidR="00EA0E6A" w:rsidRPr="00EC24A5" w:rsidRDefault="00EA0E6A" w:rsidP="003B67BA">
            <w:pPr>
              <w:tabs>
                <w:tab w:val="left" w:pos="360"/>
              </w:tabs>
              <w:rPr>
                <w:rFonts w:cs="Arial"/>
                <w:iCs/>
              </w:rPr>
            </w:pPr>
            <w:r>
              <w:rPr>
                <w:iCs/>
              </w:rPr>
              <w:t>Indian Ocean Tuna</w:t>
            </w:r>
            <w:r w:rsidRPr="003A70CA">
              <w:rPr>
                <w:iCs/>
              </w:rPr>
              <w:t xml:space="preserve"> Commission</w:t>
            </w:r>
          </w:p>
        </w:tc>
      </w:tr>
      <w:tr w:rsidR="00EA0E6A" w:rsidRPr="00EC24A5" w:rsidTr="00814CC7">
        <w:tc>
          <w:tcPr>
            <w:tcW w:w="1548" w:type="dxa"/>
          </w:tcPr>
          <w:p w:rsidR="00EA0E6A" w:rsidRPr="00EC24A5" w:rsidRDefault="001818F9" w:rsidP="003B67BA">
            <w:pPr>
              <w:tabs>
                <w:tab w:val="left" w:pos="360"/>
              </w:tabs>
              <w:rPr>
                <w:rFonts w:cs="Arial"/>
              </w:rPr>
            </w:pPr>
            <w:r>
              <w:rPr>
                <w:rFonts w:cs="Arial"/>
              </w:rPr>
              <w:t>SAFE</w:t>
            </w:r>
          </w:p>
        </w:tc>
        <w:tc>
          <w:tcPr>
            <w:tcW w:w="6980" w:type="dxa"/>
          </w:tcPr>
          <w:p w:rsidR="00EA0E6A" w:rsidRPr="00EC24A5" w:rsidRDefault="001818F9" w:rsidP="003B67BA">
            <w:pPr>
              <w:tabs>
                <w:tab w:val="left" w:pos="360"/>
              </w:tabs>
              <w:rPr>
                <w:rFonts w:cs="Arial"/>
                <w:iCs/>
              </w:rPr>
            </w:pPr>
            <w:r>
              <w:rPr>
                <w:rFonts w:cs="Arial"/>
              </w:rPr>
              <w:t xml:space="preserve">Sustainability </w:t>
            </w:r>
            <w:r w:rsidRPr="008C4152">
              <w:rPr>
                <w:rFonts w:cs="Arial"/>
              </w:rPr>
              <w:t>assessment for fishing effects</w:t>
            </w:r>
          </w:p>
        </w:tc>
      </w:tr>
      <w:tr w:rsidR="00C95AEE" w:rsidRPr="00EC24A5" w:rsidTr="00814CC7">
        <w:tc>
          <w:tcPr>
            <w:tcW w:w="1548" w:type="dxa"/>
          </w:tcPr>
          <w:p w:rsidR="00C95AEE" w:rsidRPr="00EC24A5" w:rsidRDefault="00C95AEE" w:rsidP="00C92361">
            <w:pPr>
              <w:tabs>
                <w:tab w:val="left" w:pos="360"/>
              </w:tabs>
              <w:rPr>
                <w:rFonts w:cs="Arial"/>
              </w:rPr>
            </w:pPr>
            <w:r>
              <w:rPr>
                <w:rFonts w:cs="Arial"/>
              </w:rPr>
              <w:t>WTBF</w:t>
            </w:r>
          </w:p>
        </w:tc>
        <w:tc>
          <w:tcPr>
            <w:tcW w:w="6980" w:type="dxa"/>
          </w:tcPr>
          <w:p w:rsidR="00C95AEE" w:rsidRPr="00EC24A5" w:rsidRDefault="00C95AEE" w:rsidP="00C92361">
            <w:pPr>
              <w:tabs>
                <w:tab w:val="left" w:pos="360"/>
              </w:tabs>
              <w:rPr>
                <w:rFonts w:cs="Arial"/>
                <w:iCs/>
              </w:rPr>
            </w:pPr>
            <w:r>
              <w:rPr>
                <w:rFonts w:cs="Arial"/>
                <w:iCs/>
              </w:rPr>
              <w:t>Western Tuna and Billfish Fishery</w:t>
            </w:r>
          </w:p>
        </w:tc>
      </w:tr>
      <w:tr w:rsidR="00C95AEE" w:rsidRPr="00EC24A5" w:rsidTr="00814CC7">
        <w:tc>
          <w:tcPr>
            <w:tcW w:w="1548" w:type="dxa"/>
          </w:tcPr>
          <w:p w:rsidR="00C95AEE" w:rsidRPr="00EC24A5" w:rsidRDefault="00C95AEE" w:rsidP="003B67BA">
            <w:pPr>
              <w:tabs>
                <w:tab w:val="left" w:pos="360"/>
              </w:tabs>
              <w:rPr>
                <w:rFonts w:cs="Arial"/>
              </w:rPr>
            </w:pPr>
          </w:p>
        </w:tc>
        <w:tc>
          <w:tcPr>
            <w:tcW w:w="6980" w:type="dxa"/>
          </w:tcPr>
          <w:p w:rsidR="00C95AEE" w:rsidRPr="00EC24A5" w:rsidRDefault="00C95AEE" w:rsidP="003B67BA">
            <w:pPr>
              <w:tabs>
                <w:tab w:val="left" w:pos="360"/>
              </w:tabs>
              <w:rPr>
                <w:rFonts w:cs="Arial"/>
                <w:iCs/>
              </w:rPr>
            </w:pPr>
          </w:p>
        </w:tc>
      </w:tr>
    </w:tbl>
    <w:p w:rsidR="00814CC7" w:rsidRPr="00EC24A5" w:rsidRDefault="00814CC7" w:rsidP="003B67BA">
      <w:pPr>
        <w:rPr>
          <w:rFonts w:cs="Arial"/>
        </w:rPr>
      </w:pPr>
    </w:p>
    <w:sectPr w:rsidR="00814CC7" w:rsidRPr="00EC24A5" w:rsidSect="00715143">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686" w:rsidRDefault="00BC2686" w:rsidP="00DA6A89">
      <w:r>
        <w:separator/>
      </w:r>
    </w:p>
  </w:endnote>
  <w:endnote w:type="continuationSeparator" w:id="0">
    <w:p w:rsidR="00BC2686" w:rsidRDefault="00BC2686" w:rsidP="00DA6A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LT Std Cn">
    <w:altName w:val="HelveticaNeueLT Std Cn"/>
    <w:panose1 w:val="00000000000000000000"/>
    <w:charset w:val="00"/>
    <w:family w:val="swiss"/>
    <w:notTrueType/>
    <w:pitch w:val="default"/>
    <w:sig w:usb0="00000003" w:usb1="00000000" w:usb2="00000000" w:usb3="00000000" w:csb0="00000001" w:csb1="00000000"/>
  </w:font>
  <w:font w:name="MetaOT-Normal">
    <w:altName w:val="MetaOT-Normal"/>
    <w:panose1 w:val="00000000000000000000"/>
    <w:charset w:val="00"/>
    <w:family w:val="swiss"/>
    <w:notTrueType/>
    <w:pitch w:val="default"/>
    <w:sig w:usb0="00000003" w:usb1="00000000" w:usb2="00000000" w:usb3="00000000" w:csb0="00000001" w:csb1="00000000"/>
  </w:font>
  <w:font w:name="FuturaT-Ligh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2FC" w:rsidRDefault="005422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863360"/>
      <w:docPartObj>
        <w:docPartGallery w:val="Page Numbers (Bottom of Page)"/>
        <w:docPartUnique/>
      </w:docPartObj>
    </w:sdtPr>
    <w:sdtContent>
      <w:p w:rsidR="00BC2686" w:rsidRDefault="00FB34FE" w:rsidP="006D3907">
        <w:pPr>
          <w:pStyle w:val="Footer"/>
          <w:jc w:val="right"/>
        </w:pPr>
        <w:fldSimple w:instr=" PAGE   \* MERGEFORMAT ">
          <w:r w:rsidR="005422FC">
            <w:rPr>
              <w:noProof/>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2FC" w:rsidRDefault="005422F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686" w:rsidRPr="005E3ADB" w:rsidRDefault="00BC2686" w:rsidP="005E3ADB">
    <w:pPr>
      <w:pStyle w:val="Footer"/>
      <w:rPr>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863365"/>
      <w:docPartObj>
        <w:docPartGallery w:val="Page Numbers (Bottom of Page)"/>
        <w:docPartUnique/>
      </w:docPartObj>
    </w:sdtPr>
    <w:sdtContent>
      <w:p w:rsidR="00BC2686" w:rsidRDefault="00FB34FE" w:rsidP="006D3907">
        <w:pPr>
          <w:pStyle w:val="Footer"/>
          <w:jc w:val="right"/>
        </w:pPr>
        <w:fldSimple w:instr=" PAGE   \* MERGEFORMAT ">
          <w:r w:rsidR="005422FC">
            <w:rPr>
              <w:noProof/>
            </w:rPr>
            <w:t>14</w:t>
          </w:r>
        </w:fldSimple>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50081"/>
      <w:docPartObj>
        <w:docPartGallery w:val="Page Numbers (Bottom of Page)"/>
        <w:docPartUnique/>
      </w:docPartObj>
    </w:sdtPr>
    <w:sdtContent>
      <w:p w:rsidR="00BC2686" w:rsidRPr="00B2062C" w:rsidRDefault="00FB34FE" w:rsidP="00352191">
        <w:pPr>
          <w:pStyle w:val="Footer"/>
          <w:spacing w:before="120"/>
          <w:ind w:right="-624"/>
          <w:jc w:val="right"/>
        </w:pPr>
        <w:fldSimple w:instr=" PAGE   \* MERGEFORMAT ">
          <w:r w:rsidR="005422FC">
            <w:rPr>
              <w:noProof/>
            </w:rPr>
            <w:t>31</w:t>
          </w:r>
        </w:fldSimple>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863366"/>
      <w:docPartObj>
        <w:docPartGallery w:val="Page Numbers (Bottom of Page)"/>
        <w:docPartUnique/>
      </w:docPartObj>
    </w:sdtPr>
    <w:sdtContent>
      <w:p w:rsidR="00BC2686" w:rsidRPr="00B2062C" w:rsidRDefault="00FB34FE" w:rsidP="00352191">
        <w:pPr>
          <w:pStyle w:val="Footer"/>
          <w:spacing w:before="120"/>
          <w:ind w:right="-624"/>
          <w:jc w:val="right"/>
        </w:pPr>
        <w:fldSimple w:instr=" PAGE   \* MERGEFORMAT ">
          <w:r w:rsidR="005422FC">
            <w:rPr>
              <w:noProof/>
            </w:rPr>
            <w:t>33</w:t>
          </w:r>
        </w:fldSimple>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88392"/>
      <w:docPartObj>
        <w:docPartGallery w:val="Page Numbers (Bottom of Page)"/>
        <w:docPartUnique/>
      </w:docPartObj>
    </w:sdtPr>
    <w:sdtContent>
      <w:p w:rsidR="00BC2686" w:rsidRPr="00B2062C" w:rsidRDefault="00FB34FE" w:rsidP="00352191">
        <w:pPr>
          <w:pStyle w:val="Footer"/>
          <w:spacing w:before="120"/>
          <w:ind w:right="-624"/>
          <w:jc w:val="right"/>
        </w:pPr>
        <w:fldSimple w:instr=" PAGE   \* MERGEFORMAT ">
          <w:r w:rsidR="005422FC">
            <w:rPr>
              <w:noProof/>
            </w:rPr>
            <w:t>39</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686" w:rsidRDefault="00BC2686" w:rsidP="00DA6A89">
      <w:r>
        <w:separator/>
      </w:r>
    </w:p>
  </w:footnote>
  <w:footnote w:type="continuationSeparator" w:id="0">
    <w:p w:rsidR="00BC2686" w:rsidRDefault="00BC2686" w:rsidP="00DA6A89">
      <w:r>
        <w:continuationSeparator/>
      </w:r>
    </w:p>
  </w:footnote>
  <w:footnote w:id="1">
    <w:p w:rsidR="00BC2686" w:rsidRPr="003A70CA" w:rsidRDefault="00BC2686" w:rsidP="003A70CA">
      <w:pPr>
        <w:pStyle w:val="FootnoteText"/>
        <w:ind w:left="142" w:hanging="142"/>
        <w:rPr>
          <w:iCs/>
          <w:lang w:val="en-AU"/>
        </w:rPr>
      </w:pPr>
      <w:r>
        <w:rPr>
          <w:rStyle w:val="FootnoteReference"/>
        </w:rPr>
        <w:footnoteRef/>
      </w:r>
      <w:r>
        <w:t xml:space="preserve"> </w:t>
      </w:r>
      <w:r w:rsidRPr="003A70CA">
        <w:rPr>
          <w:iCs/>
          <w:lang w:val="en-AU"/>
        </w:rPr>
        <w:t>The</w:t>
      </w:r>
      <w:r>
        <w:rPr>
          <w:iCs/>
          <w:lang w:val="en-AU"/>
        </w:rPr>
        <w:t xml:space="preserve"> </w:t>
      </w:r>
      <w:r w:rsidRPr="003A70CA">
        <w:rPr>
          <w:iCs/>
          <w:lang w:val="en-AU"/>
        </w:rPr>
        <w:t xml:space="preserve">Indian Ocean Tuna Commission </w:t>
      </w:r>
      <w:r>
        <w:rPr>
          <w:iCs/>
          <w:lang w:val="en-AU"/>
        </w:rPr>
        <w:t>(</w:t>
      </w:r>
      <w:r w:rsidRPr="003A70CA">
        <w:rPr>
          <w:iCs/>
          <w:lang w:val="en-AU"/>
        </w:rPr>
        <w:t>IOTC</w:t>
      </w:r>
      <w:r>
        <w:rPr>
          <w:iCs/>
          <w:lang w:val="en-AU"/>
        </w:rPr>
        <w:t>)</w:t>
      </w:r>
      <w:r w:rsidRPr="003A70CA">
        <w:rPr>
          <w:iCs/>
          <w:lang w:val="en-AU"/>
        </w:rPr>
        <w:t xml:space="preserve"> is an intergovernmental organisation established under article XIV of the </w:t>
      </w:r>
      <w:r>
        <w:rPr>
          <w:iCs/>
          <w:lang w:val="en-AU"/>
        </w:rPr>
        <w:t>Food and Agriculture Organisation (</w:t>
      </w:r>
      <w:r w:rsidRPr="003A70CA">
        <w:rPr>
          <w:iCs/>
          <w:lang w:val="en-AU"/>
        </w:rPr>
        <w:t>FAO</w:t>
      </w:r>
      <w:r>
        <w:rPr>
          <w:iCs/>
          <w:lang w:val="en-AU"/>
        </w:rPr>
        <w:t>)</w:t>
      </w:r>
      <w:r w:rsidRPr="003A70CA">
        <w:rPr>
          <w:iCs/>
          <w:lang w:val="en-AU"/>
        </w:rPr>
        <w:t xml:space="preserve"> constitution. The IOTC’s area of competence covers a large number of countries, and both artisanal and industrial fishing vessels. Membership of the IOTC is open to Indian Ocean coastal countries, and countries or regional economic integration organisations that are members of the United Nations or one of its specialised agencies that actively fish for tunas in the Indian Ocean. The IOTC is responsible for the world’s second largest tuna fishery in terms of both volume and value. In 2012, the tuna catch of the fishery was worth more than US$4 billion and constituted about 34 per cent of the global tuna catch. The Indian Ocean differs from other oceans in that small-scale or artisanal fisheries take around the same quantity of tuna as industrial fisheries (Patterson 2014).</w:t>
      </w:r>
    </w:p>
  </w:footnote>
  <w:footnote w:id="2">
    <w:p w:rsidR="00BC2686" w:rsidRPr="008676DA" w:rsidRDefault="00BC2686" w:rsidP="00AA7766">
      <w:pPr>
        <w:pStyle w:val="FootnoteText"/>
        <w:spacing w:after="40"/>
        <w:ind w:left="-284" w:hanging="142"/>
        <w:rPr>
          <w:rFonts w:cs="Arial"/>
          <w:sz w:val="18"/>
          <w:lang w:val="en-AU"/>
        </w:rPr>
      </w:pPr>
      <w:r w:rsidRPr="008676DA">
        <w:rPr>
          <w:rStyle w:val="FootnoteReference"/>
          <w:rFonts w:cs="Arial"/>
          <w:sz w:val="18"/>
        </w:rPr>
        <w:footnoteRef/>
      </w:r>
      <w:r w:rsidRPr="008676DA">
        <w:rPr>
          <w:rFonts w:cs="Arial"/>
          <w:sz w:val="18"/>
        </w:rPr>
        <w:t xml:space="preserve"> ‘</w:t>
      </w:r>
      <w:r w:rsidRPr="008676DA">
        <w:rPr>
          <w:rFonts w:cs="Arial"/>
          <w:sz w:val="18"/>
          <w:lang w:val="en-US"/>
        </w:rPr>
        <w:t xml:space="preserve">Protected species’ means all species </w:t>
      </w:r>
      <w:r>
        <w:rPr>
          <w:rFonts w:cs="Arial"/>
          <w:sz w:val="18"/>
          <w:lang w:val="en-US"/>
        </w:rPr>
        <w:t xml:space="preserve">protected </w:t>
      </w:r>
      <w:r w:rsidRPr="008676DA">
        <w:rPr>
          <w:rFonts w:cs="Arial"/>
          <w:sz w:val="18"/>
          <w:lang w:val="en-US"/>
        </w:rPr>
        <w:t xml:space="preserve">under Part 13 of the EPBC Act, including whales and other cetaceans and </w:t>
      </w:r>
      <w:r>
        <w:rPr>
          <w:rFonts w:cs="Arial"/>
          <w:sz w:val="18"/>
          <w:lang w:val="en-US"/>
        </w:rPr>
        <w:t xml:space="preserve">listed </w:t>
      </w:r>
      <w:r w:rsidRPr="008676DA">
        <w:rPr>
          <w:rFonts w:cs="Arial"/>
          <w:sz w:val="18"/>
          <w:lang w:val="en-US"/>
        </w:rPr>
        <w:t xml:space="preserve">threatened, </w:t>
      </w:r>
      <w:r>
        <w:rPr>
          <w:rFonts w:cs="Arial"/>
          <w:sz w:val="18"/>
          <w:lang w:val="en-US"/>
        </w:rPr>
        <w:t xml:space="preserve">listed </w:t>
      </w:r>
      <w:r w:rsidRPr="008676DA">
        <w:rPr>
          <w:rFonts w:cs="Arial"/>
          <w:sz w:val="18"/>
          <w:lang w:val="en-US"/>
        </w:rPr>
        <w:t xml:space="preserve">marine and </w:t>
      </w:r>
      <w:r>
        <w:rPr>
          <w:rFonts w:cs="Arial"/>
          <w:sz w:val="18"/>
          <w:lang w:val="en-US"/>
        </w:rPr>
        <w:t xml:space="preserve">listed </w:t>
      </w:r>
      <w:r w:rsidRPr="008676DA">
        <w:rPr>
          <w:rFonts w:cs="Arial"/>
          <w:sz w:val="18"/>
          <w:lang w:val="en-US"/>
        </w:rPr>
        <w:t>migratory species.</w:t>
      </w:r>
    </w:p>
  </w:footnote>
  <w:footnote w:id="3">
    <w:p w:rsidR="00BC2686" w:rsidRPr="008676DA" w:rsidRDefault="00BC2686" w:rsidP="00814CC7">
      <w:pPr>
        <w:pStyle w:val="FootnoteText"/>
        <w:rPr>
          <w:rFonts w:cs="Arial"/>
          <w:sz w:val="18"/>
        </w:rPr>
      </w:pPr>
      <w:r w:rsidRPr="008676DA">
        <w:rPr>
          <w:rStyle w:val="FootnoteReference"/>
          <w:rFonts w:cs="Arial"/>
          <w:sz w:val="18"/>
        </w:rPr>
        <w:footnoteRef/>
      </w:r>
      <w:r w:rsidRPr="008676DA">
        <w:rPr>
          <w:rFonts w:cs="Arial"/>
          <w:sz w:val="18"/>
        </w:rPr>
        <w:t xml:space="preserve"> </w:t>
      </w:r>
      <w:r w:rsidRPr="008676DA">
        <w:rPr>
          <w:rFonts w:cs="Arial"/>
          <w:sz w:val="18"/>
          <w:lang w:val="en-AU"/>
        </w:rPr>
        <w:t>Convention on International Trade in Endangered Species of Wild Fauna and Flora</w:t>
      </w:r>
    </w:p>
  </w:footnote>
  <w:footnote w:id="4">
    <w:p w:rsidR="00BC2686" w:rsidRDefault="00BC2686" w:rsidP="006D4437">
      <w:pPr>
        <w:pStyle w:val="FootnoteText"/>
        <w:spacing w:after="0"/>
      </w:pPr>
      <w:r>
        <w:rPr>
          <w:rStyle w:val="FootnoteReference"/>
        </w:rPr>
        <w:footnoteRef/>
      </w:r>
      <w:r>
        <w:t xml:space="preserve"> See Table 1 for a description of the TACC setting process.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2FC" w:rsidRDefault="005422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2FC" w:rsidRDefault="005422F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2FC" w:rsidRDefault="005422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3EC36C3"/>
    <w:multiLevelType w:val="hybridMultilevel"/>
    <w:tmpl w:val="6158CF18"/>
    <w:lvl w:ilvl="0" w:tplc="0C090019">
      <w:start w:val="1"/>
      <w:numFmt w:val="lowerLetter"/>
      <w:lvlText w:val="%1."/>
      <w:lvlJc w:val="left"/>
      <w:pPr>
        <w:tabs>
          <w:tab w:val="num" w:pos="360"/>
        </w:tabs>
        <w:ind w:left="360" w:hanging="360"/>
      </w:pPr>
      <w:rPr>
        <w:rFonts w:hint="default"/>
        <w:b w:val="0"/>
      </w:rPr>
    </w:lvl>
    <w:lvl w:ilvl="1" w:tplc="998AACEA">
      <w:start w:val="2"/>
      <w:numFmt w:val="lowerRoman"/>
      <w:lvlText w:val="%2."/>
      <w:lvlJc w:val="left"/>
      <w:pPr>
        <w:tabs>
          <w:tab w:val="num" w:pos="1080"/>
        </w:tabs>
        <w:ind w:left="1080" w:hanging="360"/>
      </w:pPr>
      <w:rPr>
        <w:rFonts w:cs="Times New Roman" w:hint="default"/>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2">
    <w:nsid w:val="04DF00F3"/>
    <w:multiLevelType w:val="hybridMultilevel"/>
    <w:tmpl w:val="5C84864C"/>
    <w:lvl w:ilvl="0" w:tplc="2BF830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ED20340"/>
    <w:multiLevelType w:val="hybridMultilevel"/>
    <w:tmpl w:val="2368C140"/>
    <w:lvl w:ilvl="0" w:tplc="28B63B06">
      <w:start w:val="1"/>
      <w:numFmt w:val="lowerLetter"/>
      <w:lvlText w:val="%1."/>
      <w:lvlJc w:val="left"/>
      <w:pPr>
        <w:tabs>
          <w:tab w:val="num" w:pos="360"/>
        </w:tabs>
        <w:ind w:left="360" w:hanging="360"/>
      </w:pPr>
      <w:rPr>
        <w:rFonts w:hint="default"/>
        <w:b w:val="0"/>
        <w:strike w:val="0"/>
      </w:rPr>
    </w:lvl>
    <w:lvl w:ilvl="1" w:tplc="998AACEA">
      <w:start w:val="2"/>
      <w:numFmt w:val="lowerRoman"/>
      <w:lvlText w:val="%2."/>
      <w:lvlJc w:val="left"/>
      <w:pPr>
        <w:tabs>
          <w:tab w:val="num" w:pos="1080"/>
        </w:tabs>
        <w:ind w:left="1080" w:hanging="360"/>
      </w:pPr>
      <w:rPr>
        <w:rFonts w:cs="Times New Roman" w:hint="default"/>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5">
    <w:nsid w:val="1F745BC2"/>
    <w:multiLevelType w:val="multilevel"/>
    <w:tmpl w:val="E5E89F92"/>
    <w:numStyleLink w:val="BulletList"/>
  </w:abstractNum>
  <w:abstractNum w:abstractNumId="6">
    <w:nsid w:val="22AB2270"/>
    <w:multiLevelType w:val="hybridMultilevel"/>
    <w:tmpl w:val="C13CD26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25AA1C75"/>
    <w:multiLevelType w:val="hybridMultilevel"/>
    <w:tmpl w:val="6158CF18"/>
    <w:lvl w:ilvl="0" w:tplc="0C090019">
      <w:start w:val="1"/>
      <w:numFmt w:val="lowerLetter"/>
      <w:lvlText w:val="%1."/>
      <w:lvlJc w:val="left"/>
      <w:pPr>
        <w:tabs>
          <w:tab w:val="num" w:pos="360"/>
        </w:tabs>
        <w:ind w:left="360" w:hanging="360"/>
      </w:pPr>
      <w:rPr>
        <w:rFonts w:hint="default"/>
        <w:b w:val="0"/>
      </w:rPr>
    </w:lvl>
    <w:lvl w:ilvl="1" w:tplc="998AACEA">
      <w:start w:val="2"/>
      <w:numFmt w:val="lowerRoman"/>
      <w:lvlText w:val="%2."/>
      <w:lvlJc w:val="left"/>
      <w:pPr>
        <w:tabs>
          <w:tab w:val="num" w:pos="1080"/>
        </w:tabs>
        <w:ind w:left="1080" w:hanging="360"/>
      </w:pPr>
      <w:rPr>
        <w:rFonts w:cs="Times New Roman" w:hint="default"/>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8">
    <w:nsid w:val="29FB3412"/>
    <w:multiLevelType w:val="hybridMultilevel"/>
    <w:tmpl w:val="5C84864C"/>
    <w:lvl w:ilvl="0" w:tplc="2BF830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5040C85"/>
    <w:multiLevelType w:val="hybridMultilevel"/>
    <w:tmpl w:val="D16C9F6A"/>
    <w:lvl w:ilvl="0" w:tplc="0B6809B2">
      <w:start w:val="1"/>
      <w:numFmt w:val="lowerLetter"/>
      <w:lvlText w:val="%1."/>
      <w:lvlJc w:val="left"/>
      <w:pPr>
        <w:tabs>
          <w:tab w:val="num" w:pos="780"/>
        </w:tabs>
        <w:ind w:left="780" w:hanging="360"/>
      </w:pPr>
      <w:rPr>
        <w:rFonts w:hint="default"/>
        <w:b w:val="0"/>
      </w:rPr>
    </w:lvl>
    <w:lvl w:ilvl="1" w:tplc="3D3A4054">
      <w:start w:val="2"/>
      <w:numFmt w:val="lowerRoman"/>
      <w:lvlText w:val="%2."/>
      <w:lvlJc w:val="left"/>
      <w:pPr>
        <w:tabs>
          <w:tab w:val="num" w:pos="1500"/>
        </w:tabs>
        <w:ind w:left="1500" w:hanging="360"/>
      </w:pPr>
      <w:rPr>
        <w:rFonts w:cs="Times New Roman" w:hint="default"/>
      </w:rPr>
    </w:lvl>
    <w:lvl w:ilvl="2" w:tplc="271EF1C2" w:tentative="1">
      <w:start w:val="1"/>
      <w:numFmt w:val="lowerRoman"/>
      <w:lvlText w:val="%3."/>
      <w:lvlJc w:val="right"/>
      <w:pPr>
        <w:tabs>
          <w:tab w:val="num" w:pos="2220"/>
        </w:tabs>
        <w:ind w:left="2220" w:hanging="180"/>
      </w:pPr>
      <w:rPr>
        <w:rFonts w:cs="Times New Roman"/>
      </w:rPr>
    </w:lvl>
    <w:lvl w:ilvl="3" w:tplc="4996742E" w:tentative="1">
      <w:start w:val="1"/>
      <w:numFmt w:val="decimal"/>
      <w:lvlText w:val="%4."/>
      <w:lvlJc w:val="left"/>
      <w:pPr>
        <w:tabs>
          <w:tab w:val="num" w:pos="2940"/>
        </w:tabs>
        <w:ind w:left="2940" w:hanging="360"/>
      </w:pPr>
      <w:rPr>
        <w:rFonts w:cs="Times New Roman"/>
      </w:rPr>
    </w:lvl>
    <w:lvl w:ilvl="4" w:tplc="672A4CC2" w:tentative="1">
      <w:start w:val="1"/>
      <w:numFmt w:val="lowerLetter"/>
      <w:lvlText w:val="%5."/>
      <w:lvlJc w:val="left"/>
      <w:pPr>
        <w:tabs>
          <w:tab w:val="num" w:pos="3660"/>
        </w:tabs>
        <w:ind w:left="3660" w:hanging="360"/>
      </w:pPr>
      <w:rPr>
        <w:rFonts w:cs="Times New Roman"/>
      </w:rPr>
    </w:lvl>
    <w:lvl w:ilvl="5" w:tplc="223814AA" w:tentative="1">
      <w:start w:val="1"/>
      <w:numFmt w:val="lowerRoman"/>
      <w:lvlText w:val="%6."/>
      <w:lvlJc w:val="right"/>
      <w:pPr>
        <w:tabs>
          <w:tab w:val="num" w:pos="4380"/>
        </w:tabs>
        <w:ind w:left="4380" w:hanging="180"/>
      </w:pPr>
      <w:rPr>
        <w:rFonts w:cs="Times New Roman"/>
      </w:rPr>
    </w:lvl>
    <w:lvl w:ilvl="6" w:tplc="267E09DE" w:tentative="1">
      <w:start w:val="1"/>
      <w:numFmt w:val="decimal"/>
      <w:lvlText w:val="%7."/>
      <w:lvlJc w:val="left"/>
      <w:pPr>
        <w:tabs>
          <w:tab w:val="num" w:pos="5100"/>
        </w:tabs>
        <w:ind w:left="5100" w:hanging="360"/>
      </w:pPr>
      <w:rPr>
        <w:rFonts w:cs="Times New Roman"/>
      </w:rPr>
    </w:lvl>
    <w:lvl w:ilvl="7" w:tplc="D31EBD2C" w:tentative="1">
      <w:start w:val="1"/>
      <w:numFmt w:val="lowerLetter"/>
      <w:lvlText w:val="%8."/>
      <w:lvlJc w:val="left"/>
      <w:pPr>
        <w:tabs>
          <w:tab w:val="num" w:pos="5820"/>
        </w:tabs>
        <w:ind w:left="5820" w:hanging="360"/>
      </w:pPr>
      <w:rPr>
        <w:rFonts w:cs="Times New Roman"/>
      </w:rPr>
    </w:lvl>
    <w:lvl w:ilvl="8" w:tplc="C85C0F74" w:tentative="1">
      <w:start w:val="1"/>
      <w:numFmt w:val="lowerRoman"/>
      <w:lvlText w:val="%9."/>
      <w:lvlJc w:val="right"/>
      <w:pPr>
        <w:tabs>
          <w:tab w:val="num" w:pos="6540"/>
        </w:tabs>
        <w:ind w:left="6540" w:hanging="180"/>
      </w:pPr>
      <w:rPr>
        <w:rFonts w:cs="Times New Roman"/>
      </w:rPr>
    </w:lvl>
  </w:abstractNum>
  <w:abstractNum w:abstractNumId="1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9D01AF9"/>
    <w:multiLevelType w:val="hybridMultilevel"/>
    <w:tmpl w:val="DF80C79E"/>
    <w:lvl w:ilvl="0" w:tplc="BAD865F2">
      <w:start w:val="1"/>
      <w:numFmt w:val="lowerLetter"/>
      <w:lvlText w:val="(%1)"/>
      <w:lvlJc w:val="left"/>
      <w:pPr>
        <w:tabs>
          <w:tab w:val="num" w:pos="360"/>
        </w:tabs>
        <w:ind w:left="360" w:hanging="360"/>
      </w:pPr>
      <w:rPr>
        <w:rFonts w:hint="default"/>
      </w:rPr>
    </w:lvl>
    <w:lvl w:ilvl="1" w:tplc="882C9574" w:tentative="1">
      <w:start w:val="1"/>
      <w:numFmt w:val="lowerLetter"/>
      <w:lvlText w:val="%2."/>
      <w:lvlJc w:val="left"/>
      <w:pPr>
        <w:tabs>
          <w:tab w:val="num" w:pos="1080"/>
        </w:tabs>
        <w:ind w:left="1080" w:hanging="360"/>
      </w:pPr>
    </w:lvl>
    <w:lvl w:ilvl="2" w:tplc="1ED66F40" w:tentative="1">
      <w:start w:val="1"/>
      <w:numFmt w:val="lowerRoman"/>
      <w:lvlText w:val="%3."/>
      <w:lvlJc w:val="right"/>
      <w:pPr>
        <w:tabs>
          <w:tab w:val="num" w:pos="1800"/>
        </w:tabs>
        <w:ind w:left="1800" w:hanging="180"/>
      </w:pPr>
    </w:lvl>
    <w:lvl w:ilvl="3" w:tplc="54024D40" w:tentative="1">
      <w:start w:val="1"/>
      <w:numFmt w:val="decimal"/>
      <w:lvlText w:val="%4."/>
      <w:lvlJc w:val="left"/>
      <w:pPr>
        <w:tabs>
          <w:tab w:val="num" w:pos="2520"/>
        </w:tabs>
        <w:ind w:left="2520" w:hanging="360"/>
      </w:pPr>
    </w:lvl>
    <w:lvl w:ilvl="4" w:tplc="094CF0BE" w:tentative="1">
      <w:start w:val="1"/>
      <w:numFmt w:val="lowerLetter"/>
      <w:lvlText w:val="%5."/>
      <w:lvlJc w:val="left"/>
      <w:pPr>
        <w:tabs>
          <w:tab w:val="num" w:pos="3240"/>
        </w:tabs>
        <w:ind w:left="3240" w:hanging="360"/>
      </w:pPr>
    </w:lvl>
    <w:lvl w:ilvl="5" w:tplc="2E04980A" w:tentative="1">
      <w:start w:val="1"/>
      <w:numFmt w:val="lowerRoman"/>
      <w:lvlText w:val="%6."/>
      <w:lvlJc w:val="right"/>
      <w:pPr>
        <w:tabs>
          <w:tab w:val="num" w:pos="3960"/>
        </w:tabs>
        <w:ind w:left="3960" w:hanging="180"/>
      </w:pPr>
    </w:lvl>
    <w:lvl w:ilvl="6" w:tplc="251E326E" w:tentative="1">
      <w:start w:val="1"/>
      <w:numFmt w:val="decimal"/>
      <w:lvlText w:val="%7."/>
      <w:lvlJc w:val="left"/>
      <w:pPr>
        <w:tabs>
          <w:tab w:val="num" w:pos="4680"/>
        </w:tabs>
        <w:ind w:left="4680" w:hanging="360"/>
      </w:pPr>
    </w:lvl>
    <w:lvl w:ilvl="7" w:tplc="1F60F238" w:tentative="1">
      <w:start w:val="1"/>
      <w:numFmt w:val="lowerLetter"/>
      <w:lvlText w:val="%8."/>
      <w:lvlJc w:val="left"/>
      <w:pPr>
        <w:tabs>
          <w:tab w:val="num" w:pos="5400"/>
        </w:tabs>
        <w:ind w:left="5400" w:hanging="360"/>
      </w:pPr>
    </w:lvl>
    <w:lvl w:ilvl="8" w:tplc="0F709E16" w:tentative="1">
      <w:start w:val="1"/>
      <w:numFmt w:val="lowerRoman"/>
      <w:lvlText w:val="%9."/>
      <w:lvlJc w:val="right"/>
      <w:pPr>
        <w:tabs>
          <w:tab w:val="num" w:pos="6120"/>
        </w:tabs>
        <w:ind w:left="6120" w:hanging="180"/>
      </w:pPr>
    </w:lvl>
  </w:abstractNum>
  <w:abstractNum w:abstractNumId="12">
    <w:nsid w:val="3E503EC7"/>
    <w:multiLevelType w:val="hybridMultilevel"/>
    <w:tmpl w:val="7A186820"/>
    <w:lvl w:ilvl="0" w:tplc="FB860E0E">
      <w:start w:val="3"/>
      <w:numFmt w:val="none"/>
      <w:lvlText w:val="(c)"/>
      <w:lvlJc w:val="left"/>
      <w:pPr>
        <w:tabs>
          <w:tab w:val="num" w:pos="1440"/>
        </w:tabs>
        <w:ind w:left="1440" w:hanging="720"/>
      </w:pPr>
      <w:rPr>
        <w:rFonts w:cs="Times New Roman" w:hint="default"/>
      </w:rPr>
    </w:lvl>
    <w:lvl w:ilvl="1" w:tplc="7EFAB57E">
      <w:start w:val="1"/>
      <w:numFmt w:val="lowerRoman"/>
      <w:lvlText w:val="%2."/>
      <w:lvlJc w:val="left"/>
      <w:pPr>
        <w:tabs>
          <w:tab w:val="num" w:pos="1800"/>
        </w:tabs>
        <w:ind w:left="1800" w:hanging="720"/>
      </w:pPr>
      <w:rPr>
        <w:rFonts w:cs="Times New Roman" w:hint="default"/>
      </w:rPr>
    </w:lvl>
    <w:lvl w:ilvl="2" w:tplc="53FA34C6" w:tentative="1">
      <w:start w:val="1"/>
      <w:numFmt w:val="lowerRoman"/>
      <w:lvlText w:val="%3."/>
      <w:lvlJc w:val="right"/>
      <w:pPr>
        <w:tabs>
          <w:tab w:val="num" w:pos="2160"/>
        </w:tabs>
        <w:ind w:left="2160" w:hanging="180"/>
      </w:pPr>
      <w:rPr>
        <w:rFonts w:cs="Times New Roman"/>
      </w:rPr>
    </w:lvl>
    <w:lvl w:ilvl="3" w:tplc="F9E0BBA2" w:tentative="1">
      <w:start w:val="1"/>
      <w:numFmt w:val="decimal"/>
      <w:lvlText w:val="%4."/>
      <w:lvlJc w:val="left"/>
      <w:pPr>
        <w:tabs>
          <w:tab w:val="num" w:pos="2880"/>
        </w:tabs>
        <w:ind w:left="2880" w:hanging="360"/>
      </w:pPr>
      <w:rPr>
        <w:rFonts w:cs="Times New Roman"/>
      </w:rPr>
    </w:lvl>
    <w:lvl w:ilvl="4" w:tplc="E2A804CA" w:tentative="1">
      <w:start w:val="1"/>
      <w:numFmt w:val="lowerLetter"/>
      <w:lvlText w:val="%5."/>
      <w:lvlJc w:val="left"/>
      <w:pPr>
        <w:tabs>
          <w:tab w:val="num" w:pos="3600"/>
        </w:tabs>
        <w:ind w:left="3600" w:hanging="360"/>
      </w:pPr>
      <w:rPr>
        <w:rFonts w:cs="Times New Roman"/>
      </w:rPr>
    </w:lvl>
    <w:lvl w:ilvl="5" w:tplc="2BF6E7CE" w:tentative="1">
      <w:start w:val="1"/>
      <w:numFmt w:val="lowerRoman"/>
      <w:lvlText w:val="%6."/>
      <w:lvlJc w:val="right"/>
      <w:pPr>
        <w:tabs>
          <w:tab w:val="num" w:pos="4320"/>
        </w:tabs>
        <w:ind w:left="4320" w:hanging="180"/>
      </w:pPr>
      <w:rPr>
        <w:rFonts w:cs="Times New Roman"/>
      </w:rPr>
    </w:lvl>
    <w:lvl w:ilvl="6" w:tplc="4B5EC59C" w:tentative="1">
      <w:start w:val="1"/>
      <w:numFmt w:val="decimal"/>
      <w:lvlText w:val="%7."/>
      <w:lvlJc w:val="left"/>
      <w:pPr>
        <w:tabs>
          <w:tab w:val="num" w:pos="5040"/>
        </w:tabs>
        <w:ind w:left="5040" w:hanging="360"/>
      </w:pPr>
      <w:rPr>
        <w:rFonts w:cs="Times New Roman"/>
      </w:rPr>
    </w:lvl>
    <w:lvl w:ilvl="7" w:tplc="A96E8AFC" w:tentative="1">
      <w:start w:val="1"/>
      <w:numFmt w:val="lowerLetter"/>
      <w:lvlText w:val="%8."/>
      <w:lvlJc w:val="left"/>
      <w:pPr>
        <w:tabs>
          <w:tab w:val="num" w:pos="5760"/>
        </w:tabs>
        <w:ind w:left="5760" w:hanging="360"/>
      </w:pPr>
      <w:rPr>
        <w:rFonts w:cs="Times New Roman"/>
      </w:rPr>
    </w:lvl>
    <w:lvl w:ilvl="8" w:tplc="6944EF66" w:tentative="1">
      <w:start w:val="1"/>
      <w:numFmt w:val="lowerRoman"/>
      <w:lvlText w:val="%9."/>
      <w:lvlJc w:val="right"/>
      <w:pPr>
        <w:tabs>
          <w:tab w:val="num" w:pos="6480"/>
        </w:tabs>
        <w:ind w:left="6480" w:hanging="180"/>
      </w:pPr>
      <w:rPr>
        <w:rFonts w:cs="Times New Roman"/>
      </w:rPr>
    </w:lvl>
  </w:abstractNum>
  <w:abstractNum w:abstractNumId="13">
    <w:nsid w:val="40CE55F6"/>
    <w:multiLevelType w:val="hybridMultilevel"/>
    <w:tmpl w:val="2FD68CA0"/>
    <w:lvl w:ilvl="0" w:tplc="4D58A7C6">
      <w:start w:val="6"/>
      <w:numFmt w:val="lowerLetter"/>
      <w:lvlText w:val="(%1)"/>
      <w:lvlJc w:val="left"/>
      <w:pPr>
        <w:ind w:left="720" w:hanging="360"/>
      </w:pPr>
      <w:rPr>
        <w:rFonts w:hint="default"/>
      </w:rPr>
    </w:lvl>
    <w:lvl w:ilvl="1" w:tplc="C2AAA9E2" w:tentative="1">
      <w:start w:val="1"/>
      <w:numFmt w:val="lowerLetter"/>
      <w:lvlText w:val="%2."/>
      <w:lvlJc w:val="left"/>
      <w:pPr>
        <w:ind w:left="1440" w:hanging="360"/>
      </w:pPr>
    </w:lvl>
    <w:lvl w:ilvl="2" w:tplc="DB029096" w:tentative="1">
      <w:start w:val="1"/>
      <w:numFmt w:val="lowerRoman"/>
      <w:lvlText w:val="%3."/>
      <w:lvlJc w:val="right"/>
      <w:pPr>
        <w:ind w:left="2160" w:hanging="180"/>
      </w:pPr>
    </w:lvl>
    <w:lvl w:ilvl="3" w:tplc="627A660C" w:tentative="1">
      <w:start w:val="1"/>
      <w:numFmt w:val="decimal"/>
      <w:lvlText w:val="%4."/>
      <w:lvlJc w:val="left"/>
      <w:pPr>
        <w:ind w:left="2880" w:hanging="360"/>
      </w:pPr>
    </w:lvl>
    <w:lvl w:ilvl="4" w:tplc="534C2036" w:tentative="1">
      <w:start w:val="1"/>
      <w:numFmt w:val="lowerLetter"/>
      <w:lvlText w:val="%5."/>
      <w:lvlJc w:val="left"/>
      <w:pPr>
        <w:ind w:left="3600" w:hanging="360"/>
      </w:pPr>
    </w:lvl>
    <w:lvl w:ilvl="5" w:tplc="069E538C" w:tentative="1">
      <w:start w:val="1"/>
      <w:numFmt w:val="lowerRoman"/>
      <w:lvlText w:val="%6."/>
      <w:lvlJc w:val="right"/>
      <w:pPr>
        <w:ind w:left="4320" w:hanging="180"/>
      </w:pPr>
    </w:lvl>
    <w:lvl w:ilvl="6" w:tplc="9B78B2EC" w:tentative="1">
      <w:start w:val="1"/>
      <w:numFmt w:val="decimal"/>
      <w:lvlText w:val="%7."/>
      <w:lvlJc w:val="left"/>
      <w:pPr>
        <w:ind w:left="5040" w:hanging="360"/>
      </w:pPr>
    </w:lvl>
    <w:lvl w:ilvl="7" w:tplc="B0B2278C" w:tentative="1">
      <w:start w:val="1"/>
      <w:numFmt w:val="lowerLetter"/>
      <w:lvlText w:val="%8."/>
      <w:lvlJc w:val="left"/>
      <w:pPr>
        <w:ind w:left="5760" w:hanging="360"/>
      </w:pPr>
    </w:lvl>
    <w:lvl w:ilvl="8" w:tplc="6EF2B7B4" w:tentative="1">
      <w:start w:val="1"/>
      <w:numFmt w:val="lowerRoman"/>
      <w:lvlText w:val="%9."/>
      <w:lvlJc w:val="right"/>
      <w:pPr>
        <w:ind w:left="6480" w:hanging="180"/>
      </w:pPr>
    </w:lvl>
  </w:abstractNum>
  <w:abstractNum w:abstractNumId="14">
    <w:nsid w:val="410E7A7B"/>
    <w:multiLevelType w:val="hybridMultilevel"/>
    <w:tmpl w:val="127EEF06"/>
    <w:lvl w:ilvl="0" w:tplc="04090001">
      <w:start w:val="6"/>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nsid w:val="5152005E"/>
    <w:multiLevelType w:val="hybridMultilevel"/>
    <w:tmpl w:val="A41EBA12"/>
    <w:lvl w:ilvl="0" w:tplc="94DAFBCA">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16">
    <w:nsid w:val="53DB4215"/>
    <w:multiLevelType w:val="hybridMultilevel"/>
    <w:tmpl w:val="D16C9F6A"/>
    <w:lvl w:ilvl="0" w:tplc="0C090001">
      <w:start w:val="1"/>
      <w:numFmt w:val="lowerLetter"/>
      <w:lvlText w:val="%1."/>
      <w:lvlJc w:val="left"/>
      <w:pPr>
        <w:tabs>
          <w:tab w:val="num" w:pos="924"/>
        </w:tabs>
        <w:ind w:left="924" w:hanging="360"/>
      </w:pPr>
      <w:rPr>
        <w:rFonts w:hint="default"/>
        <w:b w:val="0"/>
      </w:rPr>
    </w:lvl>
    <w:lvl w:ilvl="1" w:tplc="0C090003">
      <w:start w:val="2"/>
      <w:numFmt w:val="lowerRoman"/>
      <w:lvlText w:val="%2."/>
      <w:lvlJc w:val="left"/>
      <w:pPr>
        <w:tabs>
          <w:tab w:val="num" w:pos="1644"/>
        </w:tabs>
        <w:ind w:left="1644" w:hanging="360"/>
      </w:pPr>
      <w:rPr>
        <w:rFonts w:cs="Times New Roman" w:hint="default"/>
      </w:rPr>
    </w:lvl>
    <w:lvl w:ilvl="2" w:tplc="0C090005" w:tentative="1">
      <w:start w:val="1"/>
      <w:numFmt w:val="lowerRoman"/>
      <w:lvlText w:val="%3."/>
      <w:lvlJc w:val="right"/>
      <w:pPr>
        <w:tabs>
          <w:tab w:val="num" w:pos="2364"/>
        </w:tabs>
        <w:ind w:left="2364" w:hanging="180"/>
      </w:pPr>
      <w:rPr>
        <w:rFonts w:cs="Times New Roman"/>
      </w:rPr>
    </w:lvl>
    <w:lvl w:ilvl="3" w:tplc="0C090001" w:tentative="1">
      <w:start w:val="1"/>
      <w:numFmt w:val="decimal"/>
      <w:lvlText w:val="%4."/>
      <w:lvlJc w:val="left"/>
      <w:pPr>
        <w:tabs>
          <w:tab w:val="num" w:pos="3084"/>
        </w:tabs>
        <w:ind w:left="3084" w:hanging="360"/>
      </w:pPr>
      <w:rPr>
        <w:rFonts w:cs="Times New Roman"/>
      </w:rPr>
    </w:lvl>
    <w:lvl w:ilvl="4" w:tplc="0C090003" w:tentative="1">
      <w:start w:val="1"/>
      <w:numFmt w:val="lowerLetter"/>
      <w:lvlText w:val="%5."/>
      <w:lvlJc w:val="left"/>
      <w:pPr>
        <w:tabs>
          <w:tab w:val="num" w:pos="3804"/>
        </w:tabs>
        <w:ind w:left="3804" w:hanging="360"/>
      </w:pPr>
      <w:rPr>
        <w:rFonts w:cs="Times New Roman"/>
      </w:rPr>
    </w:lvl>
    <w:lvl w:ilvl="5" w:tplc="0C090005" w:tentative="1">
      <w:start w:val="1"/>
      <w:numFmt w:val="lowerRoman"/>
      <w:lvlText w:val="%6."/>
      <w:lvlJc w:val="right"/>
      <w:pPr>
        <w:tabs>
          <w:tab w:val="num" w:pos="4524"/>
        </w:tabs>
        <w:ind w:left="4524" w:hanging="180"/>
      </w:pPr>
      <w:rPr>
        <w:rFonts w:cs="Times New Roman"/>
      </w:rPr>
    </w:lvl>
    <w:lvl w:ilvl="6" w:tplc="0C090001" w:tentative="1">
      <w:start w:val="1"/>
      <w:numFmt w:val="decimal"/>
      <w:lvlText w:val="%7."/>
      <w:lvlJc w:val="left"/>
      <w:pPr>
        <w:tabs>
          <w:tab w:val="num" w:pos="5244"/>
        </w:tabs>
        <w:ind w:left="5244" w:hanging="360"/>
      </w:pPr>
      <w:rPr>
        <w:rFonts w:cs="Times New Roman"/>
      </w:rPr>
    </w:lvl>
    <w:lvl w:ilvl="7" w:tplc="0C090003" w:tentative="1">
      <w:start w:val="1"/>
      <w:numFmt w:val="lowerLetter"/>
      <w:lvlText w:val="%8."/>
      <w:lvlJc w:val="left"/>
      <w:pPr>
        <w:tabs>
          <w:tab w:val="num" w:pos="5964"/>
        </w:tabs>
        <w:ind w:left="5964" w:hanging="360"/>
      </w:pPr>
      <w:rPr>
        <w:rFonts w:cs="Times New Roman"/>
      </w:rPr>
    </w:lvl>
    <w:lvl w:ilvl="8" w:tplc="0C090005" w:tentative="1">
      <w:start w:val="1"/>
      <w:numFmt w:val="lowerRoman"/>
      <w:lvlText w:val="%9."/>
      <w:lvlJc w:val="right"/>
      <w:pPr>
        <w:tabs>
          <w:tab w:val="num" w:pos="6684"/>
        </w:tabs>
        <w:ind w:left="6684" w:hanging="180"/>
      </w:pPr>
      <w:rPr>
        <w:rFonts w:cs="Times New Roman"/>
      </w:rPr>
    </w:lvl>
  </w:abstractNum>
  <w:abstractNum w:abstractNumId="17">
    <w:nsid w:val="573846D9"/>
    <w:multiLevelType w:val="hybridMultilevel"/>
    <w:tmpl w:val="4BB27E6E"/>
    <w:lvl w:ilvl="0" w:tplc="0C090019">
      <w:start w:val="1"/>
      <w:numFmt w:val="bullet"/>
      <w:lvlText w:val=""/>
      <w:lvlJc w:val="left"/>
      <w:pPr>
        <w:ind w:left="360" w:hanging="360"/>
      </w:pPr>
      <w:rPr>
        <w:rFonts w:ascii="Symbol" w:hAnsi="Symbol" w:hint="default"/>
      </w:rPr>
    </w:lvl>
    <w:lvl w:ilvl="1" w:tplc="998AACEA">
      <w:start w:val="1"/>
      <w:numFmt w:val="bullet"/>
      <w:lvlText w:val="o"/>
      <w:lvlJc w:val="left"/>
      <w:pPr>
        <w:ind w:left="1080" w:hanging="360"/>
      </w:pPr>
      <w:rPr>
        <w:rFonts w:ascii="Courier New" w:hAnsi="Courier New" w:cs="Courier New"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cs="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cs="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18">
    <w:nsid w:val="57841E3D"/>
    <w:multiLevelType w:val="hybridMultilevel"/>
    <w:tmpl w:val="69C046AE"/>
    <w:lvl w:ilvl="0" w:tplc="FCEEE940">
      <w:start w:val="1"/>
      <w:numFmt w:val="decimal"/>
      <w:lvlText w:val="%1."/>
      <w:lvlJc w:val="left"/>
      <w:pPr>
        <w:tabs>
          <w:tab w:val="num" w:pos="952"/>
        </w:tabs>
        <w:ind w:left="952" w:hanging="360"/>
      </w:pPr>
      <w:rPr>
        <w:rFonts w:hint="default"/>
        <w:b w:val="0"/>
      </w:rPr>
    </w:lvl>
    <w:lvl w:ilvl="1" w:tplc="0C090019">
      <w:start w:val="2"/>
      <w:numFmt w:val="lowerRoman"/>
      <w:lvlText w:val="%2."/>
      <w:lvlJc w:val="left"/>
      <w:pPr>
        <w:tabs>
          <w:tab w:val="num" w:pos="1672"/>
        </w:tabs>
        <w:ind w:left="1672" w:hanging="360"/>
      </w:pPr>
      <w:rPr>
        <w:rFonts w:cs="Times New Roman" w:hint="default"/>
      </w:rPr>
    </w:lvl>
    <w:lvl w:ilvl="2" w:tplc="0C09001B" w:tentative="1">
      <w:start w:val="1"/>
      <w:numFmt w:val="lowerRoman"/>
      <w:lvlText w:val="%3."/>
      <w:lvlJc w:val="right"/>
      <w:pPr>
        <w:tabs>
          <w:tab w:val="num" w:pos="2392"/>
        </w:tabs>
        <w:ind w:left="2392" w:hanging="180"/>
      </w:pPr>
      <w:rPr>
        <w:rFonts w:cs="Times New Roman"/>
      </w:rPr>
    </w:lvl>
    <w:lvl w:ilvl="3" w:tplc="0C09000F" w:tentative="1">
      <w:start w:val="1"/>
      <w:numFmt w:val="decimal"/>
      <w:lvlText w:val="%4."/>
      <w:lvlJc w:val="left"/>
      <w:pPr>
        <w:tabs>
          <w:tab w:val="num" w:pos="3112"/>
        </w:tabs>
        <w:ind w:left="3112" w:hanging="360"/>
      </w:pPr>
      <w:rPr>
        <w:rFonts w:cs="Times New Roman"/>
      </w:rPr>
    </w:lvl>
    <w:lvl w:ilvl="4" w:tplc="0C090019" w:tentative="1">
      <w:start w:val="1"/>
      <w:numFmt w:val="lowerLetter"/>
      <w:lvlText w:val="%5."/>
      <w:lvlJc w:val="left"/>
      <w:pPr>
        <w:tabs>
          <w:tab w:val="num" w:pos="3832"/>
        </w:tabs>
        <w:ind w:left="3832" w:hanging="360"/>
      </w:pPr>
      <w:rPr>
        <w:rFonts w:cs="Times New Roman"/>
      </w:rPr>
    </w:lvl>
    <w:lvl w:ilvl="5" w:tplc="0C09001B" w:tentative="1">
      <w:start w:val="1"/>
      <w:numFmt w:val="lowerRoman"/>
      <w:lvlText w:val="%6."/>
      <w:lvlJc w:val="right"/>
      <w:pPr>
        <w:tabs>
          <w:tab w:val="num" w:pos="4552"/>
        </w:tabs>
        <w:ind w:left="4552" w:hanging="180"/>
      </w:pPr>
      <w:rPr>
        <w:rFonts w:cs="Times New Roman"/>
      </w:rPr>
    </w:lvl>
    <w:lvl w:ilvl="6" w:tplc="0C09000F" w:tentative="1">
      <w:start w:val="1"/>
      <w:numFmt w:val="decimal"/>
      <w:lvlText w:val="%7."/>
      <w:lvlJc w:val="left"/>
      <w:pPr>
        <w:tabs>
          <w:tab w:val="num" w:pos="5272"/>
        </w:tabs>
        <w:ind w:left="5272" w:hanging="360"/>
      </w:pPr>
      <w:rPr>
        <w:rFonts w:cs="Times New Roman"/>
      </w:rPr>
    </w:lvl>
    <w:lvl w:ilvl="7" w:tplc="0C090019" w:tentative="1">
      <w:start w:val="1"/>
      <w:numFmt w:val="lowerLetter"/>
      <w:lvlText w:val="%8."/>
      <w:lvlJc w:val="left"/>
      <w:pPr>
        <w:tabs>
          <w:tab w:val="num" w:pos="5992"/>
        </w:tabs>
        <w:ind w:left="5992" w:hanging="360"/>
      </w:pPr>
      <w:rPr>
        <w:rFonts w:cs="Times New Roman"/>
      </w:rPr>
    </w:lvl>
    <w:lvl w:ilvl="8" w:tplc="0C09001B" w:tentative="1">
      <w:start w:val="1"/>
      <w:numFmt w:val="lowerRoman"/>
      <w:lvlText w:val="%9."/>
      <w:lvlJc w:val="right"/>
      <w:pPr>
        <w:tabs>
          <w:tab w:val="num" w:pos="6712"/>
        </w:tabs>
        <w:ind w:left="6712" w:hanging="180"/>
      </w:pPr>
      <w:rPr>
        <w:rFonts w:cs="Times New Roman"/>
      </w:rPr>
    </w:lvl>
  </w:abstractNum>
  <w:abstractNum w:abstractNumId="19">
    <w:nsid w:val="5C795D2F"/>
    <w:multiLevelType w:val="hybridMultilevel"/>
    <w:tmpl w:val="5C84864C"/>
    <w:lvl w:ilvl="0" w:tplc="0C09000F">
      <w:start w:val="1"/>
      <w:numFmt w:val="lowerLetter"/>
      <w:lvlText w:val="(%1)"/>
      <w:lvlJc w:val="left"/>
      <w:pPr>
        <w:ind w:left="720" w:hanging="360"/>
      </w:pPr>
      <w:rPr>
        <w:rFonts w:hint="default"/>
      </w:rPr>
    </w:lvl>
    <w:lvl w:ilvl="1" w:tplc="998AACEA"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DD457B9"/>
    <w:multiLevelType w:val="hybridMultilevel"/>
    <w:tmpl w:val="21DC79A2"/>
    <w:lvl w:ilvl="0" w:tplc="0C090019">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5E6F0A6D"/>
    <w:multiLevelType w:val="hybridMultilevel"/>
    <w:tmpl w:val="51825F02"/>
    <w:lvl w:ilvl="0" w:tplc="2BF83060">
      <w:start w:val="6"/>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08F2A68"/>
    <w:multiLevelType w:val="hybridMultilevel"/>
    <w:tmpl w:val="3EBC12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65456429"/>
    <w:multiLevelType w:val="multilevel"/>
    <w:tmpl w:val="39141A9C"/>
    <w:lvl w:ilvl="0">
      <w:start w:val="1"/>
      <w:numFmt w:val="decimal"/>
      <w:pStyle w:val="ListNumber"/>
      <w:lvlText w:val="%1."/>
      <w:lvlJc w:val="left"/>
      <w:pPr>
        <w:ind w:left="69" w:hanging="369"/>
      </w:pPr>
      <w:rPr>
        <w:rFonts w:cs="Times New Roman" w:hint="default"/>
        <w:sz w:val="22"/>
      </w:rPr>
    </w:lvl>
    <w:lvl w:ilvl="1">
      <w:start w:val="1"/>
      <w:numFmt w:val="lowerLetter"/>
      <w:pStyle w:val="ListNumber2"/>
      <w:lvlText w:val="%2."/>
      <w:lvlJc w:val="left"/>
      <w:pPr>
        <w:ind w:left="438" w:hanging="369"/>
      </w:pPr>
      <w:rPr>
        <w:rFonts w:hint="default"/>
        <w:b w:val="0"/>
      </w:rPr>
    </w:lvl>
    <w:lvl w:ilvl="2">
      <w:start w:val="1"/>
      <w:numFmt w:val="lowerRoman"/>
      <w:pStyle w:val="ListNumber3"/>
      <w:lvlText w:val="%3."/>
      <w:lvlJc w:val="left"/>
      <w:pPr>
        <w:ind w:left="807" w:hanging="369"/>
      </w:pPr>
      <w:rPr>
        <w:rFonts w:hint="default"/>
        <w:b w:val="0"/>
      </w:rPr>
    </w:lvl>
    <w:lvl w:ilvl="3">
      <w:start w:val="1"/>
      <w:numFmt w:val="none"/>
      <w:pStyle w:val="ListNumber4"/>
      <w:lvlText w:val="%4"/>
      <w:lvlJc w:val="left"/>
      <w:pPr>
        <w:ind w:left="1176" w:hanging="369"/>
      </w:pPr>
      <w:rPr>
        <w:rFonts w:hint="default"/>
      </w:rPr>
    </w:lvl>
    <w:lvl w:ilvl="4">
      <w:start w:val="1"/>
      <w:numFmt w:val="none"/>
      <w:pStyle w:val="ListNumber5"/>
      <w:lvlText w:val=""/>
      <w:lvlJc w:val="left"/>
      <w:pPr>
        <w:ind w:left="1545" w:hanging="369"/>
      </w:pPr>
      <w:rPr>
        <w:rFonts w:hint="default"/>
      </w:rPr>
    </w:lvl>
    <w:lvl w:ilvl="5">
      <w:start w:val="1"/>
      <w:numFmt w:val="none"/>
      <w:lvlText w:val=""/>
      <w:lvlJc w:val="left"/>
      <w:pPr>
        <w:ind w:left="1914" w:hanging="369"/>
      </w:pPr>
      <w:rPr>
        <w:rFonts w:hint="default"/>
      </w:rPr>
    </w:lvl>
    <w:lvl w:ilvl="6">
      <w:start w:val="1"/>
      <w:numFmt w:val="none"/>
      <w:lvlText w:val=""/>
      <w:lvlJc w:val="left"/>
      <w:pPr>
        <w:ind w:left="2283" w:hanging="369"/>
      </w:pPr>
      <w:rPr>
        <w:rFonts w:hint="default"/>
      </w:rPr>
    </w:lvl>
    <w:lvl w:ilvl="7">
      <w:start w:val="1"/>
      <w:numFmt w:val="none"/>
      <w:lvlText w:val=""/>
      <w:lvlJc w:val="left"/>
      <w:pPr>
        <w:ind w:left="2652" w:hanging="369"/>
      </w:pPr>
      <w:rPr>
        <w:rFonts w:hint="default"/>
      </w:rPr>
    </w:lvl>
    <w:lvl w:ilvl="8">
      <w:start w:val="1"/>
      <w:numFmt w:val="none"/>
      <w:lvlText w:val=""/>
      <w:lvlJc w:val="left"/>
      <w:pPr>
        <w:ind w:left="3021" w:hanging="369"/>
      </w:pPr>
      <w:rPr>
        <w:rFonts w:hint="default"/>
      </w:rPr>
    </w:lvl>
  </w:abstractNum>
  <w:abstractNum w:abstractNumId="24">
    <w:nsid w:val="67DE7D09"/>
    <w:multiLevelType w:val="hybridMultilevel"/>
    <w:tmpl w:val="38240F1A"/>
    <w:lvl w:ilvl="0" w:tplc="0C09000F">
      <w:start w:val="8"/>
      <w:numFmt w:val="lowerLetter"/>
      <w:lvlText w:val="(%1)"/>
      <w:lvlJc w:val="left"/>
      <w:pPr>
        <w:tabs>
          <w:tab w:val="num" w:pos="1080"/>
        </w:tabs>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68990539"/>
    <w:multiLevelType w:val="hybridMultilevel"/>
    <w:tmpl w:val="F7366DF6"/>
    <w:lvl w:ilvl="0" w:tplc="94AAC27E">
      <w:start w:val="1"/>
      <w:numFmt w:val="bullet"/>
      <w:lvlText w:val=""/>
      <w:lvlJc w:val="left"/>
      <w:pPr>
        <w:ind w:left="720" w:hanging="360"/>
      </w:pPr>
      <w:rPr>
        <w:rFonts w:ascii="Symbol" w:hAnsi="Symbol" w:hint="default"/>
      </w:rPr>
    </w:lvl>
    <w:lvl w:ilvl="1" w:tplc="E6F00C56" w:tentative="1">
      <w:start w:val="1"/>
      <w:numFmt w:val="bullet"/>
      <w:lvlText w:val="o"/>
      <w:lvlJc w:val="left"/>
      <w:pPr>
        <w:ind w:left="1440" w:hanging="360"/>
      </w:pPr>
      <w:rPr>
        <w:rFonts w:ascii="Courier New" w:hAnsi="Courier New" w:cs="Courier New" w:hint="default"/>
      </w:rPr>
    </w:lvl>
    <w:lvl w:ilvl="2" w:tplc="8AA43162" w:tentative="1">
      <w:start w:val="1"/>
      <w:numFmt w:val="bullet"/>
      <w:lvlText w:val=""/>
      <w:lvlJc w:val="left"/>
      <w:pPr>
        <w:ind w:left="2160" w:hanging="360"/>
      </w:pPr>
      <w:rPr>
        <w:rFonts w:ascii="Wingdings" w:hAnsi="Wingdings" w:hint="default"/>
      </w:rPr>
    </w:lvl>
    <w:lvl w:ilvl="3" w:tplc="EAD21B6C" w:tentative="1">
      <w:start w:val="1"/>
      <w:numFmt w:val="bullet"/>
      <w:lvlText w:val=""/>
      <w:lvlJc w:val="left"/>
      <w:pPr>
        <w:ind w:left="2880" w:hanging="360"/>
      </w:pPr>
      <w:rPr>
        <w:rFonts w:ascii="Symbol" w:hAnsi="Symbol" w:hint="default"/>
      </w:rPr>
    </w:lvl>
    <w:lvl w:ilvl="4" w:tplc="77E63BB8" w:tentative="1">
      <w:start w:val="1"/>
      <w:numFmt w:val="bullet"/>
      <w:lvlText w:val="o"/>
      <w:lvlJc w:val="left"/>
      <w:pPr>
        <w:ind w:left="3600" w:hanging="360"/>
      </w:pPr>
      <w:rPr>
        <w:rFonts w:ascii="Courier New" w:hAnsi="Courier New" w:cs="Courier New" w:hint="default"/>
      </w:rPr>
    </w:lvl>
    <w:lvl w:ilvl="5" w:tplc="51C8DED6" w:tentative="1">
      <w:start w:val="1"/>
      <w:numFmt w:val="bullet"/>
      <w:lvlText w:val=""/>
      <w:lvlJc w:val="left"/>
      <w:pPr>
        <w:ind w:left="4320" w:hanging="360"/>
      </w:pPr>
      <w:rPr>
        <w:rFonts w:ascii="Wingdings" w:hAnsi="Wingdings" w:hint="default"/>
      </w:rPr>
    </w:lvl>
    <w:lvl w:ilvl="6" w:tplc="3996A9BA" w:tentative="1">
      <w:start w:val="1"/>
      <w:numFmt w:val="bullet"/>
      <w:lvlText w:val=""/>
      <w:lvlJc w:val="left"/>
      <w:pPr>
        <w:ind w:left="5040" w:hanging="360"/>
      </w:pPr>
      <w:rPr>
        <w:rFonts w:ascii="Symbol" w:hAnsi="Symbol" w:hint="default"/>
      </w:rPr>
    </w:lvl>
    <w:lvl w:ilvl="7" w:tplc="CBAAD928" w:tentative="1">
      <w:start w:val="1"/>
      <w:numFmt w:val="bullet"/>
      <w:lvlText w:val="o"/>
      <w:lvlJc w:val="left"/>
      <w:pPr>
        <w:ind w:left="5760" w:hanging="360"/>
      </w:pPr>
      <w:rPr>
        <w:rFonts w:ascii="Courier New" w:hAnsi="Courier New" w:cs="Courier New" w:hint="default"/>
      </w:rPr>
    </w:lvl>
    <w:lvl w:ilvl="8" w:tplc="791CA722" w:tentative="1">
      <w:start w:val="1"/>
      <w:numFmt w:val="bullet"/>
      <w:lvlText w:val=""/>
      <w:lvlJc w:val="left"/>
      <w:pPr>
        <w:ind w:left="6480" w:hanging="360"/>
      </w:pPr>
      <w:rPr>
        <w:rFonts w:ascii="Wingdings" w:hAnsi="Wingdings" w:hint="default"/>
      </w:rPr>
    </w:lvl>
  </w:abstractNum>
  <w:abstractNum w:abstractNumId="26">
    <w:nsid w:val="6A48075B"/>
    <w:multiLevelType w:val="hybridMultilevel"/>
    <w:tmpl w:val="78E09F1E"/>
    <w:lvl w:ilvl="0" w:tplc="0C090001">
      <w:start w:val="1"/>
      <w:numFmt w:val="decimal"/>
      <w:lvlText w:val="(%1)"/>
      <w:lvlJc w:val="left"/>
      <w:pPr>
        <w:tabs>
          <w:tab w:val="num" w:pos="720"/>
        </w:tabs>
        <w:ind w:left="720" w:hanging="360"/>
      </w:pPr>
      <w:rPr>
        <w:rFonts w:cs="Times New Roman" w:hint="default"/>
      </w:rPr>
    </w:lvl>
    <w:lvl w:ilvl="1" w:tplc="0C090003">
      <w:start w:val="1"/>
      <w:numFmt w:val="lowerLetter"/>
      <w:lvlText w:val="%2."/>
      <w:lvlJc w:val="left"/>
      <w:pPr>
        <w:tabs>
          <w:tab w:val="num" w:pos="1440"/>
        </w:tabs>
        <w:ind w:left="1440" w:hanging="360"/>
      </w:pPr>
      <w:rPr>
        <w:rFonts w:cs="Times New Roman"/>
      </w:rPr>
    </w:lvl>
    <w:lvl w:ilvl="2" w:tplc="0C090005">
      <w:start w:val="1"/>
      <w:numFmt w:val="lowerRoman"/>
      <w:lvlText w:val="%3."/>
      <w:lvlJc w:val="right"/>
      <w:pPr>
        <w:tabs>
          <w:tab w:val="num" w:pos="2160"/>
        </w:tabs>
        <w:ind w:left="2160" w:hanging="18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lowerLetter"/>
      <w:lvlText w:val="%5."/>
      <w:lvlJc w:val="left"/>
      <w:pPr>
        <w:tabs>
          <w:tab w:val="num" w:pos="3600"/>
        </w:tabs>
        <w:ind w:left="3600" w:hanging="360"/>
      </w:pPr>
      <w:rPr>
        <w:rFonts w:cs="Times New Roman"/>
      </w:rPr>
    </w:lvl>
    <w:lvl w:ilvl="5" w:tplc="0C090005">
      <w:start w:val="1"/>
      <w:numFmt w:val="lowerRoman"/>
      <w:lvlText w:val="%6."/>
      <w:lvlJc w:val="right"/>
      <w:pPr>
        <w:tabs>
          <w:tab w:val="num" w:pos="4320"/>
        </w:tabs>
        <w:ind w:left="4320" w:hanging="18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lowerLetter"/>
      <w:lvlText w:val="%8."/>
      <w:lvlJc w:val="left"/>
      <w:pPr>
        <w:tabs>
          <w:tab w:val="num" w:pos="5760"/>
        </w:tabs>
        <w:ind w:left="5760" w:hanging="360"/>
      </w:pPr>
      <w:rPr>
        <w:rFonts w:cs="Times New Roman"/>
      </w:rPr>
    </w:lvl>
    <w:lvl w:ilvl="8" w:tplc="0C090005">
      <w:start w:val="1"/>
      <w:numFmt w:val="lowerRoman"/>
      <w:lvlText w:val="%9."/>
      <w:lvlJc w:val="right"/>
      <w:pPr>
        <w:tabs>
          <w:tab w:val="num" w:pos="6480"/>
        </w:tabs>
        <w:ind w:left="6480" w:hanging="180"/>
      </w:pPr>
      <w:rPr>
        <w:rFonts w:cs="Times New Roman"/>
      </w:rPr>
    </w:lvl>
  </w:abstractNum>
  <w:abstractNum w:abstractNumId="27">
    <w:nsid w:val="70F828CF"/>
    <w:multiLevelType w:val="hybridMultilevel"/>
    <w:tmpl w:val="D26057EA"/>
    <w:lvl w:ilvl="0" w:tplc="1F1CFB42">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72921315"/>
    <w:multiLevelType w:val="hybridMultilevel"/>
    <w:tmpl w:val="D16C9F6A"/>
    <w:lvl w:ilvl="0" w:tplc="0C090017">
      <w:start w:val="1"/>
      <w:numFmt w:val="lowerLetter"/>
      <w:lvlText w:val="%1."/>
      <w:lvlJc w:val="left"/>
      <w:pPr>
        <w:tabs>
          <w:tab w:val="num" w:pos="924"/>
        </w:tabs>
        <w:ind w:left="924" w:hanging="360"/>
      </w:pPr>
      <w:rPr>
        <w:rFonts w:hint="default"/>
        <w:b w:val="0"/>
      </w:rPr>
    </w:lvl>
    <w:lvl w:ilvl="1" w:tplc="06AEBA9A">
      <w:start w:val="2"/>
      <w:numFmt w:val="lowerRoman"/>
      <w:lvlText w:val="%2."/>
      <w:lvlJc w:val="left"/>
      <w:pPr>
        <w:tabs>
          <w:tab w:val="num" w:pos="1644"/>
        </w:tabs>
        <w:ind w:left="1644" w:hanging="360"/>
      </w:pPr>
      <w:rPr>
        <w:rFonts w:cs="Times New Roman" w:hint="default"/>
      </w:rPr>
    </w:lvl>
    <w:lvl w:ilvl="2" w:tplc="0C090001" w:tentative="1">
      <w:start w:val="1"/>
      <w:numFmt w:val="lowerRoman"/>
      <w:lvlText w:val="%3."/>
      <w:lvlJc w:val="right"/>
      <w:pPr>
        <w:tabs>
          <w:tab w:val="num" w:pos="2364"/>
        </w:tabs>
        <w:ind w:left="2364" w:hanging="180"/>
      </w:pPr>
      <w:rPr>
        <w:rFonts w:cs="Times New Roman"/>
      </w:rPr>
    </w:lvl>
    <w:lvl w:ilvl="3" w:tplc="0C09000F" w:tentative="1">
      <w:start w:val="1"/>
      <w:numFmt w:val="decimal"/>
      <w:lvlText w:val="%4."/>
      <w:lvlJc w:val="left"/>
      <w:pPr>
        <w:tabs>
          <w:tab w:val="num" w:pos="3084"/>
        </w:tabs>
        <w:ind w:left="3084" w:hanging="360"/>
      </w:pPr>
      <w:rPr>
        <w:rFonts w:cs="Times New Roman"/>
      </w:rPr>
    </w:lvl>
    <w:lvl w:ilvl="4" w:tplc="0C090019" w:tentative="1">
      <w:start w:val="1"/>
      <w:numFmt w:val="lowerLetter"/>
      <w:lvlText w:val="%5."/>
      <w:lvlJc w:val="left"/>
      <w:pPr>
        <w:tabs>
          <w:tab w:val="num" w:pos="3804"/>
        </w:tabs>
        <w:ind w:left="3804" w:hanging="360"/>
      </w:pPr>
      <w:rPr>
        <w:rFonts w:cs="Times New Roman"/>
      </w:rPr>
    </w:lvl>
    <w:lvl w:ilvl="5" w:tplc="0C09001B" w:tentative="1">
      <w:start w:val="1"/>
      <w:numFmt w:val="lowerRoman"/>
      <w:lvlText w:val="%6."/>
      <w:lvlJc w:val="right"/>
      <w:pPr>
        <w:tabs>
          <w:tab w:val="num" w:pos="4524"/>
        </w:tabs>
        <w:ind w:left="4524" w:hanging="180"/>
      </w:pPr>
      <w:rPr>
        <w:rFonts w:cs="Times New Roman"/>
      </w:rPr>
    </w:lvl>
    <w:lvl w:ilvl="6" w:tplc="0C09000F" w:tentative="1">
      <w:start w:val="1"/>
      <w:numFmt w:val="decimal"/>
      <w:lvlText w:val="%7."/>
      <w:lvlJc w:val="left"/>
      <w:pPr>
        <w:tabs>
          <w:tab w:val="num" w:pos="5244"/>
        </w:tabs>
        <w:ind w:left="5244" w:hanging="360"/>
      </w:pPr>
      <w:rPr>
        <w:rFonts w:cs="Times New Roman"/>
      </w:rPr>
    </w:lvl>
    <w:lvl w:ilvl="7" w:tplc="0C090019" w:tentative="1">
      <w:start w:val="1"/>
      <w:numFmt w:val="lowerLetter"/>
      <w:lvlText w:val="%8."/>
      <w:lvlJc w:val="left"/>
      <w:pPr>
        <w:tabs>
          <w:tab w:val="num" w:pos="5964"/>
        </w:tabs>
        <w:ind w:left="5964" w:hanging="360"/>
      </w:pPr>
      <w:rPr>
        <w:rFonts w:cs="Times New Roman"/>
      </w:rPr>
    </w:lvl>
    <w:lvl w:ilvl="8" w:tplc="0C09001B" w:tentative="1">
      <w:start w:val="1"/>
      <w:numFmt w:val="lowerRoman"/>
      <w:lvlText w:val="%9."/>
      <w:lvlJc w:val="right"/>
      <w:pPr>
        <w:tabs>
          <w:tab w:val="num" w:pos="6684"/>
        </w:tabs>
        <w:ind w:left="6684" w:hanging="180"/>
      </w:pPr>
      <w:rPr>
        <w:rFonts w:cs="Times New Roman"/>
      </w:rPr>
    </w:lvl>
  </w:abstractNum>
  <w:abstractNum w:abstractNumId="29">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0">
    <w:nsid w:val="7A2832DE"/>
    <w:multiLevelType w:val="hybridMultilevel"/>
    <w:tmpl w:val="76BA624E"/>
    <w:lvl w:ilvl="0" w:tplc="5D0AE274">
      <w:start w:val="1"/>
      <w:numFmt w:val="lowerLetter"/>
      <w:lvlText w:val="(%1)"/>
      <w:lvlJc w:val="left"/>
      <w:pPr>
        <w:tabs>
          <w:tab w:val="num" w:pos="1080"/>
        </w:tabs>
        <w:ind w:left="1080" w:hanging="720"/>
      </w:pPr>
      <w:rPr>
        <w:rFonts w:cs="Times New Roman" w:hint="default"/>
      </w:rPr>
    </w:lvl>
    <w:lvl w:ilvl="1" w:tplc="3A2AD2B8">
      <w:start w:val="1"/>
      <w:numFmt w:val="bullet"/>
      <w:lvlText w:val=""/>
      <w:lvlJc w:val="left"/>
      <w:pPr>
        <w:tabs>
          <w:tab w:val="num" w:pos="1440"/>
        </w:tabs>
        <w:ind w:left="1440" w:hanging="360"/>
      </w:pPr>
      <w:rPr>
        <w:rFonts w:ascii="Symbol" w:hAnsi="Symbol" w:hint="default"/>
      </w:rPr>
    </w:lvl>
    <w:lvl w:ilvl="2" w:tplc="784ECBF8">
      <w:start w:val="1"/>
      <w:numFmt w:val="decimal"/>
      <w:lvlText w:val="(%3)"/>
      <w:lvlJc w:val="left"/>
      <w:pPr>
        <w:tabs>
          <w:tab w:val="num" w:pos="2340"/>
        </w:tabs>
        <w:ind w:left="2340" w:hanging="360"/>
      </w:pPr>
      <w:rPr>
        <w:rFonts w:cs="Times New Roman" w:hint="default"/>
      </w:rPr>
    </w:lvl>
    <w:lvl w:ilvl="3" w:tplc="669496A6">
      <w:start w:val="1"/>
      <w:numFmt w:val="decimal"/>
      <w:lvlText w:val="%4."/>
      <w:lvlJc w:val="left"/>
      <w:pPr>
        <w:tabs>
          <w:tab w:val="num" w:pos="2880"/>
        </w:tabs>
        <w:ind w:left="2880" w:hanging="360"/>
      </w:pPr>
      <w:rPr>
        <w:rFonts w:cs="Times New Roman"/>
      </w:rPr>
    </w:lvl>
    <w:lvl w:ilvl="4" w:tplc="F39E9C6C">
      <w:start w:val="1"/>
      <w:numFmt w:val="lowerLetter"/>
      <w:lvlText w:val="%5."/>
      <w:lvlJc w:val="left"/>
      <w:pPr>
        <w:tabs>
          <w:tab w:val="num" w:pos="3600"/>
        </w:tabs>
        <w:ind w:left="3600" w:hanging="360"/>
      </w:pPr>
      <w:rPr>
        <w:rFonts w:cs="Times New Roman"/>
      </w:rPr>
    </w:lvl>
    <w:lvl w:ilvl="5" w:tplc="5BC2B592">
      <w:start w:val="1"/>
      <w:numFmt w:val="lowerRoman"/>
      <w:lvlText w:val="%6."/>
      <w:lvlJc w:val="right"/>
      <w:pPr>
        <w:tabs>
          <w:tab w:val="num" w:pos="4320"/>
        </w:tabs>
        <w:ind w:left="4320" w:hanging="180"/>
      </w:pPr>
      <w:rPr>
        <w:rFonts w:cs="Times New Roman"/>
      </w:rPr>
    </w:lvl>
    <w:lvl w:ilvl="6" w:tplc="1E7E20D4">
      <w:start w:val="1"/>
      <w:numFmt w:val="decimal"/>
      <w:lvlText w:val="%7."/>
      <w:lvlJc w:val="left"/>
      <w:pPr>
        <w:tabs>
          <w:tab w:val="num" w:pos="5040"/>
        </w:tabs>
        <w:ind w:left="5040" w:hanging="360"/>
      </w:pPr>
      <w:rPr>
        <w:rFonts w:cs="Times New Roman"/>
      </w:rPr>
    </w:lvl>
    <w:lvl w:ilvl="7" w:tplc="AD6EC282">
      <w:start w:val="1"/>
      <w:numFmt w:val="lowerLetter"/>
      <w:lvlText w:val="%8."/>
      <w:lvlJc w:val="left"/>
      <w:pPr>
        <w:tabs>
          <w:tab w:val="num" w:pos="5760"/>
        </w:tabs>
        <w:ind w:left="5760" w:hanging="360"/>
      </w:pPr>
      <w:rPr>
        <w:rFonts w:cs="Times New Roman"/>
      </w:rPr>
    </w:lvl>
    <w:lvl w:ilvl="8" w:tplc="956263C8">
      <w:start w:val="1"/>
      <w:numFmt w:val="lowerRoman"/>
      <w:lvlText w:val="%9."/>
      <w:lvlJc w:val="right"/>
      <w:pPr>
        <w:tabs>
          <w:tab w:val="num" w:pos="6480"/>
        </w:tabs>
        <w:ind w:left="6480" w:hanging="180"/>
      </w:pPr>
      <w:rPr>
        <w:rFonts w:cs="Times New Roman"/>
      </w:rPr>
    </w:lvl>
  </w:abstractNum>
  <w:abstractNum w:abstractNumId="31">
    <w:nsid w:val="7BAC490F"/>
    <w:multiLevelType w:val="hybridMultilevel"/>
    <w:tmpl w:val="D16C9F6A"/>
    <w:lvl w:ilvl="0" w:tplc="4F24756A">
      <w:start w:val="1"/>
      <w:numFmt w:val="lowerLetter"/>
      <w:lvlText w:val="%1."/>
      <w:lvlJc w:val="left"/>
      <w:pPr>
        <w:tabs>
          <w:tab w:val="num" w:pos="360"/>
        </w:tabs>
        <w:ind w:left="360" w:hanging="360"/>
      </w:pPr>
      <w:rPr>
        <w:rFonts w:hint="default"/>
        <w:b w:val="0"/>
      </w:rPr>
    </w:lvl>
    <w:lvl w:ilvl="1" w:tplc="C420A590">
      <w:start w:val="2"/>
      <w:numFmt w:val="lowerRoman"/>
      <w:lvlText w:val="%2."/>
      <w:lvlJc w:val="left"/>
      <w:pPr>
        <w:tabs>
          <w:tab w:val="num" w:pos="1080"/>
        </w:tabs>
        <w:ind w:left="1080" w:hanging="360"/>
      </w:pPr>
      <w:rPr>
        <w:rFonts w:cs="Times New Roman" w:hint="default"/>
      </w:rPr>
    </w:lvl>
    <w:lvl w:ilvl="2" w:tplc="3694390A" w:tentative="1">
      <w:start w:val="1"/>
      <w:numFmt w:val="lowerRoman"/>
      <w:lvlText w:val="%3."/>
      <w:lvlJc w:val="right"/>
      <w:pPr>
        <w:tabs>
          <w:tab w:val="num" w:pos="1800"/>
        </w:tabs>
        <w:ind w:left="1800" w:hanging="180"/>
      </w:pPr>
      <w:rPr>
        <w:rFonts w:cs="Times New Roman"/>
      </w:rPr>
    </w:lvl>
    <w:lvl w:ilvl="3" w:tplc="C54C6BA8" w:tentative="1">
      <w:start w:val="1"/>
      <w:numFmt w:val="decimal"/>
      <w:lvlText w:val="%4."/>
      <w:lvlJc w:val="left"/>
      <w:pPr>
        <w:tabs>
          <w:tab w:val="num" w:pos="2520"/>
        </w:tabs>
        <w:ind w:left="2520" w:hanging="360"/>
      </w:pPr>
      <w:rPr>
        <w:rFonts w:cs="Times New Roman"/>
      </w:rPr>
    </w:lvl>
    <w:lvl w:ilvl="4" w:tplc="A5066882" w:tentative="1">
      <w:start w:val="1"/>
      <w:numFmt w:val="lowerLetter"/>
      <w:lvlText w:val="%5."/>
      <w:lvlJc w:val="left"/>
      <w:pPr>
        <w:tabs>
          <w:tab w:val="num" w:pos="3240"/>
        </w:tabs>
        <w:ind w:left="3240" w:hanging="360"/>
      </w:pPr>
      <w:rPr>
        <w:rFonts w:cs="Times New Roman"/>
      </w:rPr>
    </w:lvl>
    <w:lvl w:ilvl="5" w:tplc="A28423EC" w:tentative="1">
      <w:start w:val="1"/>
      <w:numFmt w:val="lowerRoman"/>
      <w:lvlText w:val="%6."/>
      <w:lvlJc w:val="right"/>
      <w:pPr>
        <w:tabs>
          <w:tab w:val="num" w:pos="3960"/>
        </w:tabs>
        <w:ind w:left="3960" w:hanging="180"/>
      </w:pPr>
      <w:rPr>
        <w:rFonts w:cs="Times New Roman"/>
      </w:rPr>
    </w:lvl>
    <w:lvl w:ilvl="6" w:tplc="8ACC5FD8" w:tentative="1">
      <w:start w:val="1"/>
      <w:numFmt w:val="decimal"/>
      <w:lvlText w:val="%7."/>
      <w:lvlJc w:val="left"/>
      <w:pPr>
        <w:tabs>
          <w:tab w:val="num" w:pos="4680"/>
        </w:tabs>
        <w:ind w:left="4680" w:hanging="360"/>
      </w:pPr>
      <w:rPr>
        <w:rFonts w:cs="Times New Roman"/>
      </w:rPr>
    </w:lvl>
    <w:lvl w:ilvl="7" w:tplc="80828CAC" w:tentative="1">
      <w:start w:val="1"/>
      <w:numFmt w:val="lowerLetter"/>
      <w:lvlText w:val="%8."/>
      <w:lvlJc w:val="left"/>
      <w:pPr>
        <w:tabs>
          <w:tab w:val="num" w:pos="5400"/>
        </w:tabs>
        <w:ind w:left="5400" w:hanging="360"/>
      </w:pPr>
      <w:rPr>
        <w:rFonts w:cs="Times New Roman"/>
      </w:rPr>
    </w:lvl>
    <w:lvl w:ilvl="8" w:tplc="1ADCDC38" w:tentative="1">
      <w:start w:val="1"/>
      <w:numFmt w:val="lowerRoman"/>
      <w:lvlText w:val="%9."/>
      <w:lvlJc w:val="right"/>
      <w:pPr>
        <w:tabs>
          <w:tab w:val="num" w:pos="6120"/>
        </w:tabs>
        <w:ind w:left="6120" w:hanging="180"/>
      </w:pPr>
      <w:rPr>
        <w:rFonts w:cs="Times New Roman"/>
      </w:rPr>
    </w:lvl>
  </w:abstractNum>
  <w:abstractNum w:abstractNumId="32">
    <w:nsid w:val="7C117170"/>
    <w:multiLevelType w:val="hybridMultilevel"/>
    <w:tmpl w:val="2FD68CA0"/>
    <w:lvl w:ilvl="0" w:tplc="0C090019">
      <w:start w:val="6"/>
      <w:numFmt w:val="lowerLetter"/>
      <w:lvlText w:val="(%1)"/>
      <w:lvlJc w:val="left"/>
      <w:pPr>
        <w:ind w:left="720" w:hanging="360"/>
      </w:pPr>
      <w:rPr>
        <w:rFonts w:hint="default"/>
      </w:rPr>
    </w:lvl>
    <w:lvl w:ilvl="1" w:tplc="998AACEA"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EE91043"/>
    <w:multiLevelType w:val="hybridMultilevel"/>
    <w:tmpl w:val="F88CAA6E"/>
    <w:lvl w:ilvl="0" w:tplc="B9C68C32">
      <w:start w:val="1"/>
      <w:numFmt w:val="lowerLetter"/>
      <w:lvlText w:val="%1."/>
      <w:lvlJc w:val="left"/>
      <w:pPr>
        <w:ind w:left="360" w:hanging="360"/>
      </w:pPr>
      <w:rPr>
        <w:b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0"/>
  </w:num>
  <w:num w:numId="2">
    <w:abstractNumId w:val="11"/>
  </w:num>
  <w:num w:numId="3">
    <w:abstractNumId w:val="26"/>
  </w:num>
  <w:num w:numId="4">
    <w:abstractNumId w:val="30"/>
  </w:num>
  <w:num w:numId="5">
    <w:abstractNumId w:val="24"/>
  </w:num>
  <w:num w:numId="6">
    <w:abstractNumId w:val="10"/>
  </w:num>
  <w:num w:numId="7">
    <w:abstractNumId w:val="0"/>
  </w:num>
  <w:num w:numId="8">
    <w:abstractNumId w:val="29"/>
  </w:num>
  <w:num w:numId="9">
    <w:abstractNumId w:val="5"/>
  </w:num>
  <w:num w:numId="10">
    <w:abstractNumId w:val="21"/>
  </w:num>
  <w:num w:numId="11">
    <w:abstractNumId w:val="3"/>
  </w:num>
  <w:num w:numId="12">
    <w:abstractNumId w:val="23"/>
  </w:num>
  <w:num w:numId="13">
    <w:abstractNumId w:val="19"/>
  </w:num>
  <w:num w:numId="14">
    <w:abstractNumId w:val="8"/>
  </w:num>
  <w:num w:numId="15">
    <w:abstractNumId w:val="14"/>
  </w:num>
  <w:num w:numId="16">
    <w:abstractNumId w:val="32"/>
  </w:num>
  <w:num w:numId="17">
    <w:abstractNumId w:val="13"/>
  </w:num>
  <w:num w:numId="18">
    <w:abstractNumId w:val="2"/>
  </w:num>
  <w:num w:numId="19">
    <w:abstractNumId w:val="17"/>
  </w:num>
  <w:num w:numId="20">
    <w:abstractNumId w:val="12"/>
  </w:num>
  <w:num w:numId="21">
    <w:abstractNumId w:val="28"/>
  </w:num>
  <w:num w:numId="22">
    <w:abstractNumId w:val="18"/>
  </w:num>
  <w:num w:numId="23">
    <w:abstractNumId w:val="31"/>
  </w:num>
  <w:num w:numId="24">
    <w:abstractNumId w:val="22"/>
  </w:num>
  <w:num w:numId="25">
    <w:abstractNumId w:val="25"/>
  </w:num>
  <w:num w:numId="26">
    <w:abstractNumId w:val="15"/>
  </w:num>
  <w:num w:numId="27">
    <w:abstractNumId w:val="6"/>
  </w:num>
  <w:num w:numId="28">
    <w:abstractNumId w:val="9"/>
  </w:num>
  <w:num w:numId="29">
    <w:abstractNumId w:val="1"/>
  </w:num>
  <w:num w:numId="30">
    <w:abstractNumId w:val="7"/>
  </w:num>
  <w:num w:numId="31">
    <w:abstractNumId w:val="4"/>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5"/>
    <w:lvlOverride w:ilvl="0">
      <w:lvl w:ilvl="0">
        <w:start w:val="1"/>
        <w:numFmt w:val="bullet"/>
        <w:pStyle w:val="ListBullet"/>
        <w:lvlText w:val=""/>
        <w:lvlJc w:val="left"/>
        <w:pPr>
          <w:ind w:left="369" w:hanging="369"/>
        </w:pPr>
        <w:rPr>
          <w:rFonts w:ascii="Symbol" w:hAnsi="Symbol" w:hint="default"/>
          <w:color w:val="auto"/>
        </w:rPr>
      </w:lvl>
    </w:lvlOverride>
    <w:lvlOverride w:ilvl="1">
      <w:lvl w:ilvl="1">
        <w:start w:val="1"/>
        <w:numFmt w:val="none"/>
        <w:pStyle w:val="ListBullet2"/>
        <w:lvlText w:val="-"/>
        <w:lvlJc w:val="left"/>
        <w:pPr>
          <w:ind w:left="737" w:hanging="368"/>
        </w:pPr>
        <w:rPr>
          <w:rFonts w:hint="default"/>
          <w:color w:val="auto"/>
        </w:rPr>
      </w:lvl>
    </w:lvlOverride>
  </w:num>
  <w:num w:numId="36">
    <w:abstractNumId w:val="23"/>
    <w:lvlOverride w:ilvl="0">
      <w:lvl w:ilvl="0">
        <w:numFmt w:val="decimal"/>
        <w:pStyle w:val="ListNumber"/>
        <w:lvlText w:val=""/>
        <w:lvlJc w:val="left"/>
      </w:lvl>
    </w:lvlOverride>
    <w:lvlOverride w:ilvl="1">
      <w:lvl w:ilvl="1">
        <w:numFmt w:val="decimal"/>
        <w:pStyle w:val="ListNumber2"/>
        <w:lvlText w:val=""/>
        <w:lvlJc w:val="left"/>
      </w:lvl>
    </w:lvlOverride>
    <w:lvlOverride w:ilvl="2">
      <w:lvl w:ilvl="2">
        <w:start w:val="1"/>
        <w:numFmt w:val="lowerRoman"/>
        <w:pStyle w:val="ListNumber3"/>
        <w:lvlText w:val="%3."/>
        <w:lvlJc w:val="left"/>
        <w:pPr>
          <w:ind w:left="1107" w:hanging="369"/>
        </w:pPr>
        <w:rPr>
          <w:rFonts w:hint="default"/>
          <w:b w:val="0"/>
        </w:rPr>
      </w:lvl>
    </w:lvlOverride>
  </w:num>
  <w:num w:numId="37">
    <w:abstractNumId w:val="33"/>
  </w:num>
  <w:num w:numId="38">
    <w:abstractNumId w:val="27"/>
  </w:num>
  <w:num w:numId="39">
    <w:abstractNumId w:val="5"/>
  </w:num>
  <w:num w:numId="40">
    <w:abstractNumId w:val="5"/>
  </w:num>
  <w:num w:numId="41">
    <w:abstractNumId w:val="5"/>
  </w:num>
  <w:num w:numId="42">
    <w:abstractNumId w:val="5"/>
  </w:num>
  <w:num w:numId="43">
    <w:abstractNumId w:val="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4D24FB"/>
    <w:rsid w:val="00003CE6"/>
    <w:rsid w:val="0000405D"/>
    <w:rsid w:val="0000474C"/>
    <w:rsid w:val="00004B07"/>
    <w:rsid w:val="0000538F"/>
    <w:rsid w:val="00007053"/>
    <w:rsid w:val="00007B18"/>
    <w:rsid w:val="00010BC3"/>
    <w:rsid w:val="00010D02"/>
    <w:rsid w:val="00010FE0"/>
    <w:rsid w:val="0001221D"/>
    <w:rsid w:val="00012364"/>
    <w:rsid w:val="000135D3"/>
    <w:rsid w:val="00014B8C"/>
    <w:rsid w:val="000167CF"/>
    <w:rsid w:val="00017531"/>
    <w:rsid w:val="00022330"/>
    <w:rsid w:val="00022DB3"/>
    <w:rsid w:val="00025E6C"/>
    <w:rsid w:val="00025EEE"/>
    <w:rsid w:val="000266EE"/>
    <w:rsid w:val="00026E28"/>
    <w:rsid w:val="00030CBB"/>
    <w:rsid w:val="00033BB2"/>
    <w:rsid w:val="00033C8E"/>
    <w:rsid w:val="00035825"/>
    <w:rsid w:val="00035AB5"/>
    <w:rsid w:val="00035B48"/>
    <w:rsid w:val="000368AD"/>
    <w:rsid w:val="00036C4A"/>
    <w:rsid w:val="00040B20"/>
    <w:rsid w:val="00043694"/>
    <w:rsid w:val="000437BD"/>
    <w:rsid w:val="0004479F"/>
    <w:rsid w:val="00044EAF"/>
    <w:rsid w:val="0004500E"/>
    <w:rsid w:val="00045B67"/>
    <w:rsid w:val="00045FC8"/>
    <w:rsid w:val="000473DC"/>
    <w:rsid w:val="00050901"/>
    <w:rsid w:val="000524BE"/>
    <w:rsid w:val="00052608"/>
    <w:rsid w:val="00053370"/>
    <w:rsid w:val="000533E2"/>
    <w:rsid w:val="00053BA1"/>
    <w:rsid w:val="00053D7F"/>
    <w:rsid w:val="0005411A"/>
    <w:rsid w:val="00055363"/>
    <w:rsid w:val="000555BE"/>
    <w:rsid w:val="00057EB1"/>
    <w:rsid w:val="0006017A"/>
    <w:rsid w:val="000606E6"/>
    <w:rsid w:val="00060F48"/>
    <w:rsid w:val="0006103B"/>
    <w:rsid w:val="00061462"/>
    <w:rsid w:val="00063C5D"/>
    <w:rsid w:val="00063CD4"/>
    <w:rsid w:val="0006606A"/>
    <w:rsid w:val="0006627F"/>
    <w:rsid w:val="0006732D"/>
    <w:rsid w:val="000673F6"/>
    <w:rsid w:val="00070244"/>
    <w:rsid w:val="00071E26"/>
    <w:rsid w:val="00072131"/>
    <w:rsid w:val="000724E6"/>
    <w:rsid w:val="00072CD6"/>
    <w:rsid w:val="000730B7"/>
    <w:rsid w:val="00073E2D"/>
    <w:rsid w:val="0007428A"/>
    <w:rsid w:val="00074650"/>
    <w:rsid w:val="000767CF"/>
    <w:rsid w:val="00077341"/>
    <w:rsid w:val="00077D34"/>
    <w:rsid w:val="00077F7F"/>
    <w:rsid w:val="000807CF"/>
    <w:rsid w:val="000810C1"/>
    <w:rsid w:val="000817EB"/>
    <w:rsid w:val="00081C74"/>
    <w:rsid w:val="00083480"/>
    <w:rsid w:val="00083699"/>
    <w:rsid w:val="0008410F"/>
    <w:rsid w:val="00084121"/>
    <w:rsid w:val="0008475D"/>
    <w:rsid w:val="00085E20"/>
    <w:rsid w:val="000873C1"/>
    <w:rsid w:val="000906A8"/>
    <w:rsid w:val="0009181A"/>
    <w:rsid w:val="00091A1E"/>
    <w:rsid w:val="0009208A"/>
    <w:rsid w:val="0009247E"/>
    <w:rsid w:val="00093221"/>
    <w:rsid w:val="000957A3"/>
    <w:rsid w:val="000967CB"/>
    <w:rsid w:val="00096F44"/>
    <w:rsid w:val="000A0080"/>
    <w:rsid w:val="000A0347"/>
    <w:rsid w:val="000A1E14"/>
    <w:rsid w:val="000A22F9"/>
    <w:rsid w:val="000A2875"/>
    <w:rsid w:val="000A3623"/>
    <w:rsid w:val="000A6BEE"/>
    <w:rsid w:val="000B0870"/>
    <w:rsid w:val="000B0960"/>
    <w:rsid w:val="000B28FB"/>
    <w:rsid w:val="000B3963"/>
    <w:rsid w:val="000B40FA"/>
    <w:rsid w:val="000B58FC"/>
    <w:rsid w:val="000B7992"/>
    <w:rsid w:val="000C0086"/>
    <w:rsid w:val="000C0401"/>
    <w:rsid w:val="000C21CA"/>
    <w:rsid w:val="000C3D54"/>
    <w:rsid w:val="000C4BC9"/>
    <w:rsid w:val="000C4E11"/>
    <w:rsid w:val="000C67C7"/>
    <w:rsid w:val="000D1796"/>
    <w:rsid w:val="000D3AC8"/>
    <w:rsid w:val="000D3B66"/>
    <w:rsid w:val="000D5FEE"/>
    <w:rsid w:val="000D6013"/>
    <w:rsid w:val="000D71AF"/>
    <w:rsid w:val="000D7E43"/>
    <w:rsid w:val="000E0126"/>
    <w:rsid w:val="000E1532"/>
    <w:rsid w:val="000E52BB"/>
    <w:rsid w:val="000E65CB"/>
    <w:rsid w:val="000E6EF6"/>
    <w:rsid w:val="000E7986"/>
    <w:rsid w:val="000F0150"/>
    <w:rsid w:val="000F0A74"/>
    <w:rsid w:val="000F224D"/>
    <w:rsid w:val="000F23D2"/>
    <w:rsid w:val="000F26F8"/>
    <w:rsid w:val="000F33AB"/>
    <w:rsid w:val="000F3B48"/>
    <w:rsid w:val="000F3D74"/>
    <w:rsid w:val="000F4BE0"/>
    <w:rsid w:val="000F4F67"/>
    <w:rsid w:val="000F5B8F"/>
    <w:rsid w:val="000F6397"/>
    <w:rsid w:val="000F6784"/>
    <w:rsid w:val="000F6F5D"/>
    <w:rsid w:val="000F7AB6"/>
    <w:rsid w:val="000F7C9D"/>
    <w:rsid w:val="00100E41"/>
    <w:rsid w:val="00101FF0"/>
    <w:rsid w:val="00103371"/>
    <w:rsid w:val="00104401"/>
    <w:rsid w:val="00104E27"/>
    <w:rsid w:val="00106133"/>
    <w:rsid w:val="001065B9"/>
    <w:rsid w:val="00107F3D"/>
    <w:rsid w:val="001101FC"/>
    <w:rsid w:val="00112FB5"/>
    <w:rsid w:val="001138C3"/>
    <w:rsid w:val="00113AFD"/>
    <w:rsid w:val="00115224"/>
    <w:rsid w:val="001169C0"/>
    <w:rsid w:val="00117B18"/>
    <w:rsid w:val="00117C5F"/>
    <w:rsid w:val="00120798"/>
    <w:rsid w:val="00120799"/>
    <w:rsid w:val="00121732"/>
    <w:rsid w:val="00121D00"/>
    <w:rsid w:val="001221FB"/>
    <w:rsid w:val="00122DCF"/>
    <w:rsid w:val="00125920"/>
    <w:rsid w:val="00125DFF"/>
    <w:rsid w:val="00126C0C"/>
    <w:rsid w:val="00127880"/>
    <w:rsid w:val="00127D61"/>
    <w:rsid w:val="00131302"/>
    <w:rsid w:val="001326ED"/>
    <w:rsid w:val="00132CDA"/>
    <w:rsid w:val="00134F6E"/>
    <w:rsid w:val="00135293"/>
    <w:rsid w:val="001358E1"/>
    <w:rsid w:val="001367AD"/>
    <w:rsid w:val="001408F7"/>
    <w:rsid w:val="00142AA9"/>
    <w:rsid w:val="00143A60"/>
    <w:rsid w:val="0014518E"/>
    <w:rsid w:val="0014545C"/>
    <w:rsid w:val="0014596F"/>
    <w:rsid w:val="00145B11"/>
    <w:rsid w:val="00145E4A"/>
    <w:rsid w:val="0014615E"/>
    <w:rsid w:val="00147026"/>
    <w:rsid w:val="00147C68"/>
    <w:rsid w:val="00151013"/>
    <w:rsid w:val="00151776"/>
    <w:rsid w:val="00153AE2"/>
    <w:rsid w:val="00154C73"/>
    <w:rsid w:val="0015522C"/>
    <w:rsid w:val="0015539B"/>
    <w:rsid w:val="00156D61"/>
    <w:rsid w:val="00157ED0"/>
    <w:rsid w:val="00161F8C"/>
    <w:rsid w:val="00163270"/>
    <w:rsid w:val="0016328D"/>
    <w:rsid w:val="00163D8B"/>
    <w:rsid w:val="00165189"/>
    <w:rsid w:val="00165B91"/>
    <w:rsid w:val="0017107A"/>
    <w:rsid w:val="001711B6"/>
    <w:rsid w:val="00173CEA"/>
    <w:rsid w:val="00176EFF"/>
    <w:rsid w:val="001775EE"/>
    <w:rsid w:val="0017797D"/>
    <w:rsid w:val="00180CBF"/>
    <w:rsid w:val="001812C9"/>
    <w:rsid w:val="00181369"/>
    <w:rsid w:val="001815FA"/>
    <w:rsid w:val="001818F9"/>
    <w:rsid w:val="001839AF"/>
    <w:rsid w:val="00186330"/>
    <w:rsid w:val="00186A46"/>
    <w:rsid w:val="00187E7D"/>
    <w:rsid w:val="00190615"/>
    <w:rsid w:val="00191AA5"/>
    <w:rsid w:val="00192178"/>
    <w:rsid w:val="0019321D"/>
    <w:rsid w:val="00194015"/>
    <w:rsid w:val="00195C49"/>
    <w:rsid w:val="00196980"/>
    <w:rsid w:val="00196C9A"/>
    <w:rsid w:val="00196D35"/>
    <w:rsid w:val="00197FA8"/>
    <w:rsid w:val="001A5678"/>
    <w:rsid w:val="001A6B3D"/>
    <w:rsid w:val="001A7C61"/>
    <w:rsid w:val="001B0A4D"/>
    <w:rsid w:val="001B0D65"/>
    <w:rsid w:val="001B0FB0"/>
    <w:rsid w:val="001B19B3"/>
    <w:rsid w:val="001B2CE2"/>
    <w:rsid w:val="001B4EA3"/>
    <w:rsid w:val="001B5C14"/>
    <w:rsid w:val="001B67D0"/>
    <w:rsid w:val="001B6950"/>
    <w:rsid w:val="001B6E71"/>
    <w:rsid w:val="001B7138"/>
    <w:rsid w:val="001B76B1"/>
    <w:rsid w:val="001B7B44"/>
    <w:rsid w:val="001C09E6"/>
    <w:rsid w:val="001C14A7"/>
    <w:rsid w:val="001C1517"/>
    <w:rsid w:val="001C20CF"/>
    <w:rsid w:val="001C2AFF"/>
    <w:rsid w:val="001C32B0"/>
    <w:rsid w:val="001C37B0"/>
    <w:rsid w:val="001C6496"/>
    <w:rsid w:val="001C7689"/>
    <w:rsid w:val="001C7B37"/>
    <w:rsid w:val="001D09CE"/>
    <w:rsid w:val="001D1DB2"/>
    <w:rsid w:val="001D391C"/>
    <w:rsid w:val="001D4337"/>
    <w:rsid w:val="001D621C"/>
    <w:rsid w:val="001D7B30"/>
    <w:rsid w:val="001E16BB"/>
    <w:rsid w:val="001E2D3B"/>
    <w:rsid w:val="001E3E4B"/>
    <w:rsid w:val="001E46E1"/>
    <w:rsid w:val="001E5626"/>
    <w:rsid w:val="001E7075"/>
    <w:rsid w:val="001E73CE"/>
    <w:rsid w:val="001E7DC3"/>
    <w:rsid w:val="001E7FC3"/>
    <w:rsid w:val="001F1F98"/>
    <w:rsid w:val="001F21B7"/>
    <w:rsid w:val="001F2A49"/>
    <w:rsid w:val="001F341A"/>
    <w:rsid w:val="001F3F54"/>
    <w:rsid w:val="001F3FFC"/>
    <w:rsid w:val="001F485A"/>
    <w:rsid w:val="001F5491"/>
    <w:rsid w:val="001F5ED5"/>
    <w:rsid w:val="001F5F8E"/>
    <w:rsid w:val="001F7214"/>
    <w:rsid w:val="001F7247"/>
    <w:rsid w:val="001F749F"/>
    <w:rsid w:val="001F757E"/>
    <w:rsid w:val="002007A4"/>
    <w:rsid w:val="00201BC4"/>
    <w:rsid w:val="002045D4"/>
    <w:rsid w:val="00204BCA"/>
    <w:rsid w:val="002052C8"/>
    <w:rsid w:val="0020559F"/>
    <w:rsid w:val="00206C9F"/>
    <w:rsid w:val="002075A8"/>
    <w:rsid w:val="00210AE4"/>
    <w:rsid w:val="00212E3A"/>
    <w:rsid w:val="00213734"/>
    <w:rsid w:val="00214C28"/>
    <w:rsid w:val="002151B8"/>
    <w:rsid w:val="00216401"/>
    <w:rsid w:val="002172B5"/>
    <w:rsid w:val="0021799C"/>
    <w:rsid w:val="0022098E"/>
    <w:rsid w:val="002215A5"/>
    <w:rsid w:val="00221E81"/>
    <w:rsid w:val="0022330C"/>
    <w:rsid w:val="002235A3"/>
    <w:rsid w:val="00223949"/>
    <w:rsid w:val="00226D46"/>
    <w:rsid w:val="00231260"/>
    <w:rsid w:val="0023200A"/>
    <w:rsid w:val="002331DA"/>
    <w:rsid w:val="00233858"/>
    <w:rsid w:val="0023565E"/>
    <w:rsid w:val="002356A2"/>
    <w:rsid w:val="00235F6C"/>
    <w:rsid w:val="002365A9"/>
    <w:rsid w:val="00237A94"/>
    <w:rsid w:val="002401C8"/>
    <w:rsid w:val="00240724"/>
    <w:rsid w:val="00240E4F"/>
    <w:rsid w:val="002427A0"/>
    <w:rsid w:val="002444DA"/>
    <w:rsid w:val="00244644"/>
    <w:rsid w:val="0024527C"/>
    <w:rsid w:val="00246DF4"/>
    <w:rsid w:val="0024753A"/>
    <w:rsid w:val="00253840"/>
    <w:rsid w:val="00253CE1"/>
    <w:rsid w:val="002561E5"/>
    <w:rsid w:val="0025691F"/>
    <w:rsid w:val="00260E24"/>
    <w:rsid w:val="00261356"/>
    <w:rsid w:val="00261937"/>
    <w:rsid w:val="00266046"/>
    <w:rsid w:val="002700B3"/>
    <w:rsid w:val="002710E2"/>
    <w:rsid w:val="002711AD"/>
    <w:rsid w:val="00272840"/>
    <w:rsid w:val="0027772E"/>
    <w:rsid w:val="00277941"/>
    <w:rsid w:val="00280FAC"/>
    <w:rsid w:val="00281148"/>
    <w:rsid w:val="00281F9A"/>
    <w:rsid w:val="00282E43"/>
    <w:rsid w:val="002836D8"/>
    <w:rsid w:val="00283A4B"/>
    <w:rsid w:val="00283F97"/>
    <w:rsid w:val="00284B6F"/>
    <w:rsid w:val="0028634B"/>
    <w:rsid w:val="00286369"/>
    <w:rsid w:val="002868FF"/>
    <w:rsid w:val="00287F28"/>
    <w:rsid w:val="00290216"/>
    <w:rsid w:val="00290263"/>
    <w:rsid w:val="002921E7"/>
    <w:rsid w:val="002925AB"/>
    <w:rsid w:val="00296ACC"/>
    <w:rsid w:val="00296E00"/>
    <w:rsid w:val="00296EE8"/>
    <w:rsid w:val="00297811"/>
    <w:rsid w:val="002A3F8A"/>
    <w:rsid w:val="002A457C"/>
    <w:rsid w:val="002A476F"/>
    <w:rsid w:val="002A657B"/>
    <w:rsid w:val="002A7A5C"/>
    <w:rsid w:val="002B0D61"/>
    <w:rsid w:val="002B1606"/>
    <w:rsid w:val="002B16C8"/>
    <w:rsid w:val="002B2F56"/>
    <w:rsid w:val="002B3CF5"/>
    <w:rsid w:val="002B7831"/>
    <w:rsid w:val="002C04C3"/>
    <w:rsid w:val="002C06B1"/>
    <w:rsid w:val="002C1837"/>
    <w:rsid w:val="002C29A5"/>
    <w:rsid w:val="002C3E16"/>
    <w:rsid w:val="002C48A0"/>
    <w:rsid w:val="002C4F65"/>
    <w:rsid w:val="002C7B9B"/>
    <w:rsid w:val="002D0C99"/>
    <w:rsid w:val="002D55D5"/>
    <w:rsid w:val="002D5EBD"/>
    <w:rsid w:val="002D6797"/>
    <w:rsid w:val="002D67EE"/>
    <w:rsid w:val="002D77E1"/>
    <w:rsid w:val="002D7C90"/>
    <w:rsid w:val="002E0EDE"/>
    <w:rsid w:val="002E37B5"/>
    <w:rsid w:val="002E465B"/>
    <w:rsid w:val="002E5CB4"/>
    <w:rsid w:val="002E6218"/>
    <w:rsid w:val="002E6EAC"/>
    <w:rsid w:val="002E721A"/>
    <w:rsid w:val="002E7D5A"/>
    <w:rsid w:val="002F01EF"/>
    <w:rsid w:val="002F0EF6"/>
    <w:rsid w:val="002F353D"/>
    <w:rsid w:val="002F422E"/>
    <w:rsid w:val="002F429D"/>
    <w:rsid w:val="002F684A"/>
    <w:rsid w:val="002F71D7"/>
    <w:rsid w:val="002F73D8"/>
    <w:rsid w:val="00304CA8"/>
    <w:rsid w:val="00305E0A"/>
    <w:rsid w:val="00305EB6"/>
    <w:rsid w:val="00307B32"/>
    <w:rsid w:val="00307C15"/>
    <w:rsid w:val="003103D9"/>
    <w:rsid w:val="00311F16"/>
    <w:rsid w:val="00313944"/>
    <w:rsid w:val="00314A11"/>
    <w:rsid w:val="00315295"/>
    <w:rsid w:val="00315F3D"/>
    <w:rsid w:val="00316B87"/>
    <w:rsid w:val="00316D54"/>
    <w:rsid w:val="00317E97"/>
    <w:rsid w:val="00317F68"/>
    <w:rsid w:val="00320DE5"/>
    <w:rsid w:val="00321FB9"/>
    <w:rsid w:val="003235BD"/>
    <w:rsid w:val="00325BCC"/>
    <w:rsid w:val="0032618A"/>
    <w:rsid w:val="00327BB2"/>
    <w:rsid w:val="0033027A"/>
    <w:rsid w:val="003306FA"/>
    <w:rsid w:val="00330CF2"/>
    <w:rsid w:val="003367B4"/>
    <w:rsid w:val="00336F95"/>
    <w:rsid w:val="00337401"/>
    <w:rsid w:val="0034069F"/>
    <w:rsid w:val="003418FF"/>
    <w:rsid w:val="0034427C"/>
    <w:rsid w:val="00344F66"/>
    <w:rsid w:val="00346AFE"/>
    <w:rsid w:val="00346B05"/>
    <w:rsid w:val="003470FA"/>
    <w:rsid w:val="003478DF"/>
    <w:rsid w:val="00350F2F"/>
    <w:rsid w:val="00351CB1"/>
    <w:rsid w:val="003520D7"/>
    <w:rsid w:val="00352191"/>
    <w:rsid w:val="00352FE1"/>
    <w:rsid w:val="00353738"/>
    <w:rsid w:val="00353D5C"/>
    <w:rsid w:val="00353DA7"/>
    <w:rsid w:val="00357467"/>
    <w:rsid w:val="00360BCF"/>
    <w:rsid w:val="0036231C"/>
    <w:rsid w:val="003629A0"/>
    <w:rsid w:val="0036470F"/>
    <w:rsid w:val="003649FA"/>
    <w:rsid w:val="00364C46"/>
    <w:rsid w:val="0036632B"/>
    <w:rsid w:val="003663AF"/>
    <w:rsid w:val="00367BDD"/>
    <w:rsid w:val="0037015C"/>
    <w:rsid w:val="00371883"/>
    <w:rsid w:val="00371FBD"/>
    <w:rsid w:val="003737C1"/>
    <w:rsid w:val="00374C56"/>
    <w:rsid w:val="0037587B"/>
    <w:rsid w:val="0037699E"/>
    <w:rsid w:val="00377335"/>
    <w:rsid w:val="003777F8"/>
    <w:rsid w:val="00380AE2"/>
    <w:rsid w:val="00383666"/>
    <w:rsid w:val="00384293"/>
    <w:rsid w:val="00384A3F"/>
    <w:rsid w:val="00385396"/>
    <w:rsid w:val="0038559B"/>
    <w:rsid w:val="00385605"/>
    <w:rsid w:val="003857C5"/>
    <w:rsid w:val="00390A79"/>
    <w:rsid w:val="003955C3"/>
    <w:rsid w:val="00395645"/>
    <w:rsid w:val="003968E3"/>
    <w:rsid w:val="00397767"/>
    <w:rsid w:val="003A21D4"/>
    <w:rsid w:val="003A4302"/>
    <w:rsid w:val="003A5174"/>
    <w:rsid w:val="003A51AE"/>
    <w:rsid w:val="003A5232"/>
    <w:rsid w:val="003A561B"/>
    <w:rsid w:val="003A70CA"/>
    <w:rsid w:val="003B047B"/>
    <w:rsid w:val="003B10D0"/>
    <w:rsid w:val="003B1412"/>
    <w:rsid w:val="003B1B0C"/>
    <w:rsid w:val="003B463D"/>
    <w:rsid w:val="003B4B0F"/>
    <w:rsid w:val="003B67BA"/>
    <w:rsid w:val="003B68E1"/>
    <w:rsid w:val="003C12E7"/>
    <w:rsid w:val="003C16AB"/>
    <w:rsid w:val="003C1CF2"/>
    <w:rsid w:val="003C29E2"/>
    <w:rsid w:val="003C481E"/>
    <w:rsid w:val="003C4F9B"/>
    <w:rsid w:val="003C6099"/>
    <w:rsid w:val="003C71A0"/>
    <w:rsid w:val="003C7EDC"/>
    <w:rsid w:val="003D0B42"/>
    <w:rsid w:val="003D2727"/>
    <w:rsid w:val="003D34EF"/>
    <w:rsid w:val="003D40A5"/>
    <w:rsid w:val="003D4196"/>
    <w:rsid w:val="003D4DC5"/>
    <w:rsid w:val="003D5B77"/>
    <w:rsid w:val="003D65D4"/>
    <w:rsid w:val="003E0B85"/>
    <w:rsid w:val="003E0C54"/>
    <w:rsid w:val="003E0C7D"/>
    <w:rsid w:val="003E16AF"/>
    <w:rsid w:val="003E2377"/>
    <w:rsid w:val="003E23C5"/>
    <w:rsid w:val="003E2A1C"/>
    <w:rsid w:val="003E3986"/>
    <w:rsid w:val="003E3B7A"/>
    <w:rsid w:val="003E40FC"/>
    <w:rsid w:val="003E4E2B"/>
    <w:rsid w:val="003E601A"/>
    <w:rsid w:val="003E73E4"/>
    <w:rsid w:val="003E7D3C"/>
    <w:rsid w:val="003F013D"/>
    <w:rsid w:val="003F1499"/>
    <w:rsid w:val="003F284C"/>
    <w:rsid w:val="003F56CC"/>
    <w:rsid w:val="003F6FCA"/>
    <w:rsid w:val="003F7000"/>
    <w:rsid w:val="003F73A7"/>
    <w:rsid w:val="003F73C1"/>
    <w:rsid w:val="00401483"/>
    <w:rsid w:val="00401F5E"/>
    <w:rsid w:val="00404423"/>
    <w:rsid w:val="004045E8"/>
    <w:rsid w:val="0040470B"/>
    <w:rsid w:val="00404881"/>
    <w:rsid w:val="00404A87"/>
    <w:rsid w:val="0040636D"/>
    <w:rsid w:val="00407AE2"/>
    <w:rsid w:val="004124D8"/>
    <w:rsid w:val="004126BD"/>
    <w:rsid w:val="00413040"/>
    <w:rsid w:val="00413398"/>
    <w:rsid w:val="00414DF4"/>
    <w:rsid w:val="00415613"/>
    <w:rsid w:val="00415E57"/>
    <w:rsid w:val="0041744F"/>
    <w:rsid w:val="00420C72"/>
    <w:rsid w:val="004217FB"/>
    <w:rsid w:val="00421891"/>
    <w:rsid w:val="00422286"/>
    <w:rsid w:val="00424E3E"/>
    <w:rsid w:val="004253D5"/>
    <w:rsid w:val="004258DC"/>
    <w:rsid w:val="004258F3"/>
    <w:rsid w:val="00425DE7"/>
    <w:rsid w:val="00426A66"/>
    <w:rsid w:val="0043006A"/>
    <w:rsid w:val="004300E5"/>
    <w:rsid w:val="004315B2"/>
    <w:rsid w:val="00433541"/>
    <w:rsid w:val="00434183"/>
    <w:rsid w:val="0043572F"/>
    <w:rsid w:val="004368F3"/>
    <w:rsid w:val="0044013D"/>
    <w:rsid w:val="00440B8B"/>
    <w:rsid w:val="00441149"/>
    <w:rsid w:val="00441E6C"/>
    <w:rsid w:val="00442039"/>
    <w:rsid w:val="004425C8"/>
    <w:rsid w:val="00442658"/>
    <w:rsid w:val="00444E3B"/>
    <w:rsid w:val="00445F17"/>
    <w:rsid w:val="004460AE"/>
    <w:rsid w:val="0044730A"/>
    <w:rsid w:val="004522A9"/>
    <w:rsid w:val="00452FF5"/>
    <w:rsid w:val="00453590"/>
    <w:rsid w:val="004558D1"/>
    <w:rsid w:val="00455FA1"/>
    <w:rsid w:val="00456E3A"/>
    <w:rsid w:val="004579AF"/>
    <w:rsid w:val="00457B10"/>
    <w:rsid w:val="00461F1E"/>
    <w:rsid w:val="004627C1"/>
    <w:rsid w:val="00464959"/>
    <w:rsid w:val="00465C85"/>
    <w:rsid w:val="0046710A"/>
    <w:rsid w:val="004701B1"/>
    <w:rsid w:val="0047070C"/>
    <w:rsid w:val="00472420"/>
    <w:rsid w:val="004730F4"/>
    <w:rsid w:val="004737CB"/>
    <w:rsid w:val="00475C3B"/>
    <w:rsid w:val="00475E02"/>
    <w:rsid w:val="00476945"/>
    <w:rsid w:val="0048168A"/>
    <w:rsid w:val="00482E6D"/>
    <w:rsid w:val="00484A24"/>
    <w:rsid w:val="00485AAA"/>
    <w:rsid w:val="004863EA"/>
    <w:rsid w:val="00486F80"/>
    <w:rsid w:val="0048758D"/>
    <w:rsid w:val="00490142"/>
    <w:rsid w:val="00490190"/>
    <w:rsid w:val="004912B1"/>
    <w:rsid w:val="00491332"/>
    <w:rsid w:val="00493817"/>
    <w:rsid w:val="00495879"/>
    <w:rsid w:val="00495B81"/>
    <w:rsid w:val="004976C0"/>
    <w:rsid w:val="004A091B"/>
    <w:rsid w:val="004A1870"/>
    <w:rsid w:val="004A262F"/>
    <w:rsid w:val="004A3B22"/>
    <w:rsid w:val="004A4733"/>
    <w:rsid w:val="004A4ABA"/>
    <w:rsid w:val="004A52D5"/>
    <w:rsid w:val="004A6B73"/>
    <w:rsid w:val="004A6CD9"/>
    <w:rsid w:val="004A6D4C"/>
    <w:rsid w:val="004B06A9"/>
    <w:rsid w:val="004B2915"/>
    <w:rsid w:val="004B36C1"/>
    <w:rsid w:val="004B3FE6"/>
    <w:rsid w:val="004B4E17"/>
    <w:rsid w:val="004B75E8"/>
    <w:rsid w:val="004C067C"/>
    <w:rsid w:val="004C07E4"/>
    <w:rsid w:val="004C1A81"/>
    <w:rsid w:val="004C2A86"/>
    <w:rsid w:val="004C2B5C"/>
    <w:rsid w:val="004C3B54"/>
    <w:rsid w:val="004C3C8C"/>
    <w:rsid w:val="004C4A3F"/>
    <w:rsid w:val="004C54A1"/>
    <w:rsid w:val="004C5B98"/>
    <w:rsid w:val="004C70A3"/>
    <w:rsid w:val="004C7F45"/>
    <w:rsid w:val="004D0F6A"/>
    <w:rsid w:val="004D13D8"/>
    <w:rsid w:val="004D1404"/>
    <w:rsid w:val="004D1E28"/>
    <w:rsid w:val="004D2231"/>
    <w:rsid w:val="004D24FB"/>
    <w:rsid w:val="004D4209"/>
    <w:rsid w:val="004D4257"/>
    <w:rsid w:val="004D745C"/>
    <w:rsid w:val="004E0BCA"/>
    <w:rsid w:val="004E19CC"/>
    <w:rsid w:val="004E232A"/>
    <w:rsid w:val="004E2DF8"/>
    <w:rsid w:val="004E5639"/>
    <w:rsid w:val="004E5C0D"/>
    <w:rsid w:val="004F1AAF"/>
    <w:rsid w:val="004F2A75"/>
    <w:rsid w:val="004F2D61"/>
    <w:rsid w:val="004F2DC4"/>
    <w:rsid w:val="004F3BD4"/>
    <w:rsid w:val="004F468D"/>
    <w:rsid w:val="004F57C4"/>
    <w:rsid w:val="004F588D"/>
    <w:rsid w:val="004F68F3"/>
    <w:rsid w:val="004F75A6"/>
    <w:rsid w:val="005002CA"/>
    <w:rsid w:val="00505205"/>
    <w:rsid w:val="00505594"/>
    <w:rsid w:val="00505F90"/>
    <w:rsid w:val="00506C13"/>
    <w:rsid w:val="005072C6"/>
    <w:rsid w:val="0050740E"/>
    <w:rsid w:val="00507940"/>
    <w:rsid w:val="0051034E"/>
    <w:rsid w:val="00510B52"/>
    <w:rsid w:val="00511C76"/>
    <w:rsid w:val="00512B7A"/>
    <w:rsid w:val="005135C5"/>
    <w:rsid w:val="00513B34"/>
    <w:rsid w:val="00515F5E"/>
    <w:rsid w:val="0051626C"/>
    <w:rsid w:val="005173C3"/>
    <w:rsid w:val="005218BC"/>
    <w:rsid w:val="005239E5"/>
    <w:rsid w:val="00524344"/>
    <w:rsid w:val="00524CF5"/>
    <w:rsid w:val="00526AD4"/>
    <w:rsid w:val="0052720C"/>
    <w:rsid w:val="00527C25"/>
    <w:rsid w:val="00530AEB"/>
    <w:rsid w:val="00530C97"/>
    <w:rsid w:val="00530F08"/>
    <w:rsid w:val="00530FF8"/>
    <w:rsid w:val="0053262E"/>
    <w:rsid w:val="005333AD"/>
    <w:rsid w:val="005364A9"/>
    <w:rsid w:val="00537065"/>
    <w:rsid w:val="005414E8"/>
    <w:rsid w:val="00541656"/>
    <w:rsid w:val="005422FC"/>
    <w:rsid w:val="005428EE"/>
    <w:rsid w:val="00543AF5"/>
    <w:rsid w:val="00543D3D"/>
    <w:rsid w:val="00544DDD"/>
    <w:rsid w:val="005453A6"/>
    <w:rsid w:val="0054566E"/>
    <w:rsid w:val="00545A1E"/>
    <w:rsid w:val="005466E0"/>
    <w:rsid w:val="00546F0F"/>
    <w:rsid w:val="00547A7B"/>
    <w:rsid w:val="005515FA"/>
    <w:rsid w:val="005523C2"/>
    <w:rsid w:val="00552436"/>
    <w:rsid w:val="00553316"/>
    <w:rsid w:val="005542F0"/>
    <w:rsid w:val="0055572E"/>
    <w:rsid w:val="0055582E"/>
    <w:rsid w:val="00555C18"/>
    <w:rsid w:val="005616DE"/>
    <w:rsid w:val="00561703"/>
    <w:rsid w:val="0056334E"/>
    <w:rsid w:val="00563C40"/>
    <w:rsid w:val="00563C4A"/>
    <w:rsid w:val="0056472C"/>
    <w:rsid w:val="00567517"/>
    <w:rsid w:val="005676DD"/>
    <w:rsid w:val="00570C32"/>
    <w:rsid w:val="00571D71"/>
    <w:rsid w:val="005726EA"/>
    <w:rsid w:val="00574CBC"/>
    <w:rsid w:val="00575227"/>
    <w:rsid w:val="00575791"/>
    <w:rsid w:val="005772DE"/>
    <w:rsid w:val="005819DB"/>
    <w:rsid w:val="005831F4"/>
    <w:rsid w:val="005847E5"/>
    <w:rsid w:val="0058522E"/>
    <w:rsid w:val="00586A86"/>
    <w:rsid w:val="00590AD8"/>
    <w:rsid w:val="00590BBC"/>
    <w:rsid w:val="00590D95"/>
    <w:rsid w:val="00593E69"/>
    <w:rsid w:val="0059418B"/>
    <w:rsid w:val="00594443"/>
    <w:rsid w:val="00596051"/>
    <w:rsid w:val="0059778B"/>
    <w:rsid w:val="005A023D"/>
    <w:rsid w:val="005A11E4"/>
    <w:rsid w:val="005A18CF"/>
    <w:rsid w:val="005A199E"/>
    <w:rsid w:val="005A2762"/>
    <w:rsid w:val="005A28A8"/>
    <w:rsid w:val="005A337C"/>
    <w:rsid w:val="005A43EB"/>
    <w:rsid w:val="005A4FFA"/>
    <w:rsid w:val="005A6218"/>
    <w:rsid w:val="005A63B4"/>
    <w:rsid w:val="005A716C"/>
    <w:rsid w:val="005A7225"/>
    <w:rsid w:val="005A7469"/>
    <w:rsid w:val="005A7882"/>
    <w:rsid w:val="005B1806"/>
    <w:rsid w:val="005B1AB6"/>
    <w:rsid w:val="005B1EBF"/>
    <w:rsid w:val="005B494A"/>
    <w:rsid w:val="005B56CA"/>
    <w:rsid w:val="005B6568"/>
    <w:rsid w:val="005B706A"/>
    <w:rsid w:val="005C189A"/>
    <w:rsid w:val="005C2B3C"/>
    <w:rsid w:val="005C2EE8"/>
    <w:rsid w:val="005C4710"/>
    <w:rsid w:val="005D08C4"/>
    <w:rsid w:val="005D172F"/>
    <w:rsid w:val="005D37CA"/>
    <w:rsid w:val="005D4907"/>
    <w:rsid w:val="005D70E8"/>
    <w:rsid w:val="005D73BD"/>
    <w:rsid w:val="005D779A"/>
    <w:rsid w:val="005D7C63"/>
    <w:rsid w:val="005E0386"/>
    <w:rsid w:val="005E14F5"/>
    <w:rsid w:val="005E1BF4"/>
    <w:rsid w:val="005E3681"/>
    <w:rsid w:val="005E3ADB"/>
    <w:rsid w:val="005E49D7"/>
    <w:rsid w:val="005E5A66"/>
    <w:rsid w:val="005E6BF6"/>
    <w:rsid w:val="005E7DEC"/>
    <w:rsid w:val="005F1842"/>
    <w:rsid w:val="005F19B9"/>
    <w:rsid w:val="005F2E44"/>
    <w:rsid w:val="005F6F07"/>
    <w:rsid w:val="006000F6"/>
    <w:rsid w:val="00601AFB"/>
    <w:rsid w:val="00601F70"/>
    <w:rsid w:val="006042F2"/>
    <w:rsid w:val="0060511B"/>
    <w:rsid w:val="006054DB"/>
    <w:rsid w:val="00605EDD"/>
    <w:rsid w:val="0060650D"/>
    <w:rsid w:val="00606C58"/>
    <w:rsid w:val="00610CDC"/>
    <w:rsid w:val="006115A6"/>
    <w:rsid w:val="00612B26"/>
    <w:rsid w:val="00614847"/>
    <w:rsid w:val="00615596"/>
    <w:rsid w:val="00615F98"/>
    <w:rsid w:val="006160F4"/>
    <w:rsid w:val="00616926"/>
    <w:rsid w:val="006229F5"/>
    <w:rsid w:val="00622BB4"/>
    <w:rsid w:val="006239E2"/>
    <w:rsid w:val="00624E31"/>
    <w:rsid w:val="0062544D"/>
    <w:rsid w:val="00625B23"/>
    <w:rsid w:val="006266F0"/>
    <w:rsid w:val="00631990"/>
    <w:rsid w:val="00632043"/>
    <w:rsid w:val="006321B2"/>
    <w:rsid w:val="00633A0A"/>
    <w:rsid w:val="00636990"/>
    <w:rsid w:val="00636A34"/>
    <w:rsid w:val="00636E16"/>
    <w:rsid w:val="00640407"/>
    <w:rsid w:val="00643465"/>
    <w:rsid w:val="00644578"/>
    <w:rsid w:val="006465EF"/>
    <w:rsid w:val="00650591"/>
    <w:rsid w:val="00651F8A"/>
    <w:rsid w:val="006550F6"/>
    <w:rsid w:val="00655F78"/>
    <w:rsid w:val="0065622B"/>
    <w:rsid w:val="00657DFC"/>
    <w:rsid w:val="00662037"/>
    <w:rsid w:val="00662380"/>
    <w:rsid w:val="006659FD"/>
    <w:rsid w:val="00665C62"/>
    <w:rsid w:val="00666521"/>
    <w:rsid w:val="00667935"/>
    <w:rsid w:val="00667B1A"/>
    <w:rsid w:val="006724C5"/>
    <w:rsid w:val="00673EF8"/>
    <w:rsid w:val="00674FF4"/>
    <w:rsid w:val="00675D55"/>
    <w:rsid w:val="006769BB"/>
    <w:rsid w:val="006777CA"/>
    <w:rsid w:val="0068026D"/>
    <w:rsid w:val="00680886"/>
    <w:rsid w:val="00680AB1"/>
    <w:rsid w:val="0068182C"/>
    <w:rsid w:val="0068193F"/>
    <w:rsid w:val="006820CA"/>
    <w:rsid w:val="00683364"/>
    <w:rsid w:val="0068492C"/>
    <w:rsid w:val="00684B2A"/>
    <w:rsid w:val="00684B80"/>
    <w:rsid w:val="00685E02"/>
    <w:rsid w:val="006865FE"/>
    <w:rsid w:val="00686B23"/>
    <w:rsid w:val="00686D3D"/>
    <w:rsid w:val="00687C0D"/>
    <w:rsid w:val="00691AC8"/>
    <w:rsid w:val="00693929"/>
    <w:rsid w:val="00695909"/>
    <w:rsid w:val="006A1A47"/>
    <w:rsid w:val="006A25EF"/>
    <w:rsid w:val="006A2ACF"/>
    <w:rsid w:val="006A3E6B"/>
    <w:rsid w:val="006A4BEB"/>
    <w:rsid w:val="006A5566"/>
    <w:rsid w:val="006A6EEA"/>
    <w:rsid w:val="006B1F1F"/>
    <w:rsid w:val="006B3E51"/>
    <w:rsid w:val="006B40F5"/>
    <w:rsid w:val="006B451C"/>
    <w:rsid w:val="006B6C7E"/>
    <w:rsid w:val="006B7727"/>
    <w:rsid w:val="006C31FE"/>
    <w:rsid w:val="006D004C"/>
    <w:rsid w:val="006D0883"/>
    <w:rsid w:val="006D1398"/>
    <w:rsid w:val="006D3907"/>
    <w:rsid w:val="006D4437"/>
    <w:rsid w:val="006D4CC5"/>
    <w:rsid w:val="006D5307"/>
    <w:rsid w:val="006D601E"/>
    <w:rsid w:val="006D7202"/>
    <w:rsid w:val="006D7463"/>
    <w:rsid w:val="006E2111"/>
    <w:rsid w:val="006E3C88"/>
    <w:rsid w:val="006E4928"/>
    <w:rsid w:val="006E4B00"/>
    <w:rsid w:val="006E74FF"/>
    <w:rsid w:val="006F2A77"/>
    <w:rsid w:val="006F2DEB"/>
    <w:rsid w:val="006F3879"/>
    <w:rsid w:val="006F3FDC"/>
    <w:rsid w:val="006F412E"/>
    <w:rsid w:val="006F4344"/>
    <w:rsid w:val="006F6C25"/>
    <w:rsid w:val="006F7224"/>
    <w:rsid w:val="006F772C"/>
    <w:rsid w:val="006F7B8C"/>
    <w:rsid w:val="0070032C"/>
    <w:rsid w:val="00702236"/>
    <w:rsid w:val="007030A7"/>
    <w:rsid w:val="007036D2"/>
    <w:rsid w:val="00703C24"/>
    <w:rsid w:val="0070422E"/>
    <w:rsid w:val="007047DD"/>
    <w:rsid w:val="00707753"/>
    <w:rsid w:val="00707DA1"/>
    <w:rsid w:val="0071074A"/>
    <w:rsid w:val="007108E4"/>
    <w:rsid w:val="00711B87"/>
    <w:rsid w:val="00712F8B"/>
    <w:rsid w:val="00714EC1"/>
    <w:rsid w:val="00715143"/>
    <w:rsid w:val="00720804"/>
    <w:rsid w:val="0072125B"/>
    <w:rsid w:val="00721B6E"/>
    <w:rsid w:val="00723016"/>
    <w:rsid w:val="0072402C"/>
    <w:rsid w:val="00724040"/>
    <w:rsid w:val="00724B83"/>
    <w:rsid w:val="00724D5C"/>
    <w:rsid w:val="007257C0"/>
    <w:rsid w:val="0073067B"/>
    <w:rsid w:val="00732F01"/>
    <w:rsid w:val="00733276"/>
    <w:rsid w:val="00733977"/>
    <w:rsid w:val="00733B12"/>
    <w:rsid w:val="00733D29"/>
    <w:rsid w:val="00734094"/>
    <w:rsid w:val="00735247"/>
    <w:rsid w:val="007355EF"/>
    <w:rsid w:val="00737E6E"/>
    <w:rsid w:val="00740084"/>
    <w:rsid w:val="00740AF0"/>
    <w:rsid w:val="0074231B"/>
    <w:rsid w:val="00742551"/>
    <w:rsid w:val="007425D2"/>
    <w:rsid w:val="00742B9A"/>
    <w:rsid w:val="00743047"/>
    <w:rsid w:val="007458B3"/>
    <w:rsid w:val="00746793"/>
    <w:rsid w:val="00750857"/>
    <w:rsid w:val="007508BA"/>
    <w:rsid w:val="00752954"/>
    <w:rsid w:val="00753471"/>
    <w:rsid w:val="00753647"/>
    <w:rsid w:val="00754EA8"/>
    <w:rsid w:val="00755013"/>
    <w:rsid w:val="00755E47"/>
    <w:rsid w:val="00756453"/>
    <w:rsid w:val="0075739B"/>
    <w:rsid w:val="007605F1"/>
    <w:rsid w:val="00760E54"/>
    <w:rsid w:val="0076176E"/>
    <w:rsid w:val="00763415"/>
    <w:rsid w:val="0076390E"/>
    <w:rsid w:val="00764E49"/>
    <w:rsid w:val="007655D1"/>
    <w:rsid w:val="00765EC0"/>
    <w:rsid w:val="007671BE"/>
    <w:rsid w:val="00772F55"/>
    <w:rsid w:val="00773FCE"/>
    <w:rsid w:val="00774A97"/>
    <w:rsid w:val="00775C5E"/>
    <w:rsid w:val="00776096"/>
    <w:rsid w:val="00781842"/>
    <w:rsid w:val="00782BFC"/>
    <w:rsid w:val="00783045"/>
    <w:rsid w:val="00783BCC"/>
    <w:rsid w:val="00783F3E"/>
    <w:rsid w:val="007851AC"/>
    <w:rsid w:val="007855D7"/>
    <w:rsid w:val="00785603"/>
    <w:rsid w:val="00786C7B"/>
    <w:rsid w:val="00787C5A"/>
    <w:rsid w:val="00787D43"/>
    <w:rsid w:val="00790643"/>
    <w:rsid w:val="00791E47"/>
    <w:rsid w:val="00792B6E"/>
    <w:rsid w:val="00793337"/>
    <w:rsid w:val="00793ED6"/>
    <w:rsid w:val="00795AA4"/>
    <w:rsid w:val="00795BC1"/>
    <w:rsid w:val="00796BB8"/>
    <w:rsid w:val="007A2C08"/>
    <w:rsid w:val="007A30F9"/>
    <w:rsid w:val="007A3607"/>
    <w:rsid w:val="007A4027"/>
    <w:rsid w:val="007A6D47"/>
    <w:rsid w:val="007B00CF"/>
    <w:rsid w:val="007B0C2A"/>
    <w:rsid w:val="007B560F"/>
    <w:rsid w:val="007B7FB7"/>
    <w:rsid w:val="007C0952"/>
    <w:rsid w:val="007C0D6B"/>
    <w:rsid w:val="007C1B6C"/>
    <w:rsid w:val="007C2234"/>
    <w:rsid w:val="007C231C"/>
    <w:rsid w:val="007C358A"/>
    <w:rsid w:val="007C4750"/>
    <w:rsid w:val="007C73BD"/>
    <w:rsid w:val="007D0166"/>
    <w:rsid w:val="007D0CE4"/>
    <w:rsid w:val="007D2B5F"/>
    <w:rsid w:val="007D2C81"/>
    <w:rsid w:val="007D3855"/>
    <w:rsid w:val="007D4CC1"/>
    <w:rsid w:val="007D4E16"/>
    <w:rsid w:val="007E008A"/>
    <w:rsid w:val="007E013A"/>
    <w:rsid w:val="007E0333"/>
    <w:rsid w:val="007E0D8A"/>
    <w:rsid w:val="007E10BF"/>
    <w:rsid w:val="007E5213"/>
    <w:rsid w:val="007E5294"/>
    <w:rsid w:val="007E5909"/>
    <w:rsid w:val="007E640B"/>
    <w:rsid w:val="007E7339"/>
    <w:rsid w:val="007F0741"/>
    <w:rsid w:val="007F0754"/>
    <w:rsid w:val="007F0F5F"/>
    <w:rsid w:val="007F258F"/>
    <w:rsid w:val="007F2E92"/>
    <w:rsid w:val="007F52A0"/>
    <w:rsid w:val="007F5669"/>
    <w:rsid w:val="007F5AFA"/>
    <w:rsid w:val="007F69A4"/>
    <w:rsid w:val="007F720A"/>
    <w:rsid w:val="007F7292"/>
    <w:rsid w:val="007F7358"/>
    <w:rsid w:val="00800206"/>
    <w:rsid w:val="00800EF8"/>
    <w:rsid w:val="00803238"/>
    <w:rsid w:val="008034F0"/>
    <w:rsid w:val="00803831"/>
    <w:rsid w:val="008048F2"/>
    <w:rsid w:val="00805175"/>
    <w:rsid w:val="00806574"/>
    <w:rsid w:val="0081145D"/>
    <w:rsid w:val="0081156C"/>
    <w:rsid w:val="00811D0C"/>
    <w:rsid w:val="00812B1A"/>
    <w:rsid w:val="00813597"/>
    <w:rsid w:val="00813ADF"/>
    <w:rsid w:val="00814CC7"/>
    <w:rsid w:val="00814E5E"/>
    <w:rsid w:val="00815D3C"/>
    <w:rsid w:val="00817310"/>
    <w:rsid w:val="00817517"/>
    <w:rsid w:val="0082048C"/>
    <w:rsid w:val="00820553"/>
    <w:rsid w:val="008215C4"/>
    <w:rsid w:val="0082343B"/>
    <w:rsid w:val="008237F1"/>
    <w:rsid w:val="00825A88"/>
    <w:rsid w:val="00825DDC"/>
    <w:rsid w:val="0082627F"/>
    <w:rsid w:val="00830290"/>
    <w:rsid w:val="00830C9E"/>
    <w:rsid w:val="00831566"/>
    <w:rsid w:val="00831DEE"/>
    <w:rsid w:val="00832897"/>
    <w:rsid w:val="00834716"/>
    <w:rsid w:val="00834D4B"/>
    <w:rsid w:val="00837879"/>
    <w:rsid w:val="00837D6A"/>
    <w:rsid w:val="00837DDE"/>
    <w:rsid w:val="00840382"/>
    <w:rsid w:val="00840680"/>
    <w:rsid w:val="0084098C"/>
    <w:rsid w:val="00841A14"/>
    <w:rsid w:val="008448AE"/>
    <w:rsid w:val="00845423"/>
    <w:rsid w:val="008461B1"/>
    <w:rsid w:val="00850C3E"/>
    <w:rsid w:val="00850CBE"/>
    <w:rsid w:val="00851734"/>
    <w:rsid w:val="008520A4"/>
    <w:rsid w:val="008525EE"/>
    <w:rsid w:val="008527B1"/>
    <w:rsid w:val="00852D76"/>
    <w:rsid w:val="00852DF5"/>
    <w:rsid w:val="008530C3"/>
    <w:rsid w:val="008534A3"/>
    <w:rsid w:val="00855F0E"/>
    <w:rsid w:val="00856B2C"/>
    <w:rsid w:val="00860292"/>
    <w:rsid w:val="008676DA"/>
    <w:rsid w:val="00867B28"/>
    <w:rsid w:val="0087163A"/>
    <w:rsid w:val="00873FF8"/>
    <w:rsid w:val="00874A82"/>
    <w:rsid w:val="00874B81"/>
    <w:rsid w:val="008764E1"/>
    <w:rsid w:val="00876F7A"/>
    <w:rsid w:val="00881B69"/>
    <w:rsid w:val="008839D4"/>
    <w:rsid w:val="008847EC"/>
    <w:rsid w:val="00884838"/>
    <w:rsid w:val="00886ACE"/>
    <w:rsid w:val="00886B07"/>
    <w:rsid w:val="00890ADB"/>
    <w:rsid w:val="008912FB"/>
    <w:rsid w:val="00891C3F"/>
    <w:rsid w:val="00892585"/>
    <w:rsid w:val="00892A74"/>
    <w:rsid w:val="00893D88"/>
    <w:rsid w:val="00893DD9"/>
    <w:rsid w:val="008952CC"/>
    <w:rsid w:val="008965B5"/>
    <w:rsid w:val="00897560"/>
    <w:rsid w:val="008A11E8"/>
    <w:rsid w:val="008A122E"/>
    <w:rsid w:val="008A23EE"/>
    <w:rsid w:val="008A2E0C"/>
    <w:rsid w:val="008A3097"/>
    <w:rsid w:val="008A5F84"/>
    <w:rsid w:val="008A61C2"/>
    <w:rsid w:val="008A7145"/>
    <w:rsid w:val="008A7654"/>
    <w:rsid w:val="008A7B8A"/>
    <w:rsid w:val="008B1100"/>
    <w:rsid w:val="008B1277"/>
    <w:rsid w:val="008B16FC"/>
    <w:rsid w:val="008B4F13"/>
    <w:rsid w:val="008B552B"/>
    <w:rsid w:val="008B5587"/>
    <w:rsid w:val="008B572B"/>
    <w:rsid w:val="008B60B9"/>
    <w:rsid w:val="008C0436"/>
    <w:rsid w:val="008C0E8B"/>
    <w:rsid w:val="008C1F8C"/>
    <w:rsid w:val="008C3813"/>
    <w:rsid w:val="008C4152"/>
    <w:rsid w:val="008C4ECB"/>
    <w:rsid w:val="008C6007"/>
    <w:rsid w:val="008C72A0"/>
    <w:rsid w:val="008C7C14"/>
    <w:rsid w:val="008D049D"/>
    <w:rsid w:val="008D0DD7"/>
    <w:rsid w:val="008D1370"/>
    <w:rsid w:val="008D1721"/>
    <w:rsid w:val="008D2001"/>
    <w:rsid w:val="008D2BCC"/>
    <w:rsid w:val="008D2D87"/>
    <w:rsid w:val="008D72BB"/>
    <w:rsid w:val="008D7EB0"/>
    <w:rsid w:val="008E116C"/>
    <w:rsid w:val="008E1968"/>
    <w:rsid w:val="008E1E22"/>
    <w:rsid w:val="008E1EB8"/>
    <w:rsid w:val="008E22D6"/>
    <w:rsid w:val="008E2379"/>
    <w:rsid w:val="008E3341"/>
    <w:rsid w:val="008E3D65"/>
    <w:rsid w:val="008E541A"/>
    <w:rsid w:val="008E5DA2"/>
    <w:rsid w:val="008E629E"/>
    <w:rsid w:val="008E7C9B"/>
    <w:rsid w:val="008E7CBC"/>
    <w:rsid w:val="008F01E5"/>
    <w:rsid w:val="008F08A3"/>
    <w:rsid w:val="008F0B56"/>
    <w:rsid w:val="008F128C"/>
    <w:rsid w:val="008F26AC"/>
    <w:rsid w:val="008F5483"/>
    <w:rsid w:val="008F781E"/>
    <w:rsid w:val="00900034"/>
    <w:rsid w:val="0090023E"/>
    <w:rsid w:val="0090321B"/>
    <w:rsid w:val="00903FD4"/>
    <w:rsid w:val="009055BC"/>
    <w:rsid w:val="0090731C"/>
    <w:rsid w:val="00907814"/>
    <w:rsid w:val="0091088A"/>
    <w:rsid w:val="00912399"/>
    <w:rsid w:val="00913D84"/>
    <w:rsid w:val="00916395"/>
    <w:rsid w:val="00916A71"/>
    <w:rsid w:val="00917BC8"/>
    <w:rsid w:val="00917D93"/>
    <w:rsid w:val="00920957"/>
    <w:rsid w:val="00922DCC"/>
    <w:rsid w:val="0092373B"/>
    <w:rsid w:val="00923E1B"/>
    <w:rsid w:val="0092439B"/>
    <w:rsid w:val="009245FE"/>
    <w:rsid w:val="009256F7"/>
    <w:rsid w:val="009258F5"/>
    <w:rsid w:val="00926569"/>
    <w:rsid w:val="00927CC5"/>
    <w:rsid w:val="00930891"/>
    <w:rsid w:val="0093273B"/>
    <w:rsid w:val="009355DE"/>
    <w:rsid w:val="00935D2B"/>
    <w:rsid w:val="0093631E"/>
    <w:rsid w:val="009366B9"/>
    <w:rsid w:val="00937704"/>
    <w:rsid w:val="009401EB"/>
    <w:rsid w:val="00941B92"/>
    <w:rsid w:val="00942F95"/>
    <w:rsid w:val="0094313A"/>
    <w:rsid w:val="0094514F"/>
    <w:rsid w:val="00950395"/>
    <w:rsid w:val="009540D4"/>
    <w:rsid w:val="0095531A"/>
    <w:rsid w:val="0095605A"/>
    <w:rsid w:val="00956262"/>
    <w:rsid w:val="00956D13"/>
    <w:rsid w:val="0095792E"/>
    <w:rsid w:val="009604AB"/>
    <w:rsid w:val="00960C0C"/>
    <w:rsid w:val="00960CB4"/>
    <w:rsid w:val="009620FC"/>
    <w:rsid w:val="00964581"/>
    <w:rsid w:val="009662FD"/>
    <w:rsid w:val="00966A24"/>
    <w:rsid w:val="00967413"/>
    <w:rsid w:val="0097015B"/>
    <w:rsid w:val="00970906"/>
    <w:rsid w:val="009716E8"/>
    <w:rsid w:val="0097186E"/>
    <w:rsid w:val="00972283"/>
    <w:rsid w:val="00972FEF"/>
    <w:rsid w:val="00973755"/>
    <w:rsid w:val="00974FFE"/>
    <w:rsid w:val="00976625"/>
    <w:rsid w:val="00976655"/>
    <w:rsid w:val="009767A3"/>
    <w:rsid w:val="0097779F"/>
    <w:rsid w:val="0098010E"/>
    <w:rsid w:val="00983638"/>
    <w:rsid w:val="00984A1E"/>
    <w:rsid w:val="00985662"/>
    <w:rsid w:val="0098669D"/>
    <w:rsid w:val="00986DE2"/>
    <w:rsid w:val="00987942"/>
    <w:rsid w:val="00990D32"/>
    <w:rsid w:val="009911A3"/>
    <w:rsid w:val="0099133E"/>
    <w:rsid w:val="00991CEA"/>
    <w:rsid w:val="00993469"/>
    <w:rsid w:val="009934DB"/>
    <w:rsid w:val="009A095E"/>
    <w:rsid w:val="009A0AD0"/>
    <w:rsid w:val="009A1308"/>
    <w:rsid w:val="009A2289"/>
    <w:rsid w:val="009A29E0"/>
    <w:rsid w:val="009A5706"/>
    <w:rsid w:val="009A6EEC"/>
    <w:rsid w:val="009A7655"/>
    <w:rsid w:val="009A7888"/>
    <w:rsid w:val="009A790B"/>
    <w:rsid w:val="009A7C44"/>
    <w:rsid w:val="009B07B6"/>
    <w:rsid w:val="009B306C"/>
    <w:rsid w:val="009B36CF"/>
    <w:rsid w:val="009B3A55"/>
    <w:rsid w:val="009B708E"/>
    <w:rsid w:val="009C0567"/>
    <w:rsid w:val="009C0E64"/>
    <w:rsid w:val="009C12AA"/>
    <w:rsid w:val="009C2305"/>
    <w:rsid w:val="009C3546"/>
    <w:rsid w:val="009C5225"/>
    <w:rsid w:val="009C59D7"/>
    <w:rsid w:val="009C5C88"/>
    <w:rsid w:val="009C6A50"/>
    <w:rsid w:val="009D0871"/>
    <w:rsid w:val="009D0EF9"/>
    <w:rsid w:val="009D1D4D"/>
    <w:rsid w:val="009D1FE3"/>
    <w:rsid w:val="009D2C48"/>
    <w:rsid w:val="009D3ADE"/>
    <w:rsid w:val="009D3D20"/>
    <w:rsid w:val="009D5FFE"/>
    <w:rsid w:val="009D775F"/>
    <w:rsid w:val="009E000D"/>
    <w:rsid w:val="009E29F1"/>
    <w:rsid w:val="009E3164"/>
    <w:rsid w:val="009E39AC"/>
    <w:rsid w:val="009E5149"/>
    <w:rsid w:val="009E7B3B"/>
    <w:rsid w:val="009F0416"/>
    <w:rsid w:val="009F1E60"/>
    <w:rsid w:val="009F2079"/>
    <w:rsid w:val="009F41BA"/>
    <w:rsid w:val="009F44A1"/>
    <w:rsid w:val="009F5D44"/>
    <w:rsid w:val="009F6C40"/>
    <w:rsid w:val="00A015AA"/>
    <w:rsid w:val="00A02A6E"/>
    <w:rsid w:val="00A031A2"/>
    <w:rsid w:val="00A03EFA"/>
    <w:rsid w:val="00A041D4"/>
    <w:rsid w:val="00A042AD"/>
    <w:rsid w:val="00A05588"/>
    <w:rsid w:val="00A0669A"/>
    <w:rsid w:val="00A068BE"/>
    <w:rsid w:val="00A078F1"/>
    <w:rsid w:val="00A11E50"/>
    <w:rsid w:val="00A11EB1"/>
    <w:rsid w:val="00A12528"/>
    <w:rsid w:val="00A134DD"/>
    <w:rsid w:val="00A1364A"/>
    <w:rsid w:val="00A14FF4"/>
    <w:rsid w:val="00A15502"/>
    <w:rsid w:val="00A16EF6"/>
    <w:rsid w:val="00A206BA"/>
    <w:rsid w:val="00A20B5B"/>
    <w:rsid w:val="00A22AAE"/>
    <w:rsid w:val="00A236AC"/>
    <w:rsid w:val="00A24F54"/>
    <w:rsid w:val="00A25120"/>
    <w:rsid w:val="00A267C1"/>
    <w:rsid w:val="00A2799F"/>
    <w:rsid w:val="00A30954"/>
    <w:rsid w:val="00A34463"/>
    <w:rsid w:val="00A36DDC"/>
    <w:rsid w:val="00A41CB4"/>
    <w:rsid w:val="00A42074"/>
    <w:rsid w:val="00A423F3"/>
    <w:rsid w:val="00A42DA9"/>
    <w:rsid w:val="00A432E4"/>
    <w:rsid w:val="00A45BC2"/>
    <w:rsid w:val="00A46410"/>
    <w:rsid w:val="00A46A83"/>
    <w:rsid w:val="00A50E07"/>
    <w:rsid w:val="00A51987"/>
    <w:rsid w:val="00A5603F"/>
    <w:rsid w:val="00A6130E"/>
    <w:rsid w:val="00A62505"/>
    <w:rsid w:val="00A625B7"/>
    <w:rsid w:val="00A630B3"/>
    <w:rsid w:val="00A64B74"/>
    <w:rsid w:val="00A662EF"/>
    <w:rsid w:val="00A70D43"/>
    <w:rsid w:val="00A70EF5"/>
    <w:rsid w:val="00A7698A"/>
    <w:rsid w:val="00A81C5D"/>
    <w:rsid w:val="00A8343A"/>
    <w:rsid w:val="00A83CC3"/>
    <w:rsid w:val="00A84A39"/>
    <w:rsid w:val="00A84BAE"/>
    <w:rsid w:val="00A862CB"/>
    <w:rsid w:val="00A87295"/>
    <w:rsid w:val="00A87932"/>
    <w:rsid w:val="00A92856"/>
    <w:rsid w:val="00A92A3D"/>
    <w:rsid w:val="00A93E44"/>
    <w:rsid w:val="00A94F69"/>
    <w:rsid w:val="00A9735B"/>
    <w:rsid w:val="00AA1F00"/>
    <w:rsid w:val="00AA247E"/>
    <w:rsid w:val="00AA2CE3"/>
    <w:rsid w:val="00AA319F"/>
    <w:rsid w:val="00AA3F9D"/>
    <w:rsid w:val="00AA6837"/>
    <w:rsid w:val="00AA7766"/>
    <w:rsid w:val="00AA7DFD"/>
    <w:rsid w:val="00AB098A"/>
    <w:rsid w:val="00AB0FC6"/>
    <w:rsid w:val="00AB2182"/>
    <w:rsid w:val="00AB2C30"/>
    <w:rsid w:val="00AB51F0"/>
    <w:rsid w:val="00AB658D"/>
    <w:rsid w:val="00AB7FD3"/>
    <w:rsid w:val="00AC0289"/>
    <w:rsid w:val="00AC38BF"/>
    <w:rsid w:val="00AC3C71"/>
    <w:rsid w:val="00AD0937"/>
    <w:rsid w:val="00AD1A28"/>
    <w:rsid w:val="00AD20D9"/>
    <w:rsid w:val="00AD39E3"/>
    <w:rsid w:val="00AD4D60"/>
    <w:rsid w:val="00AD500C"/>
    <w:rsid w:val="00AD7101"/>
    <w:rsid w:val="00AD7252"/>
    <w:rsid w:val="00AD7E93"/>
    <w:rsid w:val="00AE0829"/>
    <w:rsid w:val="00AE0BB6"/>
    <w:rsid w:val="00AE0E5F"/>
    <w:rsid w:val="00AE2FCC"/>
    <w:rsid w:val="00AE3F9D"/>
    <w:rsid w:val="00AE4B8F"/>
    <w:rsid w:val="00AE4B91"/>
    <w:rsid w:val="00AE601F"/>
    <w:rsid w:val="00AF2935"/>
    <w:rsid w:val="00AF40C0"/>
    <w:rsid w:val="00AF4160"/>
    <w:rsid w:val="00AF4FFD"/>
    <w:rsid w:val="00AF5078"/>
    <w:rsid w:val="00AF5498"/>
    <w:rsid w:val="00AF6E12"/>
    <w:rsid w:val="00B01D39"/>
    <w:rsid w:val="00B01FE2"/>
    <w:rsid w:val="00B02D48"/>
    <w:rsid w:val="00B03591"/>
    <w:rsid w:val="00B05CB4"/>
    <w:rsid w:val="00B072C3"/>
    <w:rsid w:val="00B079D8"/>
    <w:rsid w:val="00B07D4B"/>
    <w:rsid w:val="00B10FEF"/>
    <w:rsid w:val="00B1165F"/>
    <w:rsid w:val="00B11E07"/>
    <w:rsid w:val="00B123D7"/>
    <w:rsid w:val="00B14657"/>
    <w:rsid w:val="00B14C2C"/>
    <w:rsid w:val="00B1512A"/>
    <w:rsid w:val="00B15F30"/>
    <w:rsid w:val="00B169FB"/>
    <w:rsid w:val="00B17347"/>
    <w:rsid w:val="00B2062C"/>
    <w:rsid w:val="00B20EE7"/>
    <w:rsid w:val="00B25323"/>
    <w:rsid w:val="00B25CB0"/>
    <w:rsid w:val="00B26365"/>
    <w:rsid w:val="00B2693B"/>
    <w:rsid w:val="00B273AD"/>
    <w:rsid w:val="00B27F37"/>
    <w:rsid w:val="00B33A8E"/>
    <w:rsid w:val="00B33E2A"/>
    <w:rsid w:val="00B33FA9"/>
    <w:rsid w:val="00B3435B"/>
    <w:rsid w:val="00B35119"/>
    <w:rsid w:val="00B37469"/>
    <w:rsid w:val="00B418C6"/>
    <w:rsid w:val="00B428A4"/>
    <w:rsid w:val="00B431AC"/>
    <w:rsid w:val="00B44E95"/>
    <w:rsid w:val="00B4555E"/>
    <w:rsid w:val="00B46BBC"/>
    <w:rsid w:val="00B478A0"/>
    <w:rsid w:val="00B50895"/>
    <w:rsid w:val="00B519DE"/>
    <w:rsid w:val="00B51ABC"/>
    <w:rsid w:val="00B523F4"/>
    <w:rsid w:val="00B53269"/>
    <w:rsid w:val="00B53A6A"/>
    <w:rsid w:val="00B53D3F"/>
    <w:rsid w:val="00B53DD2"/>
    <w:rsid w:val="00B54DF2"/>
    <w:rsid w:val="00B54ED5"/>
    <w:rsid w:val="00B5502E"/>
    <w:rsid w:val="00B55609"/>
    <w:rsid w:val="00B55F85"/>
    <w:rsid w:val="00B56443"/>
    <w:rsid w:val="00B56BAC"/>
    <w:rsid w:val="00B573EC"/>
    <w:rsid w:val="00B61E5E"/>
    <w:rsid w:val="00B63DAC"/>
    <w:rsid w:val="00B6421A"/>
    <w:rsid w:val="00B67C10"/>
    <w:rsid w:val="00B67ECE"/>
    <w:rsid w:val="00B725C0"/>
    <w:rsid w:val="00B73546"/>
    <w:rsid w:val="00B7462F"/>
    <w:rsid w:val="00B75C12"/>
    <w:rsid w:val="00B76DE5"/>
    <w:rsid w:val="00B81AD8"/>
    <w:rsid w:val="00B82B18"/>
    <w:rsid w:val="00B83008"/>
    <w:rsid w:val="00B8312D"/>
    <w:rsid w:val="00B84014"/>
    <w:rsid w:val="00B84A92"/>
    <w:rsid w:val="00B85872"/>
    <w:rsid w:val="00B87DC8"/>
    <w:rsid w:val="00B916BE"/>
    <w:rsid w:val="00B9219E"/>
    <w:rsid w:val="00B92208"/>
    <w:rsid w:val="00B957CE"/>
    <w:rsid w:val="00B96CE7"/>
    <w:rsid w:val="00B970D0"/>
    <w:rsid w:val="00B97103"/>
    <w:rsid w:val="00BA0CEC"/>
    <w:rsid w:val="00BA0EE5"/>
    <w:rsid w:val="00BA1A50"/>
    <w:rsid w:val="00BA24D0"/>
    <w:rsid w:val="00BA315D"/>
    <w:rsid w:val="00BA4068"/>
    <w:rsid w:val="00BA5697"/>
    <w:rsid w:val="00BA7154"/>
    <w:rsid w:val="00BA7D8B"/>
    <w:rsid w:val="00BB0080"/>
    <w:rsid w:val="00BB0B3C"/>
    <w:rsid w:val="00BB1393"/>
    <w:rsid w:val="00BB185C"/>
    <w:rsid w:val="00BB18B4"/>
    <w:rsid w:val="00BB3AAA"/>
    <w:rsid w:val="00BB4547"/>
    <w:rsid w:val="00BB4C8C"/>
    <w:rsid w:val="00BB4F6C"/>
    <w:rsid w:val="00BB54B0"/>
    <w:rsid w:val="00BB6DC7"/>
    <w:rsid w:val="00BB77D2"/>
    <w:rsid w:val="00BC1E04"/>
    <w:rsid w:val="00BC215D"/>
    <w:rsid w:val="00BC2686"/>
    <w:rsid w:val="00BC2739"/>
    <w:rsid w:val="00BC2829"/>
    <w:rsid w:val="00BC2D2B"/>
    <w:rsid w:val="00BC319C"/>
    <w:rsid w:val="00BC3DD3"/>
    <w:rsid w:val="00BC3E2C"/>
    <w:rsid w:val="00BC4CB7"/>
    <w:rsid w:val="00BC631A"/>
    <w:rsid w:val="00BC7021"/>
    <w:rsid w:val="00BC70D0"/>
    <w:rsid w:val="00BC7ED1"/>
    <w:rsid w:val="00BD15D3"/>
    <w:rsid w:val="00BD1D4D"/>
    <w:rsid w:val="00BD2211"/>
    <w:rsid w:val="00BD357C"/>
    <w:rsid w:val="00BD428C"/>
    <w:rsid w:val="00BD539E"/>
    <w:rsid w:val="00BD5E07"/>
    <w:rsid w:val="00BE026C"/>
    <w:rsid w:val="00BE1958"/>
    <w:rsid w:val="00BE38A0"/>
    <w:rsid w:val="00BE3BAC"/>
    <w:rsid w:val="00BE71B0"/>
    <w:rsid w:val="00BE7322"/>
    <w:rsid w:val="00BE7B3D"/>
    <w:rsid w:val="00BE7BBA"/>
    <w:rsid w:val="00BF0AB0"/>
    <w:rsid w:val="00BF0F8A"/>
    <w:rsid w:val="00BF44FA"/>
    <w:rsid w:val="00BF487E"/>
    <w:rsid w:val="00BF6B2E"/>
    <w:rsid w:val="00C009F5"/>
    <w:rsid w:val="00C00EF2"/>
    <w:rsid w:val="00C01C34"/>
    <w:rsid w:val="00C06408"/>
    <w:rsid w:val="00C07D11"/>
    <w:rsid w:val="00C10969"/>
    <w:rsid w:val="00C11B6C"/>
    <w:rsid w:val="00C12C6D"/>
    <w:rsid w:val="00C13433"/>
    <w:rsid w:val="00C13489"/>
    <w:rsid w:val="00C17AAC"/>
    <w:rsid w:val="00C20E18"/>
    <w:rsid w:val="00C2167A"/>
    <w:rsid w:val="00C2303A"/>
    <w:rsid w:val="00C2528C"/>
    <w:rsid w:val="00C26809"/>
    <w:rsid w:val="00C26970"/>
    <w:rsid w:val="00C27FCE"/>
    <w:rsid w:val="00C30545"/>
    <w:rsid w:val="00C32629"/>
    <w:rsid w:val="00C32828"/>
    <w:rsid w:val="00C36DB0"/>
    <w:rsid w:val="00C374C9"/>
    <w:rsid w:val="00C421B2"/>
    <w:rsid w:val="00C42FBD"/>
    <w:rsid w:val="00C43540"/>
    <w:rsid w:val="00C4463A"/>
    <w:rsid w:val="00C4541A"/>
    <w:rsid w:val="00C46325"/>
    <w:rsid w:val="00C46C7E"/>
    <w:rsid w:val="00C47F11"/>
    <w:rsid w:val="00C50022"/>
    <w:rsid w:val="00C502EA"/>
    <w:rsid w:val="00C50DAF"/>
    <w:rsid w:val="00C522A5"/>
    <w:rsid w:val="00C52923"/>
    <w:rsid w:val="00C53432"/>
    <w:rsid w:val="00C53AC2"/>
    <w:rsid w:val="00C5432B"/>
    <w:rsid w:val="00C54A38"/>
    <w:rsid w:val="00C54E29"/>
    <w:rsid w:val="00C55842"/>
    <w:rsid w:val="00C56112"/>
    <w:rsid w:val="00C57875"/>
    <w:rsid w:val="00C57A9B"/>
    <w:rsid w:val="00C62846"/>
    <w:rsid w:val="00C64262"/>
    <w:rsid w:val="00C67438"/>
    <w:rsid w:val="00C70473"/>
    <w:rsid w:val="00C72988"/>
    <w:rsid w:val="00C731FA"/>
    <w:rsid w:val="00C7377D"/>
    <w:rsid w:val="00C77010"/>
    <w:rsid w:val="00C77554"/>
    <w:rsid w:val="00C777C9"/>
    <w:rsid w:val="00C8012C"/>
    <w:rsid w:val="00C80BA3"/>
    <w:rsid w:val="00C8370D"/>
    <w:rsid w:val="00C84AED"/>
    <w:rsid w:val="00C84BAA"/>
    <w:rsid w:val="00C90833"/>
    <w:rsid w:val="00C91619"/>
    <w:rsid w:val="00C91F52"/>
    <w:rsid w:val="00C92361"/>
    <w:rsid w:val="00C92B14"/>
    <w:rsid w:val="00C93099"/>
    <w:rsid w:val="00C95467"/>
    <w:rsid w:val="00C956CD"/>
    <w:rsid w:val="00C95AEE"/>
    <w:rsid w:val="00C96843"/>
    <w:rsid w:val="00CA2A92"/>
    <w:rsid w:val="00CA3219"/>
    <w:rsid w:val="00CA3357"/>
    <w:rsid w:val="00CA3B57"/>
    <w:rsid w:val="00CA3FBD"/>
    <w:rsid w:val="00CA69E1"/>
    <w:rsid w:val="00CA6E62"/>
    <w:rsid w:val="00CA7056"/>
    <w:rsid w:val="00CA7309"/>
    <w:rsid w:val="00CA744C"/>
    <w:rsid w:val="00CB2B52"/>
    <w:rsid w:val="00CB3865"/>
    <w:rsid w:val="00CB578C"/>
    <w:rsid w:val="00CB591F"/>
    <w:rsid w:val="00CB6AC8"/>
    <w:rsid w:val="00CB7493"/>
    <w:rsid w:val="00CC15EC"/>
    <w:rsid w:val="00CC184F"/>
    <w:rsid w:val="00CC47E6"/>
    <w:rsid w:val="00CC5E67"/>
    <w:rsid w:val="00CC6DAA"/>
    <w:rsid w:val="00CC6FE6"/>
    <w:rsid w:val="00CC7400"/>
    <w:rsid w:val="00CD2352"/>
    <w:rsid w:val="00CD5022"/>
    <w:rsid w:val="00CD6E41"/>
    <w:rsid w:val="00CD7ACD"/>
    <w:rsid w:val="00CE12C1"/>
    <w:rsid w:val="00CE130A"/>
    <w:rsid w:val="00CE3ECC"/>
    <w:rsid w:val="00CE43C3"/>
    <w:rsid w:val="00CE4601"/>
    <w:rsid w:val="00CE470A"/>
    <w:rsid w:val="00CE5240"/>
    <w:rsid w:val="00CE53C3"/>
    <w:rsid w:val="00CE5CCA"/>
    <w:rsid w:val="00CE6E5A"/>
    <w:rsid w:val="00CE79B4"/>
    <w:rsid w:val="00CF1873"/>
    <w:rsid w:val="00CF2416"/>
    <w:rsid w:val="00CF31E9"/>
    <w:rsid w:val="00CF3D61"/>
    <w:rsid w:val="00CF5C8F"/>
    <w:rsid w:val="00CF61DE"/>
    <w:rsid w:val="00CF6F7C"/>
    <w:rsid w:val="00D020DE"/>
    <w:rsid w:val="00D057F6"/>
    <w:rsid w:val="00D05C26"/>
    <w:rsid w:val="00D05CA9"/>
    <w:rsid w:val="00D0642D"/>
    <w:rsid w:val="00D07590"/>
    <w:rsid w:val="00D11600"/>
    <w:rsid w:val="00D12D9B"/>
    <w:rsid w:val="00D16FB8"/>
    <w:rsid w:val="00D20A10"/>
    <w:rsid w:val="00D22080"/>
    <w:rsid w:val="00D2232D"/>
    <w:rsid w:val="00D23873"/>
    <w:rsid w:val="00D25353"/>
    <w:rsid w:val="00D25412"/>
    <w:rsid w:val="00D25BF9"/>
    <w:rsid w:val="00D25D9D"/>
    <w:rsid w:val="00D2723B"/>
    <w:rsid w:val="00D3037A"/>
    <w:rsid w:val="00D318B5"/>
    <w:rsid w:val="00D31A6A"/>
    <w:rsid w:val="00D35D1D"/>
    <w:rsid w:val="00D35F08"/>
    <w:rsid w:val="00D366E7"/>
    <w:rsid w:val="00D37E8A"/>
    <w:rsid w:val="00D411FE"/>
    <w:rsid w:val="00D4144C"/>
    <w:rsid w:val="00D42317"/>
    <w:rsid w:val="00D43584"/>
    <w:rsid w:val="00D46055"/>
    <w:rsid w:val="00D51FFA"/>
    <w:rsid w:val="00D52951"/>
    <w:rsid w:val="00D537B5"/>
    <w:rsid w:val="00D54533"/>
    <w:rsid w:val="00D54844"/>
    <w:rsid w:val="00D5570B"/>
    <w:rsid w:val="00D55818"/>
    <w:rsid w:val="00D55A78"/>
    <w:rsid w:val="00D5645C"/>
    <w:rsid w:val="00D600E4"/>
    <w:rsid w:val="00D60B4E"/>
    <w:rsid w:val="00D61607"/>
    <w:rsid w:val="00D61D85"/>
    <w:rsid w:val="00D621D7"/>
    <w:rsid w:val="00D62D0A"/>
    <w:rsid w:val="00D64362"/>
    <w:rsid w:val="00D65FEB"/>
    <w:rsid w:val="00D661A4"/>
    <w:rsid w:val="00D70A1B"/>
    <w:rsid w:val="00D72B79"/>
    <w:rsid w:val="00D72EBD"/>
    <w:rsid w:val="00D72F43"/>
    <w:rsid w:val="00D73C83"/>
    <w:rsid w:val="00D74AEB"/>
    <w:rsid w:val="00D778A8"/>
    <w:rsid w:val="00D77DD1"/>
    <w:rsid w:val="00D77DFF"/>
    <w:rsid w:val="00D80507"/>
    <w:rsid w:val="00D80C70"/>
    <w:rsid w:val="00D81CAA"/>
    <w:rsid w:val="00D82729"/>
    <w:rsid w:val="00D832AF"/>
    <w:rsid w:val="00D838E2"/>
    <w:rsid w:val="00D84AC7"/>
    <w:rsid w:val="00D854CC"/>
    <w:rsid w:val="00D9001C"/>
    <w:rsid w:val="00D90EDE"/>
    <w:rsid w:val="00D92631"/>
    <w:rsid w:val="00D92B62"/>
    <w:rsid w:val="00D92F25"/>
    <w:rsid w:val="00D931CE"/>
    <w:rsid w:val="00D933F9"/>
    <w:rsid w:val="00D93898"/>
    <w:rsid w:val="00DA076A"/>
    <w:rsid w:val="00DA0C5E"/>
    <w:rsid w:val="00DA146D"/>
    <w:rsid w:val="00DA1513"/>
    <w:rsid w:val="00DA21F4"/>
    <w:rsid w:val="00DA23DF"/>
    <w:rsid w:val="00DA3089"/>
    <w:rsid w:val="00DA504F"/>
    <w:rsid w:val="00DA679E"/>
    <w:rsid w:val="00DA6A89"/>
    <w:rsid w:val="00DB0DEC"/>
    <w:rsid w:val="00DB15CE"/>
    <w:rsid w:val="00DB2987"/>
    <w:rsid w:val="00DB2B10"/>
    <w:rsid w:val="00DB2DA1"/>
    <w:rsid w:val="00DB4C3B"/>
    <w:rsid w:val="00DB4EFA"/>
    <w:rsid w:val="00DB5C99"/>
    <w:rsid w:val="00DB6C69"/>
    <w:rsid w:val="00DC010F"/>
    <w:rsid w:val="00DC100B"/>
    <w:rsid w:val="00DC146F"/>
    <w:rsid w:val="00DC5091"/>
    <w:rsid w:val="00DC53DE"/>
    <w:rsid w:val="00DC6512"/>
    <w:rsid w:val="00DC6563"/>
    <w:rsid w:val="00DD286B"/>
    <w:rsid w:val="00DD6D84"/>
    <w:rsid w:val="00DE0403"/>
    <w:rsid w:val="00DE196F"/>
    <w:rsid w:val="00DE2316"/>
    <w:rsid w:val="00DE23A8"/>
    <w:rsid w:val="00DE2939"/>
    <w:rsid w:val="00DE4374"/>
    <w:rsid w:val="00DE4A3B"/>
    <w:rsid w:val="00DE638C"/>
    <w:rsid w:val="00DE69FF"/>
    <w:rsid w:val="00DF04DF"/>
    <w:rsid w:val="00DF0873"/>
    <w:rsid w:val="00DF2C9D"/>
    <w:rsid w:val="00DF383B"/>
    <w:rsid w:val="00DF48FA"/>
    <w:rsid w:val="00DF5432"/>
    <w:rsid w:val="00DF6634"/>
    <w:rsid w:val="00DF6C31"/>
    <w:rsid w:val="00E01B69"/>
    <w:rsid w:val="00E02789"/>
    <w:rsid w:val="00E0404B"/>
    <w:rsid w:val="00E064F9"/>
    <w:rsid w:val="00E06634"/>
    <w:rsid w:val="00E07D9F"/>
    <w:rsid w:val="00E104BC"/>
    <w:rsid w:val="00E10B26"/>
    <w:rsid w:val="00E11BD4"/>
    <w:rsid w:val="00E12216"/>
    <w:rsid w:val="00E13D73"/>
    <w:rsid w:val="00E14634"/>
    <w:rsid w:val="00E14D34"/>
    <w:rsid w:val="00E14FEC"/>
    <w:rsid w:val="00E15EA8"/>
    <w:rsid w:val="00E165AD"/>
    <w:rsid w:val="00E210E2"/>
    <w:rsid w:val="00E22277"/>
    <w:rsid w:val="00E23C17"/>
    <w:rsid w:val="00E24D1B"/>
    <w:rsid w:val="00E25EB6"/>
    <w:rsid w:val="00E27AB7"/>
    <w:rsid w:val="00E27E77"/>
    <w:rsid w:val="00E31004"/>
    <w:rsid w:val="00E31C14"/>
    <w:rsid w:val="00E32449"/>
    <w:rsid w:val="00E32B4A"/>
    <w:rsid w:val="00E33D8D"/>
    <w:rsid w:val="00E34A8B"/>
    <w:rsid w:val="00E40D09"/>
    <w:rsid w:val="00E40F6C"/>
    <w:rsid w:val="00E42D0C"/>
    <w:rsid w:val="00E43150"/>
    <w:rsid w:val="00E438E1"/>
    <w:rsid w:val="00E444CD"/>
    <w:rsid w:val="00E4493E"/>
    <w:rsid w:val="00E4645E"/>
    <w:rsid w:val="00E46C95"/>
    <w:rsid w:val="00E506E7"/>
    <w:rsid w:val="00E50E3A"/>
    <w:rsid w:val="00E50EFF"/>
    <w:rsid w:val="00E5103E"/>
    <w:rsid w:val="00E51EFF"/>
    <w:rsid w:val="00E52AA0"/>
    <w:rsid w:val="00E53221"/>
    <w:rsid w:val="00E53406"/>
    <w:rsid w:val="00E538B2"/>
    <w:rsid w:val="00E56141"/>
    <w:rsid w:val="00E57AA0"/>
    <w:rsid w:val="00E6015A"/>
    <w:rsid w:val="00E6057B"/>
    <w:rsid w:val="00E614E1"/>
    <w:rsid w:val="00E62100"/>
    <w:rsid w:val="00E621A9"/>
    <w:rsid w:val="00E63C25"/>
    <w:rsid w:val="00E70BCC"/>
    <w:rsid w:val="00E71450"/>
    <w:rsid w:val="00E727A5"/>
    <w:rsid w:val="00E737BA"/>
    <w:rsid w:val="00E75D28"/>
    <w:rsid w:val="00E77EDD"/>
    <w:rsid w:val="00E802F9"/>
    <w:rsid w:val="00E81C74"/>
    <w:rsid w:val="00E81DE4"/>
    <w:rsid w:val="00E82586"/>
    <w:rsid w:val="00E872E6"/>
    <w:rsid w:val="00E9177E"/>
    <w:rsid w:val="00E940DE"/>
    <w:rsid w:val="00E9467C"/>
    <w:rsid w:val="00E94FE0"/>
    <w:rsid w:val="00E96A86"/>
    <w:rsid w:val="00E97B20"/>
    <w:rsid w:val="00E97FCE"/>
    <w:rsid w:val="00EA0E6A"/>
    <w:rsid w:val="00EA121A"/>
    <w:rsid w:val="00EA48AA"/>
    <w:rsid w:val="00EA4EBC"/>
    <w:rsid w:val="00EA5E26"/>
    <w:rsid w:val="00EB1EBC"/>
    <w:rsid w:val="00EB31D6"/>
    <w:rsid w:val="00EB4761"/>
    <w:rsid w:val="00EB6CDB"/>
    <w:rsid w:val="00EB6F44"/>
    <w:rsid w:val="00EB6F7A"/>
    <w:rsid w:val="00EC0E50"/>
    <w:rsid w:val="00EC24A5"/>
    <w:rsid w:val="00EC7C22"/>
    <w:rsid w:val="00ED1B84"/>
    <w:rsid w:val="00ED1BDE"/>
    <w:rsid w:val="00ED303D"/>
    <w:rsid w:val="00ED38C4"/>
    <w:rsid w:val="00ED4863"/>
    <w:rsid w:val="00ED4FA3"/>
    <w:rsid w:val="00ED65AA"/>
    <w:rsid w:val="00EE076D"/>
    <w:rsid w:val="00EE114D"/>
    <w:rsid w:val="00EE2252"/>
    <w:rsid w:val="00EE2D87"/>
    <w:rsid w:val="00EE3398"/>
    <w:rsid w:val="00EE4818"/>
    <w:rsid w:val="00EF02FA"/>
    <w:rsid w:val="00EF032C"/>
    <w:rsid w:val="00EF289F"/>
    <w:rsid w:val="00EF3ACA"/>
    <w:rsid w:val="00EF3B5E"/>
    <w:rsid w:val="00EF3CDF"/>
    <w:rsid w:val="00EF4FE9"/>
    <w:rsid w:val="00EF50F9"/>
    <w:rsid w:val="00EF5CE9"/>
    <w:rsid w:val="00EF6D39"/>
    <w:rsid w:val="00EF784F"/>
    <w:rsid w:val="00F01129"/>
    <w:rsid w:val="00F016E5"/>
    <w:rsid w:val="00F0223B"/>
    <w:rsid w:val="00F02971"/>
    <w:rsid w:val="00F029DC"/>
    <w:rsid w:val="00F0446A"/>
    <w:rsid w:val="00F05970"/>
    <w:rsid w:val="00F06552"/>
    <w:rsid w:val="00F06DEB"/>
    <w:rsid w:val="00F06F93"/>
    <w:rsid w:val="00F07567"/>
    <w:rsid w:val="00F078E2"/>
    <w:rsid w:val="00F10691"/>
    <w:rsid w:val="00F10D0E"/>
    <w:rsid w:val="00F10E84"/>
    <w:rsid w:val="00F11EC9"/>
    <w:rsid w:val="00F130D1"/>
    <w:rsid w:val="00F13456"/>
    <w:rsid w:val="00F1547D"/>
    <w:rsid w:val="00F1627E"/>
    <w:rsid w:val="00F16746"/>
    <w:rsid w:val="00F21604"/>
    <w:rsid w:val="00F21EBD"/>
    <w:rsid w:val="00F228A0"/>
    <w:rsid w:val="00F22C9E"/>
    <w:rsid w:val="00F25BDC"/>
    <w:rsid w:val="00F26BFD"/>
    <w:rsid w:val="00F274C4"/>
    <w:rsid w:val="00F2797D"/>
    <w:rsid w:val="00F3077A"/>
    <w:rsid w:val="00F31636"/>
    <w:rsid w:val="00F33231"/>
    <w:rsid w:val="00F40323"/>
    <w:rsid w:val="00F406F9"/>
    <w:rsid w:val="00F42B58"/>
    <w:rsid w:val="00F42C19"/>
    <w:rsid w:val="00F437A6"/>
    <w:rsid w:val="00F4416E"/>
    <w:rsid w:val="00F4463D"/>
    <w:rsid w:val="00F4551E"/>
    <w:rsid w:val="00F46990"/>
    <w:rsid w:val="00F507B9"/>
    <w:rsid w:val="00F530A4"/>
    <w:rsid w:val="00F53C6C"/>
    <w:rsid w:val="00F53FDA"/>
    <w:rsid w:val="00F57481"/>
    <w:rsid w:val="00F57802"/>
    <w:rsid w:val="00F616BD"/>
    <w:rsid w:val="00F61D52"/>
    <w:rsid w:val="00F6308F"/>
    <w:rsid w:val="00F63FF2"/>
    <w:rsid w:val="00F6466C"/>
    <w:rsid w:val="00F64F86"/>
    <w:rsid w:val="00F66A77"/>
    <w:rsid w:val="00F6764F"/>
    <w:rsid w:val="00F71843"/>
    <w:rsid w:val="00F72EB0"/>
    <w:rsid w:val="00F73450"/>
    <w:rsid w:val="00F74574"/>
    <w:rsid w:val="00F74857"/>
    <w:rsid w:val="00F765D7"/>
    <w:rsid w:val="00F7735A"/>
    <w:rsid w:val="00F77EAA"/>
    <w:rsid w:val="00F8071D"/>
    <w:rsid w:val="00F80C70"/>
    <w:rsid w:val="00F8119B"/>
    <w:rsid w:val="00F815C3"/>
    <w:rsid w:val="00F81FA5"/>
    <w:rsid w:val="00F82CD4"/>
    <w:rsid w:val="00F83052"/>
    <w:rsid w:val="00F8308D"/>
    <w:rsid w:val="00F83823"/>
    <w:rsid w:val="00F83A70"/>
    <w:rsid w:val="00F87BF9"/>
    <w:rsid w:val="00F90AD7"/>
    <w:rsid w:val="00F920F1"/>
    <w:rsid w:val="00F929FE"/>
    <w:rsid w:val="00F9417F"/>
    <w:rsid w:val="00F943A4"/>
    <w:rsid w:val="00F94690"/>
    <w:rsid w:val="00F957D5"/>
    <w:rsid w:val="00F95820"/>
    <w:rsid w:val="00F97022"/>
    <w:rsid w:val="00F97E82"/>
    <w:rsid w:val="00FA0C9A"/>
    <w:rsid w:val="00FA4164"/>
    <w:rsid w:val="00FA4BB1"/>
    <w:rsid w:val="00FA5DA9"/>
    <w:rsid w:val="00FA6A2C"/>
    <w:rsid w:val="00FA6B94"/>
    <w:rsid w:val="00FA7B6E"/>
    <w:rsid w:val="00FB04B9"/>
    <w:rsid w:val="00FB2014"/>
    <w:rsid w:val="00FB2C63"/>
    <w:rsid w:val="00FB30FE"/>
    <w:rsid w:val="00FB34FE"/>
    <w:rsid w:val="00FB61B5"/>
    <w:rsid w:val="00FB6D9E"/>
    <w:rsid w:val="00FB7393"/>
    <w:rsid w:val="00FC03F0"/>
    <w:rsid w:val="00FC1001"/>
    <w:rsid w:val="00FC2324"/>
    <w:rsid w:val="00FC5BF0"/>
    <w:rsid w:val="00FC6C0F"/>
    <w:rsid w:val="00FC6C10"/>
    <w:rsid w:val="00FD0105"/>
    <w:rsid w:val="00FD0369"/>
    <w:rsid w:val="00FD1237"/>
    <w:rsid w:val="00FD19B7"/>
    <w:rsid w:val="00FD43BC"/>
    <w:rsid w:val="00FD57D6"/>
    <w:rsid w:val="00FD5BC3"/>
    <w:rsid w:val="00FD7DE4"/>
    <w:rsid w:val="00FE0325"/>
    <w:rsid w:val="00FE594F"/>
    <w:rsid w:val="00FE63B7"/>
    <w:rsid w:val="00FE69FD"/>
    <w:rsid w:val="00FE6CD5"/>
    <w:rsid w:val="00FE7708"/>
    <w:rsid w:val="00FE7C71"/>
    <w:rsid w:val="00FF3727"/>
    <w:rsid w:val="00FF5F7C"/>
    <w:rsid w:val="00FF7B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w:qFormat="1"/>
    <w:lsdException w:name="List Number" w:qFormat="1"/>
    <w:lsdException w:name="Title" w:semiHidden="0" w:uiPriority="10" w:unhideWhenUsed="0"/>
    <w:lsdException w:name="Default Paragraph Font" w:uiPriority="1"/>
    <w:lsdException w:name="Subtitle" w:semiHidden="0" w:uiPriority="11" w:unhideWhenUsed="0"/>
    <w:lsdException w:name="Body Text 2" w:uiPriority="0"/>
    <w:lsdException w:name="Body Text Indent 3" w:uiPriority="0"/>
    <w:lsdException w:name="Strong" w:semiHidden="0" w:uiPriority="22" w:unhideWhenUsed="0"/>
    <w:lsdException w:name="Emphasis" w:semiHidden="0" w:uiPriority="0" w:unhideWhenUsed="0"/>
    <w:lsdException w:name="Document Map" w:uiPriority="0"/>
    <w:lsdException w:name="Plain Text" w:uiPriority="0"/>
    <w:lsdException w:name="HTML Acronym" w:uiPriority="0"/>
    <w:lsdException w:name="annotation subjec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2711AD"/>
    <w:pPr>
      <w:spacing w:after="20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825DDC"/>
    <w:pPr>
      <w:keepNext/>
      <w:outlineLvl w:val="0"/>
    </w:pPr>
    <w:rPr>
      <w:rFonts w:cs="Arial"/>
      <w:b/>
      <w:caps/>
    </w:rPr>
  </w:style>
  <w:style w:type="paragraph" w:styleId="Heading2">
    <w:name w:val="heading 2"/>
    <w:basedOn w:val="Normal"/>
    <w:next w:val="Normal"/>
    <w:link w:val="Heading2Char"/>
    <w:uiPriority w:val="9"/>
    <w:qFormat/>
    <w:rsid w:val="002711AD"/>
    <w:pPr>
      <w:keepNext/>
      <w:outlineLvl w:val="1"/>
    </w:pPr>
    <w:rPr>
      <w:rFonts w:cs="Arial"/>
      <w:b/>
    </w:rPr>
  </w:style>
  <w:style w:type="paragraph" w:styleId="Heading3">
    <w:name w:val="heading 3"/>
    <w:basedOn w:val="Normal"/>
    <w:next w:val="Normal"/>
    <w:link w:val="Heading3Char"/>
    <w:uiPriority w:val="9"/>
    <w:qFormat/>
    <w:rsid w:val="002711AD"/>
    <w:pPr>
      <w:keepNext/>
      <w:outlineLvl w:val="2"/>
    </w:pPr>
    <w:rPr>
      <w:rFonts w:cs="Arial"/>
      <w:b/>
      <w:i/>
    </w:rPr>
  </w:style>
  <w:style w:type="paragraph" w:styleId="Heading4">
    <w:name w:val="heading 4"/>
    <w:basedOn w:val="Normal"/>
    <w:next w:val="Normal"/>
    <w:link w:val="Heading4Char"/>
    <w:uiPriority w:val="9"/>
    <w:qFormat/>
    <w:rsid w:val="002711AD"/>
    <w:pPr>
      <w:keepNext/>
      <w:outlineLvl w:val="3"/>
    </w:pPr>
    <w:rPr>
      <w:rFonts w:cs="Arial"/>
      <w:i/>
    </w:rPr>
  </w:style>
  <w:style w:type="paragraph" w:styleId="Heading6">
    <w:name w:val="heading 6"/>
    <w:basedOn w:val="Normal"/>
    <w:next w:val="Normal"/>
    <w:link w:val="Heading6Char"/>
    <w:rsid w:val="002711AD"/>
    <w:pPr>
      <w:spacing w:before="240" w:after="60"/>
      <w:outlineLvl w:val="5"/>
    </w:pPr>
    <w:rPr>
      <w:b/>
      <w:bCs/>
      <w:sz w:val="20"/>
      <w:szCs w:val="20"/>
    </w:rPr>
  </w:style>
  <w:style w:type="paragraph" w:styleId="Heading7">
    <w:name w:val="heading 7"/>
    <w:basedOn w:val="Normal"/>
    <w:next w:val="Normal"/>
    <w:link w:val="Heading7Char"/>
    <w:rsid w:val="002711AD"/>
    <w:pPr>
      <w:keepNext/>
      <w:autoSpaceDE w:val="0"/>
      <w:autoSpaceDN w:val="0"/>
      <w:jc w:val="center"/>
      <w:outlineLvl w:val="6"/>
    </w:pPr>
    <w:rPr>
      <w:b/>
      <w:bCs/>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11AD"/>
    <w:rPr>
      <w:rFonts w:ascii="Arial" w:hAnsi="Arial" w:cs="Arial"/>
      <w:b/>
      <w:i/>
      <w:sz w:val="22"/>
      <w:szCs w:val="22"/>
      <w:lang w:eastAsia="en-US"/>
    </w:rPr>
  </w:style>
  <w:style w:type="character" w:customStyle="1" w:styleId="Heading4Char">
    <w:name w:val="Heading 4 Char"/>
    <w:basedOn w:val="DefaultParagraphFont"/>
    <w:link w:val="Heading4"/>
    <w:uiPriority w:val="9"/>
    <w:rsid w:val="002711AD"/>
    <w:rPr>
      <w:rFonts w:ascii="Arial" w:hAnsi="Arial" w:cs="Arial"/>
      <w:i/>
      <w:sz w:val="22"/>
      <w:szCs w:val="22"/>
      <w:lang w:eastAsia="en-US"/>
    </w:rPr>
  </w:style>
  <w:style w:type="character" w:customStyle="1" w:styleId="Heading6Char">
    <w:name w:val="Heading 6 Char"/>
    <w:basedOn w:val="DefaultParagraphFont"/>
    <w:link w:val="Heading6"/>
    <w:rsid w:val="002711AD"/>
    <w:rPr>
      <w:rFonts w:ascii="Times New Roman" w:hAnsi="Times New Roman"/>
      <w:b/>
      <w:bCs/>
    </w:rPr>
  </w:style>
  <w:style w:type="character" w:customStyle="1" w:styleId="Heading7Char">
    <w:name w:val="Heading 7 Char"/>
    <w:basedOn w:val="DefaultParagraphFont"/>
    <w:link w:val="Heading7"/>
    <w:rsid w:val="002711AD"/>
    <w:rPr>
      <w:rFonts w:ascii="Times New Roman" w:hAnsi="Times New Roman"/>
      <w:b/>
      <w:bCs/>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uiPriority w:val="99"/>
    <w:rsid w:val="00DA6A89"/>
    <w:pPr>
      <w:spacing w:before="100" w:beforeAutospacing="1" w:after="100" w:afterAutospacing="1"/>
    </w:pPr>
    <w:rPr>
      <w:rFonts w:ascii="Arial Unicode MS" w:eastAsia="Arial Unicode MS" w:hAnsi="Arial Unicode MS" w:cs="Arial Unicode MS"/>
      <w:lang w:val="en-US"/>
    </w:rPr>
  </w:style>
  <w:style w:type="paragraph" w:customStyle="1" w:styleId="normal-dot">
    <w:name w:val="normal-dot"/>
    <w:basedOn w:val="Normal"/>
    <w:rsid w:val="00DA6A89"/>
    <w:pPr>
      <w:tabs>
        <w:tab w:val="num" w:pos="360"/>
      </w:tabs>
      <w:spacing w:before="120"/>
      <w:ind w:left="357" w:hanging="357"/>
    </w:pPr>
    <w:rPr>
      <w:szCs w:val="20"/>
    </w:rPr>
  </w:style>
  <w:style w:type="paragraph" w:styleId="BodyText2">
    <w:name w:val="Body Text 2"/>
    <w:basedOn w:val="Normal"/>
    <w:link w:val="BodyText2Char"/>
    <w:rsid w:val="00DA6A89"/>
    <w:rPr>
      <w:bCs/>
      <w:i/>
      <w:lang w:val="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unhideWhenUsed/>
    <w:rsid w:val="00125920"/>
    <w:pPr>
      <w:tabs>
        <w:tab w:val="center" w:pos="4513"/>
        <w:tab w:val="right" w:pos="9026"/>
      </w:tabs>
    </w:pPr>
  </w:style>
  <w:style w:type="character" w:customStyle="1" w:styleId="HeaderChar">
    <w:name w:val="Header Char"/>
    <w:basedOn w:val="DefaultParagraphFont"/>
    <w:link w:val="Header"/>
    <w:uiPriority w:val="99"/>
    <w:rsid w:val="00DA6A89"/>
    <w:rPr>
      <w:rFonts w:ascii="Arial" w:hAnsi="Arial"/>
      <w:sz w:val="22"/>
      <w:szCs w:val="22"/>
      <w:lang w:eastAsia="en-US"/>
    </w:rPr>
  </w:style>
  <w:style w:type="paragraph" w:styleId="PlainText">
    <w:name w:val="Plain Text"/>
    <w:basedOn w:val="Normal"/>
    <w:link w:val="PlainTextChar"/>
    <w:rsid w:val="00DA6A89"/>
    <w:pPr>
      <w:autoSpaceDE w:val="0"/>
      <w:autoSpaceDN w:val="0"/>
    </w:pPr>
    <w:rPr>
      <w:rFonts w:ascii="Courier New" w:hAnsi="Courier New" w:cs="Courier New"/>
      <w:sz w:val="20"/>
      <w:lang w:val="en-GB"/>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unhideWhenUsed/>
    <w:rsid w:val="00125920"/>
    <w:pPr>
      <w:tabs>
        <w:tab w:val="center" w:pos="4513"/>
        <w:tab w:val="right" w:pos="9026"/>
      </w:tabs>
    </w:pPr>
  </w:style>
  <w:style w:type="character" w:customStyle="1" w:styleId="FooterChar">
    <w:name w:val="Footer Char"/>
    <w:basedOn w:val="DefaultParagraphFont"/>
    <w:link w:val="Footer"/>
    <w:uiPriority w:val="99"/>
    <w:rsid w:val="00DA6A89"/>
    <w:rPr>
      <w:rFonts w:ascii="Arial" w:hAnsi="Arial"/>
      <w:sz w:val="22"/>
      <w:szCs w:val="22"/>
      <w:lang w:eastAsia="en-US"/>
    </w:rPr>
  </w:style>
  <w:style w:type="character" w:styleId="CommentReference">
    <w:name w:val="annotation reference"/>
    <w:basedOn w:val="DefaultParagraphFont"/>
    <w:uiPriority w:val="99"/>
    <w:semiHidden/>
    <w:rsid w:val="00DA6A89"/>
    <w:rPr>
      <w:sz w:val="16"/>
      <w:szCs w:val="16"/>
    </w:rPr>
  </w:style>
  <w:style w:type="paragraph" w:styleId="CommentText">
    <w:name w:val="annotation text"/>
    <w:basedOn w:val="Normal"/>
    <w:link w:val="CommentTextChar"/>
    <w:uiPriority w:val="99"/>
    <w:semiHidden/>
    <w:rsid w:val="00DA6A89"/>
    <w:rPr>
      <w:sz w:val="20"/>
      <w:szCs w:val="20"/>
    </w:rPr>
  </w:style>
  <w:style w:type="character" w:customStyle="1" w:styleId="CommentTextChar">
    <w:name w:val="Comment Text Char"/>
    <w:basedOn w:val="DefaultParagraphFont"/>
    <w:link w:val="CommentText"/>
    <w:uiPriority w:val="99"/>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125920"/>
    <w:rPr>
      <w:rFonts w:ascii="Tahoma" w:hAnsi="Tahoma" w:cs="Tahoma"/>
      <w:sz w:val="16"/>
      <w:szCs w:val="16"/>
    </w:rPr>
  </w:style>
  <w:style w:type="character" w:customStyle="1" w:styleId="BalloonTextChar">
    <w:name w:val="Balloon Text Char"/>
    <w:basedOn w:val="DefaultParagraphFont"/>
    <w:link w:val="BalloonText"/>
    <w:uiPriority w:val="99"/>
    <w:semiHidden/>
    <w:rsid w:val="00DA6A89"/>
    <w:rPr>
      <w:rFonts w:ascii="Tahoma" w:hAnsi="Tahoma" w:cs="Tahoma"/>
      <w:sz w:val="16"/>
      <w:szCs w:val="16"/>
      <w:lang w:eastAsia="en-US"/>
    </w:rPr>
  </w:style>
  <w:style w:type="character" w:styleId="Emphasis">
    <w:name w:val="Emphasis"/>
    <w:basedOn w:val="DefaultParagraphFont"/>
    <w:rsid w:val="002711AD"/>
    <w:rPr>
      <w:i/>
      <w:iCs/>
    </w:rPr>
  </w:style>
  <w:style w:type="character" w:styleId="FootnoteReference">
    <w:name w:val="footnote reference"/>
    <w:basedOn w:val="DefaultParagraphFont"/>
    <w:rsid w:val="00DA6A89"/>
    <w:rPr>
      <w:vertAlign w:val="superscript"/>
    </w:rPr>
  </w:style>
  <w:style w:type="paragraph" w:styleId="FootnoteText">
    <w:name w:val="footnote text"/>
    <w:basedOn w:val="Normal"/>
    <w:link w:val="FootnoteTextChar"/>
    <w:rsid w:val="00DA6A89"/>
    <w:pPr>
      <w:autoSpaceDE w:val="0"/>
      <w:autoSpaceDN w:val="0"/>
    </w:pPr>
    <w:rPr>
      <w:sz w:val="20"/>
      <w:lang w:val="en-GB"/>
    </w:rPr>
  </w:style>
  <w:style w:type="character" w:customStyle="1" w:styleId="FootnoteTextChar">
    <w:name w:val="Footnote Text Char"/>
    <w:basedOn w:val="DefaultParagraphFont"/>
    <w:link w:val="FootnoteText"/>
    <w:uiPriority w:val="99"/>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rFonts w:ascii="Times New Roman" w:eastAsia="Times New Roman" w:hAnsi="Times New Roman" w:cs="Times New Roman"/>
      <w:b/>
      <w:bCs/>
      <w:sz w:val="20"/>
      <w:szCs w:val="20"/>
      <w:lang w:eastAsia="en-AU"/>
    </w:rPr>
  </w:style>
  <w:style w:type="paragraph" w:customStyle="1" w:styleId="BodyText1">
    <w:name w:val="Body Text1"/>
    <w:basedOn w:val="Normal"/>
    <w:rsid w:val="00DA6A89"/>
    <w:pPr>
      <w:spacing w:after="120" w:line="240" w:lineRule="atLeast"/>
      <w:jc w:val="both"/>
    </w:pPr>
    <w:rPr>
      <w:szCs w:val="20"/>
    </w:rPr>
  </w:style>
  <w:style w:type="table" w:styleId="TableGrid">
    <w:name w:val="Table Grid"/>
    <w:basedOn w:val="TableNormal"/>
    <w:uiPriority w:val="59"/>
    <w:rsid w:val="00125920"/>
    <w:rPr>
      <w:rFonts w:ascii="Arial"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character" w:customStyle="1" w:styleId="Heading1Char">
    <w:name w:val="Heading 1 Char"/>
    <w:basedOn w:val="DefaultParagraphFont"/>
    <w:link w:val="Heading1"/>
    <w:uiPriority w:val="9"/>
    <w:rsid w:val="002711AD"/>
    <w:rPr>
      <w:rFonts w:ascii="Arial" w:hAnsi="Arial" w:cs="Arial"/>
      <w:b/>
      <w:caps/>
      <w:sz w:val="22"/>
      <w:szCs w:val="22"/>
      <w:lang w:eastAsia="en-US"/>
    </w:rPr>
  </w:style>
  <w:style w:type="paragraph" w:styleId="TOCHeading">
    <w:name w:val="TOC Heading"/>
    <w:basedOn w:val="Heading1"/>
    <w:next w:val="Normal"/>
    <w:uiPriority w:val="39"/>
    <w:unhideWhenUsed/>
    <w:rsid w:val="002711AD"/>
    <w:pPr>
      <w:keepLines/>
      <w:spacing w:before="480" w:after="0"/>
      <w:outlineLvl w:val="9"/>
    </w:pPr>
    <w:rPr>
      <w:rFonts w:ascii="Cambria" w:hAnsi="Cambria" w:cs="Times New Roman"/>
      <w:color w:val="365F91"/>
      <w:sz w:val="28"/>
      <w:szCs w:val="28"/>
      <w:lang w:val="en-US"/>
    </w:rPr>
  </w:style>
  <w:style w:type="paragraph" w:styleId="TOC1">
    <w:name w:val="toc 1"/>
    <w:basedOn w:val="Normal"/>
    <w:next w:val="Normal"/>
    <w:autoRedefine/>
    <w:uiPriority w:val="39"/>
    <w:unhideWhenUsed/>
    <w:rsid w:val="00956262"/>
    <w:pPr>
      <w:tabs>
        <w:tab w:val="right" w:leader="dot" w:pos="8302"/>
      </w:tabs>
      <w:spacing w:after="100"/>
      <w:ind w:left="993" w:hanging="993"/>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qFormat/>
    <w:rsid w:val="002711AD"/>
    <w:pPr>
      <w:numPr>
        <w:numId w:val="12"/>
      </w:numPr>
    </w:pPr>
  </w:style>
  <w:style w:type="paragraph" w:customStyle="1" w:styleId="1BulletStyleList">
    <w:name w:val="1. Bullet Style List"/>
    <w:basedOn w:val="Normal"/>
    <w:rsid w:val="00125920"/>
    <w:rPr>
      <w:rFonts w:eastAsia="Times New Roman"/>
      <w:szCs w:val="20"/>
    </w:rPr>
  </w:style>
  <w:style w:type="paragraph" w:customStyle="1" w:styleId="1NumberedPointsStyle">
    <w:name w:val="1. Numbered Points Style"/>
    <w:basedOn w:val="ListParagraph"/>
    <w:rsid w:val="00125920"/>
    <w:pPr>
      <w:ind w:left="0"/>
    </w:pPr>
  </w:style>
  <w:style w:type="paragraph" w:styleId="ListParagraph">
    <w:name w:val="List Paragraph"/>
    <w:basedOn w:val="Normal"/>
    <w:uiPriority w:val="34"/>
    <w:qFormat/>
    <w:rsid w:val="00125920"/>
    <w:pPr>
      <w:ind w:left="720"/>
    </w:pPr>
  </w:style>
  <w:style w:type="numbering" w:customStyle="1" w:styleId="Attach">
    <w:name w:val="Attach"/>
    <w:basedOn w:val="NoList"/>
    <w:uiPriority w:val="99"/>
    <w:rsid w:val="00125920"/>
    <w:pPr>
      <w:numPr>
        <w:numId w:val="6"/>
      </w:numPr>
    </w:pPr>
  </w:style>
  <w:style w:type="character" w:styleId="BookTitle">
    <w:name w:val="Book Title"/>
    <w:basedOn w:val="DefaultParagraphFont"/>
    <w:uiPriority w:val="33"/>
    <w:rsid w:val="00125920"/>
    <w:rPr>
      <w:b/>
      <w:bCs/>
      <w:smallCaps/>
      <w:spacing w:val="5"/>
    </w:rPr>
  </w:style>
  <w:style w:type="numbering" w:customStyle="1" w:styleId="BulletList">
    <w:name w:val="Bullet List"/>
    <w:uiPriority w:val="99"/>
    <w:rsid w:val="00125920"/>
    <w:pPr>
      <w:numPr>
        <w:numId w:val="7"/>
      </w:numPr>
    </w:pPr>
  </w:style>
  <w:style w:type="paragraph" w:customStyle="1" w:styleId="Classification">
    <w:name w:val="Classification"/>
    <w:basedOn w:val="Normal"/>
    <w:uiPriority w:val="10"/>
    <w:rsid w:val="00125920"/>
    <w:pPr>
      <w:tabs>
        <w:tab w:val="center" w:pos="4536"/>
        <w:tab w:val="center" w:pos="4819"/>
        <w:tab w:val="right" w:pos="9356"/>
      </w:tabs>
      <w:spacing w:after="240"/>
      <w:jc w:val="center"/>
    </w:pPr>
    <w:rPr>
      <w:rFonts w:eastAsia="Times New Roman" w:cs="Arial"/>
      <w:color w:val="FF0000"/>
      <w:sz w:val="28"/>
      <w:szCs w:val="28"/>
    </w:rPr>
  </w:style>
  <w:style w:type="paragraph" w:customStyle="1" w:styleId="Classificationsensitivity">
    <w:name w:val="Classification sensitivity"/>
    <w:basedOn w:val="Classification"/>
    <w:rsid w:val="00125920"/>
    <w:rPr>
      <w:sz w:val="22"/>
    </w:rPr>
  </w:style>
  <w:style w:type="paragraph" w:customStyle="1" w:styleId="Footerclassification">
    <w:name w:val="Footer classification"/>
    <w:basedOn w:val="Classification"/>
    <w:rsid w:val="00125920"/>
    <w:pPr>
      <w:spacing w:before="240" w:after="0"/>
    </w:pPr>
  </w:style>
  <w:style w:type="character" w:customStyle="1" w:styleId="Heading2Char">
    <w:name w:val="Heading 2 Char"/>
    <w:basedOn w:val="DefaultParagraphFont"/>
    <w:link w:val="Heading2"/>
    <w:uiPriority w:val="9"/>
    <w:rsid w:val="00125920"/>
    <w:rPr>
      <w:rFonts w:ascii="Arial" w:hAnsi="Arial" w:cs="Arial"/>
      <w:b/>
      <w:sz w:val="22"/>
      <w:szCs w:val="22"/>
      <w:lang w:eastAsia="en-US"/>
    </w:rPr>
  </w:style>
  <w:style w:type="numbering" w:customStyle="1" w:styleId="KeyPoints">
    <w:name w:val="Key Points"/>
    <w:basedOn w:val="NoList"/>
    <w:uiPriority w:val="99"/>
    <w:rsid w:val="00125920"/>
    <w:pPr>
      <w:numPr>
        <w:numId w:val="8"/>
      </w:numPr>
    </w:pPr>
  </w:style>
  <w:style w:type="paragraph" w:styleId="ListBullet">
    <w:name w:val="List Bullet"/>
    <w:basedOn w:val="Normal"/>
    <w:uiPriority w:val="99"/>
    <w:unhideWhenUsed/>
    <w:qFormat/>
    <w:rsid w:val="002711AD"/>
    <w:pPr>
      <w:numPr>
        <w:numId w:val="9"/>
      </w:numPr>
    </w:pPr>
  </w:style>
  <w:style w:type="paragraph" w:styleId="ListBullet2">
    <w:name w:val="List Bullet 2"/>
    <w:basedOn w:val="Normal"/>
    <w:uiPriority w:val="99"/>
    <w:unhideWhenUsed/>
    <w:rsid w:val="002711AD"/>
    <w:pPr>
      <w:numPr>
        <w:ilvl w:val="1"/>
        <w:numId w:val="9"/>
      </w:numPr>
    </w:pPr>
  </w:style>
  <w:style w:type="paragraph" w:styleId="ListBullet3">
    <w:name w:val="List Bullet 3"/>
    <w:basedOn w:val="Normal"/>
    <w:uiPriority w:val="99"/>
    <w:unhideWhenUsed/>
    <w:rsid w:val="002711AD"/>
    <w:pPr>
      <w:numPr>
        <w:ilvl w:val="2"/>
        <w:numId w:val="9"/>
      </w:numPr>
    </w:pPr>
  </w:style>
  <w:style w:type="paragraph" w:styleId="ListBullet4">
    <w:name w:val="List Bullet 4"/>
    <w:basedOn w:val="Normal"/>
    <w:uiPriority w:val="99"/>
    <w:unhideWhenUsed/>
    <w:rsid w:val="002711AD"/>
    <w:pPr>
      <w:numPr>
        <w:ilvl w:val="3"/>
        <w:numId w:val="9"/>
      </w:numPr>
    </w:pPr>
  </w:style>
  <w:style w:type="paragraph" w:styleId="ListBullet5">
    <w:name w:val="List Bullet 5"/>
    <w:basedOn w:val="Normal"/>
    <w:uiPriority w:val="99"/>
    <w:unhideWhenUsed/>
    <w:rsid w:val="002711AD"/>
    <w:pPr>
      <w:numPr>
        <w:ilvl w:val="4"/>
        <w:numId w:val="9"/>
      </w:numPr>
    </w:pPr>
  </w:style>
  <w:style w:type="paragraph" w:styleId="ListNumber2">
    <w:name w:val="List Number 2"/>
    <w:basedOn w:val="Normal"/>
    <w:uiPriority w:val="99"/>
    <w:rsid w:val="002711AD"/>
    <w:pPr>
      <w:numPr>
        <w:ilvl w:val="1"/>
        <w:numId w:val="12"/>
      </w:numPr>
    </w:pPr>
  </w:style>
  <w:style w:type="paragraph" w:styleId="ListNumber3">
    <w:name w:val="List Number 3"/>
    <w:basedOn w:val="Normal"/>
    <w:uiPriority w:val="99"/>
    <w:rsid w:val="002711AD"/>
    <w:pPr>
      <w:numPr>
        <w:ilvl w:val="2"/>
        <w:numId w:val="12"/>
      </w:numPr>
    </w:pPr>
  </w:style>
  <w:style w:type="paragraph" w:styleId="ListNumber4">
    <w:name w:val="List Number 4"/>
    <w:basedOn w:val="Normal"/>
    <w:uiPriority w:val="99"/>
    <w:rsid w:val="002711AD"/>
    <w:pPr>
      <w:numPr>
        <w:ilvl w:val="3"/>
        <w:numId w:val="12"/>
      </w:numPr>
    </w:pPr>
  </w:style>
  <w:style w:type="paragraph" w:styleId="ListNumber5">
    <w:name w:val="List Number 5"/>
    <w:basedOn w:val="Normal"/>
    <w:uiPriority w:val="99"/>
    <w:rsid w:val="002711AD"/>
    <w:pPr>
      <w:numPr>
        <w:ilvl w:val="4"/>
        <w:numId w:val="12"/>
      </w:numPr>
    </w:pPr>
  </w:style>
  <w:style w:type="paragraph" w:customStyle="1" w:styleId="Tabletext">
    <w:name w:val="Table text"/>
    <w:basedOn w:val="Normal"/>
    <w:uiPriority w:val="9"/>
    <w:qFormat/>
    <w:rsid w:val="00357467"/>
    <w:pPr>
      <w:spacing w:after="0"/>
    </w:pPr>
  </w:style>
  <w:style w:type="character" w:styleId="HTMLAcronym">
    <w:name w:val="HTML Acronym"/>
    <w:basedOn w:val="DefaultParagraphFont"/>
    <w:rsid w:val="00BB3AAA"/>
  </w:style>
  <w:style w:type="character" w:customStyle="1" w:styleId="st">
    <w:name w:val="st"/>
    <w:basedOn w:val="DefaultParagraphFont"/>
    <w:rsid w:val="0004479F"/>
  </w:style>
  <w:style w:type="character" w:styleId="Strong">
    <w:name w:val="Strong"/>
    <w:basedOn w:val="DefaultParagraphFont"/>
    <w:uiPriority w:val="22"/>
    <w:rsid w:val="00813597"/>
    <w:rPr>
      <w:b/>
      <w:bCs/>
      <w:sz w:val="24"/>
      <w:szCs w:val="24"/>
      <w:bdr w:val="none" w:sz="0" w:space="0" w:color="auto" w:frame="1"/>
      <w:vertAlign w:val="baseline"/>
    </w:rPr>
  </w:style>
  <w:style w:type="paragraph" w:customStyle="1" w:styleId="Reportsubtitle">
    <w:name w:val="Report sub title"/>
    <w:basedOn w:val="Normal"/>
    <w:uiPriority w:val="11"/>
    <w:qFormat/>
    <w:rsid w:val="0094313A"/>
    <w:rPr>
      <w:sz w:val="32"/>
    </w:rPr>
  </w:style>
  <w:style w:type="paragraph" w:styleId="Caption">
    <w:name w:val="caption"/>
    <w:basedOn w:val="Normal"/>
    <w:next w:val="Normal"/>
    <w:uiPriority w:val="35"/>
    <w:unhideWhenUsed/>
    <w:qFormat/>
    <w:rsid w:val="004045E8"/>
    <w:pPr>
      <w:spacing w:after="80"/>
    </w:pPr>
    <w:rPr>
      <w:b/>
      <w:bCs/>
      <w:sz w:val="20"/>
      <w:szCs w:val="18"/>
    </w:rPr>
  </w:style>
  <w:style w:type="paragraph" w:customStyle="1" w:styleId="AFMANormalChar">
    <w:name w:val="AFMA Normal Char"/>
    <w:link w:val="AFMANormalCharChar"/>
    <w:rsid w:val="003737C1"/>
    <w:pPr>
      <w:spacing w:before="240"/>
      <w:jc w:val="both"/>
    </w:pPr>
    <w:rPr>
      <w:rFonts w:ascii="Times New Roman" w:eastAsia="Times New Roman" w:hAnsi="Times New Roman"/>
      <w:kern w:val="20"/>
      <w:sz w:val="24"/>
      <w:lang w:eastAsia="en-US"/>
    </w:rPr>
  </w:style>
  <w:style w:type="character" w:customStyle="1" w:styleId="AFMANormalCharChar">
    <w:name w:val="AFMA Normal Char Char"/>
    <w:basedOn w:val="DefaultParagraphFont"/>
    <w:link w:val="AFMANormalChar"/>
    <w:rsid w:val="003737C1"/>
    <w:rPr>
      <w:rFonts w:ascii="Times New Roman" w:eastAsia="Times New Roman" w:hAnsi="Times New Roman"/>
      <w:kern w:val="20"/>
      <w:sz w:val="24"/>
      <w:lang w:eastAsia="en-US"/>
    </w:rPr>
  </w:style>
  <w:style w:type="paragraph" w:customStyle="1" w:styleId="r1">
    <w:name w:val="r1"/>
    <w:basedOn w:val="Normal"/>
    <w:rsid w:val="00530AEB"/>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r2">
    <w:name w:val="r2"/>
    <w:basedOn w:val="Normal"/>
    <w:rsid w:val="00530AEB"/>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p1">
    <w:name w:val="p1"/>
    <w:basedOn w:val="Normal"/>
    <w:rsid w:val="00530AEB"/>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Pa0">
    <w:name w:val="Pa0"/>
    <w:basedOn w:val="Default"/>
    <w:next w:val="Default"/>
    <w:uiPriority w:val="99"/>
    <w:rsid w:val="0050740E"/>
    <w:pPr>
      <w:spacing w:line="221" w:lineRule="atLeast"/>
    </w:pPr>
    <w:rPr>
      <w:rFonts w:ascii="HelveticaNeueLT Std Cn" w:hAnsi="HelveticaNeueLT Std Cn"/>
      <w:color w:val="auto"/>
      <w:lang w:eastAsia="en-AU"/>
    </w:rPr>
  </w:style>
  <w:style w:type="paragraph" w:customStyle="1" w:styleId="Pa17">
    <w:name w:val="Pa17"/>
    <w:basedOn w:val="Default"/>
    <w:next w:val="Default"/>
    <w:uiPriority w:val="99"/>
    <w:rsid w:val="00D43584"/>
    <w:pPr>
      <w:spacing w:line="181" w:lineRule="atLeast"/>
    </w:pPr>
    <w:rPr>
      <w:rFonts w:ascii="Arial" w:hAnsi="Arial" w:cs="Arial"/>
      <w:color w:val="auto"/>
      <w:lang w:eastAsia="en-AU"/>
    </w:rPr>
  </w:style>
  <w:style w:type="character" w:styleId="FollowedHyperlink">
    <w:name w:val="FollowedHyperlink"/>
    <w:basedOn w:val="DefaultParagraphFont"/>
    <w:uiPriority w:val="99"/>
    <w:semiHidden/>
    <w:unhideWhenUsed/>
    <w:rsid w:val="00353738"/>
    <w:rPr>
      <w:color w:val="800080" w:themeColor="followedHyperlink"/>
      <w:u w:val="single"/>
    </w:rPr>
  </w:style>
  <w:style w:type="paragraph" w:customStyle="1" w:styleId="Pa9">
    <w:name w:val="Pa9"/>
    <w:basedOn w:val="Default"/>
    <w:next w:val="Default"/>
    <w:uiPriority w:val="99"/>
    <w:rsid w:val="00E940DE"/>
    <w:pPr>
      <w:spacing w:line="211" w:lineRule="atLeast"/>
    </w:pPr>
    <w:rPr>
      <w:rFonts w:ascii="MetaOT-Normal" w:hAnsi="MetaOT-Normal"/>
      <w:color w:val="auto"/>
      <w:lang w:eastAsia="en-AU"/>
    </w:rPr>
  </w:style>
  <w:style w:type="paragraph" w:customStyle="1" w:styleId="Pa10">
    <w:name w:val="Pa10"/>
    <w:basedOn w:val="Default"/>
    <w:next w:val="Default"/>
    <w:uiPriority w:val="99"/>
    <w:rsid w:val="00E940DE"/>
    <w:pPr>
      <w:spacing w:line="211" w:lineRule="atLeast"/>
    </w:pPr>
    <w:rPr>
      <w:rFonts w:ascii="MetaOT-Normal" w:hAnsi="MetaOT-Normal"/>
      <w:color w:val="auto"/>
      <w:lang w:eastAsia="en-AU"/>
    </w:rPr>
  </w:style>
  <w:style w:type="paragraph" w:customStyle="1" w:styleId="Pa7">
    <w:name w:val="Pa7"/>
    <w:basedOn w:val="Default"/>
    <w:next w:val="Default"/>
    <w:uiPriority w:val="99"/>
    <w:rsid w:val="00D35F08"/>
    <w:pPr>
      <w:spacing w:line="211" w:lineRule="atLeast"/>
    </w:pPr>
    <w:rPr>
      <w:rFonts w:ascii="MetaOT-Normal" w:hAnsi="MetaOT-Normal"/>
      <w:color w:val="auto"/>
      <w:lang w:eastAsia="en-AU"/>
    </w:rPr>
  </w:style>
  <w:style w:type="paragraph" w:styleId="BodyText">
    <w:name w:val="Body Text"/>
    <w:basedOn w:val="Normal"/>
    <w:link w:val="BodyTextChar"/>
    <w:uiPriority w:val="99"/>
    <w:unhideWhenUsed/>
    <w:rsid w:val="00204BCA"/>
    <w:pPr>
      <w:spacing w:after="120"/>
    </w:pPr>
  </w:style>
  <w:style w:type="character" w:customStyle="1" w:styleId="BodyTextChar">
    <w:name w:val="Body Text Char"/>
    <w:basedOn w:val="DefaultParagraphFont"/>
    <w:link w:val="BodyText"/>
    <w:uiPriority w:val="99"/>
    <w:rsid w:val="00204BCA"/>
    <w:rPr>
      <w:rFonts w:ascii="Arial" w:hAnsi="Arial"/>
      <w:sz w:val="22"/>
      <w:szCs w:val="22"/>
      <w:lang w:eastAsia="en-US"/>
    </w:rPr>
  </w:style>
  <w:style w:type="character" w:customStyle="1" w:styleId="binomial">
    <w:name w:val="binomial"/>
    <w:basedOn w:val="DefaultParagraphFont"/>
    <w:rsid w:val="006D5307"/>
  </w:style>
  <w:style w:type="character" w:customStyle="1" w:styleId="personname">
    <w:name w:val="person_name"/>
    <w:basedOn w:val="DefaultParagraphFont"/>
    <w:rsid w:val="00BF6B2E"/>
  </w:style>
  <w:style w:type="character" w:customStyle="1" w:styleId="journalabstracttitle1">
    <w:name w:val="journal_abstract_title1"/>
    <w:basedOn w:val="DefaultParagraphFont"/>
    <w:rsid w:val="00BF6B2E"/>
    <w:rPr>
      <w:rFonts w:ascii="Arial" w:hAnsi="Arial" w:cs="Arial" w:hint="default"/>
      <w:b/>
      <w:bCs/>
      <w:caps w:val="0"/>
      <w:sz w:val="24"/>
      <w:szCs w:val="24"/>
    </w:rPr>
  </w:style>
  <w:style w:type="paragraph" w:styleId="EndnoteText">
    <w:name w:val="endnote text"/>
    <w:basedOn w:val="Normal"/>
    <w:link w:val="EndnoteTextChar"/>
    <w:uiPriority w:val="99"/>
    <w:semiHidden/>
    <w:unhideWhenUsed/>
    <w:rsid w:val="0012079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20798"/>
    <w:rPr>
      <w:rFonts w:ascii="Arial" w:hAnsi="Arial"/>
      <w:lang w:eastAsia="en-US"/>
    </w:rPr>
  </w:style>
  <w:style w:type="character" w:styleId="EndnoteReference">
    <w:name w:val="endnote reference"/>
    <w:basedOn w:val="DefaultParagraphFont"/>
    <w:uiPriority w:val="99"/>
    <w:semiHidden/>
    <w:unhideWhenUsed/>
    <w:rsid w:val="00120798"/>
    <w:rPr>
      <w:vertAlign w:val="superscript"/>
    </w:rPr>
  </w:style>
</w:styles>
</file>

<file path=word/webSettings.xml><?xml version="1.0" encoding="utf-8"?>
<w:webSettings xmlns:r="http://schemas.openxmlformats.org/officeDocument/2006/relationships" xmlns:w="http://schemas.openxmlformats.org/wordprocessingml/2006/main">
  <w:divs>
    <w:div w:id="117995313">
      <w:bodyDiv w:val="1"/>
      <w:marLeft w:val="0"/>
      <w:marRight w:val="0"/>
      <w:marTop w:val="0"/>
      <w:marBottom w:val="0"/>
      <w:divBdr>
        <w:top w:val="none" w:sz="0" w:space="0" w:color="auto"/>
        <w:left w:val="none" w:sz="0" w:space="0" w:color="auto"/>
        <w:bottom w:val="none" w:sz="0" w:space="0" w:color="auto"/>
        <w:right w:val="none" w:sz="0" w:space="0" w:color="auto"/>
      </w:divBdr>
      <w:divsChild>
        <w:div w:id="742482467">
          <w:marLeft w:val="0"/>
          <w:marRight w:val="0"/>
          <w:marTop w:val="0"/>
          <w:marBottom w:val="0"/>
          <w:divBdr>
            <w:top w:val="none" w:sz="0" w:space="0" w:color="auto"/>
            <w:left w:val="none" w:sz="0" w:space="0" w:color="auto"/>
            <w:bottom w:val="none" w:sz="0" w:space="0" w:color="auto"/>
            <w:right w:val="none" w:sz="0" w:space="0" w:color="auto"/>
          </w:divBdr>
          <w:divsChild>
            <w:div w:id="1404643819">
              <w:marLeft w:val="0"/>
              <w:marRight w:val="0"/>
              <w:marTop w:val="0"/>
              <w:marBottom w:val="0"/>
              <w:divBdr>
                <w:top w:val="none" w:sz="0" w:space="0" w:color="auto"/>
                <w:left w:val="none" w:sz="0" w:space="0" w:color="auto"/>
                <w:bottom w:val="none" w:sz="0" w:space="0" w:color="auto"/>
                <w:right w:val="none" w:sz="0" w:space="0" w:color="auto"/>
              </w:divBdr>
              <w:divsChild>
                <w:div w:id="1008944689">
                  <w:marLeft w:val="0"/>
                  <w:marRight w:val="0"/>
                  <w:marTop w:val="0"/>
                  <w:marBottom w:val="0"/>
                  <w:divBdr>
                    <w:top w:val="none" w:sz="0" w:space="0" w:color="auto"/>
                    <w:left w:val="none" w:sz="0" w:space="0" w:color="auto"/>
                    <w:bottom w:val="none" w:sz="0" w:space="0" w:color="auto"/>
                    <w:right w:val="none" w:sz="0" w:space="0" w:color="auto"/>
                  </w:divBdr>
                  <w:divsChild>
                    <w:div w:id="741373178">
                      <w:marLeft w:val="150"/>
                      <w:marRight w:val="150"/>
                      <w:marTop w:val="0"/>
                      <w:marBottom w:val="0"/>
                      <w:divBdr>
                        <w:top w:val="none" w:sz="0" w:space="0" w:color="auto"/>
                        <w:left w:val="none" w:sz="0" w:space="0" w:color="auto"/>
                        <w:bottom w:val="none" w:sz="0" w:space="0" w:color="auto"/>
                        <w:right w:val="none" w:sz="0" w:space="0" w:color="auto"/>
                      </w:divBdr>
                      <w:divsChild>
                        <w:div w:id="3296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324634">
      <w:bodyDiv w:val="1"/>
      <w:marLeft w:val="0"/>
      <w:marRight w:val="0"/>
      <w:marTop w:val="0"/>
      <w:marBottom w:val="0"/>
      <w:divBdr>
        <w:top w:val="none" w:sz="0" w:space="0" w:color="auto"/>
        <w:left w:val="none" w:sz="0" w:space="0" w:color="auto"/>
        <w:bottom w:val="none" w:sz="0" w:space="0" w:color="auto"/>
        <w:right w:val="none" w:sz="0" w:space="0" w:color="auto"/>
      </w:divBdr>
      <w:divsChild>
        <w:div w:id="1038894502">
          <w:marLeft w:val="0"/>
          <w:marRight w:val="0"/>
          <w:marTop w:val="0"/>
          <w:marBottom w:val="0"/>
          <w:divBdr>
            <w:top w:val="none" w:sz="0" w:space="0" w:color="auto"/>
            <w:left w:val="none" w:sz="0" w:space="0" w:color="auto"/>
            <w:bottom w:val="none" w:sz="0" w:space="0" w:color="auto"/>
            <w:right w:val="none" w:sz="0" w:space="0" w:color="auto"/>
          </w:divBdr>
          <w:divsChild>
            <w:div w:id="485632481">
              <w:marLeft w:val="0"/>
              <w:marRight w:val="0"/>
              <w:marTop w:val="0"/>
              <w:marBottom w:val="0"/>
              <w:divBdr>
                <w:top w:val="none" w:sz="0" w:space="0" w:color="auto"/>
                <w:left w:val="none" w:sz="0" w:space="0" w:color="auto"/>
                <w:bottom w:val="none" w:sz="0" w:space="0" w:color="auto"/>
                <w:right w:val="none" w:sz="0" w:space="0" w:color="auto"/>
              </w:divBdr>
              <w:divsChild>
                <w:div w:id="188121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07521">
      <w:bodyDiv w:val="1"/>
      <w:marLeft w:val="0"/>
      <w:marRight w:val="0"/>
      <w:marTop w:val="0"/>
      <w:marBottom w:val="0"/>
      <w:divBdr>
        <w:top w:val="none" w:sz="0" w:space="0" w:color="auto"/>
        <w:left w:val="none" w:sz="0" w:space="0" w:color="auto"/>
        <w:bottom w:val="none" w:sz="0" w:space="0" w:color="auto"/>
        <w:right w:val="none" w:sz="0" w:space="0" w:color="auto"/>
      </w:divBdr>
    </w:div>
    <w:div w:id="544296976">
      <w:bodyDiv w:val="1"/>
      <w:marLeft w:val="0"/>
      <w:marRight w:val="0"/>
      <w:marTop w:val="0"/>
      <w:marBottom w:val="0"/>
      <w:divBdr>
        <w:top w:val="none" w:sz="0" w:space="0" w:color="auto"/>
        <w:left w:val="none" w:sz="0" w:space="0" w:color="auto"/>
        <w:bottom w:val="none" w:sz="0" w:space="0" w:color="auto"/>
        <w:right w:val="none" w:sz="0" w:space="0" w:color="auto"/>
      </w:divBdr>
      <w:divsChild>
        <w:div w:id="312566204">
          <w:marLeft w:val="0"/>
          <w:marRight w:val="0"/>
          <w:marTop w:val="0"/>
          <w:marBottom w:val="0"/>
          <w:divBdr>
            <w:top w:val="none" w:sz="0" w:space="0" w:color="auto"/>
            <w:left w:val="none" w:sz="0" w:space="0" w:color="auto"/>
            <w:bottom w:val="none" w:sz="0" w:space="0" w:color="auto"/>
            <w:right w:val="none" w:sz="0" w:space="0" w:color="auto"/>
          </w:divBdr>
          <w:divsChild>
            <w:div w:id="1935354717">
              <w:marLeft w:val="0"/>
              <w:marRight w:val="0"/>
              <w:marTop w:val="0"/>
              <w:marBottom w:val="0"/>
              <w:divBdr>
                <w:top w:val="none" w:sz="0" w:space="0" w:color="auto"/>
                <w:left w:val="none" w:sz="0" w:space="0" w:color="auto"/>
                <w:bottom w:val="none" w:sz="0" w:space="0" w:color="auto"/>
                <w:right w:val="none" w:sz="0" w:space="0" w:color="auto"/>
              </w:divBdr>
              <w:divsChild>
                <w:div w:id="176575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7643">
      <w:bodyDiv w:val="1"/>
      <w:marLeft w:val="0"/>
      <w:marRight w:val="0"/>
      <w:marTop w:val="0"/>
      <w:marBottom w:val="0"/>
      <w:divBdr>
        <w:top w:val="none" w:sz="0" w:space="0" w:color="auto"/>
        <w:left w:val="none" w:sz="0" w:space="0" w:color="auto"/>
        <w:bottom w:val="none" w:sz="0" w:space="0" w:color="auto"/>
        <w:right w:val="none" w:sz="0" w:space="0" w:color="auto"/>
      </w:divBdr>
      <w:divsChild>
        <w:div w:id="2005087703">
          <w:marLeft w:val="0"/>
          <w:marRight w:val="0"/>
          <w:marTop w:val="0"/>
          <w:marBottom w:val="0"/>
          <w:divBdr>
            <w:top w:val="none" w:sz="0" w:space="0" w:color="auto"/>
            <w:left w:val="none" w:sz="0" w:space="0" w:color="auto"/>
            <w:bottom w:val="none" w:sz="0" w:space="0" w:color="auto"/>
            <w:right w:val="none" w:sz="0" w:space="0" w:color="auto"/>
          </w:divBdr>
          <w:divsChild>
            <w:div w:id="163319809">
              <w:marLeft w:val="0"/>
              <w:marRight w:val="0"/>
              <w:marTop w:val="0"/>
              <w:marBottom w:val="0"/>
              <w:divBdr>
                <w:top w:val="none" w:sz="0" w:space="0" w:color="auto"/>
                <w:left w:val="none" w:sz="0" w:space="0" w:color="auto"/>
                <w:bottom w:val="none" w:sz="0" w:space="0" w:color="auto"/>
                <w:right w:val="none" w:sz="0" w:space="0" w:color="auto"/>
              </w:divBdr>
              <w:divsChild>
                <w:div w:id="246498959">
                  <w:marLeft w:val="0"/>
                  <w:marRight w:val="0"/>
                  <w:marTop w:val="0"/>
                  <w:marBottom w:val="0"/>
                  <w:divBdr>
                    <w:top w:val="none" w:sz="0" w:space="0" w:color="auto"/>
                    <w:left w:val="none" w:sz="0" w:space="0" w:color="auto"/>
                    <w:bottom w:val="none" w:sz="0" w:space="0" w:color="auto"/>
                    <w:right w:val="none" w:sz="0" w:space="0" w:color="auto"/>
                  </w:divBdr>
                  <w:divsChild>
                    <w:div w:id="1804544397">
                      <w:marLeft w:val="150"/>
                      <w:marRight w:val="150"/>
                      <w:marTop w:val="0"/>
                      <w:marBottom w:val="0"/>
                      <w:divBdr>
                        <w:top w:val="none" w:sz="0" w:space="0" w:color="auto"/>
                        <w:left w:val="none" w:sz="0" w:space="0" w:color="auto"/>
                        <w:bottom w:val="none" w:sz="0" w:space="0" w:color="auto"/>
                        <w:right w:val="none" w:sz="0" w:space="0" w:color="auto"/>
                      </w:divBdr>
                      <w:divsChild>
                        <w:div w:id="1580481122">
                          <w:marLeft w:val="0"/>
                          <w:marRight w:val="0"/>
                          <w:marTop w:val="0"/>
                          <w:marBottom w:val="0"/>
                          <w:divBdr>
                            <w:top w:val="none" w:sz="0" w:space="0" w:color="auto"/>
                            <w:left w:val="none" w:sz="0" w:space="0" w:color="auto"/>
                            <w:bottom w:val="none" w:sz="0" w:space="0" w:color="auto"/>
                            <w:right w:val="none" w:sz="0" w:space="0" w:color="auto"/>
                          </w:divBdr>
                          <w:divsChild>
                            <w:div w:id="264190565">
                              <w:marLeft w:val="0"/>
                              <w:marRight w:val="0"/>
                              <w:marTop w:val="0"/>
                              <w:marBottom w:val="240"/>
                              <w:divBdr>
                                <w:top w:val="none" w:sz="0" w:space="0" w:color="auto"/>
                                <w:left w:val="none" w:sz="0" w:space="0" w:color="auto"/>
                                <w:bottom w:val="none" w:sz="0" w:space="0" w:color="auto"/>
                                <w:right w:val="none" w:sz="0" w:space="0" w:color="auto"/>
                              </w:divBdr>
                              <w:divsChild>
                                <w:div w:id="1068454234">
                                  <w:marLeft w:val="0"/>
                                  <w:marRight w:val="0"/>
                                  <w:marTop w:val="0"/>
                                  <w:marBottom w:val="0"/>
                                  <w:divBdr>
                                    <w:top w:val="none" w:sz="0" w:space="0" w:color="auto"/>
                                    <w:left w:val="none" w:sz="0" w:space="0" w:color="auto"/>
                                    <w:bottom w:val="none" w:sz="0" w:space="0" w:color="auto"/>
                                    <w:right w:val="none" w:sz="0" w:space="0" w:color="auto"/>
                                  </w:divBdr>
                                  <w:divsChild>
                                    <w:div w:id="1937521146">
                                      <w:marLeft w:val="0"/>
                                      <w:marRight w:val="0"/>
                                      <w:marTop w:val="0"/>
                                      <w:marBottom w:val="0"/>
                                      <w:divBdr>
                                        <w:top w:val="none" w:sz="0" w:space="0" w:color="auto"/>
                                        <w:left w:val="none" w:sz="0" w:space="0" w:color="auto"/>
                                        <w:bottom w:val="none" w:sz="0" w:space="0" w:color="auto"/>
                                        <w:right w:val="none" w:sz="0" w:space="0" w:color="auto"/>
                                      </w:divBdr>
                                      <w:divsChild>
                                        <w:div w:id="82264999">
                                          <w:marLeft w:val="0"/>
                                          <w:marRight w:val="0"/>
                                          <w:marTop w:val="0"/>
                                          <w:marBottom w:val="0"/>
                                          <w:divBdr>
                                            <w:top w:val="none" w:sz="0" w:space="0" w:color="auto"/>
                                            <w:left w:val="none" w:sz="0" w:space="0" w:color="auto"/>
                                            <w:bottom w:val="none" w:sz="0" w:space="0" w:color="auto"/>
                                            <w:right w:val="none" w:sz="0" w:space="0" w:color="auto"/>
                                          </w:divBdr>
                                          <w:divsChild>
                                            <w:div w:id="584725277">
                                              <w:marLeft w:val="0"/>
                                              <w:marRight w:val="0"/>
                                              <w:marTop w:val="0"/>
                                              <w:marBottom w:val="0"/>
                                              <w:divBdr>
                                                <w:top w:val="none" w:sz="0" w:space="0" w:color="auto"/>
                                                <w:left w:val="none" w:sz="0" w:space="0" w:color="auto"/>
                                                <w:bottom w:val="none" w:sz="0" w:space="0" w:color="auto"/>
                                                <w:right w:val="none" w:sz="0" w:space="0" w:color="auto"/>
                                              </w:divBdr>
                                              <w:divsChild>
                                                <w:div w:id="1502043197">
                                                  <w:marLeft w:val="0"/>
                                                  <w:marRight w:val="0"/>
                                                  <w:marTop w:val="0"/>
                                                  <w:marBottom w:val="0"/>
                                                  <w:divBdr>
                                                    <w:top w:val="none" w:sz="0" w:space="0" w:color="auto"/>
                                                    <w:left w:val="none" w:sz="0" w:space="0" w:color="auto"/>
                                                    <w:bottom w:val="none" w:sz="0" w:space="0" w:color="auto"/>
                                                    <w:right w:val="none" w:sz="0" w:space="0" w:color="auto"/>
                                                  </w:divBdr>
                                                  <w:divsChild>
                                                    <w:div w:id="1505508522">
                                                      <w:marLeft w:val="0"/>
                                                      <w:marRight w:val="0"/>
                                                      <w:marTop w:val="0"/>
                                                      <w:marBottom w:val="0"/>
                                                      <w:divBdr>
                                                        <w:top w:val="none" w:sz="0" w:space="0" w:color="auto"/>
                                                        <w:left w:val="none" w:sz="0" w:space="0" w:color="auto"/>
                                                        <w:bottom w:val="none" w:sz="0" w:space="0" w:color="auto"/>
                                                        <w:right w:val="none" w:sz="0" w:space="0" w:color="auto"/>
                                                      </w:divBdr>
                                                      <w:divsChild>
                                                        <w:div w:id="109978849">
                                                          <w:marLeft w:val="0"/>
                                                          <w:marRight w:val="0"/>
                                                          <w:marTop w:val="0"/>
                                                          <w:marBottom w:val="240"/>
                                                          <w:divBdr>
                                                            <w:top w:val="dotted" w:sz="6" w:space="2" w:color="CCCCCC"/>
                                                            <w:left w:val="dotted" w:sz="6" w:space="12" w:color="CCCCCC"/>
                                                            <w:bottom w:val="dotted" w:sz="6" w:space="2" w:color="CCCCCC"/>
                                                            <w:right w:val="dotted" w:sz="6" w:space="12" w:color="CCCCCC"/>
                                                          </w:divBdr>
                                                        </w:div>
                                                      </w:divsChild>
                                                    </w:div>
                                                  </w:divsChild>
                                                </w:div>
                                              </w:divsChild>
                                            </w:div>
                                          </w:divsChild>
                                        </w:div>
                                      </w:divsChild>
                                    </w:div>
                                  </w:divsChild>
                                </w:div>
                              </w:divsChild>
                            </w:div>
                          </w:divsChild>
                        </w:div>
                      </w:divsChild>
                    </w:div>
                  </w:divsChild>
                </w:div>
              </w:divsChild>
            </w:div>
          </w:divsChild>
        </w:div>
      </w:divsChild>
    </w:div>
    <w:div w:id="693919160">
      <w:bodyDiv w:val="1"/>
      <w:marLeft w:val="0"/>
      <w:marRight w:val="0"/>
      <w:marTop w:val="0"/>
      <w:marBottom w:val="0"/>
      <w:divBdr>
        <w:top w:val="none" w:sz="0" w:space="0" w:color="auto"/>
        <w:left w:val="none" w:sz="0" w:space="0" w:color="auto"/>
        <w:bottom w:val="none" w:sz="0" w:space="0" w:color="auto"/>
        <w:right w:val="none" w:sz="0" w:space="0" w:color="auto"/>
      </w:divBdr>
    </w:div>
    <w:div w:id="751243053">
      <w:bodyDiv w:val="1"/>
      <w:marLeft w:val="0"/>
      <w:marRight w:val="0"/>
      <w:marTop w:val="0"/>
      <w:marBottom w:val="0"/>
      <w:divBdr>
        <w:top w:val="none" w:sz="0" w:space="0" w:color="auto"/>
        <w:left w:val="none" w:sz="0" w:space="0" w:color="auto"/>
        <w:bottom w:val="none" w:sz="0" w:space="0" w:color="auto"/>
        <w:right w:val="none" w:sz="0" w:space="0" w:color="auto"/>
      </w:divBdr>
      <w:divsChild>
        <w:div w:id="1772310858">
          <w:marLeft w:val="0"/>
          <w:marRight w:val="0"/>
          <w:marTop w:val="0"/>
          <w:marBottom w:val="0"/>
          <w:divBdr>
            <w:top w:val="none" w:sz="0" w:space="0" w:color="auto"/>
            <w:left w:val="none" w:sz="0" w:space="0" w:color="auto"/>
            <w:bottom w:val="none" w:sz="0" w:space="0" w:color="auto"/>
            <w:right w:val="none" w:sz="0" w:space="0" w:color="auto"/>
          </w:divBdr>
          <w:divsChild>
            <w:div w:id="806043755">
              <w:marLeft w:val="0"/>
              <w:marRight w:val="0"/>
              <w:marTop w:val="0"/>
              <w:marBottom w:val="0"/>
              <w:divBdr>
                <w:top w:val="none" w:sz="0" w:space="0" w:color="auto"/>
                <w:left w:val="none" w:sz="0" w:space="0" w:color="auto"/>
                <w:bottom w:val="none" w:sz="0" w:space="0" w:color="auto"/>
                <w:right w:val="none" w:sz="0" w:space="0" w:color="auto"/>
              </w:divBdr>
              <w:divsChild>
                <w:div w:id="1811096650">
                  <w:marLeft w:val="0"/>
                  <w:marRight w:val="0"/>
                  <w:marTop w:val="0"/>
                  <w:marBottom w:val="0"/>
                  <w:divBdr>
                    <w:top w:val="none" w:sz="0" w:space="0" w:color="auto"/>
                    <w:left w:val="none" w:sz="0" w:space="0" w:color="auto"/>
                    <w:bottom w:val="none" w:sz="0" w:space="0" w:color="auto"/>
                    <w:right w:val="none" w:sz="0" w:space="0" w:color="auto"/>
                  </w:divBdr>
                  <w:divsChild>
                    <w:div w:id="790325848">
                      <w:marLeft w:val="150"/>
                      <w:marRight w:val="150"/>
                      <w:marTop w:val="0"/>
                      <w:marBottom w:val="0"/>
                      <w:divBdr>
                        <w:top w:val="none" w:sz="0" w:space="0" w:color="auto"/>
                        <w:left w:val="none" w:sz="0" w:space="0" w:color="auto"/>
                        <w:bottom w:val="none" w:sz="0" w:space="0" w:color="auto"/>
                        <w:right w:val="none" w:sz="0" w:space="0" w:color="auto"/>
                      </w:divBdr>
                      <w:divsChild>
                        <w:div w:id="1101949130">
                          <w:marLeft w:val="0"/>
                          <w:marRight w:val="0"/>
                          <w:marTop w:val="0"/>
                          <w:marBottom w:val="0"/>
                          <w:divBdr>
                            <w:top w:val="none" w:sz="0" w:space="0" w:color="auto"/>
                            <w:left w:val="none" w:sz="0" w:space="0" w:color="auto"/>
                            <w:bottom w:val="none" w:sz="0" w:space="0" w:color="auto"/>
                            <w:right w:val="none" w:sz="0" w:space="0" w:color="auto"/>
                          </w:divBdr>
                          <w:divsChild>
                            <w:div w:id="1265770800">
                              <w:marLeft w:val="0"/>
                              <w:marRight w:val="0"/>
                              <w:marTop w:val="0"/>
                              <w:marBottom w:val="240"/>
                              <w:divBdr>
                                <w:top w:val="none" w:sz="0" w:space="0" w:color="auto"/>
                                <w:left w:val="none" w:sz="0" w:space="0" w:color="auto"/>
                                <w:bottom w:val="none" w:sz="0" w:space="0" w:color="auto"/>
                                <w:right w:val="none" w:sz="0" w:space="0" w:color="auto"/>
                              </w:divBdr>
                              <w:divsChild>
                                <w:div w:id="1184595038">
                                  <w:marLeft w:val="0"/>
                                  <w:marRight w:val="0"/>
                                  <w:marTop w:val="0"/>
                                  <w:marBottom w:val="0"/>
                                  <w:divBdr>
                                    <w:top w:val="none" w:sz="0" w:space="0" w:color="auto"/>
                                    <w:left w:val="none" w:sz="0" w:space="0" w:color="auto"/>
                                    <w:bottom w:val="none" w:sz="0" w:space="0" w:color="auto"/>
                                    <w:right w:val="none" w:sz="0" w:space="0" w:color="auto"/>
                                  </w:divBdr>
                                  <w:divsChild>
                                    <w:div w:id="738792064">
                                      <w:marLeft w:val="0"/>
                                      <w:marRight w:val="0"/>
                                      <w:marTop w:val="0"/>
                                      <w:marBottom w:val="0"/>
                                      <w:divBdr>
                                        <w:top w:val="none" w:sz="0" w:space="0" w:color="auto"/>
                                        <w:left w:val="none" w:sz="0" w:space="0" w:color="auto"/>
                                        <w:bottom w:val="none" w:sz="0" w:space="0" w:color="auto"/>
                                        <w:right w:val="none" w:sz="0" w:space="0" w:color="auto"/>
                                      </w:divBdr>
                                      <w:divsChild>
                                        <w:div w:id="356852209">
                                          <w:marLeft w:val="0"/>
                                          <w:marRight w:val="0"/>
                                          <w:marTop w:val="0"/>
                                          <w:marBottom w:val="0"/>
                                          <w:divBdr>
                                            <w:top w:val="none" w:sz="0" w:space="0" w:color="auto"/>
                                            <w:left w:val="none" w:sz="0" w:space="0" w:color="auto"/>
                                            <w:bottom w:val="none" w:sz="0" w:space="0" w:color="auto"/>
                                            <w:right w:val="none" w:sz="0" w:space="0" w:color="auto"/>
                                          </w:divBdr>
                                          <w:divsChild>
                                            <w:div w:id="1022241729">
                                              <w:marLeft w:val="0"/>
                                              <w:marRight w:val="0"/>
                                              <w:marTop w:val="0"/>
                                              <w:marBottom w:val="0"/>
                                              <w:divBdr>
                                                <w:top w:val="none" w:sz="0" w:space="0" w:color="auto"/>
                                                <w:left w:val="none" w:sz="0" w:space="0" w:color="auto"/>
                                                <w:bottom w:val="none" w:sz="0" w:space="0" w:color="auto"/>
                                                <w:right w:val="none" w:sz="0" w:space="0" w:color="auto"/>
                                              </w:divBdr>
                                              <w:divsChild>
                                                <w:div w:id="865948502">
                                                  <w:marLeft w:val="0"/>
                                                  <w:marRight w:val="0"/>
                                                  <w:marTop w:val="0"/>
                                                  <w:marBottom w:val="0"/>
                                                  <w:divBdr>
                                                    <w:top w:val="none" w:sz="0" w:space="0" w:color="auto"/>
                                                    <w:left w:val="none" w:sz="0" w:space="0" w:color="auto"/>
                                                    <w:bottom w:val="none" w:sz="0" w:space="0" w:color="auto"/>
                                                    <w:right w:val="none" w:sz="0" w:space="0" w:color="auto"/>
                                                  </w:divBdr>
                                                  <w:divsChild>
                                                    <w:div w:id="1136336612">
                                                      <w:marLeft w:val="0"/>
                                                      <w:marRight w:val="0"/>
                                                      <w:marTop w:val="0"/>
                                                      <w:marBottom w:val="0"/>
                                                      <w:divBdr>
                                                        <w:top w:val="none" w:sz="0" w:space="0" w:color="auto"/>
                                                        <w:left w:val="none" w:sz="0" w:space="0" w:color="auto"/>
                                                        <w:bottom w:val="none" w:sz="0" w:space="0" w:color="auto"/>
                                                        <w:right w:val="none" w:sz="0" w:space="0" w:color="auto"/>
                                                      </w:divBdr>
                                                      <w:divsChild>
                                                        <w:div w:id="1356611877">
                                                          <w:marLeft w:val="0"/>
                                                          <w:marRight w:val="0"/>
                                                          <w:marTop w:val="0"/>
                                                          <w:marBottom w:val="240"/>
                                                          <w:divBdr>
                                                            <w:top w:val="dotted" w:sz="6" w:space="2" w:color="CCCCCC"/>
                                                            <w:left w:val="dotted" w:sz="6" w:space="12" w:color="CCCCCC"/>
                                                            <w:bottom w:val="dotted" w:sz="6" w:space="2" w:color="CCCCCC"/>
                                                            <w:right w:val="dotted" w:sz="6" w:space="12" w:color="CCCCCC"/>
                                                          </w:divBdr>
                                                        </w:div>
                                                      </w:divsChild>
                                                    </w:div>
                                                  </w:divsChild>
                                                </w:div>
                                              </w:divsChild>
                                            </w:div>
                                          </w:divsChild>
                                        </w:div>
                                      </w:divsChild>
                                    </w:div>
                                  </w:divsChild>
                                </w:div>
                              </w:divsChild>
                            </w:div>
                          </w:divsChild>
                        </w:div>
                      </w:divsChild>
                    </w:div>
                  </w:divsChild>
                </w:div>
              </w:divsChild>
            </w:div>
          </w:divsChild>
        </w:div>
      </w:divsChild>
    </w:div>
    <w:div w:id="763067492">
      <w:bodyDiv w:val="1"/>
      <w:marLeft w:val="0"/>
      <w:marRight w:val="0"/>
      <w:marTop w:val="0"/>
      <w:marBottom w:val="0"/>
      <w:divBdr>
        <w:top w:val="none" w:sz="0" w:space="0" w:color="auto"/>
        <w:left w:val="none" w:sz="0" w:space="0" w:color="auto"/>
        <w:bottom w:val="none" w:sz="0" w:space="0" w:color="auto"/>
        <w:right w:val="none" w:sz="0" w:space="0" w:color="auto"/>
      </w:divBdr>
    </w:div>
    <w:div w:id="942766654">
      <w:bodyDiv w:val="1"/>
      <w:marLeft w:val="0"/>
      <w:marRight w:val="0"/>
      <w:marTop w:val="0"/>
      <w:marBottom w:val="0"/>
      <w:divBdr>
        <w:top w:val="none" w:sz="0" w:space="0" w:color="auto"/>
        <w:left w:val="none" w:sz="0" w:space="0" w:color="auto"/>
        <w:bottom w:val="none" w:sz="0" w:space="0" w:color="auto"/>
        <w:right w:val="none" w:sz="0" w:space="0" w:color="auto"/>
      </w:divBdr>
      <w:divsChild>
        <w:div w:id="1227105677">
          <w:marLeft w:val="0"/>
          <w:marRight w:val="0"/>
          <w:marTop w:val="0"/>
          <w:marBottom w:val="0"/>
          <w:divBdr>
            <w:top w:val="none" w:sz="0" w:space="0" w:color="auto"/>
            <w:left w:val="none" w:sz="0" w:space="0" w:color="auto"/>
            <w:bottom w:val="none" w:sz="0" w:space="0" w:color="auto"/>
            <w:right w:val="none" w:sz="0" w:space="0" w:color="auto"/>
          </w:divBdr>
          <w:divsChild>
            <w:div w:id="1580942646">
              <w:marLeft w:val="0"/>
              <w:marRight w:val="0"/>
              <w:marTop w:val="0"/>
              <w:marBottom w:val="0"/>
              <w:divBdr>
                <w:top w:val="none" w:sz="0" w:space="0" w:color="auto"/>
                <w:left w:val="none" w:sz="0" w:space="0" w:color="auto"/>
                <w:bottom w:val="none" w:sz="0" w:space="0" w:color="auto"/>
                <w:right w:val="none" w:sz="0" w:space="0" w:color="auto"/>
              </w:divBdr>
              <w:divsChild>
                <w:div w:id="19605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875011">
      <w:bodyDiv w:val="1"/>
      <w:marLeft w:val="0"/>
      <w:marRight w:val="0"/>
      <w:marTop w:val="0"/>
      <w:marBottom w:val="0"/>
      <w:divBdr>
        <w:top w:val="none" w:sz="0" w:space="0" w:color="auto"/>
        <w:left w:val="none" w:sz="0" w:space="0" w:color="auto"/>
        <w:bottom w:val="none" w:sz="0" w:space="0" w:color="auto"/>
        <w:right w:val="none" w:sz="0" w:space="0" w:color="auto"/>
      </w:divBdr>
    </w:div>
    <w:div w:id="1089274108">
      <w:bodyDiv w:val="1"/>
      <w:marLeft w:val="0"/>
      <w:marRight w:val="0"/>
      <w:marTop w:val="0"/>
      <w:marBottom w:val="0"/>
      <w:divBdr>
        <w:top w:val="none" w:sz="0" w:space="0" w:color="auto"/>
        <w:left w:val="none" w:sz="0" w:space="0" w:color="auto"/>
        <w:bottom w:val="none" w:sz="0" w:space="0" w:color="auto"/>
        <w:right w:val="none" w:sz="0" w:space="0" w:color="auto"/>
      </w:divBdr>
      <w:divsChild>
        <w:div w:id="1274628119">
          <w:marLeft w:val="0"/>
          <w:marRight w:val="0"/>
          <w:marTop w:val="0"/>
          <w:marBottom w:val="0"/>
          <w:divBdr>
            <w:top w:val="none" w:sz="0" w:space="0" w:color="auto"/>
            <w:left w:val="none" w:sz="0" w:space="0" w:color="auto"/>
            <w:bottom w:val="none" w:sz="0" w:space="0" w:color="auto"/>
            <w:right w:val="none" w:sz="0" w:space="0" w:color="auto"/>
          </w:divBdr>
          <w:divsChild>
            <w:div w:id="1571501358">
              <w:marLeft w:val="0"/>
              <w:marRight w:val="0"/>
              <w:marTop w:val="0"/>
              <w:marBottom w:val="0"/>
              <w:divBdr>
                <w:top w:val="none" w:sz="0" w:space="0" w:color="auto"/>
                <w:left w:val="none" w:sz="0" w:space="0" w:color="auto"/>
                <w:bottom w:val="none" w:sz="0" w:space="0" w:color="auto"/>
                <w:right w:val="none" w:sz="0" w:space="0" w:color="auto"/>
              </w:divBdr>
              <w:divsChild>
                <w:div w:id="775566185">
                  <w:marLeft w:val="0"/>
                  <w:marRight w:val="0"/>
                  <w:marTop w:val="0"/>
                  <w:marBottom w:val="0"/>
                  <w:divBdr>
                    <w:top w:val="none" w:sz="0" w:space="0" w:color="auto"/>
                    <w:left w:val="none" w:sz="0" w:space="0" w:color="auto"/>
                    <w:bottom w:val="none" w:sz="0" w:space="0" w:color="auto"/>
                    <w:right w:val="none" w:sz="0" w:space="0" w:color="auto"/>
                  </w:divBdr>
                  <w:divsChild>
                    <w:div w:id="1028604944">
                      <w:marLeft w:val="0"/>
                      <w:marRight w:val="0"/>
                      <w:marTop w:val="150"/>
                      <w:marBottom w:val="0"/>
                      <w:divBdr>
                        <w:top w:val="none" w:sz="0" w:space="0" w:color="auto"/>
                        <w:left w:val="none" w:sz="0" w:space="0" w:color="auto"/>
                        <w:bottom w:val="none" w:sz="0" w:space="0" w:color="auto"/>
                        <w:right w:val="none" w:sz="0" w:space="0" w:color="auto"/>
                      </w:divBdr>
                      <w:divsChild>
                        <w:div w:id="64449608">
                          <w:marLeft w:val="150"/>
                          <w:marRight w:val="150"/>
                          <w:marTop w:val="0"/>
                          <w:marBottom w:val="0"/>
                          <w:divBdr>
                            <w:top w:val="none" w:sz="0" w:space="0" w:color="auto"/>
                            <w:left w:val="none" w:sz="0" w:space="0" w:color="auto"/>
                            <w:bottom w:val="none" w:sz="0" w:space="0" w:color="auto"/>
                            <w:right w:val="none" w:sz="0" w:space="0" w:color="auto"/>
                          </w:divBdr>
                          <w:divsChild>
                            <w:div w:id="1300037919">
                              <w:marLeft w:val="-150"/>
                              <w:marRight w:val="-15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1003854">
      <w:bodyDiv w:val="1"/>
      <w:marLeft w:val="0"/>
      <w:marRight w:val="0"/>
      <w:marTop w:val="0"/>
      <w:marBottom w:val="0"/>
      <w:divBdr>
        <w:top w:val="none" w:sz="0" w:space="0" w:color="auto"/>
        <w:left w:val="none" w:sz="0" w:space="0" w:color="auto"/>
        <w:bottom w:val="none" w:sz="0" w:space="0" w:color="auto"/>
        <w:right w:val="none" w:sz="0" w:space="0" w:color="auto"/>
      </w:divBdr>
    </w:div>
    <w:div w:id="1171333946">
      <w:bodyDiv w:val="1"/>
      <w:marLeft w:val="0"/>
      <w:marRight w:val="0"/>
      <w:marTop w:val="0"/>
      <w:marBottom w:val="0"/>
      <w:divBdr>
        <w:top w:val="none" w:sz="0" w:space="0" w:color="auto"/>
        <w:left w:val="none" w:sz="0" w:space="0" w:color="auto"/>
        <w:bottom w:val="none" w:sz="0" w:space="0" w:color="auto"/>
        <w:right w:val="none" w:sz="0" w:space="0" w:color="auto"/>
      </w:divBdr>
    </w:div>
    <w:div w:id="1546913578">
      <w:bodyDiv w:val="1"/>
      <w:marLeft w:val="0"/>
      <w:marRight w:val="0"/>
      <w:marTop w:val="0"/>
      <w:marBottom w:val="0"/>
      <w:divBdr>
        <w:top w:val="none" w:sz="0" w:space="0" w:color="auto"/>
        <w:left w:val="none" w:sz="0" w:space="0" w:color="auto"/>
        <w:bottom w:val="none" w:sz="0" w:space="0" w:color="auto"/>
        <w:right w:val="none" w:sz="0" w:space="0" w:color="auto"/>
      </w:divBdr>
    </w:div>
    <w:div w:id="1676574487">
      <w:bodyDiv w:val="1"/>
      <w:marLeft w:val="0"/>
      <w:marRight w:val="0"/>
      <w:marTop w:val="0"/>
      <w:marBottom w:val="0"/>
      <w:divBdr>
        <w:top w:val="none" w:sz="0" w:space="0" w:color="auto"/>
        <w:left w:val="none" w:sz="0" w:space="0" w:color="auto"/>
        <w:bottom w:val="none" w:sz="0" w:space="0" w:color="auto"/>
        <w:right w:val="none" w:sz="0" w:space="0" w:color="auto"/>
      </w:divBdr>
    </w:div>
    <w:div w:id="1686978017">
      <w:bodyDiv w:val="1"/>
      <w:marLeft w:val="0"/>
      <w:marRight w:val="0"/>
      <w:marTop w:val="0"/>
      <w:marBottom w:val="0"/>
      <w:divBdr>
        <w:top w:val="none" w:sz="0" w:space="0" w:color="auto"/>
        <w:left w:val="none" w:sz="0" w:space="0" w:color="auto"/>
        <w:bottom w:val="none" w:sz="0" w:space="0" w:color="auto"/>
        <w:right w:val="none" w:sz="0" w:space="0" w:color="auto"/>
      </w:divBdr>
      <w:divsChild>
        <w:div w:id="1770808897">
          <w:marLeft w:val="0"/>
          <w:marRight w:val="0"/>
          <w:marTop w:val="0"/>
          <w:marBottom w:val="0"/>
          <w:divBdr>
            <w:top w:val="none" w:sz="0" w:space="0" w:color="auto"/>
            <w:left w:val="single" w:sz="6" w:space="0" w:color="EEEEEE"/>
            <w:bottom w:val="none" w:sz="0" w:space="0" w:color="auto"/>
            <w:right w:val="single" w:sz="6" w:space="0" w:color="EEEEEE"/>
          </w:divBdr>
          <w:divsChild>
            <w:div w:id="346950423">
              <w:marLeft w:val="0"/>
              <w:marRight w:val="0"/>
              <w:marTop w:val="0"/>
              <w:marBottom w:val="300"/>
              <w:divBdr>
                <w:top w:val="none" w:sz="0" w:space="0" w:color="auto"/>
                <w:left w:val="none" w:sz="0" w:space="0" w:color="auto"/>
                <w:bottom w:val="none" w:sz="0" w:space="0" w:color="auto"/>
                <w:right w:val="none" w:sz="0" w:space="0" w:color="auto"/>
              </w:divBdr>
              <w:divsChild>
                <w:div w:id="2098284369">
                  <w:marLeft w:val="0"/>
                  <w:marRight w:val="0"/>
                  <w:marTop w:val="0"/>
                  <w:marBottom w:val="0"/>
                  <w:divBdr>
                    <w:top w:val="none" w:sz="0" w:space="0" w:color="auto"/>
                    <w:left w:val="none" w:sz="0" w:space="0" w:color="auto"/>
                    <w:bottom w:val="none" w:sz="0" w:space="0" w:color="auto"/>
                    <w:right w:val="none" w:sz="0" w:space="0" w:color="auto"/>
                  </w:divBdr>
                  <w:divsChild>
                    <w:div w:id="787551100">
                      <w:marLeft w:val="0"/>
                      <w:marRight w:val="0"/>
                      <w:marTop w:val="0"/>
                      <w:marBottom w:val="0"/>
                      <w:divBdr>
                        <w:top w:val="none" w:sz="0" w:space="0" w:color="auto"/>
                        <w:left w:val="none" w:sz="0" w:space="0" w:color="auto"/>
                        <w:bottom w:val="none" w:sz="0" w:space="0" w:color="auto"/>
                        <w:right w:val="none" w:sz="0" w:space="0" w:color="auto"/>
                      </w:divBdr>
                      <w:divsChild>
                        <w:div w:id="21112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7825100">
      <w:bodyDiv w:val="1"/>
      <w:marLeft w:val="0"/>
      <w:marRight w:val="0"/>
      <w:marTop w:val="0"/>
      <w:marBottom w:val="0"/>
      <w:divBdr>
        <w:top w:val="none" w:sz="0" w:space="0" w:color="auto"/>
        <w:left w:val="none" w:sz="0" w:space="0" w:color="auto"/>
        <w:bottom w:val="none" w:sz="0" w:space="0" w:color="auto"/>
        <w:right w:val="none" w:sz="0" w:space="0" w:color="auto"/>
      </w:divBdr>
      <w:divsChild>
        <w:div w:id="190070307">
          <w:marLeft w:val="0"/>
          <w:marRight w:val="0"/>
          <w:marTop w:val="0"/>
          <w:marBottom w:val="0"/>
          <w:divBdr>
            <w:top w:val="none" w:sz="0" w:space="0" w:color="auto"/>
            <w:left w:val="none" w:sz="0" w:space="0" w:color="auto"/>
            <w:bottom w:val="none" w:sz="0" w:space="0" w:color="auto"/>
            <w:right w:val="none" w:sz="0" w:space="0" w:color="auto"/>
          </w:divBdr>
          <w:divsChild>
            <w:div w:id="1140001623">
              <w:marLeft w:val="0"/>
              <w:marRight w:val="0"/>
              <w:marTop w:val="0"/>
              <w:marBottom w:val="0"/>
              <w:divBdr>
                <w:top w:val="none" w:sz="0" w:space="0" w:color="auto"/>
                <w:left w:val="none" w:sz="0" w:space="0" w:color="auto"/>
                <w:bottom w:val="none" w:sz="0" w:space="0" w:color="auto"/>
                <w:right w:val="none" w:sz="0" w:space="0" w:color="auto"/>
              </w:divBdr>
              <w:divsChild>
                <w:div w:id="1094205243">
                  <w:marLeft w:val="0"/>
                  <w:marRight w:val="0"/>
                  <w:marTop w:val="0"/>
                  <w:marBottom w:val="0"/>
                  <w:divBdr>
                    <w:top w:val="none" w:sz="0" w:space="0" w:color="auto"/>
                    <w:left w:val="none" w:sz="0" w:space="0" w:color="auto"/>
                    <w:bottom w:val="none" w:sz="0" w:space="0" w:color="auto"/>
                    <w:right w:val="none" w:sz="0" w:space="0" w:color="auto"/>
                  </w:divBdr>
                  <w:divsChild>
                    <w:div w:id="1488400903">
                      <w:marLeft w:val="150"/>
                      <w:marRight w:val="150"/>
                      <w:marTop w:val="0"/>
                      <w:marBottom w:val="0"/>
                      <w:divBdr>
                        <w:top w:val="none" w:sz="0" w:space="0" w:color="auto"/>
                        <w:left w:val="none" w:sz="0" w:space="0" w:color="auto"/>
                        <w:bottom w:val="none" w:sz="0" w:space="0" w:color="auto"/>
                        <w:right w:val="none" w:sz="0" w:space="0" w:color="auto"/>
                      </w:divBdr>
                      <w:divsChild>
                        <w:div w:id="1448311088">
                          <w:marLeft w:val="0"/>
                          <w:marRight w:val="0"/>
                          <w:marTop w:val="0"/>
                          <w:marBottom w:val="0"/>
                          <w:divBdr>
                            <w:top w:val="none" w:sz="0" w:space="0" w:color="auto"/>
                            <w:left w:val="none" w:sz="0" w:space="0" w:color="auto"/>
                            <w:bottom w:val="none" w:sz="0" w:space="0" w:color="auto"/>
                            <w:right w:val="none" w:sz="0" w:space="0" w:color="auto"/>
                          </w:divBdr>
                          <w:divsChild>
                            <w:div w:id="111093735">
                              <w:marLeft w:val="0"/>
                              <w:marRight w:val="0"/>
                              <w:marTop w:val="0"/>
                              <w:marBottom w:val="240"/>
                              <w:divBdr>
                                <w:top w:val="none" w:sz="0" w:space="0" w:color="auto"/>
                                <w:left w:val="none" w:sz="0" w:space="0" w:color="auto"/>
                                <w:bottom w:val="none" w:sz="0" w:space="0" w:color="auto"/>
                                <w:right w:val="none" w:sz="0" w:space="0" w:color="auto"/>
                              </w:divBdr>
                              <w:divsChild>
                                <w:div w:id="1092047077">
                                  <w:marLeft w:val="0"/>
                                  <w:marRight w:val="0"/>
                                  <w:marTop w:val="0"/>
                                  <w:marBottom w:val="0"/>
                                  <w:divBdr>
                                    <w:top w:val="none" w:sz="0" w:space="0" w:color="auto"/>
                                    <w:left w:val="none" w:sz="0" w:space="0" w:color="auto"/>
                                    <w:bottom w:val="none" w:sz="0" w:space="0" w:color="auto"/>
                                    <w:right w:val="none" w:sz="0" w:space="0" w:color="auto"/>
                                  </w:divBdr>
                                  <w:divsChild>
                                    <w:div w:id="814178412">
                                      <w:marLeft w:val="0"/>
                                      <w:marRight w:val="0"/>
                                      <w:marTop w:val="0"/>
                                      <w:marBottom w:val="0"/>
                                      <w:divBdr>
                                        <w:top w:val="none" w:sz="0" w:space="0" w:color="auto"/>
                                        <w:left w:val="none" w:sz="0" w:space="0" w:color="auto"/>
                                        <w:bottom w:val="none" w:sz="0" w:space="0" w:color="auto"/>
                                        <w:right w:val="none" w:sz="0" w:space="0" w:color="auto"/>
                                      </w:divBdr>
                                      <w:divsChild>
                                        <w:div w:id="670453390">
                                          <w:marLeft w:val="0"/>
                                          <w:marRight w:val="0"/>
                                          <w:marTop w:val="0"/>
                                          <w:marBottom w:val="0"/>
                                          <w:divBdr>
                                            <w:top w:val="none" w:sz="0" w:space="0" w:color="auto"/>
                                            <w:left w:val="none" w:sz="0" w:space="0" w:color="auto"/>
                                            <w:bottom w:val="none" w:sz="0" w:space="0" w:color="auto"/>
                                            <w:right w:val="none" w:sz="0" w:space="0" w:color="auto"/>
                                          </w:divBdr>
                                          <w:divsChild>
                                            <w:div w:id="456721469">
                                              <w:marLeft w:val="0"/>
                                              <w:marRight w:val="0"/>
                                              <w:marTop w:val="0"/>
                                              <w:marBottom w:val="0"/>
                                              <w:divBdr>
                                                <w:top w:val="none" w:sz="0" w:space="0" w:color="auto"/>
                                                <w:left w:val="none" w:sz="0" w:space="0" w:color="auto"/>
                                                <w:bottom w:val="none" w:sz="0" w:space="0" w:color="auto"/>
                                                <w:right w:val="none" w:sz="0" w:space="0" w:color="auto"/>
                                              </w:divBdr>
                                              <w:divsChild>
                                                <w:div w:id="1930120398">
                                                  <w:marLeft w:val="0"/>
                                                  <w:marRight w:val="0"/>
                                                  <w:marTop w:val="0"/>
                                                  <w:marBottom w:val="0"/>
                                                  <w:divBdr>
                                                    <w:top w:val="none" w:sz="0" w:space="0" w:color="auto"/>
                                                    <w:left w:val="none" w:sz="0" w:space="0" w:color="auto"/>
                                                    <w:bottom w:val="none" w:sz="0" w:space="0" w:color="auto"/>
                                                    <w:right w:val="none" w:sz="0" w:space="0" w:color="auto"/>
                                                  </w:divBdr>
                                                  <w:divsChild>
                                                    <w:div w:id="40587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3605176">
      <w:bodyDiv w:val="1"/>
      <w:marLeft w:val="0"/>
      <w:marRight w:val="0"/>
      <w:marTop w:val="0"/>
      <w:marBottom w:val="0"/>
      <w:divBdr>
        <w:top w:val="none" w:sz="0" w:space="0" w:color="auto"/>
        <w:left w:val="none" w:sz="0" w:space="0" w:color="auto"/>
        <w:bottom w:val="none" w:sz="0" w:space="0" w:color="auto"/>
        <w:right w:val="none" w:sz="0" w:space="0" w:color="auto"/>
      </w:divBdr>
      <w:divsChild>
        <w:div w:id="1320377780">
          <w:marLeft w:val="0"/>
          <w:marRight w:val="0"/>
          <w:marTop w:val="0"/>
          <w:marBottom w:val="0"/>
          <w:divBdr>
            <w:top w:val="none" w:sz="0" w:space="0" w:color="auto"/>
            <w:left w:val="none" w:sz="0" w:space="0" w:color="auto"/>
            <w:bottom w:val="none" w:sz="0" w:space="0" w:color="auto"/>
            <w:right w:val="none" w:sz="0" w:space="0" w:color="auto"/>
          </w:divBdr>
          <w:divsChild>
            <w:div w:id="1048843321">
              <w:marLeft w:val="0"/>
              <w:marRight w:val="0"/>
              <w:marTop w:val="0"/>
              <w:marBottom w:val="0"/>
              <w:divBdr>
                <w:top w:val="none" w:sz="0" w:space="0" w:color="auto"/>
                <w:left w:val="none" w:sz="0" w:space="0" w:color="auto"/>
                <w:bottom w:val="none" w:sz="0" w:space="0" w:color="auto"/>
                <w:right w:val="none" w:sz="0" w:space="0" w:color="auto"/>
              </w:divBdr>
              <w:divsChild>
                <w:div w:id="1366830442">
                  <w:marLeft w:val="0"/>
                  <w:marRight w:val="0"/>
                  <w:marTop w:val="0"/>
                  <w:marBottom w:val="0"/>
                  <w:divBdr>
                    <w:top w:val="none" w:sz="0" w:space="0" w:color="auto"/>
                    <w:left w:val="none" w:sz="0" w:space="0" w:color="auto"/>
                    <w:bottom w:val="none" w:sz="0" w:space="0" w:color="auto"/>
                    <w:right w:val="none" w:sz="0" w:space="0" w:color="auto"/>
                  </w:divBdr>
                  <w:divsChild>
                    <w:div w:id="1995603031">
                      <w:marLeft w:val="2325"/>
                      <w:marRight w:val="0"/>
                      <w:marTop w:val="0"/>
                      <w:marBottom w:val="0"/>
                      <w:divBdr>
                        <w:top w:val="none" w:sz="0" w:space="0" w:color="auto"/>
                        <w:left w:val="none" w:sz="0" w:space="0" w:color="auto"/>
                        <w:bottom w:val="none" w:sz="0" w:space="0" w:color="auto"/>
                        <w:right w:val="none" w:sz="0" w:space="0" w:color="auto"/>
                      </w:divBdr>
                      <w:divsChild>
                        <w:div w:id="747000067">
                          <w:marLeft w:val="0"/>
                          <w:marRight w:val="0"/>
                          <w:marTop w:val="0"/>
                          <w:marBottom w:val="0"/>
                          <w:divBdr>
                            <w:top w:val="none" w:sz="0" w:space="0" w:color="auto"/>
                            <w:left w:val="none" w:sz="0" w:space="0" w:color="auto"/>
                            <w:bottom w:val="none" w:sz="0" w:space="0" w:color="auto"/>
                            <w:right w:val="none" w:sz="0" w:space="0" w:color="auto"/>
                          </w:divBdr>
                          <w:divsChild>
                            <w:div w:id="1446192172">
                              <w:marLeft w:val="0"/>
                              <w:marRight w:val="0"/>
                              <w:marTop w:val="0"/>
                              <w:marBottom w:val="0"/>
                              <w:divBdr>
                                <w:top w:val="none" w:sz="0" w:space="0" w:color="auto"/>
                                <w:left w:val="none" w:sz="0" w:space="0" w:color="auto"/>
                                <w:bottom w:val="none" w:sz="0" w:space="0" w:color="auto"/>
                                <w:right w:val="none" w:sz="0" w:space="0" w:color="auto"/>
                              </w:divBdr>
                              <w:divsChild>
                                <w:div w:id="1309701400">
                                  <w:marLeft w:val="1"/>
                                  <w:marRight w:val="1"/>
                                  <w:marTop w:val="0"/>
                                  <w:marBottom w:val="0"/>
                                  <w:divBdr>
                                    <w:top w:val="none" w:sz="0" w:space="0" w:color="auto"/>
                                    <w:left w:val="none" w:sz="0" w:space="0" w:color="auto"/>
                                    <w:bottom w:val="none" w:sz="0" w:space="0" w:color="auto"/>
                                    <w:right w:val="none" w:sz="0" w:space="0" w:color="auto"/>
                                  </w:divBdr>
                                  <w:divsChild>
                                    <w:div w:id="1465081721">
                                      <w:marLeft w:val="0"/>
                                      <w:marRight w:val="0"/>
                                      <w:marTop w:val="0"/>
                                      <w:marBottom w:val="0"/>
                                      <w:divBdr>
                                        <w:top w:val="none" w:sz="0" w:space="0" w:color="auto"/>
                                        <w:left w:val="none" w:sz="0" w:space="0" w:color="auto"/>
                                        <w:bottom w:val="none" w:sz="0" w:space="0" w:color="auto"/>
                                        <w:right w:val="none" w:sz="0" w:space="0" w:color="auto"/>
                                      </w:divBdr>
                                      <w:divsChild>
                                        <w:div w:id="1326588943">
                                          <w:marLeft w:val="0"/>
                                          <w:marRight w:val="0"/>
                                          <w:marTop w:val="0"/>
                                          <w:marBottom w:val="0"/>
                                          <w:divBdr>
                                            <w:top w:val="none" w:sz="0" w:space="0" w:color="auto"/>
                                            <w:left w:val="none" w:sz="0" w:space="0" w:color="auto"/>
                                            <w:bottom w:val="none" w:sz="0" w:space="0" w:color="auto"/>
                                            <w:right w:val="none" w:sz="0" w:space="0" w:color="auto"/>
                                          </w:divBdr>
                                          <w:divsChild>
                                            <w:div w:id="1758936053">
                                              <w:marLeft w:val="0"/>
                                              <w:marRight w:val="0"/>
                                              <w:marTop w:val="0"/>
                                              <w:marBottom w:val="0"/>
                                              <w:divBdr>
                                                <w:top w:val="none" w:sz="0" w:space="0" w:color="auto"/>
                                                <w:left w:val="none" w:sz="0" w:space="0" w:color="auto"/>
                                                <w:bottom w:val="none" w:sz="0" w:space="0" w:color="auto"/>
                                                <w:right w:val="none" w:sz="0" w:space="0" w:color="auto"/>
                                              </w:divBdr>
                                              <w:divsChild>
                                                <w:div w:id="1190992257">
                                                  <w:marLeft w:val="0"/>
                                                  <w:marRight w:val="0"/>
                                                  <w:marTop w:val="0"/>
                                                  <w:marBottom w:val="0"/>
                                                  <w:divBdr>
                                                    <w:top w:val="none" w:sz="0" w:space="0" w:color="auto"/>
                                                    <w:left w:val="none" w:sz="0" w:space="0" w:color="auto"/>
                                                    <w:bottom w:val="none" w:sz="0" w:space="0" w:color="auto"/>
                                                    <w:right w:val="none" w:sz="0" w:space="0" w:color="auto"/>
                                                  </w:divBdr>
                                                  <w:divsChild>
                                                    <w:div w:id="9311618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54411640">
                                                          <w:marLeft w:val="0"/>
                                                          <w:marRight w:val="0"/>
                                                          <w:marTop w:val="0"/>
                                                          <w:marBottom w:val="0"/>
                                                          <w:divBdr>
                                                            <w:top w:val="none" w:sz="0" w:space="0" w:color="auto"/>
                                                            <w:left w:val="none" w:sz="0" w:space="0" w:color="auto"/>
                                                            <w:bottom w:val="none" w:sz="0" w:space="0" w:color="auto"/>
                                                            <w:right w:val="none" w:sz="0" w:space="0" w:color="auto"/>
                                                          </w:divBdr>
                                                        </w:div>
                                                        <w:div w:id="1121457045">
                                                          <w:marLeft w:val="0"/>
                                                          <w:marRight w:val="0"/>
                                                          <w:marTop w:val="0"/>
                                                          <w:marBottom w:val="0"/>
                                                          <w:divBdr>
                                                            <w:top w:val="none" w:sz="0" w:space="0" w:color="auto"/>
                                                            <w:left w:val="none" w:sz="0" w:space="0" w:color="auto"/>
                                                            <w:bottom w:val="none" w:sz="0" w:space="0" w:color="auto"/>
                                                            <w:right w:val="none" w:sz="0" w:space="0" w:color="auto"/>
                                                          </w:divBdr>
                                                        </w:div>
                                                        <w:div w:id="1808351873">
                                                          <w:marLeft w:val="0"/>
                                                          <w:marRight w:val="0"/>
                                                          <w:marTop w:val="0"/>
                                                          <w:marBottom w:val="0"/>
                                                          <w:divBdr>
                                                            <w:top w:val="none" w:sz="0" w:space="0" w:color="auto"/>
                                                            <w:left w:val="none" w:sz="0" w:space="0" w:color="auto"/>
                                                            <w:bottom w:val="none" w:sz="0" w:space="0" w:color="auto"/>
                                                            <w:right w:val="none" w:sz="0" w:space="0" w:color="auto"/>
                                                          </w:divBdr>
                                                        </w:div>
                                                        <w:div w:id="205129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2636824">
      <w:bodyDiv w:val="1"/>
      <w:marLeft w:val="0"/>
      <w:marRight w:val="0"/>
      <w:marTop w:val="0"/>
      <w:marBottom w:val="0"/>
      <w:divBdr>
        <w:top w:val="none" w:sz="0" w:space="0" w:color="auto"/>
        <w:left w:val="none" w:sz="0" w:space="0" w:color="auto"/>
        <w:bottom w:val="none" w:sz="0" w:space="0" w:color="auto"/>
        <w:right w:val="none" w:sz="0" w:space="0" w:color="auto"/>
      </w:divBdr>
    </w:div>
    <w:div w:id="2089769554">
      <w:bodyDiv w:val="1"/>
      <w:marLeft w:val="0"/>
      <w:marRight w:val="0"/>
      <w:marTop w:val="0"/>
      <w:marBottom w:val="0"/>
      <w:divBdr>
        <w:top w:val="none" w:sz="0" w:space="0" w:color="auto"/>
        <w:left w:val="none" w:sz="0" w:space="0" w:color="auto"/>
        <w:bottom w:val="none" w:sz="0" w:space="0" w:color="auto"/>
        <w:right w:val="none" w:sz="0" w:space="0" w:color="auto"/>
      </w:divBdr>
      <w:divsChild>
        <w:div w:id="528687410">
          <w:marLeft w:val="0"/>
          <w:marRight w:val="0"/>
          <w:marTop w:val="0"/>
          <w:marBottom w:val="0"/>
          <w:divBdr>
            <w:top w:val="none" w:sz="0" w:space="0" w:color="auto"/>
            <w:left w:val="none" w:sz="0" w:space="0" w:color="auto"/>
            <w:bottom w:val="none" w:sz="0" w:space="0" w:color="auto"/>
            <w:right w:val="none" w:sz="0" w:space="0" w:color="auto"/>
          </w:divBdr>
          <w:divsChild>
            <w:div w:id="1671299626">
              <w:marLeft w:val="0"/>
              <w:marRight w:val="0"/>
              <w:marTop w:val="0"/>
              <w:marBottom w:val="0"/>
              <w:divBdr>
                <w:top w:val="none" w:sz="0" w:space="0" w:color="auto"/>
                <w:left w:val="none" w:sz="0" w:space="0" w:color="auto"/>
                <w:bottom w:val="none" w:sz="0" w:space="0" w:color="auto"/>
                <w:right w:val="none" w:sz="0" w:space="0" w:color="auto"/>
              </w:divBdr>
              <w:divsChild>
                <w:div w:id="1065682413">
                  <w:marLeft w:val="0"/>
                  <w:marRight w:val="0"/>
                  <w:marTop w:val="0"/>
                  <w:marBottom w:val="0"/>
                  <w:divBdr>
                    <w:top w:val="none" w:sz="0" w:space="0" w:color="auto"/>
                    <w:left w:val="none" w:sz="0" w:space="0" w:color="auto"/>
                    <w:bottom w:val="none" w:sz="0" w:space="0" w:color="auto"/>
                    <w:right w:val="none" w:sz="0" w:space="0" w:color="auto"/>
                  </w:divBdr>
                  <w:divsChild>
                    <w:div w:id="1486168128">
                      <w:marLeft w:val="0"/>
                      <w:marRight w:val="0"/>
                      <w:marTop w:val="0"/>
                      <w:marBottom w:val="0"/>
                      <w:divBdr>
                        <w:top w:val="none" w:sz="0" w:space="0" w:color="auto"/>
                        <w:left w:val="none" w:sz="0" w:space="0" w:color="auto"/>
                        <w:bottom w:val="none" w:sz="0" w:space="0" w:color="auto"/>
                        <w:right w:val="none" w:sz="0" w:space="0" w:color="auto"/>
                      </w:divBdr>
                      <w:divsChild>
                        <w:div w:id="1434277589">
                          <w:marLeft w:val="0"/>
                          <w:marRight w:val="0"/>
                          <w:marTop w:val="0"/>
                          <w:marBottom w:val="0"/>
                          <w:divBdr>
                            <w:top w:val="single" w:sz="6" w:space="0" w:color="828282"/>
                            <w:left w:val="single" w:sz="6" w:space="0" w:color="828282"/>
                            <w:bottom w:val="single" w:sz="6" w:space="0" w:color="828282"/>
                            <w:right w:val="single" w:sz="6" w:space="0" w:color="828282"/>
                          </w:divBdr>
                          <w:divsChild>
                            <w:div w:id="477379647">
                              <w:marLeft w:val="0"/>
                              <w:marRight w:val="0"/>
                              <w:marTop w:val="0"/>
                              <w:marBottom w:val="0"/>
                              <w:divBdr>
                                <w:top w:val="none" w:sz="0" w:space="0" w:color="auto"/>
                                <w:left w:val="none" w:sz="0" w:space="0" w:color="auto"/>
                                <w:bottom w:val="none" w:sz="0" w:space="0" w:color="auto"/>
                                <w:right w:val="none" w:sz="0" w:space="0" w:color="auto"/>
                              </w:divBdr>
                              <w:divsChild>
                                <w:div w:id="1340042342">
                                  <w:marLeft w:val="0"/>
                                  <w:marRight w:val="0"/>
                                  <w:marTop w:val="0"/>
                                  <w:marBottom w:val="0"/>
                                  <w:divBdr>
                                    <w:top w:val="none" w:sz="0" w:space="0" w:color="auto"/>
                                    <w:left w:val="none" w:sz="0" w:space="0" w:color="auto"/>
                                    <w:bottom w:val="none" w:sz="0" w:space="0" w:color="auto"/>
                                    <w:right w:val="none" w:sz="0" w:space="0" w:color="auto"/>
                                  </w:divBdr>
                                  <w:divsChild>
                                    <w:div w:id="1114325916">
                                      <w:marLeft w:val="0"/>
                                      <w:marRight w:val="0"/>
                                      <w:marTop w:val="0"/>
                                      <w:marBottom w:val="0"/>
                                      <w:divBdr>
                                        <w:top w:val="none" w:sz="0" w:space="0" w:color="auto"/>
                                        <w:left w:val="none" w:sz="0" w:space="0" w:color="auto"/>
                                        <w:bottom w:val="none" w:sz="0" w:space="0" w:color="auto"/>
                                        <w:right w:val="none" w:sz="0" w:space="0" w:color="auto"/>
                                      </w:divBdr>
                                      <w:divsChild>
                                        <w:div w:id="1280337145">
                                          <w:marLeft w:val="0"/>
                                          <w:marRight w:val="0"/>
                                          <w:marTop w:val="0"/>
                                          <w:marBottom w:val="0"/>
                                          <w:divBdr>
                                            <w:top w:val="none" w:sz="0" w:space="0" w:color="auto"/>
                                            <w:left w:val="none" w:sz="0" w:space="0" w:color="auto"/>
                                            <w:bottom w:val="none" w:sz="0" w:space="0" w:color="auto"/>
                                            <w:right w:val="none" w:sz="0" w:space="0" w:color="auto"/>
                                          </w:divBdr>
                                          <w:divsChild>
                                            <w:div w:id="1317149363">
                                              <w:marLeft w:val="0"/>
                                              <w:marRight w:val="0"/>
                                              <w:marTop w:val="0"/>
                                              <w:marBottom w:val="0"/>
                                              <w:divBdr>
                                                <w:top w:val="none" w:sz="0" w:space="0" w:color="auto"/>
                                                <w:left w:val="none" w:sz="0" w:space="0" w:color="auto"/>
                                                <w:bottom w:val="none" w:sz="0" w:space="0" w:color="auto"/>
                                                <w:right w:val="none" w:sz="0" w:space="0" w:color="auto"/>
                                              </w:divBdr>
                                              <w:divsChild>
                                                <w:div w:id="162014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321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3D00B3-0C69-4107-94D8-EA11BE0ED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11021</Words>
  <Characters>62825</Characters>
  <Application>Microsoft Office Word</Application>
  <DocSecurity>0</DocSecurity>
  <Lines>523</Lines>
  <Paragraphs>147</Paragraphs>
  <ScaleCrop>false</ScaleCrop>
  <Company/>
  <LinksUpToDate>false</LinksUpToDate>
  <CharactersWithSpaces>73699</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Western Tuna and Billfish Fishery</dc:title>
  <dc:creator/>
  <cp:lastModifiedBy/>
  <cp:revision>1</cp:revision>
  <dcterms:created xsi:type="dcterms:W3CDTF">2016-05-13T00:00:00Z</dcterms:created>
  <dcterms:modified xsi:type="dcterms:W3CDTF">2016-05-13T00:01:00Z</dcterms:modified>
</cp:coreProperties>
</file>