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18B" w:rsidRPr="00B0197B" w:rsidRDefault="001A018B" w:rsidP="001A018B">
      <w:pPr>
        <w:jc w:val="right"/>
      </w:pPr>
      <w:r w:rsidRPr="0012744F">
        <w:t xml:space="preserve">Ref: </w:t>
      </w:r>
      <w:r>
        <w:t>00010</w:t>
      </w:r>
      <w:r w:rsidR="002320D9">
        <w:t>26371</w:t>
      </w:r>
    </w:p>
    <w:p w:rsidR="001A018B" w:rsidRDefault="001A018B" w:rsidP="001A018B">
      <w:pPr>
        <w:contextualSpacing/>
      </w:pPr>
    </w:p>
    <w:p w:rsidR="001A018B" w:rsidRDefault="001A018B" w:rsidP="001A018B">
      <w:pPr>
        <w:contextualSpacing/>
      </w:pPr>
    </w:p>
    <w:p w:rsidR="001A018B" w:rsidRPr="00B05B44" w:rsidRDefault="001A018B" w:rsidP="001A018B">
      <w:pPr>
        <w:contextualSpacing/>
      </w:pPr>
      <w:r w:rsidRPr="00B05B44">
        <w:t xml:space="preserve">The Hon </w:t>
      </w:r>
      <w:r>
        <w:rPr>
          <w:bCs/>
        </w:rPr>
        <w:t xml:space="preserve">Jeremy </w:t>
      </w:r>
      <w:proofErr w:type="spellStart"/>
      <w:r>
        <w:rPr>
          <w:bCs/>
        </w:rPr>
        <w:t>Rockliff</w:t>
      </w:r>
      <w:proofErr w:type="spellEnd"/>
      <w:r w:rsidRPr="00B05B44">
        <w:rPr>
          <w:b/>
          <w:bCs/>
        </w:rPr>
        <w:t xml:space="preserve"> </w:t>
      </w:r>
      <w:r w:rsidRPr="00B05B44">
        <w:t>MP</w:t>
      </w:r>
      <w:r w:rsidRPr="00B05B44">
        <w:br/>
        <w:t xml:space="preserve">Minister for </w:t>
      </w:r>
      <w:r>
        <w:rPr>
          <w:bCs/>
        </w:rPr>
        <w:t>Primary Industries and Water</w:t>
      </w:r>
      <w:r w:rsidRPr="00B05B44">
        <w:br/>
      </w:r>
      <w:r>
        <w:t>Parliament House</w:t>
      </w:r>
      <w:r w:rsidRPr="00B05B44">
        <w:t xml:space="preserve"> </w:t>
      </w:r>
    </w:p>
    <w:p w:rsidR="001A018B" w:rsidRDefault="001A018B" w:rsidP="001A018B">
      <w:pPr>
        <w:contextualSpacing/>
      </w:pPr>
      <w:r>
        <w:t>Hobart</w:t>
      </w:r>
      <w:r w:rsidRPr="00B05B44">
        <w:t xml:space="preserve"> Tasmania 7000</w:t>
      </w:r>
    </w:p>
    <w:p w:rsidR="001A018B" w:rsidRDefault="001A018B" w:rsidP="001A018B"/>
    <w:p w:rsidR="001A018B" w:rsidRDefault="001A018B" w:rsidP="001A018B">
      <w:r>
        <w:t>Dear Minister</w:t>
      </w:r>
    </w:p>
    <w:p w:rsidR="001A018B" w:rsidRDefault="001A018B" w:rsidP="001A018B">
      <w:pPr>
        <w:widowControl w:val="0"/>
        <w:rPr>
          <w:rFonts w:cs="Arial"/>
        </w:rPr>
      </w:pPr>
      <w:r w:rsidRPr="00822585">
        <w:rPr>
          <w:rFonts w:cs="Arial"/>
          <w:lang w:val="en-US"/>
        </w:rPr>
        <w:t xml:space="preserve">I am writing to you </w:t>
      </w:r>
      <w:r w:rsidRPr="00C51A9D">
        <w:rPr>
          <w:rFonts w:cs="Arial"/>
          <w:lang w:val="en-US"/>
        </w:rPr>
        <w:t>as Delegate of the</w:t>
      </w:r>
      <w:r w:rsidRPr="00822585">
        <w:rPr>
          <w:rFonts w:cs="Arial"/>
          <w:lang w:val="en-US"/>
        </w:rPr>
        <w:t xml:space="preserve"> Minister for </w:t>
      </w:r>
      <w:r>
        <w:rPr>
          <w:rFonts w:cs="Arial"/>
          <w:lang w:val="en-US"/>
        </w:rPr>
        <w:t>the Environment</w:t>
      </w:r>
      <w:r w:rsidRPr="00822585">
        <w:rPr>
          <w:rFonts w:cs="Arial"/>
          <w:lang w:val="en-US"/>
        </w:rPr>
        <w:t xml:space="preserve"> in relation to</w:t>
      </w:r>
      <w:r>
        <w:rPr>
          <w:rFonts w:cs="Arial"/>
          <w:lang w:val="en-US"/>
        </w:rPr>
        <w:t xml:space="preserve"> the</w:t>
      </w:r>
      <w:r w:rsidRPr="00822585">
        <w:rPr>
          <w:rFonts w:cs="Arial"/>
          <w:lang w:val="en-US"/>
        </w:rPr>
        <w:t xml:space="preserve"> </w:t>
      </w:r>
      <w:r w:rsidRPr="00F21E5F">
        <w:rPr>
          <w:rFonts w:cs="Arial"/>
          <w:lang w:val="en-US"/>
        </w:rPr>
        <w:t xml:space="preserve">assessment of the </w:t>
      </w:r>
      <w:r w:rsidR="002320D9">
        <w:rPr>
          <w:rFonts w:cs="Arial"/>
          <w:lang w:val="en-US"/>
        </w:rPr>
        <w:t>Richey Fishing Company’s</w:t>
      </w:r>
      <w:r>
        <w:rPr>
          <w:rFonts w:cs="Arial"/>
          <w:lang w:val="en-US"/>
        </w:rPr>
        <w:t xml:space="preserve"> Australian salmon operation</w:t>
      </w:r>
      <w:r>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Pr>
          <w:rFonts w:cs="Arial"/>
          <w:i/>
        </w:rPr>
        <w:t>d Biodiversity Conservation Act </w:t>
      </w:r>
      <w:r w:rsidRPr="00822585">
        <w:rPr>
          <w:rFonts w:cs="Arial"/>
          <w:i/>
        </w:rPr>
        <w:t xml:space="preserve">1999 </w:t>
      </w:r>
      <w:r w:rsidRPr="00822585">
        <w:rPr>
          <w:rFonts w:cs="Arial"/>
        </w:rPr>
        <w:t>(EPBC Act).</w:t>
      </w:r>
    </w:p>
    <w:p w:rsidR="001A018B" w:rsidRDefault="001A018B" w:rsidP="001A018B">
      <w:pPr>
        <w:spacing w:after="0"/>
        <w:rPr>
          <w:rFonts w:cs="Arial"/>
        </w:rPr>
      </w:pPr>
      <w:r>
        <w:rPr>
          <w:rFonts w:cs="Arial"/>
        </w:rPr>
        <w:t>In December 2015, the Richey Fishing Company submitted an application to the Department of the Environment seeking export approval for Australian salmon (</w:t>
      </w:r>
      <w:proofErr w:type="spellStart"/>
      <w:r>
        <w:rPr>
          <w:rFonts w:cs="Arial"/>
          <w:i/>
        </w:rPr>
        <w:t>Arripis</w:t>
      </w:r>
      <w:proofErr w:type="spellEnd"/>
      <w:r>
        <w:rPr>
          <w:rFonts w:cs="Arial"/>
          <w:i/>
        </w:rPr>
        <w:t xml:space="preserve"> </w:t>
      </w:r>
      <w:proofErr w:type="spellStart"/>
      <w:r>
        <w:rPr>
          <w:rFonts w:cs="Arial"/>
          <w:i/>
        </w:rPr>
        <w:t>trutta</w:t>
      </w:r>
      <w:proofErr w:type="spellEnd"/>
      <w:r>
        <w:rPr>
          <w:rFonts w:cs="Arial"/>
        </w:rPr>
        <w:t xml:space="preserve">) harvested in the Tasmanian </w:t>
      </w:r>
      <w:proofErr w:type="spellStart"/>
      <w:r>
        <w:rPr>
          <w:rFonts w:cs="Arial"/>
        </w:rPr>
        <w:t>Scalefish</w:t>
      </w:r>
      <w:proofErr w:type="spellEnd"/>
      <w:r>
        <w:rPr>
          <w:rFonts w:cs="Arial"/>
        </w:rPr>
        <w:t xml:space="preserve"> Fishery. </w:t>
      </w:r>
      <w:r w:rsidRPr="00822585">
        <w:rPr>
          <w:rFonts w:cs="Arial"/>
        </w:rPr>
        <w:t>The application has been assessed for the purposes of the wildlife trade provisions of Part 13A of the EPBC Act</w:t>
      </w:r>
      <w:r>
        <w:rPr>
          <w:rFonts w:cs="Arial"/>
        </w:rPr>
        <w:t>.</w:t>
      </w:r>
    </w:p>
    <w:p w:rsidR="001A018B" w:rsidRPr="00C51A9D" w:rsidRDefault="001A018B" w:rsidP="001A018B">
      <w:pPr>
        <w:spacing w:after="0"/>
        <w:rPr>
          <w:rFonts w:cs="Arial"/>
        </w:rPr>
      </w:pPr>
    </w:p>
    <w:p w:rsidR="001A018B" w:rsidRDefault="001A018B" w:rsidP="001A018B">
      <w:pPr>
        <w:spacing w:after="0"/>
        <w:rPr>
          <w:rFonts w:cs="Arial"/>
        </w:rPr>
      </w:pPr>
      <w:r w:rsidRPr="00822585">
        <w:rPr>
          <w:rFonts w:cs="Arial"/>
        </w:rPr>
        <w:t xml:space="preserve">I am pleased to advise that </w:t>
      </w:r>
      <w:r>
        <w:rPr>
          <w:rFonts w:cs="Arial"/>
        </w:rPr>
        <w:t xml:space="preserve">the </w:t>
      </w:r>
      <w:r w:rsidRPr="00822585">
        <w:rPr>
          <w:rFonts w:cs="Arial"/>
        </w:rPr>
        <w:t>assessment</w:t>
      </w:r>
      <w:r>
        <w:rPr>
          <w:rFonts w:cs="Arial"/>
        </w:rPr>
        <w:t xml:space="preserve"> of the Richey Fishing Company </w:t>
      </w:r>
      <w:r w:rsidR="002320D9">
        <w:rPr>
          <w:rFonts w:cs="Arial"/>
        </w:rPr>
        <w:t xml:space="preserve">Australian salmon </w:t>
      </w:r>
      <w:r>
        <w:rPr>
          <w:rFonts w:cs="Arial"/>
        </w:rPr>
        <w:t>operation</w:t>
      </w:r>
      <w:r w:rsidRPr="00822585">
        <w:rPr>
          <w:rFonts w:cs="Arial"/>
        </w:rPr>
        <w:t xml:space="preserve"> is now complete. </w:t>
      </w:r>
      <w:r w:rsidR="00A83018">
        <w:rPr>
          <w:rFonts w:cs="Arial"/>
        </w:rPr>
        <w:t>Subject to consultation with the Richey Fishing Company, the</w:t>
      </w:r>
      <w:r w:rsidRPr="00822585">
        <w:rPr>
          <w:rFonts w:cs="Arial"/>
        </w:rPr>
        <w:t xml:space="preserve"> assessment report will be available on </w:t>
      </w:r>
      <w:r w:rsidRPr="00BC10E8">
        <w:rPr>
          <w:rFonts w:cs="Arial"/>
        </w:rPr>
        <w:t>the Department of</w:t>
      </w:r>
      <w:r>
        <w:rPr>
          <w:rFonts w:cs="Arial"/>
        </w:rPr>
        <w:t xml:space="preserve"> the </w:t>
      </w:r>
      <w:r w:rsidRPr="00BC10E8">
        <w:rPr>
          <w:rFonts w:cs="Arial"/>
        </w:rPr>
        <w:t>Environment</w:t>
      </w:r>
      <w:r>
        <w:rPr>
          <w:rFonts w:cs="Arial"/>
        </w:rPr>
        <w:t xml:space="preserve">’s </w:t>
      </w:r>
      <w:r w:rsidRPr="00BC10E8">
        <w:rPr>
          <w:rFonts w:cs="Arial"/>
        </w:rPr>
        <w:t>website at</w:t>
      </w:r>
      <w:r>
        <w:rPr>
          <w:rFonts w:cs="Arial"/>
        </w:rPr>
        <w:t xml:space="preserve">: </w:t>
      </w:r>
      <w:hyperlink r:id="rId8" w:history="1">
        <w:r w:rsidRPr="00C51A9D">
          <w:rPr>
            <w:rStyle w:val="Hyperlink"/>
            <w:rFonts w:cs="Arial"/>
          </w:rPr>
          <w:t>http://www.environment.gov.au/marine/fisheries/tas/richey-fishing-co</w:t>
        </w:r>
      </w:hyperlink>
      <w:r>
        <w:rPr>
          <w:rFonts w:cs="Arial"/>
        </w:rPr>
        <w:t>.</w:t>
      </w:r>
    </w:p>
    <w:p w:rsidR="001A018B" w:rsidRDefault="001A018B" w:rsidP="001A018B">
      <w:pPr>
        <w:spacing w:after="0"/>
        <w:rPr>
          <w:rFonts w:cs="Arial"/>
        </w:rPr>
      </w:pPr>
    </w:p>
    <w:p w:rsidR="001A018B" w:rsidRDefault="001A018B" w:rsidP="001A018B">
      <w:pPr>
        <w:widowControl w:val="0"/>
        <w:spacing w:after="0"/>
        <w:rPr>
          <w:rFonts w:cs="Arial"/>
        </w:rPr>
      </w:pPr>
      <w:r w:rsidRPr="003E7511">
        <w:rPr>
          <w:rFonts w:cs="Arial"/>
        </w:rPr>
        <w:t xml:space="preserve">I consider that the management arrangements for the </w:t>
      </w:r>
      <w:r>
        <w:rPr>
          <w:rFonts w:cs="Arial"/>
        </w:rPr>
        <w:t>Richey Fishing Company Australian salmon operation meet</w:t>
      </w:r>
      <w:r w:rsidR="00973650">
        <w:rPr>
          <w:rFonts w:cs="Arial"/>
        </w:rPr>
        <w:t xml:space="preserve"> most of</w:t>
      </w:r>
      <w:r>
        <w:rPr>
          <w:rFonts w:cs="Arial"/>
        </w:rPr>
        <w:t xml:space="preserve"> the Australian </w:t>
      </w:r>
      <w:r w:rsidRPr="003E7511">
        <w:rPr>
          <w:rFonts w:cs="Arial"/>
        </w:rPr>
        <w:t xml:space="preserve">Government </w:t>
      </w:r>
      <w:r w:rsidRPr="00441D43">
        <w:rPr>
          <w:rFonts w:cs="Arial"/>
          <w:i/>
        </w:rPr>
        <w:t>Guidelines for the Ecologically Sustainable Management of Fisheries - 2</w:t>
      </w:r>
      <w:r w:rsidRPr="00441D43">
        <w:rPr>
          <w:rFonts w:cs="Arial"/>
          <w:i/>
          <w:vertAlign w:val="superscript"/>
        </w:rPr>
        <w:t>nd</w:t>
      </w:r>
      <w:r w:rsidRPr="00441D43">
        <w:rPr>
          <w:rFonts w:cs="Arial"/>
          <w:i/>
        </w:rPr>
        <w:t xml:space="preserve"> Edition</w:t>
      </w:r>
      <w:r w:rsidRPr="003E7511">
        <w:rPr>
          <w:rFonts w:cs="Arial"/>
        </w:rPr>
        <w:t>.</w:t>
      </w:r>
      <w:r>
        <w:rPr>
          <w:rFonts w:cs="Arial"/>
        </w:rPr>
        <w:t xml:space="preserve"> </w:t>
      </w:r>
      <w:r w:rsidRPr="00AC5085">
        <w:rPr>
          <w:rFonts w:cs="Arial"/>
        </w:rPr>
        <w:t>Taking into account</w:t>
      </w:r>
      <w:r>
        <w:rPr>
          <w:rFonts w:cs="Arial"/>
        </w:rPr>
        <w:t xml:space="preserve"> </w:t>
      </w:r>
      <w:r w:rsidRPr="00822585">
        <w:rPr>
          <w:rFonts w:cs="Arial"/>
        </w:rPr>
        <w:t xml:space="preserve">the management arrangements </w:t>
      </w:r>
      <w:r>
        <w:rPr>
          <w:rFonts w:cs="Arial"/>
        </w:rPr>
        <w:t>currently in place in the operation, set out in the permits issued under the Tasmanian Fisheries (</w:t>
      </w:r>
      <w:proofErr w:type="spellStart"/>
      <w:r>
        <w:rPr>
          <w:rFonts w:cs="Arial"/>
        </w:rPr>
        <w:t>Scalefish</w:t>
      </w:r>
      <w:proofErr w:type="spellEnd"/>
      <w:r>
        <w:rPr>
          <w:rFonts w:cs="Arial"/>
        </w:rPr>
        <w:t>) Rules 2015,</w:t>
      </w:r>
      <w:r w:rsidR="002320D9">
        <w:rPr>
          <w:rFonts w:cs="Arial"/>
        </w:rPr>
        <w:t xml:space="preserve"> including</w:t>
      </w:r>
      <w:r>
        <w:rPr>
          <w:rFonts w:cs="Arial"/>
        </w:rPr>
        <w:t xml:space="preserve"> species</w:t>
      </w:r>
      <w:r w:rsidR="002320D9">
        <w:rPr>
          <w:rFonts w:cs="Arial"/>
        </w:rPr>
        <w:t xml:space="preserve"> and</w:t>
      </w:r>
      <w:r>
        <w:rPr>
          <w:rFonts w:cs="Arial"/>
        </w:rPr>
        <w:t xml:space="preserve"> gear licences, size limits, spatial and temporal closures, possession limits for commercial and recreational fishers, and a total commercial catch limit, </w:t>
      </w:r>
      <w:r w:rsidRPr="00AC5085">
        <w:rPr>
          <w:rFonts w:cs="Arial"/>
        </w:rPr>
        <w:t>I am satisfied that the operation remains consistent with the objects of the wildlife trade provisions of Part 13A of the EPBC Act.</w:t>
      </w:r>
    </w:p>
    <w:p w:rsidR="001A018B" w:rsidRDefault="001A018B" w:rsidP="001A018B">
      <w:pPr>
        <w:widowControl w:val="0"/>
        <w:spacing w:after="0"/>
        <w:rPr>
          <w:rFonts w:cs="Arial"/>
        </w:rPr>
      </w:pPr>
    </w:p>
    <w:p w:rsidR="001A018B" w:rsidRDefault="001A018B" w:rsidP="001A018B">
      <w:pPr>
        <w:widowControl w:val="0"/>
        <w:spacing w:after="0"/>
        <w:rPr>
          <w:rFonts w:cs="Arial"/>
        </w:rPr>
      </w:pPr>
      <w:r>
        <w:rPr>
          <w:rFonts w:cs="Arial"/>
        </w:rPr>
        <w:t>Accordingly, I</w:t>
      </w:r>
      <w:r w:rsidRPr="003E7511">
        <w:rPr>
          <w:rFonts w:cs="Arial"/>
        </w:rPr>
        <w:t xml:space="preserve"> </w:t>
      </w:r>
      <w:r w:rsidRPr="00822585">
        <w:rPr>
          <w:rFonts w:cs="Arial"/>
        </w:rPr>
        <w:t xml:space="preserve">have decided to </w:t>
      </w:r>
      <w:r>
        <w:rPr>
          <w:rFonts w:cs="Arial"/>
        </w:rPr>
        <w:t xml:space="preserve">declare the harvest of </w:t>
      </w:r>
      <w:r w:rsidR="002320D9">
        <w:rPr>
          <w:rFonts w:cs="Arial"/>
        </w:rPr>
        <w:t>Australian salmon</w:t>
      </w:r>
      <w:r>
        <w:rPr>
          <w:rFonts w:cs="Arial"/>
        </w:rPr>
        <w:t xml:space="preserve"> by the Richey Fishing Company</w:t>
      </w:r>
      <w:r>
        <w:rPr>
          <w:rFonts w:cs="Arial"/>
          <w:lang w:val="en-US"/>
        </w:rPr>
        <w:t xml:space="preserve"> an </w:t>
      </w:r>
      <w:r>
        <w:rPr>
          <w:rFonts w:cs="Arial"/>
        </w:rPr>
        <w:t>approved wildlife trade operation</w:t>
      </w:r>
      <w:r w:rsidRPr="00822585">
        <w:rPr>
          <w:rFonts w:cs="Arial"/>
        </w:rPr>
        <w:t xml:space="preserve"> </w:t>
      </w:r>
      <w:r w:rsidRPr="00297D18">
        <w:rPr>
          <w:rFonts w:cs="Arial"/>
        </w:rPr>
        <w:t xml:space="preserve">until </w:t>
      </w:r>
      <w:r w:rsidR="00EB778E">
        <w:rPr>
          <w:rFonts w:cs="Arial"/>
        </w:rPr>
        <w:t>14</w:t>
      </w:r>
      <w:r>
        <w:rPr>
          <w:rFonts w:cs="Arial"/>
        </w:rPr>
        <w:t xml:space="preserve"> February 2019</w:t>
      </w:r>
      <w:r w:rsidRPr="00297D18">
        <w:rPr>
          <w:rFonts w:cs="Arial"/>
        </w:rPr>
        <w:t>. The</w:t>
      </w:r>
      <w:r>
        <w:rPr>
          <w:rFonts w:cs="Arial"/>
        </w:rPr>
        <w:t xml:space="preserve"> declaration will apply only to those classes of specimens specified in the instrument of declaration, available from the department's website, and will be subject to the conditions </w:t>
      </w:r>
      <w:r w:rsidRPr="00D14D13">
        <w:rPr>
          <w:rFonts w:cs="Arial"/>
        </w:rPr>
        <w:t>(</w:t>
      </w:r>
      <w:r w:rsidRPr="00297D18">
        <w:rPr>
          <w:rFonts w:cs="Arial"/>
          <w:b/>
          <w:u w:val="single"/>
        </w:rPr>
        <w:t>A</w:t>
      </w:r>
      <w:r>
        <w:rPr>
          <w:rFonts w:cs="Arial"/>
          <w:b/>
          <w:u w:val="single"/>
        </w:rPr>
        <w:t>ttachment 1</w:t>
      </w:r>
      <w:r w:rsidRPr="00D14D13">
        <w:rPr>
          <w:rFonts w:cs="Arial"/>
        </w:rPr>
        <w:t>)</w:t>
      </w:r>
      <w:r>
        <w:rPr>
          <w:rFonts w:cs="Arial"/>
          <w:b/>
        </w:rPr>
        <w:t xml:space="preserve"> </w:t>
      </w:r>
      <w:r>
        <w:rPr>
          <w:rFonts w:cs="Arial"/>
        </w:rPr>
        <w:t xml:space="preserve">specified in the instrument of declaration. </w:t>
      </w:r>
    </w:p>
    <w:p w:rsidR="001A018B" w:rsidRDefault="001A018B" w:rsidP="001A018B">
      <w:pPr>
        <w:widowControl w:val="0"/>
        <w:spacing w:after="0"/>
        <w:rPr>
          <w:rFonts w:cs="Arial"/>
        </w:rPr>
      </w:pPr>
    </w:p>
    <w:p w:rsidR="001A018B" w:rsidRDefault="001A018B" w:rsidP="001A018B">
      <w:pPr>
        <w:pStyle w:val="PlainText"/>
        <w:spacing w:line="276" w:lineRule="auto"/>
        <w:rPr>
          <w:rFonts w:ascii="Arial" w:hAnsi="Arial" w:cs="Arial"/>
          <w:sz w:val="22"/>
          <w:szCs w:val="22"/>
          <w:lang w:val="en-AU" w:eastAsia="zh-CN" w:bidi="th-TH"/>
        </w:rPr>
      </w:pPr>
      <w:r w:rsidRPr="00297D18">
        <w:rPr>
          <w:rFonts w:ascii="Arial" w:hAnsi="Arial" w:cs="Arial"/>
          <w:sz w:val="22"/>
          <w:szCs w:val="22"/>
          <w:lang w:val="en-AU" w:eastAsia="zh-CN" w:bidi="th-TH"/>
        </w:rPr>
        <w:t>While there are some environ</w:t>
      </w:r>
      <w:r>
        <w:rPr>
          <w:rFonts w:ascii="Arial" w:hAnsi="Arial" w:cs="Arial"/>
          <w:sz w:val="22"/>
          <w:szCs w:val="22"/>
          <w:lang w:val="en-AU" w:eastAsia="zh-CN" w:bidi="th-TH"/>
        </w:rPr>
        <w:t xml:space="preserve">mental risks associated with the harvest of </w:t>
      </w:r>
      <w:r w:rsidR="002320D9">
        <w:rPr>
          <w:rFonts w:ascii="Arial" w:hAnsi="Arial" w:cs="Arial"/>
          <w:sz w:val="22"/>
          <w:szCs w:val="22"/>
          <w:lang w:val="en-AU" w:eastAsia="zh-CN" w:bidi="th-TH"/>
        </w:rPr>
        <w:t>Australian salmon</w:t>
      </w:r>
      <w:r>
        <w:rPr>
          <w:rFonts w:ascii="Arial" w:hAnsi="Arial" w:cs="Arial"/>
          <w:i/>
          <w:sz w:val="22"/>
          <w:szCs w:val="22"/>
          <w:lang w:val="en-AU" w:eastAsia="zh-CN" w:bidi="th-TH"/>
        </w:rPr>
        <w:t xml:space="preserve"> </w:t>
      </w:r>
      <w:r>
        <w:rPr>
          <w:rFonts w:ascii="Arial" w:hAnsi="Arial" w:cs="Arial"/>
          <w:sz w:val="22"/>
          <w:szCs w:val="22"/>
          <w:lang w:val="en-AU" w:eastAsia="zh-CN" w:bidi="th-TH"/>
        </w:rPr>
        <w:t xml:space="preserve">in the Tasmanian </w:t>
      </w:r>
      <w:proofErr w:type="spellStart"/>
      <w:r>
        <w:rPr>
          <w:rFonts w:ascii="Arial" w:hAnsi="Arial" w:cs="Arial"/>
          <w:sz w:val="22"/>
          <w:szCs w:val="22"/>
          <w:lang w:val="en-AU" w:eastAsia="zh-CN" w:bidi="th-TH"/>
        </w:rPr>
        <w:t>Scalefish</w:t>
      </w:r>
      <w:proofErr w:type="spellEnd"/>
      <w:r>
        <w:rPr>
          <w:rFonts w:ascii="Arial" w:hAnsi="Arial" w:cs="Arial"/>
          <w:sz w:val="22"/>
          <w:szCs w:val="22"/>
          <w:lang w:val="en-AU" w:eastAsia="zh-CN" w:bidi="th-TH"/>
        </w:rPr>
        <w:t xml:space="preserve"> Fishery, I consider </w:t>
      </w:r>
      <w:r w:rsidRPr="00CA086D">
        <w:rPr>
          <w:rFonts w:ascii="Arial" w:hAnsi="Arial" w:cs="Arial"/>
          <w:sz w:val="22"/>
          <w:szCs w:val="22"/>
          <w:lang w:val="en-AU" w:eastAsia="zh-CN" w:bidi="th-TH"/>
        </w:rPr>
        <w:t>that the Tasmanian Department of Primary Industries, Parks, Water and Environment has in place measures to address these issues.</w:t>
      </w:r>
      <w:r>
        <w:rPr>
          <w:rFonts w:ascii="Arial" w:hAnsi="Arial" w:cs="Arial"/>
          <w:sz w:val="22"/>
          <w:szCs w:val="22"/>
          <w:lang w:val="en-AU" w:eastAsia="zh-CN" w:bidi="th-TH"/>
        </w:rPr>
        <w:t xml:space="preserve"> </w:t>
      </w:r>
      <w:r w:rsidRPr="00297D18">
        <w:rPr>
          <w:rFonts w:ascii="Arial" w:hAnsi="Arial" w:cs="Arial"/>
          <w:sz w:val="22"/>
          <w:szCs w:val="22"/>
          <w:lang w:val="en-AU" w:eastAsia="zh-CN" w:bidi="th-TH"/>
        </w:rPr>
        <w:t xml:space="preserve">The </w:t>
      </w:r>
      <w:r>
        <w:rPr>
          <w:rFonts w:ascii="Arial" w:hAnsi="Arial" w:cs="Arial"/>
          <w:sz w:val="22"/>
          <w:szCs w:val="22"/>
          <w:lang w:val="en-AU" w:eastAsia="zh-CN" w:bidi="th-TH"/>
        </w:rPr>
        <w:t>Richey Fishing Company</w:t>
      </w:r>
      <w:r w:rsidRPr="00297D18">
        <w:rPr>
          <w:rFonts w:ascii="Arial" w:hAnsi="Arial" w:cs="Arial"/>
          <w:sz w:val="22"/>
          <w:szCs w:val="22"/>
        </w:rPr>
        <w:t xml:space="preserve"> </w:t>
      </w:r>
      <w:r w:rsidRPr="0025194B">
        <w:rPr>
          <w:rFonts w:ascii="Arial" w:hAnsi="Arial" w:cs="Arial"/>
          <w:sz w:val="22"/>
          <w:szCs w:val="22"/>
        </w:rPr>
        <w:t xml:space="preserve">and the department’s officers have agreed to </w:t>
      </w:r>
      <w:r>
        <w:rPr>
          <w:rFonts w:ascii="Arial" w:hAnsi="Arial" w:cs="Arial"/>
          <w:sz w:val="22"/>
          <w:szCs w:val="22"/>
        </w:rPr>
        <w:t>an additional recommendation</w:t>
      </w:r>
      <w:r w:rsidRPr="0025194B">
        <w:rPr>
          <w:rFonts w:ascii="Arial" w:hAnsi="Arial" w:cs="Arial"/>
          <w:sz w:val="22"/>
          <w:szCs w:val="22"/>
        </w:rPr>
        <w:t xml:space="preserve"> (</w:t>
      </w:r>
      <w:r>
        <w:rPr>
          <w:rFonts w:ascii="Arial" w:hAnsi="Arial" w:cs="Arial"/>
          <w:b/>
          <w:sz w:val="22"/>
          <w:szCs w:val="22"/>
          <w:u w:val="single"/>
        </w:rPr>
        <w:t xml:space="preserve">Attachment </w:t>
      </w:r>
      <w:r w:rsidR="002320D9">
        <w:rPr>
          <w:rFonts w:ascii="Arial" w:hAnsi="Arial" w:cs="Arial"/>
          <w:b/>
          <w:sz w:val="22"/>
          <w:szCs w:val="22"/>
          <w:u w:val="single"/>
        </w:rPr>
        <w:t>1</w:t>
      </w:r>
      <w:r w:rsidRPr="0025194B">
        <w:rPr>
          <w:rFonts w:ascii="Arial" w:hAnsi="Arial" w:cs="Arial"/>
          <w:sz w:val="22"/>
          <w:szCs w:val="22"/>
        </w:rPr>
        <w:t xml:space="preserve">) </w:t>
      </w:r>
      <w:r w:rsidRPr="00CA086D">
        <w:rPr>
          <w:rFonts w:ascii="Arial" w:hAnsi="Arial" w:cs="Arial"/>
          <w:sz w:val="22"/>
          <w:szCs w:val="22"/>
          <w:lang w:val="en-AU" w:eastAsia="zh-CN" w:bidi="th-TH"/>
        </w:rPr>
        <w:t>focussing on ensuring the continuation of good management practices.</w:t>
      </w:r>
      <w:r w:rsidRPr="0025194B">
        <w:rPr>
          <w:rFonts w:ascii="Arial" w:hAnsi="Arial" w:cs="Arial"/>
          <w:sz w:val="22"/>
          <w:szCs w:val="22"/>
          <w:lang w:val="en-AU" w:eastAsia="zh-CN" w:bidi="th-TH"/>
        </w:rPr>
        <w:t xml:space="preserve"> </w:t>
      </w:r>
    </w:p>
    <w:p w:rsidR="001A018B" w:rsidRPr="004D31A7" w:rsidRDefault="001A018B" w:rsidP="001A018B">
      <w:pPr>
        <w:rPr>
          <w:rFonts w:cs="Arial"/>
          <w:color w:val="00B050"/>
        </w:rPr>
      </w:pPr>
      <w:r w:rsidRPr="00B00ABE">
        <w:rPr>
          <w:rFonts w:cs="Arial"/>
        </w:rPr>
        <w:lastRenderedPageBreak/>
        <w:t>Please note that any person whose interests are affected by this decision may make an</w:t>
      </w:r>
      <w:r w:rsidRPr="00441D43">
        <w:rPr>
          <w:rFonts w:cs="Arial"/>
        </w:rPr>
        <w:t xml:space="preserve"> application to the Department of the Environment for the reasons for the decision, and may apply to the Administrative Appeals Tribunal to have this decision reviewed. I have enclosed further information</w:t>
      </w:r>
      <w:r>
        <w:rPr>
          <w:rFonts w:cs="Arial"/>
        </w:rPr>
        <w:t xml:space="preserve"> on these processes</w:t>
      </w:r>
      <w:r w:rsidRPr="00441D43">
        <w:rPr>
          <w:rFonts w:cs="Arial"/>
        </w:rPr>
        <w:t>.</w:t>
      </w:r>
    </w:p>
    <w:p w:rsidR="001A018B" w:rsidRDefault="001A018B" w:rsidP="001A018B">
      <w:pPr>
        <w:rPr>
          <w:rFonts w:cs="Arial"/>
        </w:rPr>
      </w:pPr>
      <w:bookmarkStart w:id="0" w:name="bkStart"/>
      <w:bookmarkEnd w:id="0"/>
      <w:r w:rsidRPr="00822585">
        <w:rPr>
          <w:rFonts w:cs="Arial"/>
        </w:rPr>
        <w:t>Yours sincerely</w:t>
      </w:r>
    </w:p>
    <w:p w:rsidR="001A018B" w:rsidRDefault="001A018B" w:rsidP="001A018B">
      <w:pPr>
        <w:tabs>
          <w:tab w:val="left" w:pos="284"/>
        </w:tabs>
      </w:pPr>
    </w:p>
    <w:p w:rsidR="001A018B" w:rsidRDefault="001A018B" w:rsidP="001A018B">
      <w:pPr>
        <w:tabs>
          <w:tab w:val="left" w:pos="284"/>
        </w:tabs>
      </w:pPr>
    </w:p>
    <w:p w:rsidR="001A018B" w:rsidRDefault="00DF7F23" w:rsidP="001A018B">
      <w:pPr>
        <w:tabs>
          <w:tab w:val="left" w:pos="284"/>
        </w:tabs>
      </w:pPr>
      <w:r>
        <w:t>Paul Murphy</w:t>
      </w:r>
      <w:r w:rsidR="001A018B">
        <w:br/>
      </w:r>
      <w:r w:rsidR="001A018B" w:rsidRPr="00CA086D">
        <w:rPr>
          <w:rFonts w:cs="Arial"/>
        </w:rPr>
        <w:t>Delegate of the Minister</w:t>
      </w:r>
      <w:r w:rsidR="001A018B" w:rsidRPr="00822585">
        <w:rPr>
          <w:rFonts w:cs="Arial"/>
        </w:rPr>
        <w:t xml:space="preserve"> for </w:t>
      </w:r>
      <w:r w:rsidR="001A018B">
        <w:rPr>
          <w:rFonts w:cs="Arial"/>
        </w:rPr>
        <w:t>the Environment</w:t>
      </w:r>
      <w:r w:rsidR="002320D9">
        <w:br/>
      </w:r>
      <w:r w:rsidR="006F1381">
        <w:t xml:space="preserve">22 </w:t>
      </w:r>
      <w:r w:rsidR="001A018B">
        <w:t>February 2016</w:t>
      </w:r>
    </w:p>
    <w:p w:rsidR="006B1098" w:rsidRDefault="006B1098" w:rsidP="00392049">
      <w:pPr>
        <w:tabs>
          <w:tab w:val="left" w:pos="284"/>
        </w:tabs>
      </w:pPr>
    </w:p>
    <w:p w:rsidR="00EE482C" w:rsidRDefault="00EE482C" w:rsidP="00392049">
      <w:pPr>
        <w:tabs>
          <w:tab w:val="left" w:pos="284"/>
        </w:tabs>
      </w:pPr>
    </w:p>
    <w:p w:rsidR="00EE482C" w:rsidRDefault="00EE482C" w:rsidP="00392049">
      <w:pPr>
        <w:tabs>
          <w:tab w:val="left" w:pos="284"/>
        </w:tabs>
        <w:sectPr w:rsidR="00EE482C" w:rsidSect="00D26C48">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993" w:left="1440" w:header="425" w:footer="425" w:gutter="0"/>
          <w:pgNumType w:start="1"/>
          <w:cols w:space="708"/>
          <w:titlePg/>
          <w:docGrid w:linePitch="360"/>
        </w:sectPr>
      </w:pPr>
    </w:p>
    <w:p w:rsidR="001A018B" w:rsidRPr="00E14857" w:rsidRDefault="001A018B" w:rsidP="001A018B">
      <w:pPr>
        <w:jc w:val="center"/>
        <w:rPr>
          <w:rFonts w:cs="Arial"/>
        </w:rPr>
      </w:pPr>
      <w:r w:rsidRPr="00E14857">
        <w:rPr>
          <w:rFonts w:cs="Arial"/>
          <w:b/>
          <w:bCs/>
        </w:rPr>
        <w:lastRenderedPageBreak/>
        <w:t xml:space="preserve">Conditions on the approved wildlife trade operation declaration for the </w:t>
      </w:r>
      <w:r>
        <w:rPr>
          <w:rFonts w:cs="Arial"/>
          <w:b/>
          <w:bCs/>
        </w:rPr>
        <w:t xml:space="preserve">harvest of </w:t>
      </w:r>
      <w:r w:rsidR="002320D9">
        <w:rPr>
          <w:rFonts w:cs="Arial"/>
          <w:b/>
          <w:bCs/>
        </w:rPr>
        <w:t>Australian salmon (</w:t>
      </w:r>
      <w:proofErr w:type="spellStart"/>
      <w:r>
        <w:rPr>
          <w:rFonts w:cs="Arial"/>
          <w:b/>
          <w:bCs/>
          <w:i/>
        </w:rPr>
        <w:t>Arripis</w:t>
      </w:r>
      <w:proofErr w:type="spellEnd"/>
      <w:r>
        <w:rPr>
          <w:rFonts w:cs="Arial"/>
          <w:b/>
          <w:bCs/>
          <w:i/>
        </w:rPr>
        <w:t xml:space="preserve"> </w:t>
      </w:r>
      <w:proofErr w:type="spellStart"/>
      <w:r>
        <w:rPr>
          <w:rFonts w:cs="Arial"/>
          <w:b/>
          <w:bCs/>
          <w:i/>
        </w:rPr>
        <w:t>trutta</w:t>
      </w:r>
      <w:proofErr w:type="spellEnd"/>
      <w:r w:rsidR="002320D9">
        <w:rPr>
          <w:rFonts w:cs="Arial"/>
          <w:b/>
          <w:bCs/>
        </w:rPr>
        <w:t xml:space="preserve">) </w:t>
      </w:r>
      <w:r>
        <w:rPr>
          <w:rFonts w:cs="Arial"/>
          <w:b/>
          <w:bCs/>
        </w:rPr>
        <w:t>by the Richey Fishing Company, February 2016</w:t>
      </w:r>
    </w:p>
    <w:p w:rsidR="001A018B" w:rsidRPr="00E14857" w:rsidRDefault="001A018B" w:rsidP="001A018B">
      <w:pPr>
        <w:rPr>
          <w:rFonts w:cs="Arial"/>
        </w:rPr>
      </w:pPr>
    </w:p>
    <w:p w:rsidR="001A018B" w:rsidRPr="00E10013" w:rsidRDefault="001A018B" w:rsidP="001A018B">
      <w:pPr>
        <w:pStyle w:val="ListNumber"/>
        <w:rPr>
          <w:sz w:val="28"/>
        </w:rPr>
      </w:pPr>
      <w:r w:rsidRPr="00E10013">
        <w:t xml:space="preserve">Operation </w:t>
      </w:r>
      <w:r w:rsidR="00872E07">
        <w:t>of the Richey Fishing Company’s</w:t>
      </w:r>
      <w:r w:rsidRPr="00E10013">
        <w:t xml:space="preserve"> Australian salmon operation will be carried out in accordance with the Tasmanian Fisheries (</w:t>
      </w:r>
      <w:proofErr w:type="spellStart"/>
      <w:r w:rsidRPr="00E10013">
        <w:t>Scalefish</w:t>
      </w:r>
      <w:proofErr w:type="spellEnd"/>
      <w:r w:rsidRPr="00E10013">
        <w:t xml:space="preserve">) Rules 2015 in force under the Tasmanian </w:t>
      </w:r>
      <w:r w:rsidRPr="00E10013">
        <w:rPr>
          <w:i/>
        </w:rPr>
        <w:t>Living Marine Resources Management Act 1995</w:t>
      </w:r>
      <w:r w:rsidRPr="00E10013">
        <w:t>.</w:t>
      </w:r>
    </w:p>
    <w:p w:rsidR="001A018B" w:rsidRPr="00E10013" w:rsidRDefault="001A018B" w:rsidP="001A018B">
      <w:pPr>
        <w:pStyle w:val="ListNumber"/>
        <w:rPr>
          <w:sz w:val="28"/>
        </w:rPr>
      </w:pPr>
      <w:r w:rsidRPr="00E10013">
        <w:t xml:space="preserve">The Richey Fishing Company to inform the Department of the Environment of any intended material changes to the Tasmanian </w:t>
      </w:r>
      <w:proofErr w:type="spellStart"/>
      <w:r w:rsidRPr="00E10013">
        <w:t>Scalefish</w:t>
      </w:r>
      <w:proofErr w:type="spellEnd"/>
      <w:r w:rsidRPr="00E10013">
        <w:t xml:space="preserve"> Fishery management arrangements that may affect the assessment against which </w:t>
      </w:r>
      <w:r w:rsidRPr="00E10013">
        <w:rPr>
          <w:i/>
          <w:iCs/>
        </w:rPr>
        <w:t>Environment Protection and Biodiversity Conservation Act 1999</w:t>
      </w:r>
      <w:r w:rsidRPr="00E10013">
        <w:t xml:space="preserve"> decisions are made.</w:t>
      </w:r>
    </w:p>
    <w:p w:rsidR="001A018B" w:rsidRPr="00E10013" w:rsidRDefault="001A018B" w:rsidP="001A018B">
      <w:pPr>
        <w:pStyle w:val="ListNumber"/>
        <w:rPr>
          <w:sz w:val="28"/>
        </w:rPr>
      </w:pPr>
      <w:r w:rsidRPr="00E10013">
        <w:t xml:space="preserve">The Richey Fishing Company to produce and present reports to the Department of the Environment annually as per Appendix B of the </w:t>
      </w:r>
      <w:r w:rsidRPr="00E10013">
        <w:rPr>
          <w:i/>
          <w:iCs/>
        </w:rPr>
        <w:t>Guidelines for the Ecologically Sustainable Management of Fisheries - 2nd Edition.</w:t>
      </w:r>
    </w:p>
    <w:p w:rsidR="00D26C48" w:rsidRDefault="00D26C48" w:rsidP="00D26C48">
      <w:pPr>
        <w:spacing w:before="240"/>
      </w:pPr>
    </w:p>
    <w:p w:rsidR="001A018B" w:rsidRDefault="001A018B" w:rsidP="001A018B">
      <w:pPr>
        <w:pStyle w:val="ListNumber"/>
        <w:numPr>
          <w:ilvl w:val="0"/>
          <w:numId w:val="0"/>
        </w:numPr>
        <w:spacing w:after="120"/>
        <w:jc w:val="center"/>
        <w:rPr>
          <w:rFonts w:cs="Arial"/>
          <w:b/>
        </w:rPr>
      </w:pPr>
      <w:r>
        <w:rPr>
          <w:rFonts w:cs="Arial"/>
          <w:b/>
          <w:bCs/>
        </w:rPr>
        <w:t>Recommendations</w:t>
      </w:r>
      <w:r w:rsidRPr="006B1098">
        <w:rPr>
          <w:rFonts w:cs="Arial"/>
          <w:b/>
          <w:bCs/>
        </w:rPr>
        <w:t xml:space="preserve"> to </w:t>
      </w:r>
      <w:r>
        <w:rPr>
          <w:rFonts w:cs="Arial"/>
          <w:b/>
          <w:bCs/>
        </w:rPr>
        <w:t>the Richey Fishing Company</w:t>
      </w:r>
      <w:r w:rsidRPr="006B1098">
        <w:rPr>
          <w:rFonts w:cs="Arial"/>
          <w:b/>
        </w:rPr>
        <w:t xml:space="preserve"> on the ecologically sustainable man</w:t>
      </w:r>
      <w:r>
        <w:rPr>
          <w:rFonts w:cs="Arial"/>
          <w:b/>
        </w:rPr>
        <w:t xml:space="preserve">agement of the harvest of </w:t>
      </w:r>
      <w:r w:rsidR="002320D9">
        <w:rPr>
          <w:rFonts w:cs="Arial"/>
          <w:b/>
          <w:bCs/>
        </w:rPr>
        <w:t>Australian salmon (</w:t>
      </w:r>
      <w:proofErr w:type="spellStart"/>
      <w:r w:rsidR="002320D9">
        <w:rPr>
          <w:rFonts w:cs="Arial"/>
          <w:b/>
          <w:bCs/>
          <w:i/>
        </w:rPr>
        <w:t>Arripis</w:t>
      </w:r>
      <w:proofErr w:type="spellEnd"/>
      <w:r w:rsidR="002320D9">
        <w:rPr>
          <w:rFonts w:cs="Arial"/>
          <w:b/>
          <w:bCs/>
          <w:i/>
        </w:rPr>
        <w:t xml:space="preserve"> </w:t>
      </w:r>
      <w:proofErr w:type="spellStart"/>
      <w:r w:rsidR="002320D9">
        <w:rPr>
          <w:rFonts w:cs="Arial"/>
          <w:b/>
          <w:bCs/>
          <w:i/>
        </w:rPr>
        <w:t>trutta</w:t>
      </w:r>
      <w:proofErr w:type="spellEnd"/>
      <w:r w:rsidR="002320D9">
        <w:rPr>
          <w:rFonts w:cs="Arial"/>
          <w:b/>
          <w:bCs/>
        </w:rPr>
        <w:t xml:space="preserve">) </w:t>
      </w:r>
      <w:r>
        <w:rPr>
          <w:rFonts w:cs="Arial"/>
          <w:b/>
        </w:rPr>
        <w:t xml:space="preserve">in the Tasmanian </w:t>
      </w:r>
      <w:proofErr w:type="spellStart"/>
      <w:r>
        <w:rPr>
          <w:rFonts w:cs="Arial"/>
          <w:b/>
        </w:rPr>
        <w:t>Scalefish</w:t>
      </w:r>
      <w:proofErr w:type="spellEnd"/>
      <w:r>
        <w:rPr>
          <w:rFonts w:cs="Arial"/>
          <w:b/>
        </w:rPr>
        <w:t xml:space="preserve"> Fishery, February 2016</w:t>
      </w:r>
    </w:p>
    <w:p w:rsidR="001A018B" w:rsidRPr="00EF0C37" w:rsidRDefault="001A018B" w:rsidP="001A018B">
      <w:pPr>
        <w:spacing w:after="120"/>
        <w:jc w:val="center"/>
        <w:rPr>
          <w:rFonts w:cs="Arial"/>
        </w:rPr>
      </w:pPr>
    </w:p>
    <w:p w:rsidR="001A018B" w:rsidRPr="00267CD5" w:rsidRDefault="009F5DEB" w:rsidP="009F5DEB">
      <w:pPr>
        <w:pStyle w:val="ListNumber"/>
        <w:numPr>
          <w:ilvl w:val="0"/>
          <w:numId w:val="44"/>
        </w:numPr>
      </w:pPr>
      <w:r w:rsidRPr="009F5DEB">
        <w:t>Noting the fishing gear used is highly selective and the potential for interactions with protected species is extremely low, should purse seining effort, or overall fishing effort increase significantly, the Richey Fishing Company to develop and implement protocols to evaluate the nature and level of impacts of fishing on marine mammals.</w:t>
      </w:r>
    </w:p>
    <w:p w:rsidR="006B1098" w:rsidRPr="00E14857" w:rsidRDefault="006B1098" w:rsidP="006B1098">
      <w:pPr>
        <w:rPr>
          <w:rFonts w:cs="Arial"/>
        </w:rPr>
      </w:pPr>
    </w:p>
    <w:p w:rsidR="00733C36" w:rsidRPr="00EF0C37" w:rsidRDefault="00733C36" w:rsidP="00733C36">
      <w:pPr>
        <w:spacing w:after="120"/>
        <w:jc w:val="center"/>
        <w:rPr>
          <w:rFonts w:cs="Arial"/>
        </w:rPr>
      </w:pPr>
    </w:p>
    <w:p w:rsidR="006F181F" w:rsidRDefault="006F181F" w:rsidP="006F181F">
      <w:pPr>
        <w:pStyle w:val="ListNumber"/>
        <w:numPr>
          <w:ilvl w:val="0"/>
          <w:numId w:val="0"/>
        </w:numPr>
        <w:spacing w:after="120"/>
        <w:ind w:left="369" w:hanging="369"/>
        <w:rPr>
          <w:highlight w:val="yellow"/>
        </w:rPr>
      </w:pPr>
    </w:p>
    <w:p w:rsidR="006F181F" w:rsidRDefault="006F181F" w:rsidP="006F181F">
      <w:pPr>
        <w:pStyle w:val="ListNumber"/>
        <w:numPr>
          <w:ilvl w:val="0"/>
          <w:numId w:val="0"/>
        </w:numPr>
        <w:spacing w:after="120"/>
        <w:ind w:left="369" w:hanging="369"/>
        <w:rPr>
          <w:highlight w:val="yellow"/>
        </w:rPr>
      </w:pPr>
    </w:p>
    <w:p w:rsidR="006F181F" w:rsidRDefault="006F181F" w:rsidP="006F181F">
      <w:pPr>
        <w:pStyle w:val="ListNumber"/>
        <w:numPr>
          <w:ilvl w:val="0"/>
          <w:numId w:val="0"/>
        </w:numPr>
        <w:spacing w:after="120"/>
        <w:ind w:left="369" w:hanging="369"/>
        <w:rPr>
          <w:highlight w:val="yellow"/>
        </w:rPr>
      </w:pPr>
    </w:p>
    <w:p w:rsidR="006F181F" w:rsidRDefault="006F181F" w:rsidP="006F181F">
      <w:pPr>
        <w:pStyle w:val="ListNumber"/>
        <w:numPr>
          <w:ilvl w:val="0"/>
          <w:numId w:val="0"/>
        </w:numPr>
        <w:spacing w:after="120"/>
        <w:ind w:left="369" w:hanging="369"/>
        <w:rPr>
          <w:highlight w:val="yellow"/>
        </w:rPr>
      </w:pPr>
    </w:p>
    <w:p w:rsidR="005B16BE" w:rsidRDefault="005B16BE" w:rsidP="006F181F">
      <w:pPr>
        <w:pStyle w:val="ListNumber"/>
        <w:numPr>
          <w:ilvl w:val="0"/>
          <w:numId w:val="0"/>
        </w:numPr>
        <w:spacing w:after="120"/>
        <w:ind w:left="369" w:hanging="369"/>
        <w:rPr>
          <w:highlight w:val="yellow"/>
        </w:rPr>
      </w:pPr>
    </w:p>
    <w:p w:rsidR="005B16BE" w:rsidRDefault="005B16BE">
      <w:pPr>
        <w:spacing w:after="0" w:line="240" w:lineRule="auto"/>
        <w:rPr>
          <w:highlight w:val="yellow"/>
        </w:rPr>
      </w:pPr>
      <w:r>
        <w:rPr>
          <w:highlight w:val="yellow"/>
        </w:rPr>
        <w:br w:type="page"/>
      </w:r>
    </w:p>
    <w:p w:rsidR="005B16BE" w:rsidRDefault="005B16BE" w:rsidP="006F181F">
      <w:pPr>
        <w:pStyle w:val="ListNumber"/>
        <w:numPr>
          <w:ilvl w:val="0"/>
          <w:numId w:val="0"/>
        </w:numPr>
        <w:spacing w:after="120"/>
        <w:ind w:left="369" w:hanging="369"/>
        <w:rPr>
          <w:highlight w:val="yellow"/>
        </w:rPr>
      </w:pPr>
    </w:p>
    <w:p w:rsidR="005B16BE" w:rsidRDefault="005B16BE">
      <w:pPr>
        <w:spacing w:after="0" w:line="240" w:lineRule="auto"/>
        <w:rPr>
          <w:highlight w:val="yellow"/>
        </w:rPr>
      </w:pPr>
      <w:r>
        <w:rPr>
          <w:highlight w:val="yellow"/>
        </w:rPr>
        <w:br w:type="page"/>
      </w:r>
    </w:p>
    <w:p w:rsidR="0054376F" w:rsidRDefault="0054376F" w:rsidP="006F181F">
      <w:pPr>
        <w:pStyle w:val="ListNumber"/>
        <w:numPr>
          <w:ilvl w:val="0"/>
          <w:numId w:val="0"/>
        </w:numPr>
        <w:spacing w:after="120"/>
        <w:ind w:left="369" w:hanging="369"/>
        <w:rPr>
          <w:highlight w:val="yellow"/>
        </w:rPr>
        <w:sectPr w:rsidR="0054376F" w:rsidSect="003D1501">
          <w:headerReference w:type="first" r:id="rId15"/>
          <w:pgSz w:w="11906" w:h="16838"/>
          <w:pgMar w:top="1134" w:right="1418" w:bottom="1134" w:left="1418" w:header="425" w:footer="425" w:gutter="0"/>
          <w:pgNumType w:start="1"/>
          <w:cols w:space="708"/>
          <w:titlePg/>
          <w:docGrid w:linePitch="360"/>
        </w:sectPr>
      </w:pPr>
    </w:p>
    <w:p w:rsidR="0050646D" w:rsidRDefault="0050646D" w:rsidP="0050646D">
      <w:pPr>
        <w:spacing w:before="200"/>
        <w:jc w:val="center"/>
        <w:rPr>
          <w:rFonts w:cs="Arial"/>
          <w:b/>
          <w:color w:val="000000"/>
          <w:u w:val="single"/>
        </w:rPr>
      </w:pPr>
      <w:r w:rsidRPr="00FC64FE">
        <w:rPr>
          <w:rFonts w:cs="Arial"/>
          <w:b/>
          <w:color w:val="000000"/>
          <w:u w:val="single"/>
        </w:rPr>
        <w:t>Notification of Reviewable Decisions and Rights of Review</w:t>
      </w:r>
      <w:r w:rsidRPr="00FC64FE">
        <w:rPr>
          <w:rStyle w:val="FootnoteReference"/>
          <w:rFonts w:cs="Arial"/>
          <w:b/>
          <w:color w:val="000000"/>
          <w:u w:val="single"/>
        </w:rPr>
        <w:footnoteReference w:id="1"/>
      </w:r>
    </w:p>
    <w:p w:rsidR="0050646D" w:rsidRDefault="0050646D" w:rsidP="0050646D">
      <w:pPr>
        <w:jc w:val="both"/>
        <w:rPr>
          <w:rFonts w:cs="Arial"/>
          <w:color w:val="000000"/>
        </w:rPr>
      </w:pPr>
      <w:r w:rsidRPr="00FC64FE">
        <w:rPr>
          <w:rFonts w:cs="Arial"/>
          <w:color w:val="000000"/>
        </w:rPr>
        <w:t>If you are dissatisfi</w:t>
      </w:r>
      <w:r>
        <w:rPr>
          <w:rFonts w:cs="Arial"/>
          <w:color w:val="000000"/>
        </w:rPr>
        <w:t>ed with the attached decision to make</w:t>
      </w:r>
      <w:r w:rsidR="00B00ABE">
        <w:rPr>
          <w:rFonts w:cs="Arial"/>
          <w:color w:val="000000"/>
        </w:rPr>
        <w:t xml:space="preserve">, </w:t>
      </w:r>
      <w:r w:rsidRPr="00B00ABE">
        <w:rPr>
          <w:rFonts w:cs="Arial"/>
          <w:color w:val="000000"/>
        </w:rPr>
        <w:t>refuse, vary or revoke</w:t>
      </w:r>
      <w:r w:rsidR="00BF1EFE">
        <w:rPr>
          <w:rFonts w:cs="Arial"/>
          <w:color w:val="000000"/>
        </w:rPr>
        <w:t xml:space="preserve"> a declaration under </w:t>
      </w:r>
      <w:r w:rsidRPr="00BF1EFE">
        <w:rPr>
          <w:rFonts w:cs="Arial"/>
          <w:color w:val="000000"/>
        </w:rPr>
        <w:t>303FN</w:t>
      </w:r>
      <w:r w:rsidR="00BF1EFE">
        <w:rPr>
          <w:rFonts w:cs="Arial"/>
          <w:color w:val="000000"/>
        </w:rPr>
        <w:t xml:space="preserve"> of the </w:t>
      </w:r>
      <w:r w:rsidR="00BF1EFE" w:rsidRPr="00441E3C">
        <w:rPr>
          <w:rFonts w:cs="Arial"/>
          <w:i/>
          <w:color w:val="000000"/>
        </w:rPr>
        <w:t>Environment Protection an</w:t>
      </w:r>
      <w:r w:rsidR="00BF1EFE">
        <w:rPr>
          <w:rFonts w:cs="Arial"/>
          <w:i/>
          <w:color w:val="000000"/>
        </w:rPr>
        <w:t>d Biodiversity Conservation Act </w:t>
      </w:r>
      <w:r w:rsidR="00BF1EFE" w:rsidRPr="00441E3C">
        <w:rPr>
          <w:rFonts w:cs="Arial"/>
          <w:i/>
          <w:color w:val="000000"/>
        </w:rPr>
        <w:t>1999</w:t>
      </w:r>
      <w:r w:rsidR="00BF1EFE">
        <w:rPr>
          <w:rFonts w:cs="Arial"/>
          <w:i/>
          <w:color w:val="000000"/>
        </w:rPr>
        <w:t xml:space="preserve"> </w:t>
      </w:r>
      <w:r w:rsidR="00BF1EFE" w:rsidRPr="00BF1EFE">
        <w:rPr>
          <w:rFonts w:cs="Arial"/>
          <w:color w:val="000000"/>
        </w:rPr>
        <w:t>(</w:t>
      </w:r>
      <w:r w:rsidR="00BF1EFE" w:rsidRPr="00BF1EFE">
        <w:rPr>
          <w:rFonts w:cs="Arial"/>
          <w:b/>
          <w:color w:val="000000"/>
        </w:rPr>
        <w:t>EPBC Act</w:t>
      </w:r>
      <w:r w:rsidR="00BF1EFE" w:rsidRPr="00BF1EFE">
        <w:rPr>
          <w:rFonts w:cs="Arial"/>
          <w:color w:val="000000"/>
        </w:rPr>
        <w:t>)</w:t>
      </w:r>
      <w:r w:rsidR="00BF1EFE">
        <w:rPr>
          <w:rFonts w:cs="Arial"/>
          <w:i/>
          <w:color w:val="000000"/>
        </w:rPr>
        <w:t>,</w:t>
      </w:r>
      <w:r w:rsidR="00BF1EFE">
        <w:rPr>
          <w:rFonts w:cs="Arial"/>
          <w:color w:val="000000"/>
        </w:rPr>
        <w:t xml:space="preserve"> </w:t>
      </w:r>
      <w:r>
        <w:rPr>
          <w:rFonts w:cs="Arial"/>
          <w:color w:val="000000"/>
        </w:rPr>
        <w:t xml:space="preserve">under section 303GJ(1) of the </w:t>
      </w:r>
      <w:r w:rsidR="00BF1EFE">
        <w:rPr>
          <w:rFonts w:cs="Arial"/>
          <w:color w:val="000000"/>
        </w:rPr>
        <w:t xml:space="preserve">EPBC </w:t>
      </w:r>
      <w:r w:rsidR="00BF1EFE" w:rsidRPr="00BF1EFE">
        <w:rPr>
          <w:rFonts w:cs="Arial"/>
          <w:color w:val="000000"/>
        </w:rPr>
        <w:t>Act</w:t>
      </w:r>
      <w:r w:rsidR="00BF1EFE">
        <w:rPr>
          <w:rFonts w:cs="Arial"/>
          <w:i/>
          <w:color w:val="000000"/>
        </w:rPr>
        <w:t xml:space="preserve"> </w:t>
      </w:r>
      <w:r w:rsidRPr="00FC64FE">
        <w:rPr>
          <w:rFonts w:cs="Arial"/>
          <w:color w:val="000000"/>
        </w:rPr>
        <w:t>you may apply to the Administrative Appeals Tribunal (</w:t>
      </w:r>
      <w:r w:rsidRPr="00FC64FE">
        <w:rPr>
          <w:rFonts w:cs="Arial"/>
          <w:b/>
          <w:color w:val="000000"/>
        </w:rPr>
        <w:t>AAT</w:t>
      </w:r>
      <w:r w:rsidRPr="00FC64FE">
        <w:rPr>
          <w:rFonts w:cs="Arial"/>
          <w:color w:val="000000"/>
        </w:rPr>
        <w:t xml:space="preserve">) for review of the decision. An application for review of a decision must be made to the AAT within </w:t>
      </w:r>
      <w:r w:rsidRPr="00FC64FE">
        <w:rPr>
          <w:rFonts w:cs="Arial"/>
          <w:b/>
          <w:color w:val="000000"/>
        </w:rPr>
        <w:t>28 days</w:t>
      </w:r>
      <w:r w:rsidRPr="00FC64FE">
        <w:rPr>
          <w:rFonts w:cs="Arial"/>
          <w:color w:val="000000"/>
        </w:rPr>
        <w:t xml:space="preserve"> after the day on which you have received the reviewable decision. However an extension of time for lodging an application may be granted by the AAT under certain circumstances. Please visit the AAT’s website at </w:t>
      </w:r>
      <w:hyperlink r:id="rId16" w:history="1">
        <w:r w:rsidRPr="00FC64FE">
          <w:rPr>
            <w:rStyle w:val="Hyperlink"/>
            <w:rFonts w:cs="Arial"/>
            <w:color w:val="000000"/>
          </w:rPr>
          <w:t>http://www.aat.gov.au/</w:t>
        </w:r>
      </w:hyperlink>
      <w:r w:rsidRPr="00FC64FE">
        <w:rPr>
          <w:rFonts w:cs="Arial"/>
          <w:color w:val="000000"/>
        </w:rPr>
        <w:t xml:space="preserve"> for further information.</w:t>
      </w:r>
    </w:p>
    <w:p w:rsidR="0050646D" w:rsidRDefault="0050646D" w:rsidP="0050646D">
      <w:pPr>
        <w:jc w:val="both"/>
        <w:rPr>
          <w:rFonts w:cs="Arial"/>
          <w:color w:val="000000"/>
        </w:rPr>
      </w:pPr>
      <w:r>
        <w:rPr>
          <w:rFonts w:cs="Arial"/>
          <w:color w:val="000000"/>
        </w:rPr>
        <w:t xml:space="preserve">You are also entitled to request a statement from the decision maker in writing setting out the findings on material questions of fact, referring to the evidence or other material on which those findings were based and giving the reasons for the decision. The decision maker must prepare and give a statement of reasons to the applicant within </w:t>
      </w:r>
      <w:r w:rsidRPr="00A94202">
        <w:rPr>
          <w:rFonts w:cs="Arial"/>
          <w:b/>
          <w:color w:val="000000"/>
        </w:rPr>
        <w:t>28 days</w:t>
      </w:r>
      <w:r>
        <w:rPr>
          <w:rFonts w:cs="Arial"/>
          <w:color w:val="000000"/>
        </w:rPr>
        <w:t xml:space="preserve"> of receiving the request. </w:t>
      </w:r>
    </w:p>
    <w:p w:rsidR="0050646D" w:rsidRPr="00FC64FE" w:rsidRDefault="0050646D" w:rsidP="0050646D">
      <w:pPr>
        <w:jc w:val="both"/>
        <w:rPr>
          <w:rFonts w:cs="Arial"/>
          <w:b/>
          <w:color w:val="000000"/>
        </w:rPr>
      </w:pPr>
      <w:r w:rsidRPr="00FC64FE">
        <w:rPr>
          <w:rFonts w:cs="Arial"/>
          <w:b/>
          <w:color w:val="000000"/>
        </w:rPr>
        <w:t xml:space="preserve">Role of the AAT </w:t>
      </w:r>
    </w:p>
    <w:p w:rsidR="0050646D" w:rsidRPr="00FC64FE" w:rsidRDefault="0050646D" w:rsidP="0050646D">
      <w:pPr>
        <w:jc w:val="both"/>
        <w:rPr>
          <w:rFonts w:cs="Arial"/>
          <w:color w:val="000000"/>
        </w:rPr>
      </w:pPr>
      <w:r w:rsidRPr="00FC64FE">
        <w:rPr>
          <w:rFonts w:cs="Arial"/>
          <w:color w:val="000000"/>
        </w:rPr>
        <w:t>The role of the AAT is to provide independent merits review of administrative decisions</w:t>
      </w:r>
      <w:r>
        <w:rPr>
          <w:rFonts w:cs="Arial"/>
          <w:color w:val="000000"/>
        </w:rPr>
        <w:t xml:space="preserve"> by affirming, varying or setting aside the decisions of Commonwealth agencies</w:t>
      </w:r>
      <w:r w:rsidRPr="00FC64FE">
        <w:rPr>
          <w:rFonts w:cs="Arial"/>
          <w:color w:val="000000"/>
        </w:rPr>
        <w:t xml:space="preserve">. The </w:t>
      </w:r>
      <w:r>
        <w:rPr>
          <w:rFonts w:cs="Arial"/>
          <w:color w:val="000000"/>
        </w:rPr>
        <w:t>AAT</w:t>
      </w:r>
      <w:r w:rsidRPr="00FC64FE">
        <w:rPr>
          <w:rFonts w:cs="Arial"/>
          <w:color w:val="000000"/>
        </w:rPr>
        <w:t xml:space="preserve"> aims to provide a review mechanism that is fair, just, economical, informal and quick.</w:t>
      </w:r>
    </w:p>
    <w:p w:rsidR="0050646D" w:rsidRPr="00FC64FE" w:rsidRDefault="0050646D" w:rsidP="0050646D">
      <w:pPr>
        <w:jc w:val="both"/>
        <w:rPr>
          <w:rFonts w:cs="Arial"/>
          <w:b/>
          <w:color w:val="000000"/>
        </w:rPr>
      </w:pPr>
      <w:r w:rsidRPr="00FC64FE">
        <w:rPr>
          <w:rFonts w:cs="Arial"/>
          <w:b/>
          <w:color w:val="000000"/>
        </w:rPr>
        <w:t xml:space="preserve">Applications </w:t>
      </w:r>
      <w:r>
        <w:rPr>
          <w:rFonts w:cs="Arial"/>
          <w:b/>
          <w:color w:val="000000"/>
        </w:rPr>
        <w:t>and</w:t>
      </w:r>
      <w:r w:rsidRPr="00FC64FE">
        <w:rPr>
          <w:rFonts w:cs="Arial"/>
          <w:b/>
          <w:color w:val="000000"/>
        </w:rPr>
        <w:t xml:space="preserve"> </w:t>
      </w:r>
      <w:r>
        <w:rPr>
          <w:rFonts w:cs="Arial"/>
          <w:b/>
          <w:color w:val="000000"/>
        </w:rPr>
        <w:t>c</w:t>
      </w:r>
      <w:r w:rsidRPr="00FC64FE">
        <w:rPr>
          <w:rFonts w:cs="Arial"/>
          <w:b/>
          <w:color w:val="000000"/>
        </w:rPr>
        <w:t xml:space="preserve">osts </w:t>
      </w:r>
    </w:p>
    <w:p w:rsidR="0050646D" w:rsidRPr="00FC64FE" w:rsidRDefault="0050646D" w:rsidP="0050646D">
      <w:pPr>
        <w:jc w:val="both"/>
        <w:rPr>
          <w:rFonts w:cs="Arial"/>
          <w:color w:val="000000"/>
        </w:rPr>
      </w:pPr>
      <w:r w:rsidRPr="00FC64FE">
        <w:rPr>
          <w:rFonts w:cs="Arial"/>
          <w:color w:val="000000"/>
        </w:rPr>
        <w:t xml:space="preserve">Applications to the AAT are made by lodging an Application Form (Form 1). This can be found on the AAT’s website </w:t>
      </w:r>
      <w:hyperlink r:id="rId17" w:history="1">
        <w:r w:rsidRPr="00FC64FE">
          <w:rPr>
            <w:rStyle w:val="Hyperlink"/>
            <w:rFonts w:cs="Arial"/>
            <w:color w:val="000000"/>
          </w:rPr>
          <w:t>http://www.aat.gov.au/</w:t>
        </w:r>
      </w:hyperlink>
    </w:p>
    <w:p w:rsidR="0050646D" w:rsidRPr="00FC64FE" w:rsidRDefault="0050646D" w:rsidP="0050646D">
      <w:pPr>
        <w:jc w:val="both"/>
        <w:rPr>
          <w:rFonts w:cs="Arial"/>
          <w:color w:val="000000"/>
        </w:rPr>
      </w:pPr>
      <w:r w:rsidRPr="00FC64FE">
        <w:rPr>
          <w:rFonts w:cs="Arial"/>
          <w:color w:val="000000"/>
        </w:rPr>
        <w:t xml:space="preserve">There are no strict timelines in which the AAT must review the decision, however the first Conference between the parties will usually be held within 6-10 weeks of the </w:t>
      </w:r>
      <w:r>
        <w:rPr>
          <w:rFonts w:cs="Arial"/>
          <w:color w:val="000000"/>
        </w:rPr>
        <w:t>a</w:t>
      </w:r>
      <w:r w:rsidRPr="00FC64FE">
        <w:rPr>
          <w:rFonts w:cs="Arial"/>
          <w:color w:val="000000"/>
        </w:rPr>
        <w:t xml:space="preserve">pplication being lodged. </w:t>
      </w:r>
    </w:p>
    <w:p w:rsidR="0050646D" w:rsidRPr="00FC64FE" w:rsidRDefault="0050646D" w:rsidP="0050646D">
      <w:pPr>
        <w:rPr>
          <w:rFonts w:cs="Arial"/>
          <w:color w:val="000000"/>
        </w:rPr>
      </w:pPr>
      <w:r w:rsidRPr="00FC64FE">
        <w:rPr>
          <w:rFonts w:cs="Arial"/>
          <w:color w:val="000000"/>
        </w:rPr>
        <w:t xml:space="preserve">The cost of lodging an </w:t>
      </w:r>
      <w:r>
        <w:rPr>
          <w:rFonts w:cs="Arial"/>
          <w:color w:val="000000"/>
        </w:rPr>
        <w:t>a</w:t>
      </w:r>
      <w:r w:rsidRPr="00FC64FE">
        <w:rPr>
          <w:rFonts w:cs="Arial"/>
          <w:color w:val="000000"/>
        </w:rPr>
        <w:t>pplication with the AAT is $</w:t>
      </w:r>
      <w:r>
        <w:rPr>
          <w:rFonts w:cs="Arial"/>
          <w:color w:val="000000"/>
        </w:rPr>
        <w:t>861</w:t>
      </w:r>
      <w:r w:rsidRPr="00FC64FE">
        <w:rPr>
          <w:rFonts w:cs="Arial"/>
          <w:color w:val="000000"/>
        </w:rPr>
        <w:t xml:space="preserve">.00 (current as </w:t>
      </w:r>
      <w:r>
        <w:rPr>
          <w:rFonts w:cs="Arial"/>
          <w:color w:val="000000"/>
        </w:rPr>
        <w:t>at</w:t>
      </w:r>
      <w:r w:rsidRPr="00FC64FE">
        <w:rPr>
          <w:rFonts w:cs="Arial"/>
          <w:color w:val="000000"/>
        </w:rPr>
        <w:t xml:space="preserve"> </w:t>
      </w:r>
      <w:r>
        <w:rPr>
          <w:rFonts w:cs="Arial"/>
          <w:color w:val="000000"/>
        </w:rPr>
        <w:t>15 August 2014</w:t>
      </w:r>
      <w:r w:rsidRPr="00FC64FE">
        <w:rPr>
          <w:rFonts w:cs="Arial"/>
          <w:color w:val="000000"/>
        </w:rPr>
        <w:t xml:space="preserve">). </w:t>
      </w:r>
    </w:p>
    <w:p w:rsidR="0050646D" w:rsidRPr="00FC64FE" w:rsidRDefault="0050646D" w:rsidP="0050646D">
      <w:pPr>
        <w:jc w:val="both"/>
        <w:rPr>
          <w:rFonts w:cs="Arial"/>
          <w:color w:val="000000"/>
        </w:rPr>
      </w:pPr>
      <w:r w:rsidRPr="00FC64FE">
        <w:rPr>
          <w:rFonts w:cs="Arial"/>
          <w:color w:val="000000"/>
        </w:rPr>
        <w:t xml:space="preserve">You may be eligible to pay a reduced fee of $100.00 if: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 xml:space="preserve">ou are receiving legal aid for </w:t>
      </w:r>
      <w:r>
        <w:rPr>
          <w:rFonts w:ascii="Arial" w:hAnsi="Arial" w:cs="Arial"/>
          <w:color w:val="000000"/>
          <w:sz w:val="22"/>
          <w:szCs w:val="22"/>
        </w:rPr>
        <w:t>your</w:t>
      </w:r>
      <w:r w:rsidRPr="00FC64FE">
        <w:rPr>
          <w:rFonts w:ascii="Arial" w:hAnsi="Arial" w:cs="Arial"/>
          <w:color w:val="000000"/>
          <w:sz w:val="22"/>
          <w:szCs w:val="22"/>
        </w:rPr>
        <w:t xml:space="preserve"> application;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 xml:space="preserve">you hold a health care card, a pensioner concession card, </w:t>
      </w:r>
      <w:r w:rsidRPr="00FC64FE">
        <w:rPr>
          <w:rFonts w:ascii="Arial" w:hAnsi="Arial" w:cs="Arial"/>
          <w:color w:val="000000"/>
          <w:sz w:val="22"/>
          <w:szCs w:val="22"/>
        </w:rPr>
        <w:t xml:space="preserve">a Commonwealth seniors health card or any other card issued by the Department of </w:t>
      </w:r>
      <w:r>
        <w:rPr>
          <w:rFonts w:ascii="Arial" w:hAnsi="Arial" w:cs="Arial"/>
          <w:color w:val="000000"/>
          <w:sz w:val="22"/>
          <w:szCs w:val="22"/>
        </w:rPr>
        <w:t>Social</w:t>
      </w:r>
      <w:r w:rsidRPr="00FC64FE">
        <w:rPr>
          <w:rFonts w:ascii="Arial" w:hAnsi="Arial" w:cs="Arial"/>
          <w:color w:val="000000"/>
          <w:sz w:val="22"/>
          <w:szCs w:val="22"/>
        </w:rPr>
        <w:t xml:space="preserve"> Services and Indigenous Affairs or the Department of Veterans' Affairs that </w:t>
      </w:r>
      <w:r>
        <w:rPr>
          <w:rFonts w:ascii="Arial" w:hAnsi="Arial" w:cs="Arial"/>
          <w:color w:val="000000"/>
          <w:sz w:val="22"/>
          <w:szCs w:val="22"/>
        </w:rPr>
        <w:t>certifies entitlement to</w:t>
      </w:r>
      <w:r w:rsidRPr="00FC64FE">
        <w:rPr>
          <w:rFonts w:ascii="Arial" w:hAnsi="Arial" w:cs="Arial"/>
          <w:color w:val="000000"/>
          <w:sz w:val="22"/>
          <w:szCs w:val="22"/>
        </w:rPr>
        <w:t xml:space="preserve"> Commonwealth health concessions;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in prison or lawfully detained in a public institution;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under 18 years of age; or</w:t>
      </w:r>
    </w:p>
    <w:p w:rsidR="0050646D" w:rsidRPr="00FC64FE" w:rsidRDefault="0050646D" w:rsidP="0050646D">
      <w:pPr>
        <w:pStyle w:val="NormalWeb"/>
        <w:numPr>
          <w:ilvl w:val="0"/>
          <w:numId w:val="35"/>
        </w:numPr>
        <w:spacing w:before="0" w:beforeAutospacing="0" w:after="200" w:afterAutospacing="0" w:line="276" w:lineRule="auto"/>
        <w:jc w:val="both"/>
        <w:rPr>
          <w:rFonts w:ascii="Arial" w:hAnsi="Arial" w:cs="Arial"/>
          <w:color w:val="000000"/>
          <w:sz w:val="22"/>
          <w:szCs w:val="22"/>
        </w:rPr>
      </w:pPr>
      <w:proofErr w:type="gramStart"/>
      <w:r>
        <w:rPr>
          <w:rFonts w:ascii="Arial" w:hAnsi="Arial" w:cs="Arial"/>
          <w:color w:val="000000"/>
          <w:sz w:val="22"/>
          <w:szCs w:val="22"/>
        </w:rPr>
        <w:t>y</w:t>
      </w:r>
      <w:r w:rsidRPr="00FC64FE">
        <w:rPr>
          <w:rFonts w:ascii="Arial" w:hAnsi="Arial" w:cs="Arial"/>
          <w:color w:val="000000"/>
          <w:sz w:val="22"/>
          <w:szCs w:val="22"/>
        </w:rPr>
        <w:t>ou</w:t>
      </w:r>
      <w:proofErr w:type="gramEnd"/>
      <w:r w:rsidRPr="00FC64FE">
        <w:rPr>
          <w:rFonts w:ascii="Arial" w:hAnsi="Arial" w:cs="Arial"/>
          <w:color w:val="000000"/>
          <w:sz w:val="22"/>
          <w:szCs w:val="22"/>
        </w:rPr>
        <w:t xml:space="preserve"> are receiving youth allowance, </w:t>
      </w:r>
      <w:proofErr w:type="spellStart"/>
      <w:r w:rsidRPr="00FC64FE">
        <w:rPr>
          <w:rFonts w:ascii="Arial" w:hAnsi="Arial" w:cs="Arial"/>
          <w:color w:val="000000"/>
          <w:sz w:val="22"/>
          <w:szCs w:val="22"/>
        </w:rPr>
        <w:t>Austudy</w:t>
      </w:r>
      <w:proofErr w:type="spellEnd"/>
      <w:r w:rsidRPr="00FC64FE">
        <w:rPr>
          <w:rFonts w:ascii="Arial" w:hAnsi="Arial" w:cs="Arial"/>
          <w:color w:val="000000"/>
          <w:sz w:val="22"/>
          <w:szCs w:val="22"/>
        </w:rPr>
        <w:t xml:space="preserve"> or ABSTUDY.</w:t>
      </w:r>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FC64FE">
        <w:rPr>
          <w:rFonts w:ascii="Arial" w:hAnsi="Arial" w:cs="Arial"/>
          <w:color w:val="000000"/>
          <w:sz w:val="22"/>
          <w:szCs w:val="22"/>
        </w:rPr>
        <w:t>You may also be eligible for a reduced fee if you can demonstrate to the AAT that you demonstrate financial hardship. Further information can be found on the AAT’s website.</w:t>
      </w:r>
    </w:p>
    <w:p w:rsidR="0050646D" w:rsidRDefault="0050646D" w:rsidP="0050646D">
      <w:pPr>
        <w:rPr>
          <w:rFonts w:cs="Arial"/>
          <w:b/>
          <w:color w:val="000000"/>
        </w:rPr>
      </w:pPr>
    </w:p>
    <w:p w:rsidR="0050646D" w:rsidRPr="00FC64FE" w:rsidRDefault="0050646D" w:rsidP="0050646D">
      <w:pPr>
        <w:rPr>
          <w:rFonts w:cs="Arial"/>
          <w:b/>
          <w:color w:val="000000"/>
        </w:rPr>
      </w:pPr>
      <w:r w:rsidRPr="00FC64FE">
        <w:rPr>
          <w:rFonts w:cs="Arial"/>
          <w:b/>
          <w:color w:val="000000"/>
        </w:rPr>
        <w:t xml:space="preserve">Freedom of Information Request </w:t>
      </w:r>
    </w:p>
    <w:p w:rsidR="0050646D" w:rsidRPr="00FC64FE" w:rsidRDefault="0050646D" w:rsidP="0050646D">
      <w:pPr>
        <w:rPr>
          <w:rFonts w:eastAsia="Times New Roman" w:cs="Arial"/>
          <w:color w:val="000000"/>
        </w:rPr>
      </w:pPr>
      <w:r w:rsidRPr="00FC64FE">
        <w:rPr>
          <w:rFonts w:eastAsia="Times New Roman" w:cs="Arial"/>
          <w:color w:val="000000"/>
        </w:rPr>
        <w:t xml:space="preserve">You may make an application under the </w:t>
      </w:r>
      <w:r w:rsidRPr="00FC64FE">
        <w:rPr>
          <w:rFonts w:eastAsia="Times New Roman" w:cs="Arial"/>
          <w:i/>
          <w:iCs/>
          <w:color w:val="000000"/>
        </w:rPr>
        <w:t>Freedom of Information Act 1982</w:t>
      </w:r>
      <w:r w:rsidRPr="00FC64FE">
        <w:rPr>
          <w:rFonts w:eastAsia="Times New Roman" w:cs="Arial"/>
          <w:color w:val="000000"/>
        </w:rPr>
        <w:t xml:space="preserve"> (</w:t>
      </w:r>
      <w:r w:rsidRPr="00FC64FE">
        <w:rPr>
          <w:rFonts w:eastAsia="Times New Roman" w:cs="Arial"/>
          <w:b/>
          <w:color w:val="000000"/>
        </w:rPr>
        <w:t>FOI Act</w:t>
      </w:r>
      <w:r w:rsidRPr="00FC64FE">
        <w:rPr>
          <w:rFonts w:eastAsia="Times New Roman" w:cs="Arial"/>
          <w:color w:val="000000"/>
        </w:rPr>
        <w:t>) to access documents</w:t>
      </w:r>
      <w:r>
        <w:rPr>
          <w:rFonts w:eastAsia="Times New Roman" w:cs="Arial"/>
          <w:color w:val="000000"/>
        </w:rPr>
        <w:t xml:space="preserve"> relevant to this permit decision</w:t>
      </w:r>
      <w:r w:rsidRPr="00FC64FE">
        <w:rPr>
          <w:rFonts w:eastAsia="Times New Roman" w:cs="Arial"/>
          <w:color w:val="000000"/>
        </w:rPr>
        <w:t>. Further information can be found at</w:t>
      </w:r>
      <w:r>
        <w:rPr>
          <w:rFonts w:eastAsia="Times New Roman" w:cs="Arial"/>
          <w:color w:val="000000"/>
        </w:rPr>
        <w:t>:</w:t>
      </w:r>
      <w:r w:rsidRPr="00FC64FE">
        <w:rPr>
          <w:rFonts w:eastAsia="Times New Roman" w:cs="Arial"/>
          <w:color w:val="000000"/>
        </w:rPr>
        <w:t xml:space="preserve"> </w:t>
      </w:r>
      <w:hyperlink r:id="rId18" w:history="1">
        <w:r w:rsidRPr="00FC64FE">
          <w:rPr>
            <w:rStyle w:val="Hyperlink"/>
            <w:rFonts w:eastAsia="Times New Roman" w:cs="Arial"/>
            <w:color w:val="000000"/>
          </w:rPr>
          <w:t>http://www.environment.gov.au/foi/index.html</w:t>
        </w:r>
      </w:hyperlink>
      <w:r w:rsidRPr="00FC64FE">
        <w:rPr>
          <w:rFonts w:eastAsia="Times New Roman" w:cs="Arial"/>
          <w:color w:val="000000"/>
        </w:rPr>
        <w:t xml:space="preserve">. </w:t>
      </w:r>
    </w:p>
    <w:p w:rsidR="0050646D" w:rsidRPr="00FC64FE" w:rsidRDefault="0050646D" w:rsidP="0050646D">
      <w:pPr>
        <w:jc w:val="both"/>
        <w:rPr>
          <w:rFonts w:eastAsia="Times New Roman" w:cs="Arial"/>
          <w:color w:val="000000"/>
        </w:rPr>
      </w:pPr>
      <w:r w:rsidRPr="00FC64FE">
        <w:rPr>
          <w:rFonts w:eastAsia="Times New Roman" w:cs="Arial"/>
          <w:color w:val="000000"/>
        </w:rPr>
        <w:t xml:space="preserve">Please contact the Freedom of Information Contact Officer at </w:t>
      </w:r>
      <w:hyperlink r:id="rId19" w:history="1">
        <w:r w:rsidRPr="00FC64FE">
          <w:rPr>
            <w:rStyle w:val="Hyperlink"/>
            <w:rFonts w:cs="Arial"/>
            <w:color w:val="000000"/>
          </w:rPr>
          <w:t>foi@environment.gov.au</w:t>
        </w:r>
      </w:hyperlink>
      <w:r w:rsidRPr="00FC64FE">
        <w:rPr>
          <w:rFonts w:cs="Arial"/>
          <w:color w:val="000000"/>
        </w:rPr>
        <w:t xml:space="preserve"> for more information. </w:t>
      </w:r>
    </w:p>
    <w:p w:rsidR="0050646D" w:rsidRPr="00FC64FE" w:rsidRDefault="0050646D" w:rsidP="0050646D">
      <w:pPr>
        <w:rPr>
          <w:rFonts w:cs="Arial"/>
          <w:b/>
          <w:color w:val="000000"/>
        </w:rPr>
      </w:pPr>
      <w:r w:rsidRPr="00FC64FE">
        <w:rPr>
          <w:rFonts w:cs="Arial"/>
          <w:b/>
          <w:color w:val="000000"/>
        </w:rPr>
        <w:t xml:space="preserve">Contact Details </w:t>
      </w:r>
    </w:p>
    <w:p w:rsidR="0050646D" w:rsidRPr="00BF1EFE" w:rsidRDefault="0050646D" w:rsidP="0050646D">
      <w:pPr>
        <w:rPr>
          <w:rFonts w:cs="Arial"/>
          <w:color w:val="000000"/>
        </w:rPr>
      </w:pPr>
      <w:r w:rsidRPr="00BF1EFE">
        <w:rPr>
          <w:rFonts w:cs="Arial"/>
          <w:color w:val="000000"/>
        </w:rPr>
        <w:t>Please direct any enquiries regarding this decision to:</w:t>
      </w:r>
    </w:p>
    <w:p w:rsidR="00BF1EFE" w:rsidRPr="00BF1EFE" w:rsidRDefault="00BF1EFE" w:rsidP="0050646D">
      <w:pPr>
        <w:spacing w:after="0"/>
        <w:rPr>
          <w:rFonts w:cs="Arial"/>
          <w:color w:val="000000"/>
        </w:rPr>
      </w:pPr>
      <w:r w:rsidRPr="00BF1EFE">
        <w:rPr>
          <w:rFonts w:cs="Arial"/>
          <w:color w:val="000000"/>
        </w:rPr>
        <w:t>The Director</w:t>
      </w:r>
    </w:p>
    <w:p w:rsidR="0050646D" w:rsidRPr="00BF1EFE" w:rsidRDefault="00BF1EFE" w:rsidP="0050646D">
      <w:pPr>
        <w:spacing w:after="0"/>
        <w:rPr>
          <w:rFonts w:cs="Arial"/>
          <w:color w:val="000000"/>
        </w:rPr>
      </w:pPr>
      <w:r w:rsidRPr="00BF1EFE">
        <w:rPr>
          <w:rFonts w:cs="Arial"/>
          <w:color w:val="000000"/>
        </w:rPr>
        <w:t>Sustainable Fisheries Section</w:t>
      </w:r>
      <w:r w:rsidR="0050646D" w:rsidRPr="00BF1EFE">
        <w:rPr>
          <w:rFonts w:cs="Arial"/>
          <w:color w:val="000000"/>
        </w:rPr>
        <w:br/>
        <w:t>Department of the Environment</w:t>
      </w:r>
      <w:r w:rsidR="0050646D" w:rsidRPr="00BF1EFE">
        <w:rPr>
          <w:rFonts w:cs="Arial"/>
          <w:color w:val="000000"/>
        </w:rPr>
        <w:br/>
        <w:t>GPO Box 787</w:t>
      </w:r>
      <w:r w:rsidR="0050646D" w:rsidRPr="00BF1EFE">
        <w:rPr>
          <w:rFonts w:cs="Arial"/>
          <w:color w:val="000000"/>
        </w:rPr>
        <w:br/>
        <w:t>Canberra ACT 2601</w:t>
      </w:r>
      <w:r w:rsidR="0050646D" w:rsidRPr="00BF1EFE">
        <w:rPr>
          <w:rFonts w:cs="Arial"/>
          <w:color w:val="000000"/>
        </w:rPr>
        <w:br/>
      </w:r>
      <w:r w:rsidR="0050646D" w:rsidRPr="00BF1EFE">
        <w:rPr>
          <w:rFonts w:cs="Arial"/>
          <w:b/>
          <w:bCs/>
          <w:color w:val="000000"/>
        </w:rPr>
        <w:t>Telephone:</w:t>
      </w:r>
      <w:r w:rsidR="0050646D" w:rsidRPr="00BF1EFE">
        <w:rPr>
          <w:rFonts w:cs="Arial"/>
          <w:color w:val="000000"/>
        </w:rPr>
        <w:t xml:space="preserve"> </w:t>
      </w:r>
      <w:r w:rsidR="00C6319E" w:rsidRPr="008B5A08">
        <w:rPr>
          <w:rFonts w:cs="Arial"/>
          <w:color w:val="000000"/>
        </w:rPr>
        <w:t xml:space="preserve">+61 </w:t>
      </w:r>
      <w:r w:rsidR="00C6319E">
        <w:rPr>
          <w:rFonts w:cs="Arial"/>
          <w:color w:val="000000"/>
        </w:rPr>
        <w:t>(0) 2</w:t>
      </w:r>
      <w:r w:rsidR="0050646D" w:rsidRPr="00BF1EFE">
        <w:rPr>
          <w:rFonts w:cs="Arial"/>
          <w:color w:val="000000"/>
        </w:rPr>
        <w:t xml:space="preserve"> 6274 </w:t>
      </w:r>
      <w:r w:rsidRPr="00BF1EFE">
        <w:rPr>
          <w:rFonts w:cs="Arial"/>
          <w:color w:val="000000"/>
        </w:rPr>
        <w:t>1917</w:t>
      </w:r>
    </w:p>
    <w:p w:rsidR="0050646D" w:rsidRPr="007A59C2" w:rsidRDefault="0050646D" w:rsidP="0050646D">
      <w:pPr>
        <w:rPr>
          <w:rFonts w:cs="Arial"/>
          <w:color w:val="000000"/>
          <w:u w:val="single"/>
        </w:rPr>
      </w:pPr>
      <w:r w:rsidRPr="00BF1EFE">
        <w:rPr>
          <w:rFonts w:cs="Arial"/>
          <w:b/>
          <w:bCs/>
          <w:color w:val="000000"/>
        </w:rPr>
        <w:t>Email:</w:t>
      </w:r>
      <w:r w:rsidRPr="00BF1EFE">
        <w:rPr>
          <w:rFonts w:cs="Arial"/>
          <w:color w:val="000000"/>
        </w:rPr>
        <w:t xml:space="preserve"> </w:t>
      </w:r>
      <w:r w:rsidR="00BF1EFE" w:rsidRPr="00BF1EFE">
        <w:rPr>
          <w:rFonts w:cs="Arial"/>
          <w:color w:val="000000"/>
          <w:u w:val="single"/>
        </w:rPr>
        <w:t>sustainablefisheries</w:t>
      </w:r>
      <w:r w:rsidRPr="00BF1EFE">
        <w:rPr>
          <w:rFonts w:cs="Arial"/>
          <w:color w:val="000000"/>
          <w:u w:val="single"/>
        </w:rPr>
        <w:t>@environment.gov.au</w:t>
      </w:r>
    </w:p>
    <w:p w:rsidR="0050646D" w:rsidRPr="00FC64FE" w:rsidRDefault="0050646D" w:rsidP="0050646D">
      <w:pPr>
        <w:rPr>
          <w:rFonts w:cs="Arial"/>
          <w:color w:val="000000"/>
        </w:rPr>
      </w:pPr>
      <w:r>
        <w:rPr>
          <w:rFonts w:cs="Arial"/>
          <w:color w:val="000000"/>
        </w:rPr>
        <w:t xml:space="preserve">Any enquiries regarding the review process (from within Australia) should be directed to </w:t>
      </w:r>
      <w:r w:rsidRPr="00FC64FE">
        <w:rPr>
          <w:rFonts w:cs="Arial"/>
          <w:color w:val="000000"/>
        </w:rPr>
        <w:t>the Deputy Registrar, Administrative Appeals Tribunal in your Capital City</w:t>
      </w:r>
      <w:r>
        <w:rPr>
          <w:rFonts w:cs="Arial"/>
          <w:color w:val="000000"/>
        </w:rPr>
        <w:t>. A</w:t>
      </w:r>
      <w:r w:rsidRPr="00FC64FE">
        <w:rPr>
          <w:rFonts w:cs="Arial"/>
          <w:color w:val="000000"/>
        </w:rPr>
        <w:t>lternatively you may contact the AAT at their Principal Registry</w:t>
      </w:r>
      <w:r>
        <w:rPr>
          <w:rFonts w:cs="Arial"/>
          <w:color w:val="000000"/>
        </w:rPr>
        <w:t>:</w:t>
      </w:r>
      <w:r w:rsidRPr="00FC64FE">
        <w:rPr>
          <w:rFonts w:cs="Arial"/>
          <w:color w:val="000000"/>
        </w:rPr>
        <w:t xml:space="preserve"> </w:t>
      </w:r>
    </w:p>
    <w:p w:rsidR="0050646D" w:rsidRPr="00FC64FE" w:rsidRDefault="0050646D" w:rsidP="0050646D">
      <w:pPr>
        <w:spacing w:after="0"/>
        <w:rPr>
          <w:rFonts w:cs="Arial"/>
          <w:color w:val="000000"/>
        </w:rPr>
      </w:pPr>
      <w:r w:rsidRPr="00FC64FE">
        <w:rPr>
          <w:rFonts w:cs="Arial"/>
          <w:color w:val="000000"/>
        </w:rPr>
        <w:t>Administrative Appeals Tribunal</w:t>
      </w:r>
      <w:r w:rsidRPr="00FC64FE">
        <w:rPr>
          <w:rFonts w:cs="Arial"/>
          <w:color w:val="000000"/>
        </w:rPr>
        <w:br/>
        <w:t xml:space="preserve">GPO Box 9955 </w:t>
      </w:r>
      <w:r w:rsidRPr="00FC64FE">
        <w:rPr>
          <w:rFonts w:cs="Arial"/>
          <w:color w:val="000000"/>
        </w:rPr>
        <w:br/>
        <w:t>Sydney NSW 2001</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Telephone:</w:t>
      </w:r>
      <w:r w:rsidRPr="008B5A08">
        <w:rPr>
          <w:rFonts w:ascii="Arial" w:hAnsi="Arial" w:cs="Arial"/>
          <w:color w:val="000000"/>
          <w:sz w:val="22"/>
          <w:szCs w:val="22"/>
        </w:rPr>
        <w:t xml:space="preserve"> +61 </w:t>
      </w:r>
      <w:r>
        <w:rPr>
          <w:rFonts w:ascii="Arial" w:hAnsi="Arial" w:cs="Arial"/>
          <w:color w:val="000000"/>
          <w:sz w:val="22"/>
          <w:szCs w:val="22"/>
        </w:rPr>
        <w:t xml:space="preserve">(0) 2 </w:t>
      </w:r>
      <w:r w:rsidRPr="00FC64FE">
        <w:rPr>
          <w:rFonts w:ascii="Arial" w:hAnsi="Arial" w:cs="Arial"/>
          <w:color w:val="000000"/>
          <w:sz w:val="22"/>
          <w:szCs w:val="22"/>
        </w:rPr>
        <w:t>9391 2400</w:t>
      </w:r>
      <w:r>
        <w:rPr>
          <w:rFonts w:ascii="Arial" w:hAnsi="Arial" w:cs="Arial"/>
          <w:color w:val="000000"/>
          <w:sz w:val="22"/>
          <w:szCs w:val="22"/>
        </w:rPr>
        <w:t xml:space="preserve"> </w:t>
      </w:r>
      <w:r w:rsidRPr="00FC64FE">
        <w:rPr>
          <w:rFonts w:ascii="Arial" w:hAnsi="Arial" w:cs="Arial"/>
          <w:color w:val="000000"/>
          <w:sz w:val="22"/>
          <w:szCs w:val="22"/>
        </w:rPr>
        <w:t>or 1300 366 700 (</w:t>
      </w:r>
      <w:r>
        <w:rPr>
          <w:rFonts w:ascii="Arial" w:hAnsi="Arial" w:cs="Arial"/>
          <w:color w:val="000000"/>
          <w:sz w:val="22"/>
          <w:szCs w:val="22"/>
        </w:rPr>
        <w:t xml:space="preserve">for </w:t>
      </w:r>
      <w:r w:rsidRPr="00FC64FE">
        <w:rPr>
          <w:rFonts w:ascii="Arial" w:hAnsi="Arial" w:cs="Arial"/>
          <w:color w:val="000000"/>
          <w:sz w:val="22"/>
          <w:szCs w:val="22"/>
        </w:rPr>
        <w:t>country areas</w:t>
      </w:r>
      <w:r>
        <w:rPr>
          <w:rFonts w:ascii="Arial" w:hAnsi="Arial" w:cs="Arial"/>
          <w:color w:val="000000"/>
          <w:sz w:val="22"/>
          <w:szCs w:val="22"/>
        </w:rPr>
        <w:t xml:space="preserve"> within Australia</w:t>
      </w:r>
      <w:r w:rsidRPr="00FC64FE">
        <w:rPr>
          <w:rFonts w:ascii="Arial" w:hAnsi="Arial" w:cs="Arial"/>
          <w:color w:val="000000"/>
          <w:sz w:val="22"/>
          <w:szCs w:val="22"/>
        </w:rPr>
        <w:t>)</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Fax:</w:t>
      </w:r>
      <w:r w:rsidRPr="008B5A08">
        <w:rPr>
          <w:rFonts w:ascii="Arial" w:hAnsi="Arial" w:cs="Arial"/>
          <w:color w:val="000000"/>
          <w:sz w:val="22"/>
          <w:szCs w:val="22"/>
        </w:rPr>
        <w:t xml:space="preserve"> +61 </w:t>
      </w:r>
      <w:r>
        <w:rPr>
          <w:rFonts w:ascii="Arial" w:hAnsi="Arial" w:cs="Arial"/>
          <w:color w:val="000000"/>
          <w:sz w:val="22"/>
          <w:szCs w:val="22"/>
        </w:rPr>
        <w:t xml:space="preserve">(0) </w:t>
      </w:r>
      <w:r w:rsidRPr="008B5A08">
        <w:rPr>
          <w:rFonts w:ascii="Arial" w:hAnsi="Arial" w:cs="Arial"/>
          <w:color w:val="000000"/>
          <w:sz w:val="22"/>
          <w:szCs w:val="22"/>
        </w:rPr>
        <w:t xml:space="preserve">2 </w:t>
      </w:r>
      <w:r w:rsidRPr="00FC64FE">
        <w:rPr>
          <w:rFonts w:ascii="Arial" w:hAnsi="Arial" w:cs="Arial"/>
          <w:color w:val="000000"/>
          <w:sz w:val="22"/>
          <w:szCs w:val="22"/>
        </w:rPr>
        <w:t>9267 5538</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Email:</w:t>
      </w:r>
      <w:r w:rsidRPr="00D8569D">
        <w:rPr>
          <w:rFonts w:ascii="Arial" w:hAnsi="Arial" w:cs="Arial"/>
          <w:color w:val="000000"/>
          <w:sz w:val="22"/>
          <w:szCs w:val="22"/>
        </w:rPr>
        <w:t xml:space="preserve"> </w:t>
      </w:r>
      <w:hyperlink r:id="rId20" w:history="1">
        <w:r w:rsidRPr="00FC64FE">
          <w:rPr>
            <w:rStyle w:val="Hyperlink"/>
            <w:rFonts w:ascii="Arial" w:hAnsi="Arial" w:cs="Arial"/>
            <w:color w:val="000000"/>
            <w:sz w:val="22"/>
            <w:szCs w:val="22"/>
          </w:rPr>
          <w:t>Principal.Registry@aat.gov.au</w:t>
        </w:r>
      </w:hyperlink>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Website:</w:t>
      </w:r>
      <w:r>
        <w:rPr>
          <w:rFonts w:ascii="Arial" w:hAnsi="Arial" w:cs="Arial"/>
          <w:color w:val="000000"/>
          <w:sz w:val="22"/>
          <w:szCs w:val="22"/>
        </w:rPr>
        <w:t xml:space="preserve"> </w:t>
      </w:r>
      <w:r w:rsidRPr="007A59C2">
        <w:rPr>
          <w:rFonts w:ascii="Arial" w:hAnsi="Arial" w:cs="Arial"/>
          <w:color w:val="000000"/>
          <w:sz w:val="22"/>
          <w:szCs w:val="22"/>
          <w:u w:val="single"/>
        </w:rPr>
        <w:t>http://www.aat.gov.au/default.htm</w:t>
      </w:r>
    </w:p>
    <w:p w:rsidR="0050646D" w:rsidRPr="00FC64FE" w:rsidRDefault="0050646D" w:rsidP="0050646D">
      <w:pPr>
        <w:jc w:val="both"/>
        <w:rPr>
          <w:rFonts w:cs="Arial"/>
          <w:b/>
          <w:color w:val="000000"/>
        </w:rPr>
      </w:pPr>
      <w:r w:rsidRPr="00FC64FE">
        <w:rPr>
          <w:rFonts w:cs="Arial"/>
          <w:b/>
          <w:color w:val="000000"/>
        </w:rPr>
        <w:t xml:space="preserve">Legal Advice </w:t>
      </w:r>
    </w:p>
    <w:p w:rsidR="0050646D" w:rsidRPr="00FC64FE" w:rsidRDefault="0050646D" w:rsidP="0050646D">
      <w:pPr>
        <w:jc w:val="both"/>
        <w:rPr>
          <w:rFonts w:cs="Arial"/>
          <w:color w:val="000000"/>
        </w:rPr>
      </w:pPr>
      <w:r w:rsidRPr="00FC64FE">
        <w:rPr>
          <w:rFonts w:cs="Arial"/>
          <w:color w:val="000000"/>
        </w:rPr>
        <w:t xml:space="preserve">You may be able to obtain legal or financial advice and assistance in relation to </w:t>
      </w:r>
      <w:r>
        <w:rPr>
          <w:rFonts w:cs="Arial"/>
          <w:color w:val="000000"/>
        </w:rPr>
        <w:t>this permit</w:t>
      </w:r>
      <w:r w:rsidRPr="00FC64FE">
        <w:rPr>
          <w:rFonts w:cs="Arial"/>
          <w:color w:val="000000"/>
        </w:rPr>
        <w:t xml:space="preserve"> decision from, CARE Financial Counselling, Legal Aid Commission, or the Law Society in your Capital City</w:t>
      </w:r>
      <w:r>
        <w:rPr>
          <w:rFonts w:cs="Arial"/>
          <w:color w:val="000000"/>
        </w:rPr>
        <w:t>.</w:t>
      </w:r>
    </w:p>
    <w:p w:rsidR="0050646D" w:rsidRPr="001D0B79" w:rsidRDefault="0050646D" w:rsidP="0050646D">
      <w:pPr>
        <w:spacing w:before="120" w:after="120"/>
        <w:contextualSpacing/>
        <w:jc w:val="both"/>
        <w:rPr>
          <w:rFonts w:cs="Arial"/>
          <w:color w:val="FF0000"/>
          <w:sz w:val="20"/>
          <w:szCs w:val="20"/>
        </w:rPr>
      </w:pPr>
    </w:p>
    <w:p w:rsidR="0050646D" w:rsidRPr="00CB0489" w:rsidRDefault="0050646D" w:rsidP="006F181F">
      <w:pPr>
        <w:pStyle w:val="ListNumber"/>
        <w:numPr>
          <w:ilvl w:val="0"/>
          <w:numId w:val="0"/>
        </w:numPr>
        <w:spacing w:after="120"/>
        <w:ind w:left="369" w:hanging="369"/>
        <w:rPr>
          <w:highlight w:val="yellow"/>
        </w:rPr>
      </w:pPr>
    </w:p>
    <w:sectPr w:rsidR="0050646D" w:rsidRPr="00CB0489" w:rsidSect="00C325B9">
      <w:headerReference w:type="first" r:id="rId21"/>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03EE" w:rsidRDefault="00E403EE" w:rsidP="00A60185">
      <w:pPr>
        <w:spacing w:after="0" w:line="240" w:lineRule="auto"/>
      </w:pPr>
      <w:r>
        <w:separator/>
      </w:r>
    </w:p>
  </w:endnote>
  <w:endnote w:type="continuationSeparator" w:id="0">
    <w:p w:rsidR="00E403EE" w:rsidRDefault="00E403EE"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785" w:rsidRDefault="0000378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3EE" w:rsidRPr="00785782" w:rsidRDefault="00B80F27">
    <w:pPr>
      <w:pStyle w:val="Footer"/>
      <w:rPr>
        <w:sz w:val="22"/>
      </w:rPr>
    </w:pPr>
    <w:r w:rsidRPr="00785782">
      <w:rPr>
        <w:sz w:val="22"/>
      </w:rPr>
      <w:fldChar w:fldCharType="begin"/>
    </w:r>
    <w:r w:rsidR="00E403EE" w:rsidRPr="00785782">
      <w:rPr>
        <w:sz w:val="22"/>
      </w:rPr>
      <w:instrText xml:space="preserve"> PAGE   \* MERGEFORMAT </w:instrText>
    </w:r>
    <w:r w:rsidRPr="00785782">
      <w:rPr>
        <w:sz w:val="22"/>
      </w:rPr>
      <w:fldChar w:fldCharType="separate"/>
    </w:r>
    <w:r w:rsidR="00003785">
      <w:rPr>
        <w:noProof/>
        <w:sz w:val="22"/>
      </w:rPr>
      <w:t>2</w:t>
    </w:r>
    <w:r w:rsidRPr="00785782">
      <w:rPr>
        <w:sz w:val="22"/>
      </w:rPr>
      <w:fldChar w:fldCharType="end"/>
    </w:r>
  </w:p>
  <w:p w:rsidR="00E403EE" w:rsidRDefault="00E403E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3EE" w:rsidRDefault="00E403EE" w:rsidP="00C43020">
    <w:pPr>
      <w:pStyle w:val="Footer"/>
    </w:pPr>
  </w:p>
  <w:p w:rsidR="00E403EE" w:rsidRPr="00C43020" w:rsidRDefault="00E403EE" w:rsidP="008565B9">
    <w:pPr>
      <w:pStyle w:val="Footer"/>
    </w:pPr>
    <w:r>
      <w:t>GPO Box 787 Canberra ACT 2601 • Telephone 02 6274 1111 • Facsimile 02 6274 1666 • www.environment.gov.au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03EE" w:rsidRDefault="00E403EE" w:rsidP="00A60185">
      <w:pPr>
        <w:spacing w:after="0" w:line="240" w:lineRule="auto"/>
      </w:pPr>
      <w:r>
        <w:separator/>
      </w:r>
    </w:p>
  </w:footnote>
  <w:footnote w:type="continuationSeparator" w:id="0">
    <w:p w:rsidR="00E403EE" w:rsidRDefault="00E403EE" w:rsidP="00A60185">
      <w:pPr>
        <w:spacing w:after="0" w:line="240" w:lineRule="auto"/>
      </w:pPr>
      <w:r>
        <w:continuationSeparator/>
      </w:r>
    </w:p>
  </w:footnote>
  <w:footnote w:id="1">
    <w:p w:rsidR="00E403EE" w:rsidRDefault="00E403EE" w:rsidP="0050646D">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3EE" w:rsidRDefault="00B80F27" w:rsidP="00E45765">
    <w:pPr>
      <w:pStyle w:val="Classification"/>
    </w:pPr>
    <w:r>
      <w:fldChar w:fldCharType="begin"/>
    </w:r>
    <w:r w:rsidR="00E403EE">
      <w:instrText xml:space="preserve"> DOCPROPERTY SecurityClassification \* MERGEFORMAT </w:instrText>
    </w:r>
    <w:r>
      <w:fldChar w:fldCharType="separate"/>
    </w:r>
    <w:r w:rsidR="006C49F5">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785" w:rsidRDefault="0000378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3EE" w:rsidRDefault="00E403EE" w:rsidP="005E35DC">
    <w:pPr>
      <w:pStyle w:val="Header"/>
      <w:jc w:val="left"/>
    </w:pPr>
  </w:p>
  <w:p w:rsidR="00E403EE" w:rsidRDefault="00E403EE" w:rsidP="005E35DC">
    <w:pPr>
      <w:pStyle w:val="Header"/>
      <w:jc w:val="left"/>
    </w:pPr>
    <w:r>
      <w:rPr>
        <w:noProof/>
        <w:lang w:eastAsia="en-AU"/>
      </w:rPr>
      <w:drawing>
        <wp:inline distT="0" distB="0" distL="0" distR="0">
          <wp:extent cx="3209925" cy="695325"/>
          <wp:effectExtent l="19050" t="0" r="9525" b="0"/>
          <wp:docPr id="2" name="Picture 1" descr="Dept the Environment 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t the Environment inline"/>
                  <pic:cNvPicPr>
                    <a:picLocks noChangeAspect="1" noChangeArrowheads="1"/>
                  </pic:cNvPicPr>
                </pic:nvPicPr>
                <pic:blipFill>
                  <a:blip r:embed="rId1"/>
                  <a:srcRect/>
                  <a:stretch>
                    <a:fillRect/>
                  </a:stretch>
                </pic:blipFill>
                <pic:spPr bwMode="auto">
                  <a:xfrm>
                    <a:off x="0" y="0"/>
                    <a:ext cx="3209925" cy="695325"/>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3EE" w:rsidRDefault="00E403EE" w:rsidP="006B1098">
    <w:pPr>
      <w:pStyle w:val="Header"/>
      <w:jc w:val="right"/>
    </w:pPr>
    <w:r>
      <w:rPr>
        <w:noProof/>
        <w:lang w:eastAsia="en-AU"/>
      </w:rPr>
      <w:t>Attachment 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3EE" w:rsidRDefault="00E403EE" w:rsidP="00C6319E">
    <w:pPr>
      <w:pStyle w:val="Header"/>
    </w:pPr>
    <w:r>
      <w:rPr>
        <w:noProof/>
        <w:lang w:eastAsia="en-AU"/>
      </w:rPr>
      <w:drawing>
        <wp:inline distT="0" distB="0" distL="0" distR="0">
          <wp:extent cx="1895475" cy="1085850"/>
          <wp:effectExtent l="19050" t="0" r="9525" b="0"/>
          <wp:docPr id="3" name="Picture 3"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Work:Logos all:SEWPaC Logo:DSEWPaC_inline_strip_black.eps"/>
                  <pic:cNvPicPr>
                    <a:picLocks noChangeAspect="1" noChangeArrowheads="1"/>
                  </pic:cNvPicPr>
                </pic:nvPicPr>
                <pic:blipFill>
                  <a:blip r:embed="rId1"/>
                  <a:srcRect/>
                  <a:stretch>
                    <a:fillRect/>
                  </a:stretch>
                </pic:blipFill>
                <pic:spPr bwMode="auto">
                  <a:xfrm>
                    <a:off x="0" y="0"/>
                    <a:ext cx="1895475" cy="10858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B824288"/>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nsid w:val="15871AD9"/>
    <w:multiLevelType w:val="multilevel"/>
    <w:tmpl w:val="A15E1D18"/>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nsid w:val="1CE77AC7"/>
    <w:multiLevelType w:val="hybridMultilevel"/>
    <w:tmpl w:val="DB42FC84"/>
    <w:lvl w:ilvl="0" w:tplc="F48E9B74">
      <w:start w:val="1"/>
      <w:numFmt w:val="decimal"/>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D7120FB"/>
    <w:multiLevelType w:val="singleLevel"/>
    <w:tmpl w:val="2000EDEA"/>
    <w:lvl w:ilvl="0">
      <w:start w:val="1"/>
      <w:numFmt w:val="upperLetter"/>
      <w:lvlText w:val="%1:"/>
      <w:lvlJc w:val="left"/>
      <w:pPr>
        <w:ind w:left="360" w:hanging="360"/>
      </w:pPr>
      <w:rPr>
        <w:rFonts w:hint="default"/>
        <w:sz w:val="22"/>
      </w:rPr>
    </w:lvl>
  </w:abstractNum>
  <w:abstractNum w:abstractNumId="7">
    <w:nsid w:val="1F745BC2"/>
    <w:multiLevelType w:val="multilevel"/>
    <w:tmpl w:val="E5E89F92"/>
    <w:numStyleLink w:val="BulletList"/>
  </w:abstractNum>
  <w:abstractNum w:abstractNumId="8">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4A683C56"/>
    <w:multiLevelType w:val="hybridMultilevel"/>
    <w:tmpl w:val="C4CAF56C"/>
    <w:lvl w:ilvl="0" w:tplc="84949252">
      <w:start w:val="1"/>
      <w:numFmt w:val="bullet"/>
      <w:lvlText w:val=""/>
      <w:lvlJc w:val="left"/>
      <w:pPr>
        <w:ind w:left="1437" w:hanging="360"/>
      </w:pPr>
      <w:rPr>
        <w:rFonts w:ascii="Symbol" w:hAnsi="Symbol" w:hint="default"/>
        <w:color w:val="auto"/>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nsid w:val="580C0E4E"/>
    <w:multiLevelType w:val="hybridMultilevel"/>
    <w:tmpl w:val="25C6A4E0"/>
    <w:lvl w:ilvl="0" w:tplc="A3906828">
      <w:start w:val="1"/>
      <w:numFmt w:val="lowerLetter"/>
      <w:lvlText w:val="(%1)"/>
      <w:lvlJc w:val="left"/>
      <w:pPr>
        <w:ind w:left="720" w:hanging="360"/>
      </w:pPr>
      <w:rPr>
        <w:rFonts w:cs="Times New Roman" w:hint="default"/>
        <w:b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4">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nsid w:val="63F56A48"/>
    <w:multiLevelType w:val="hybridMultilevel"/>
    <w:tmpl w:val="45F2E99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2">
    <w:nsid w:val="6FAE23A7"/>
    <w:multiLevelType w:val="singleLevel"/>
    <w:tmpl w:val="2000EDEA"/>
    <w:lvl w:ilvl="0">
      <w:start w:val="1"/>
      <w:numFmt w:val="upperLetter"/>
      <w:lvlText w:val="%1:"/>
      <w:lvlJc w:val="left"/>
      <w:pPr>
        <w:ind w:left="360" w:hanging="360"/>
      </w:pPr>
      <w:rPr>
        <w:rFonts w:hint="default"/>
        <w:sz w:val="22"/>
      </w:rPr>
    </w:lvl>
  </w:abstractNum>
  <w:abstractNum w:abstractNumId="23">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4">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3"/>
  </w:num>
  <w:num w:numId="2">
    <w:abstractNumId w:val="1"/>
  </w:num>
  <w:num w:numId="3">
    <w:abstractNumId w:val="21"/>
  </w:num>
  <w:num w:numId="4">
    <w:abstractNumId w:val="19"/>
  </w:num>
  <w:num w:numId="5">
    <w:abstractNumId w:val="9"/>
  </w:num>
  <w:num w:numId="6">
    <w:abstractNumId w:val="8"/>
  </w:num>
  <w:num w:numId="7">
    <w:abstractNumId w:val="17"/>
  </w:num>
  <w:num w:numId="8">
    <w:abstractNumId w:val="7"/>
  </w:num>
  <w:num w:numId="9">
    <w:abstractNumId w:val="6"/>
  </w:num>
  <w:num w:numId="10">
    <w:abstractNumId w:val="2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8"/>
  </w:num>
  <w:num w:numId="16">
    <w:abstractNumId w:val="8"/>
  </w:num>
  <w:num w:numId="17">
    <w:abstractNumId w:val="13"/>
  </w:num>
  <w:num w:numId="18">
    <w:abstractNumId w:val="15"/>
  </w:num>
  <w:num w:numId="19">
    <w:abstractNumId w:val="24"/>
  </w:num>
  <w:num w:numId="20">
    <w:abstractNumId w:val="14"/>
  </w:num>
  <w:num w:numId="21">
    <w:abstractNumId w:val="12"/>
  </w:num>
  <w:num w:numId="22">
    <w:abstractNumId w:val="20"/>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8"/>
  </w:num>
  <w:num w:numId="29">
    <w:abstractNumId w:val="8"/>
  </w:num>
  <w:num w:numId="30">
    <w:abstractNumId w:val="8"/>
  </w:num>
  <w:num w:numId="31">
    <w:abstractNumId w:val="7"/>
  </w:num>
  <w:num w:numId="32">
    <w:abstractNumId w:val="7"/>
  </w:num>
  <w:num w:numId="33">
    <w:abstractNumId w:val="7"/>
  </w:num>
  <w:num w:numId="34">
    <w:abstractNumId w:val="7"/>
  </w:num>
  <w:num w:numId="35">
    <w:abstractNumId w:val="4"/>
  </w:num>
  <w:num w:numId="36">
    <w:abstractNumId w:val="0"/>
  </w:num>
  <w:num w:numId="37">
    <w:abstractNumId w:val="10"/>
  </w:num>
  <w:num w:numId="38">
    <w:abstractNumId w:val="11"/>
  </w:num>
  <w:num w:numId="39">
    <w:abstractNumId w:val="3"/>
  </w:num>
  <w:num w:numId="40">
    <w:abstractNumId w:val="5"/>
  </w:num>
  <w:num w:numId="41">
    <w:abstractNumId w:val="8"/>
  </w:num>
  <w:num w:numId="42">
    <w:abstractNumId w:val="16"/>
  </w:num>
  <w:num w:numId="43">
    <w:abstractNumId w:val="17"/>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92161"/>
  </w:hdrShapeDefaults>
  <w:footnotePr>
    <w:footnote w:id="-1"/>
    <w:footnote w:id="0"/>
  </w:footnotePr>
  <w:endnotePr>
    <w:endnote w:id="-1"/>
    <w:endnote w:id="0"/>
  </w:endnotePr>
  <w:compat/>
  <w:docVars>
    <w:docVar w:name="SecurityClassificationInHeader" w:val="False"/>
  </w:docVars>
  <w:rsids>
    <w:rsidRoot w:val="005D6F37"/>
    <w:rsid w:val="00003785"/>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55883"/>
    <w:rsid w:val="00063AF2"/>
    <w:rsid w:val="000642C0"/>
    <w:rsid w:val="000759E5"/>
    <w:rsid w:val="000777F8"/>
    <w:rsid w:val="00080A47"/>
    <w:rsid w:val="00082480"/>
    <w:rsid w:val="0008410F"/>
    <w:rsid w:val="00084AC6"/>
    <w:rsid w:val="00085C49"/>
    <w:rsid w:val="00087B76"/>
    <w:rsid w:val="00091608"/>
    <w:rsid w:val="0009257B"/>
    <w:rsid w:val="0009333C"/>
    <w:rsid w:val="0009704F"/>
    <w:rsid w:val="000A0F11"/>
    <w:rsid w:val="000A125A"/>
    <w:rsid w:val="000A57CD"/>
    <w:rsid w:val="000B0B48"/>
    <w:rsid w:val="000B3758"/>
    <w:rsid w:val="000B74A1"/>
    <w:rsid w:val="000B7681"/>
    <w:rsid w:val="000B7B42"/>
    <w:rsid w:val="000C02B7"/>
    <w:rsid w:val="000C5342"/>
    <w:rsid w:val="000C5DFC"/>
    <w:rsid w:val="000C5F5D"/>
    <w:rsid w:val="000C63ED"/>
    <w:rsid w:val="000C706A"/>
    <w:rsid w:val="000D2887"/>
    <w:rsid w:val="000D5528"/>
    <w:rsid w:val="000D61D0"/>
    <w:rsid w:val="000D6D63"/>
    <w:rsid w:val="000E0081"/>
    <w:rsid w:val="000E07CF"/>
    <w:rsid w:val="000E0B31"/>
    <w:rsid w:val="000E777E"/>
    <w:rsid w:val="000F1E51"/>
    <w:rsid w:val="001047E4"/>
    <w:rsid w:val="0011030F"/>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018B"/>
    <w:rsid w:val="001A51C8"/>
    <w:rsid w:val="001A5997"/>
    <w:rsid w:val="001A76BB"/>
    <w:rsid w:val="001B4CA8"/>
    <w:rsid w:val="001C1D95"/>
    <w:rsid w:val="001C4F3D"/>
    <w:rsid w:val="001D0CDC"/>
    <w:rsid w:val="001D1B03"/>
    <w:rsid w:val="001D1D82"/>
    <w:rsid w:val="001D49AF"/>
    <w:rsid w:val="001E0274"/>
    <w:rsid w:val="001E1182"/>
    <w:rsid w:val="001E1CE4"/>
    <w:rsid w:val="001E25B3"/>
    <w:rsid w:val="001F4075"/>
    <w:rsid w:val="001F5C95"/>
    <w:rsid w:val="00202C90"/>
    <w:rsid w:val="002105CA"/>
    <w:rsid w:val="00212E75"/>
    <w:rsid w:val="00213DE8"/>
    <w:rsid w:val="00214B4E"/>
    <w:rsid w:val="00216118"/>
    <w:rsid w:val="002209AB"/>
    <w:rsid w:val="00224D4E"/>
    <w:rsid w:val="002251E3"/>
    <w:rsid w:val="00227A95"/>
    <w:rsid w:val="002320D9"/>
    <w:rsid w:val="00235467"/>
    <w:rsid w:val="002473FC"/>
    <w:rsid w:val="00252E3C"/>
    <w:rsid w:val="00261931"/>
    <w:rsid w:val="00261EFE"/>
    <w:rsid w:val="00262198"/>
    <w:rsid w:val="0028088B"/>
    <w:rsid w:val="00285F1B"/>
    <w:rsid w:val="00292592"/>
    <w:rsid w:val="00292B81"/>
    <w:rsid w:val="00297D18"/>
    <w:rsid w:val="002A11A4"/>
    <w:rsid w:val="002A4671"/>
    <w:rsid w:val="002B18AE"/>
    <w:rsid w:val="002B3674"/>
    <w:rsid w:val="002C1C93"/>
    <w:rsid w:val="002C2FB1"/>
    <w:rsid w:val="002C5066"/>
    <w:rsid w:val="002C58A6"/>
    <w:rsid w:val="002D022C"/>
    <w:rsid w:val="002D419A"/>
    <w:rsid w:val="002D4AAC"/>
    <w:rsid w:val="002E3BAF"/>
    <w:rsid w:val="002E5D24"/>
    <w:rsid w:val="002E7756"/>
    <w:rsid w:val="002F045A"/>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2B42"/>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1501"/>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5DF"/>
    <w:rsid w:val="00465B32"/>
    <w:rsid w:val="004712A5"/>
    <w:rsid w:val="0047266F"/>
    <w:rsid w:val="00476D6B"/>
    <w:rsid w:val="00485FF0"/>
    <w:rsid w:val="00492C16"/>
    <w:rsid w:val="004A0678"/>
    <w:rsid w:val="004A4393"/>
    <w:rsid w:val="004A48A3"/>
    <w:rsid w:val="004A6F22"/>
    <w:rsid w:val="004B0D92"/>
    <w:rsid w:val="004B0EC0"/>
    <w:rsid w:val="004B3738"/>
    <w:rsid w:val="004B4500"/>
    <w:rsid w:val="004B66F1"/>
    <w:rsid w:val="004C3C1E"/>
    <w:rsid w:val="004C3EA0"/>
    <w:rsid w:val="004C4A81"/>
    <w:rsid w:val="004D31A7"/>
    <w:rsid w:val="004E0330"/>
    <w:rsid w:val="004E47E7"/>
    <w:rsid w:val="004F60AC"/>
    <w:rsid w:val="004F7169"/>
    <w:rsid w:val="004F799F"/>
    <w:rsid w:val="00500D66"/>
    <w:rsid w:val="0050646D"/>
    <w:rsid w:val="00514C8E"/>
    <w:rsid w:val="0052361B"/>
    <w:rsid w:val="00525EF4"/>
    <w:rsid w:val="0052681E"/>
    <w:rsid w:val="00527851"/>
    <w:rsid w:val="00531DBF"/>
    <w:rsid w:val="00535D49"/>
    <w:rsid w:val="0054376F"/>
    <w:rsid w:val="00545759"/>
    <w:rsid w:val="00545BE0"/>
    <w:rsid w:val="00562E85"/>
    <w:rsid w:val="0056332F"/>
    <w:rsid w:val="0056373D"/>
    <w:rsid w:val="00566906"/>
    <w:rsid w:val="005675AE"/>
    <w:rsid w:val="00581C39"/>
    <w:rsid w:val="00585198"/>
    <w:rsid w:val="00586CB3"/>
    <w:rsid w:val="00587579"/>
    <w:rsid w:val="005903B6"/>
    <w:rsid w:val="005931E7"/>
    <w:rsid w:val="005A0247"/>
    <w:rsid w:val="005B140D"/>
    <w:rsid w:val="005B16BE"/>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2FE1"/>
    <w:rsid w:val="0062521C"/>
    <w:rsid w:val="00630A2B"/>
    <w:rsid w:val="00631D4A"/>
    <w:rsid w:val="00632DC7"/>
    <w:rsid w:val="006357FB"/>
    <w:rsid w:val="00635C5E"/>
    <w:rsid w:val="00637AF5"/>
    <w:rsid w:val="006406FC"/>
    <w:rsid w:val="00643B47"/>
    <w:rsid w:val="00645CB8"/>
    <w:rsid w:val="00651483"/>
    <w:rsid w:val="00653E16"/>
    <w:rsid w:val="00653F7B"/>
    <w:rsid w:val="00657220"/>
    <w:rsid w:val="0066093E"/>
    <w:rsid w:val="0066104B"/>
    <w:rsid w:val="006640E2"/>
    <w:rsid w:val="006655EE"/>
    <w:rsid w:val="00667C10"/>
    <w:rsid w:val="00667EF4"/>
    <w:rsid w:val="00673CCA"/>
    <w:rsid w:val="00674AAE"/>
    <w:rsid w:val="00676FCA"/>
    <w:rsid w:val="00677177"/>
    <w:rsid w:val="0067757A"/>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9F5"/>
    <w:rsid w:val="006C4A1A"/>
    <w:rsid w:val="006D0393"/>
    <w:rsid w:val="006D1A83"/>
    <w:rsid w:val="006D7A2B"/>
    <w:rsid w:val="006E1CFE"/>
    <w:rsid w:val="006E3EB2"/>
    <w:rsid w:val="006E6B38"/>
    <w:rsid w:val="006F10C4"/>
    <w:rsid w:val="006F1381"/>
    <w:rsid w:val="006F181F"/>
    <w:rsid w:val="006F5051"/>
    <w:rsid w:val="006F5603"/>
    <w:rsid w:val="00700175"/>
    <w:rsid w:val="00701400"/>
    <w:rsid w:val="007037CF"/>
    <w:rsid w:val="007064B0"/>
    <w:rsid w:val="00710BC8"/>
    <w:rsid w:val="00713FA2"/>
    <w:rsid w:val="00716663"/>
    <w:rsid w:val="007167C0"/>
    <w:rsid w:val="00720481"/>
    <w:rsid w:val="00720E46"/>
    <w:rsid w:val="00721704"/>
    <w:rsid w:val="0073057B"/>
    <w:rsid w:val="00733193"/>
    <w:rsid w:val="00733C36"/>
    <w:rsid w:val="00742DA9"/>
    <w:rsid w:val="00744429"/>
    <w:rsid w:val="007470BF"/>
    <w:rsid w:val="00751C97"/>
    <w:rsid w:val="00753A80"/>
    <w:rsid w:val="00755391"/>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CEC"/>
    <w:rsid w:val="007D5962"/>
    <w:rsid w:val="007E24F6"/>
    <w:rsid w:val="007E43B6"/>
    <w:rsid w:val="007F20CB"/>
    <w:rsid w:val="007F2EED"/>
    <w:rsid w:val="00800F64"/>
    <w:rsid w:val="00802F0B"/>
    <w:rsid w:val="008058C6"/>
    <w:rsid w:val="00810A67"/>
    <w:rsid w:val="00813398"/>
    <w:rsid w:val="00821A31"/>
    <w:rsid w:val="00821AC5"/>
    <w:rsid w:val="00831030"/>
    <w:rsid w:val="008316C6"/>
    <w:rsid w:val="00833CF7"/>
    <w:rsid w:val="00843089"/>
    <w:rsid w:val="00845601"/>
    <w:rsid w:val="008518B4"/>
    <w:rsid w:val="00855C5C"/>
    <w:rsid w:val="008565B9"/>
    <w:rsid w:val="0086185F"/>
    <w:rsid w:val="00872E07"/>
    <w:rsid w:val="00882459"/>
    <w:rsid w:val="00890C23"/>
    <w:rsid w:val="008A2B4A"/>
    <w:rsid w:val="008A2D87"/>
    <w:rsid w:val="008A3C96"/>
    <w:rsid w:val="008B4019"/>
    <w:rsid w:val="008B65C9"/>
    <w:rsid w:val="008C2D4A"/>
    <w:rsid w:val="008C49DA"/>
    <w:rsid w:val="008D3900"/>
    <w:rsid w:val="008D6E1D"/>
    <w:rsid w:val="008E611A"/>
    <w:rsid w:val="008F39B4"/>
    <w:rsid w:val="008F4162"/>
    <w:rsid w:val="00903E02"/>
    <w:rsid w:val="00905357"/>
    <w:rsid w:val="009054AD"/>
    <w:rsid w:val="00905A36"/>
    <w:rsid w:val="009120E4"/>
    <w:rsid w:val="00913175"/>
    <w:rsid w:val="00913AEA"/>
    <w:rsid w:val="00916EDB"/>
    <w:rsid w:val="009240A6"/>
    <w:rsid w:val="009242EF"/>
    <w:rsid w:val="009252EF"/>
    <w:rsid w:val="00932291"/>
    <w:rsid w:val="0093408E"/>
    <w:rsid w:val="00944A37"/>
    <w:rsid w:val="00947CBC"/>
    <w:rsid w:val="0095201C"/>
    <w:rsid w:val="00952DDF"/>
    <w:rsid w:val="009602A8"/>
    <w:rsid w:val="0096170E"/>
    <w:rsid w:val="00973650"/>
    <w:rsid w:val="0097415B"/>
    <w:rsid w:val="00976E4A"/>
    <w:rsid w:val="00983B1A"/>
    <w:rsid w:val="009A1A89"/>
    <w:rsid w:val="009B3234"/>
    <w:rsid w:val="009B38BE"/>
    <w:rsid w:val="009B7ABC"/>
    <w:rsid w:val="009C333F"/>
    <w:rsid w:val="009C3D0F"/>
    <w:rsid w:val="009D2FDC"/>
    <w:rsid w:val="009E2913"/>
    <w:rsid w:val="009F35E2"/>
    <w:rsid w:val="009F5BEB"/>
    <w:rsid w:val="009F5D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47FD5"/>
    <w:rsid w:val="00A539B1"/>
    <w:rsid w:val="00A55563"/>
    <w:rsid w:val="00A55F5B"/>
    <w:rsid w:val="00A57FB9"/>
    <w:rsid w:val="00A60185"/>
    <w:rsid w:val="00A60B0D"/>
    <w:rsid w:val="00A65959"/>
    <w:rsid w:val="00A661EA"/>
    <w:rsid w:val="00A70809"/>
    <w:rsid w:val="00A76E17"/>
    <w:rsid w:val="00A81092"/>
    <w:rsid w:val="00A83018"/>
    <w:rsid w:val="00A830E5"/>
    <w:rsid w:val="00A86618"/>
    <w:rsid w:val="00A87135"/>
    <w:rsid w:val="00A93280"/>
    <w:rsid w:val="00A95048"/>
    <w:rsid w:val="00AA2548"/>
    <w:rsid w:val="00AA58C4"/>
    <w:rsid w:val="00AB0B10"/>
    <w:rsid w:val="00AB11C8"/>
    <w:rsid w:val="00AB60CF"/>
    <w:rsid w:val="00AC08A8"/>
    <w:rsid w:val="00AC5085"/>
    <w:rsid w:val="00AC73E5"/>
    <w:rsid w:val="00AD1891"/>
    <w:rsid w:val="00AD56C8"/>
    <w:rsid w:val="00AD58F2"/>
    <w:rsid w:val="00AD5BA0"/>
    <w:rsid w:val="00AD734B"/>
    <w:rsid w:val="00AE02CA"/>
    <w:rsid w:val="00AE4C25"/>
    <w:rsid w:val="00AF2CDE"/>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54DE9"/>
    <w:rsid w:val="00B553EC"/>
    <w:rsid w:val="00B62B98"/>
    <w:rsid w:val="00B65E27"/>
    <w:rsid w:val="00B66855"/>
    <w:rsid w:val="00B66EBE"/>
    <w:rsid w:val="00B70ED4"/>
    <w:rsid w:val="00B774CD"/>
    <w:rsid w:val="00B80ECC"/>
    <w:rsid w:val="00B80F27"/>
    <w:rsid w:val="00B912DE"/>
    <w:rsid w:val="00B92763"/>
    <w:rsid w:val="00B93DD0"/>
    <w:rsid w:val="00B95973"/>
    <w:rsid w:val="00B97732"/>
    <w:rsid w:val="00BA0922"/>
    <w:rsid w:val="00BA17FC"/>
    <w:rsid w:val="00BA65A8"/>
    <w:rsid w:val="00BA6D19"/>
    <w:rsid w:val="00BA7461"/>
    <w:rsid w:val="00BA7DA9"/>
    <w:rsid w:val="00BB418A"/>
    <w:rsid w:val="00BC0616"/>
    <w:rsid w:val="00BC4215"/>
    <w:rsid w:val="00BC473A"/>
    <w:rsid w:val="00BC71E4"/>
    <w:rsid w:val="00BD1A6F"/>
    <w:rsid w:val="00BD5DB8"/>
    <w:rsid w:val="00BD5F54"/>
    <w:rsid w:val="00BD6499"/>
    <w:rsid w:val="00BE033E"/>
    <w:rsid w:val="00BE4871"/>
    <w:rsid w:val="00BE6D3C"/>
    <w:rsid w:val="00BE7852"/>
    <w:rsid w:val="00BE7E91"/>
    <w:rsid w:val="00BF0762"/>
    <w:rsid w:val="00BF1EFE"/>
    <w:rsid w:val="00BF3F7C"/>
    <w:rsid w:val="00BF671B"/>
    <w:rsid w:val="00BF7CEE"/>
    <w:rsid w:val="00C03880"/>
    <w:rsid w:val="00C132E3"/>
    <w:rsid w:val="00C135CF"/>
    <w:rsid w:val="00C173B0"/>
    <w:rsid w:val="00C17F88"/>
    <w:rsid w:val="00C22E15"/>
    <w:rsid w:val="00C2683F"/>
    <w:rsid w:val="00C3184D"/>
    <w:rsid w:val="00C325B9"/>
    <w:rsid w:val="00C37862"/>
    <w:rsid w:val="00C43020"/>
    <w:rsid w:val="00C4714E"/>
    <w:rsid w:val="00C5366B"/>
    <w:rsid w:val="00C5504F"/>
    <w:rsid w:val="00C6319E"/>
    <w:rsid w:val="00C63376"/>
    <w:rsid w:val="00C634DE"/>
    <w:rsid w:val="00C71149"/>
    <w:rsid w:val="00C71BB8"/>
    <w:rsid w:val="00C729A8"/>
    <w:rsid w:val="00C74F97"/>
    <w:rsid w:val="00C8276E"/>
    <w:rsid w:val="00C842AC"/>
    <w:rsid w:val="00C85444"/>
    <w:rsid w:val="00C86DC8"/>
    <w:rsid w:val="00C90E71"/>
    <w:rsid w:val="00CA0723"/>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7CC2"/>
    <w:rsid w:val="00D01D39"/>
    <w:rsid w:val="00D021CB"/>
    <w:rsid w:val="00D0562E"/>
    <w:rsid w:val="00D05A2D"/>
    <w:rsid w:val="00D10ACD"/>
    <w:rsid w:val="00D10F1A"/>
    <w:rsid w:val="00D116F8"/>
    <w:rsid w:val="00D14BE2"/>
    <w:rsid w:val="00D14D13"/>
    <w:rsid w:val="00D15127"/>
    <w:rsid w:val="00D17596"/>
    <w:rsid w:val="00D2323D"/>
    <w:rsid w:val="00D24123"/>
    <w:rsid w:val="00D26C48"/>
    <w:rsid w:val="00D26D3A"/>
    <w:rsid w:val="00D31545"/>
    <w:rsid w:val="00D3508B"/>
    <w:rsid w:val="00D374CF"/>
    <w:rsid w:val="00D45EE3"/>
    <w:rsid w:val="00D50618"/>
    <w:rsid w:val="00D509E9"/>
    <w:rsid w:val="00D50A8A"/>
    <w:rsid w:val="00D53B1C"/>
    <w:rsid w:val="00D5575B"/>
    <w:rsid w:val="00D56B26"/>
    <w:rsid w:val="00D62131"/>
    <w:rsid w:val="00D64914"/>
    <w:rsid w:val="00D70D89"/>
    <w:rsid w:val="00D77838"/>
    <w:rsid w:val="00D80F3B"/>
    <w:rsid w:val="00D949E4"/>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603D"/>
    <w:rsid w:val="00DF7BCD"/>
    <w:rsid w:val="00DF7F23"/>
    <w:rsid w:val="00E0596E"/>
    <w:rsid w:val="00E06F66"/>
    <w:rsid w:val="00E1333E"/>
    <w:rsid w:val="00E138B9"/>
    <w:rsid w:val="00E14857"/>
    <w:rsid w:val="00E150B6"/>
    <w:rsid w:val="00E22AD5"/>
    <w:rsid w:val="00E356E5"/>
    <w:rsid w:val="00E35762"/>
    <w:rsid w:val="00E36F81"/>
    <w:rsid w:val="00E403EE"/>
    <w:rsid w:val="00E44648"/>
    <w:rsid w:val="00E452FA"/>
    <w:rsid w:val="00E45765"/>
    <w:rsid w:val="00E45C14"/>
    <w:rsid w:val="00E45E10"/>
    <w:rsid w:val="00E50820"/>
    <w:rsid w:val="00E5098C"/>
    <w:rsid w:val="00E50DC9"/>
    <w:rsid w:val="00E60213"/>
    <w:rsid w:val="00E65A5E"/>
    <w:rsid w:val="00E74D29"/>
    <w:rsid w:val="00E82E79"/>
    <w:rsid w:val="00E83C74"/>
    <w:rsid w:val="00E83CEE"/>
    <w:rsid w:val="00E86DB3"/>
    <w:rsid w:val="00E8776C"/>
    <w:rsid w:val="00E903B3"/>
    <w:rsid w:val="00E9226D"/>
    <w:rsid w:val="00E923D6"/>
    <w:rsid w:val="00E94A84"/>
    <w:rsid w:val="00EA21FF"/>
    <w:rsid w:val="00EA337A"/>
    <w:rsid w:val="00EA5941"/>
    <w:rsid w:val="00EB02BE"/>
    <w:rsid w:val="00EB4974"/>
    <w:rsid w:val="00EB4DFB"/>
    <w:rsid w:val="00EB60CE"/>
    <w:rsid w:val="00EB778E"/>
    <w:rsid w:val="00EB7D53"/>
    <w:rsid w:val="00EC24FD"/>
    <w:rsid w:val="00ED1794"/>
    <w:rsid w:val="00ED7442"/>
    <w:rsid w:val="00EE1E28"/>
    <w:rsid w:val="00EE2A2B"/>
    <w:rsid w:val="00EE3146"/>
    <w:rsid w:val="00EE482C"/>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60329"/>
    <w:rsid w:val="00F65A1C"/>
    <w:rsid w:val="00F66F50"/>
    <w:rsid w:val="00F74AC7"/>
    <w:rsid w:val="00F82FF8"/>
    <w:rsid w:val="00F8330D"/>
    <w:rsid w:val="00F84305"/>
    <w:rsid w:val="00F8485C"/>
    <w:rsid w:val="00F87149"/>
    <w:rsid w:val="00F87239"/>
    <w:rsid w:val="00F87FFE"/>
    <w:rsid w:val="00F91335"/>
    <w:rsid w:val="00F940DB"/>
    <w:rsid w:val="00F954C9"/>
    <w:rsid w:val="00F977DD"/>
    <w:rsid w:val="00FA059B"/>
    <w:rsid w:val="00FA0CF5"/>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paragraph" w:styleId="Heading5">
    <w:name w:val="heading 5"/>
    <w:basedOn w:val="Normal"/>
    <w:next w:val="Normal"/>
    <w:link w:val="Heading5Char"/>
    <w:uiPriority w:val="9"/>
    <w:semiHidden/>
    <w:unhideWhenUsed/>
    <w:rsid w:val="00D26C4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semiHidden/>
    <w:unhideWhenUsed/>
    <w:rsid w:val="0052361B"/>
    <w:rPr>
      <w:sz w:val="16"/>
      <w:szCs w:val="16"/>
    </w:rPr>
  </w:style>
  <w:style w:type="paragraph" w:styleId="CommentText">
    <w:name w:val="annotation text"/>
    <w:basedOn w:val="Normal"/>
    <w:link w:val="CommentTextChar"/>
    <w:semiHidden/>
    <w:unhideWhenUsed/>
    <w:rsid w:val="0052361B"/>
    <w:rPr>
      <w:sz w:val="20"/>
      <w:szCs w:val="20"/>
    </w:rPr>
  </w:style>
  <w:style w:type="character" w:customStyle="1" w:styleId="CommentTextChar">
    <w:name w:val="Comment Text Char"/>
    <w:basedOn w:val="DefaultParagraphFont"/>
    <w:link w:val="CommentText"/>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Heading5Char">
    <w:name w:val="Heading 5 Char"/>
    <w:basedOn w:val="DefaultParagraphFont"/>
    <w:link w:val="Heading5"/>
    <w:uiPriority w:val="9"/>
    <w:semiHidden/>
    <w:rsid w:val="00D26C48"/>
    <w:rPr>
      <w:rFonts w:asciiTheme="majorHAnsi" w:eastAsiaTheme="majorEastAsia" w:hAnsiTheme="majorHAnsi" w:cstheme="majorBidi"/>
      <w:color w:val="243F60" w:themeColor="accent1" w:themeShade="7F"/>
      <w:sz w:val="22"/>
      <w:szCs w:val="22"/>
      <w:lang w:eastAsia="en-US"/>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marine/fisheries/tas/richey-fishing-co" TargetMode="External"/><Relationship Id="rId13" Type="http://schemas.openxmlformats.org/officeDocument/2006/relationships/header" Target="header3.xml"/><Relationship Id="rId18" Type="http://schemas.openxmlformats.org/officeDocument/2006/relationships/hyperlink" Target="http://www.environment.gov.au/foi/index.html"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aat.gov.au/" TargetMode="External"/><Relationship Id="rId2" Type="http://schemas.openxmlformats.org/officeDocument/2006/relationships/numbering" Target="numbering.xml"/><Relationship Id="rId16" Type="http://schemas.openxmlformats.org/officeDocument/2006/relationships/hyperlink" Target="http://www.aat.gov.au/" TargetMode="External"/><Relationship Id="rId20" Type="http://schemas.openxmlformats.org/officeDocument/2006/relationships/hyperlink" Target="mailto:Principal.Registry@aat.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foi@environment.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250DFE-321A-403D-A646-F619B26FC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1286</Words>
  <Characters>7331</Characters>
  <Application>Microsoft Office Word</Application>
  <DocSecurity>0</DocSecurity>
  <Lines>61</Lines>
  <Paragraphs>17</Paragraphs>
  <ScaleCrop>false</ScaleCrop>
  <Company/>
  <LinksUpToDate>false</LinksUpToDate>
  <CharactersWithSpaces>8600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 Assessment - Richey Fishing Company - Australian salmon 2016 - Att F Letter to Fisheries Ministr</dc:title>
  <dc:creator/>
  <cp:lastModifiedBy/>
  <cp:revision>1</cp:revision>
  <dcterms:created xsi:type="dcterms:W3CDTF">2016-02-24T23:35:00Z</dcterms:created>
  <dcterms:modified xsi:type="dcterms:W3CDTF">2016-02-24T23:35:00Z</dcterms:modified>
</cp:coreProperties>
</file>