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7F4FF3">
        <w:t>000103926</w:t>
      </w:r>
    </w:p>
    <w:p w:rsidR="004A6F22" w:rsidRDefault="004A6F22" w:rsidP="00A60B0D">
      <w:pPr>
        <w:contextualSpacing/>
      </w:pPr>
    </w:p>
    <w:p w:rsidR="00735651" w:rsidRDefault="00A60B0D" w:rsidP="00735651">
      <w:pPr>
        <w:contextualSpacing/>
      </w:pPr>
      <w:r w:rsidRPr="00CB0489">
        <w:t xml:space="preserve">The </w:t>
      </w:r>
      <w:r w:rsidRPr="00735651">
        <w:t xml:space="preserve">Hon </w:t>
      </w:r>
      <w:r w:rsidR="00735651" w:rsidRPr="00735651">
        <w:t>Ken Baston MLC</w:t>
      </w:r>
      <w:r w:rsidR="00813398" w:rsidRPr="00735651">
        <w:br/>
      </w:r>
      <w:r w:rsidRPr="00735651">
        <w:t xml:space="preserve">Minister for </w:t>
      </w:r>
      <w:r w:rsidR="00735651" w:rsidRPr="00735651">
        <w:t>Fisheries</w:t>
      </w:r>
      <w:r w:rsidR="001F4075" w:rsidRPr="00735651">
        <w:br/>
      </w:r>
      <w:r w:rsidR="00735651">
        <w:t>7</w:t>
      </w:r>
      <w:r w:rsidR="00735651" w:rsidRPr="00735651">
        <w:rPr>
          <w:vertAlign w:val="superscript"/>
        </w:rPr>
        <w:t>th</w:t>
      </w:r>
      <w:r w:rsidR="00735651">
        <w:t xml:space="preserve"> Floor, Dumas House</w:t>
      </w:r>
      <w:r w:rsidR="00735651">
        <w:br/>
        <w:t>2 Havelock Street</w:t>
      </w:r>
      <w:r w:rsidR="00735651">
        <w:br/>
        <w:t>WEST PERTH WA 6005</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w:t>
      </w:r>
      <w:r w:rsidRPr="007F4FF3">
        <w:rPr>
          <w:rFonts w:cs="Arial"/>
          <w:lang w:val="en-US"/>
        </w:rPr>
        <w:t>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7F4FF3">
        <w:rPr>
          <w:rFonts w:cs="Arial"/>
          <w:lang w:val="en-US"/>
        </w:rPr>
        <w:t xml:space="preserve">Western Australian </w:t>
      </w:r>
      <w:r w:rsidR="00A42117">
        <w:rPr>
          <w:rFonts w:cs="Arial"/>
          <w:lang w:val="en-US"/>
        </w:rPr>
        <w:t xml:space="preserve">(WA) </w:t>
      </w:r>
      <w:r w:rsidR="007F4FF3">
        <w:rPr>
          <w:rFonts w:cs="Arial"/>
          <w:lang w:val="en-US"/>
        </w:rPr>
        <w:t>Temperate Demersal Gillnet and Demersal Longline Fisheries</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B66855" w:rsidRPr="00B66855" w:rsidRDefault="007F4FF3" w:rsidP="001047E4">
      <w:r>
        <w:rPr>
          <w:rFonts w:cs="Arial"/>
        </w:rPr>
        <w:t>These fisheries were</w:t>
      </w:r>
      <w:r w:rsidR="00B66855">
        <w:rPr>
          <w:rFonts w:cs="Arial"/>
          <w:lang w:val="en-US"/>
        </w:rPr>
        <w:t xml:space="preserve"> most recently assessed under the </w:t>
      </w:r>
      <w:r w:rsidR="00B66855" w:rsidRPr="00906040">
        <w:rPr>
          <w:iCs/>
        </w:rPr>
        <w:t>international wildlife trade provisions of Part 13A of the EPBC</w:t>
      </w:r>
      <w:r w:rsidR="00B66855">
        <w:rPr>
          <w:iCs/>
        </w:rPr>
        <w:t xml:space="preserve"> Act</w:t>
      </w:r>
      <w:r w:rsidR="00B66855" w:rsidRPr="00906040">
        <w:rPr>
          <w:iCs/>
        </w:rPr>
        <w:t xml:space="preserve"> </w:t>
      </w:r>
      <w:r w:rsidR="00B66855" w:rsidRPr="00B66855">
        <w:rPr>
          <w:iCs/>
        </w:rPr>
        <w:t xml:space="preserve">in </w:t>
      </w:r>
      <w:r>
        <w:t>August 2012.</w:t>
      </w:r>
      <w:r w:rsidR="00B66855" w:rsidRPr="00906040">
        <w:rPr>
          <w:iCs/>
        </w:rPr>
        <w:t xml:space="preserve"> </w:t>
      </w:r>
      <w:r>
        <w:rPr>
          <w:iCs/>
        </w:rPr>
        <w:t xml:space="preserve">The then Minister for Sustainability, Environment, Water, Population and Communities </w:t>
      </w:r>
      <w:r w:rsidR="00B66855" w:rsidRPr="00B66855">
        <w:t>subsequently</w:t>
      </w:r>
      <w:r w:rsidR="00B66855">
        <w:t xml:space="preserve"> </w:t>
      </w:r>
      <w:r>
        <w:t xml:space="preserve">declared these fisheries as </w:t>
      </w:r>
      <w:r w:rsidR="00B66855" w:rsidRPr="00906040">
        <w:t>approved wildlife trade operation</w:t>
      </w:r>
      <w:r w:rsidR="00D76C5E">
        <w:t>s</w:t>
      </w:r>
      <w:r w:rsidR="00B66855" w:rsidRPr="00906040">
        <w:t xml:space="preserve"> under </w:t>
      </w:r>
      <w:r w:rsidR="00B66855">
        <w:t>P</w:t>
      </w:r>
      <w:r w:rsidR="00B66855" w:rsidRPr="00906040">
        <w:t xml:space="preserve">art 13A of the EPBC Act for a period </w:t>
      </w:r>
      <w:r w:rsidR="00B66855" w:rsidRPr="00B66855">
        <w:t xml:space="preserve">of </w:t>
      </w:r>
      <w:r>
        <w:t xml:space="preserve">three </w:t>
      </w:r>
      <w:r w:rsidR="00B66855" w:rsidRPr="00B66855">
        <w:t>years</w:t>
      </w:r>
      <w:r w:rsidR="001F5C95">
        <w:t>,</w:t>
      </w:r>
      <w:r w:rsidR="00B66855" w:rsidRPr="00906040">
        <w:t xml:space="preserve"> until </w:t>
      </w:r>
      <w:r>
        <w:t>28 August 2015.</w:t>
      </w:r>
      <w:r w:rsidR="00B66855" w:rsidRPr="00906040">
        <w:t xml:space="preserve"> </w:t>
      </w:r>
      <w:r w:rsidR="001F5C95">
        <w:t>This</w:t>
      </w:r>
      <w:r w:rsidR="00B66855" w:rsidRPr="00906040">
        <w:t xml:space="preserve"> allow</w:t>
      </w:r>
      <w:r w:rsidR="001F5C95">
        <w:t>ed</w:t>
      </w:r>
      <w:r w:rsidR="00B66855" w:rsidRPr="00906040">
        <w:t xml:space="preserve"> export of product from the</w:t>
      </w:r>
      <w:r w:rsidR="00D76C5E">
        <w:t>se fisheries</w:t>
      </w:r>
      <w:r w:rsidR="00B66855">
        <w:t xml:space="preserve"> to continue</w:t>
      </w:r>
      <w:r w:rsidR="001F5C95">
        <w:t xml:space="preserve"> during the period of the </w:t>
      </w:r>
      <w:r w:rsidR="00C71149">
        <w:t>declaration</w:t>
      </w:r>
      <w:r w:rsidR="00B66855">
        <w:t>.</w:t>
      </w:r>
    </w:p>
    <w:p w:rsidR="00392049" w:rsidRDefault="00392049" w:rsidP="00392049">
      <w:pPr>
        <w:rPr>
          <w:rFonts w:cs="Arial"/>
        </w:rPr>
      </w:pPr>
      <w:r w:rsidRPr="00822585">
        <w:rPr>
          <w:rFonts w:cs="Arial"/>
        </w:rPr>
        <w:t xml:space="preserve">In </w:t>
      </w:r>
      <w:r w:rsidR="007F4FF3">
        <w:t>June 2015</w:t>
      </w:r>
      <w:r w:rsidRPr="00297D18">
        <w:rPr>
          <w:rFonts w:cs="Arial"/>
        </w:rPr>
        <w:t xml:space="preserve">, </w:t>
      </w:r>
      <w:r w:rsidR="00297D18" w:rsidRPr="00297D18">
        <w:rPr>
          <w:rFonts w:cs="Arial"/>
        </w:rPr>
        <w:t xml:space="preserve">the </w:t>
      </w:r>
      <w:r w:rsidR="00A42117">
        <w:rPr>
          <w:rFonts w:cs="Arial"/>
          <w:bCs/>
        </w:rPr>
        <w:t>WA</w:t>
      </w:r>
      <w:r w:rsidR="007F4FF3">
        <w:rPr>
          <w:rFonts w:cs="Arial"/>
          <w:bCs/>
        </w:rPr>
        <w:t xml:space="preserve"> Department of Fisheries</w:t>
      </w:r>
      <w:r w:rsidR="001047E4">
        <w:rPr>
          <w:rFonts w:cs="Arial"/>
        </w:rPr>
        <w:t xml:space="preserve"> </w:t>
      </w:r>
      <w:r w:rsidRPr="00822585">
        <w:rPr>
          <w:rFonts w:cs="Arial"/>
        </w:rPr>
        <w:t>provided an application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7F4FF3">
        <w:rPr>
          <w:rFonts w:cs="Arial"/>
        </w:rPr>
        <w:t>these fisheries</w:t>
      </w:r>
      <w:r w:rsidR="00535D49">
        <w:rPr>
          <w:rFonts w:cs="Arial"/>
        </w:rPr>
        <w:t>.</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297D18">
        <w:rPr>
          <w:rFonts w:cs="Arial"/>
        </w:rPr>
        <w:t xml:space="preserve">the </w:t>
      </w:r>
      <w:r w:rsidR="00A42117">
        <w:rPr>
          <w:rFonts w:cs="Arial"/>
          <w:bCs/>
        </w:rPr>
        <w:t>WA</w:t>
      </w:r>
      <w:r w:rsidR="007F4FF3">
        <w:rPr>
          <w:rFonts w:cs="Arial"/>
          <w:bCs/>
        </w:rPr>
        <w:t xml:space="preserve"> Department of Fisheries</w:t>
      </w:r>
      <w:r w:rsidR="001047E4">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7F4FF3">
        <w:rPr>
          <w:rFonts w:cs="Arial"/>
        </w:rPr>
        <w:t>2012</w:t>
      </w:r>
      <w:r>
        <w:rPr>
          <w:rFonts w:cs="Arial"/>
        </w:rPr>
        <w:t> </w:t>
      </w:r>
      <w:r w:rsidR="00397570">
        <w:rPr>
          <w:rFonts w:cs="Arial"/>
        </w:rPr>
        <w:t xml:space="preserve">export </w:t>
      </w:r>
      <w:r w:rsidRPr="00822585">
        <w:rPr>
          <w:rFonts w:cs="Arial"/>
        </w:rPr>
        <w:t xml:space="preserve">assessment </w:t>
      </w:r>
      <w:r w:rsidR="00397570">
        <w:rPr>
          <w:rFonts w:cs="Arial"/>
        </w:rPr>
        <w:t>under the EPBC Act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hyperlink r:id="rId8" w:history="1">
        <w:r w:rsidR="007F4FF3" w:rsidRPr="00DE4B44">
          <w:rPr>
            <w:rStyle w:val="Hyperlink"/>
            <w:rFonts w:cs="Arial"/>
          </w:rPr>
          <w:t>http://www.environment.gov.au/marine/fisheries/wa/temperate-shark</w:t>
        </w:r>
      </w:hyperlink>
      <w:r w:rsidR="007F4FF3">
        <w:rPr>
          <w:rFonts w:cs="Arial"/>
        </w:rPr>
        <w:t xml:space="preserve"> </w:t>
      </w:r>
    </w:p>
    <w:p w:rsidR="00AC5085" w:rsidRDefault="003E7511" w:rsidP="00AC5085">
      <w:pPr>
        <w:widowControl w:val="0"/>
        <w:spacing w:after="100"/>
        <w:rPr>
          <w:rFonts w:ascii="Times New Roman" w:hAnsi="Times New Roman"/>
        </w:rPr>
      </w:pPr>
      <w:r w:rsidRPr="003E7511">
        <w:rPr>
          <w:rFonts w:cs="Arial"/>
        </w:rPr>
        <w:t xml:space="preserve">I consider that the management arrangements for the </w:t>
      </w:r>
      <w:r w:rsidR="00A42117">
        <w:rPr>
          <w:rFonts w:cs="Arial"/>
          <w:lang w:val="en-US"/>
        </w:rPr>
        <w:t>WA</w:t>
      </w:r>
      <w:r w:rsidR="00683166">
        <w:rPr>
          <w:rFonts w:cs="Arial"/>
          <w:lang w:val="en-US"/>
        </w:rPr>
        <w:t xml:space="preserve"> Temperate Demersal Gillnet and Demersal Longline Fisheries</w:t>
      </w:r>
      <w:r w:rsidR="00683166">
        <w:rPr>
          <w:rFonts w:cs="Arial"/>
        </w:rPr>
        <w:t xml:space="preserve">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p>
    <w:p w:rsidR="00C37862" w:rsidRDefault="00392049" w:rsidP="00AC5085">
      <w:pPr>
        <w:widowControl w:val="0"/>
        <w:numPr>
          <w:ilvl w:val="0"/>
          <w:numId w:val="19"/>
        </w:numPr>
        <w:spacing w:after="100"/>
        <w:rPr>
          <w:rFonts w:cs="Arial"/>
        </w:rPr>
      </w:pPr>
      <w:r w:rsidRPr="00822585">
        <w:rPr>
          <w:rFonts w:cs="Arial"/>
        </w:rPr>
        <w:t xml:space="preserve">the management arrangements </w:t>
      </w:r>
      <w:r w:rsidR="003E7511">
        <w:rPr>
          <w:rFonts w:cs="Arial"/>
        </w:rPr>
        <w:t>currently in place</w:t>
      </w:r>
      <w:r w:rsidR="00AC5085">
        <w:rPr>
          <w:rFonts w:cs="Arial"/>
        </w:rPr>
        <w:t xml:space="preserve"> in the </w:t>
      </w:r>
      <w:r w:rsidR="00E35762">
        <w:rPr>
          <w:rFonts w:cs="Arial"/>
        </w:rPr>
        <w:t>fishery</w:t>
      </w:r>
      <w:r w:rsidR="003E7511">
        <w:rPr>
          <w:rFonts w:cs="Arial"/>
        </w:rPr>
        <w:t xml:space="preserve">, which include </w:t>
      </w:r>
      <w:r w:rsidR="00683166">
        <w:rPr>
          <w:rFonts w:cs="Arial"/>
        </w:rPr>
        <w:t>limits on fishing effort</w:t>
      </w:r>
      <w:r w:rsidR="00E45C14">
        <w:rPr>
          <w:rFonts w:cs="Arial"/>
        </w:rPr>
        <w:t xml:space="preserve">, </w:t>
      </w:r>
      <w:r w:rsidR="00AC5085">
        <w:rPr>
          <w:rFonts w:cs="Arial"/>
        </w:rPr>
        <w:t xml:space="preserve">gear </w:t>
      </w:r>
      <w:r w:rsidR="00683166">
        <w:rPr>
          <w:rFonts w:cs="Arial"/>
        </w:rPr>
        <w:t xml:space="preserve">and size </w:t>
      </w:r>
      <w:r w:rsidR="00AC5085">
        <w:rPr>
          <w:rFonts w:cs="Arial"/>
        </w:rPr>
        <w:t xml:space="preserve">restrictions, </w:t>
      </w:r>
      <w:r w:rsidR="00683166">
        <w:rPr>
          <w:rFonts w:cs="Arial"/>
        </w:rPr>
        <w:t xml:space="preserve">vessel monitoring systems </w:t>
      </w:r>
      <w:r w:rsidR="00AC5085">
        <w:rPr>
          <w:rFonts w:cs="Arial"/>
        </w:rPr>
        <w:t>and ecological risk assessment, and</w:t>
      </w:r>
    </w:p>
    <w:p w:rsidR="00AC5085" w:rsidRDefault="00AC5085" w:rsidP="00AC5085">
      <w:pPr>
        <w:widowControl w:val="0"/>
        <w:numPr>
          <w:ilvl w:val="0"/>
          <w:numId w:val="19"/>
        </w:numPr>
        <w:spacing w:after="100"/>
        <w:rPr>
          <w:rFonts w:cs="Arial"/>
        </w:rPr>
      </w:pPr>
      <w:r>
        <w:rPr>
          <w:rFonts w:cs="Arial"/>
        </w:rPr>
        <w:t xml:space="preserve">the </w:t>
      </w:r>
      <w:r w:rsidR="00683166" w:rsidRPr="00683166">
        <w:rPr>
          <w:rFonts w:cs="Arial"/>
          <w:i/>
        </w:rPr>
        <w:t xml:space="preserve">Non-Detriment Finding for the export of shark species listed in the Convention on the International Trade in Endangered Species of Flora and Fauna (CITES) and harvested from Australian waters </w:t>
      </w:r>
      <w:r>
        <w:rPr>
          <w:rFonts w:cs="Arial"/>
        </w:rPr>
        <w:t xml:space="preserve">made by </w:t>
      </w:r>
      <w:r w:rsidRPr="00AC5085">
        <w:rPr>
          <w:rFonts w:cs="Arial"/>
        </w:rPr>
        <w:t xml:space="preserve">Australia’s Scientific Authority for Marine Species for </w:t>
      </w:r>
      <w:r w:rsidR="00BC007E">
        <w:rPr>
          <w:rFonts w:cs="Arial"/>
        </w:rPr>
        <w:t>CITES in 2014</w:t>
      </w:r>
      <w:r>
        <w:rPr>
          <w:rFonts w:cs="Arial"/>
        </w:rPr>
        <w:t>,</w:t>
      </w:r>
    </w:p>
    <w:p w:rsidR="00AC5085" w:rsidRDefault="00392049" w:rsidP="00AC5085">
      <w:pPr>
        <w:widowControl w:val="0"/>
        <w:rPr>
          <w:rFonts w:cs="Arial"/>
        </w:rPr>
      </w:pPr>
      <w:r w:rsidRPr="00AC5085">
        <w:rPr>
          <w:rFonts w:cs="Arial"/>
        </w:rPr>
        <w:t xml:space="preserve">I </w:t>
      </w:r>
      <w:r w:rsidR="003E7511"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Pr="00AC5085" w:rsidRDefault="003E7511" w:rsidP="00AC5085">
      <w:pPr>
        <w:widowControl w:val="0"/>
        <w:rPr>
          <w:rFonts w:cs="Arial"/>
        </w:rPr>
      </w:pPr>
      <w:r w:rsidRPr="00AC5085">
        <w:rPr>
          <w:rFonts w:cs="Arial"/>
        </w:rPr>
        <w:lastRenderedPageBreak/>
        <w:t>I am also satisfied that the operation of the</w:t>
      </w:r>
      <w:r w:rsidR="00D76C5E">
        <w:rPr>
          <w:rFonts w:cs="Arial"/>
        </w:rPr>
        <w:t>se fisheries</w:t>
      </w:r>
      <w:r w:rsidRPr="00AC5085">
        <w:rPr>
          <w:rFonts w:cs="Arial"/>
        </w:rPr>
        <w:t xml:space="preserve"> over the period of the declaration as approved wildlife trade operation</w:t>
      </w:r>
      <w:r w:rsidR="00D76C5E">
        <w:rPr>
          <w:rFonts w:cs="Arial"/>
        </w:rPr>
        <w:t>s</w:t>
      </w:r>
      <w:r w:rsidRPr="00AC5085">
        <w:rPr>
          <w:rFonts w:cs="Arial"/>
        </w:rPr>
        <w:t xml:space="preserve"> </w:t>
      </w:r>
      <w:r w:rsidR="005C1970" w:rsidRPr="00AC5085">
        <w:rPr>
          <w:rFonts w:cs="Arial"/>
        </w:rPr>
        <w:t>is unlikely to be detrimental to the survival or conservation status o</w:t>
      </w:r>
      <w:r w:rsidR="00D76C5E">
        <w:rPr>
          <w:rFonts w:cs="Arial"/>
        </w:rPr>
        <w:t>f any taxon to which the fisheries’</w:t>
      </w:r>
      <w:r w:rsidR="005C1970" w:rsidRPr="00AC5085">
        <w:rPr>
          <w:rFonts w:cs="Arial"/>
        </w:rPr>
        <w:t xml:space="preserve"> operation</w:t>
      </w:r>
      <w:r w:rsidR="00D76C5E">
        <w:rPr>
          <w:rFonts w:cs="Arial"/>
        </w:rPr>
        <w:t>s relate</w:t>
      </w:r>
      <w:r w:rsidR="007B5B2F">
        <w:rPr>
          <w:rFonts w:cs="Arial"/>
        </w:rPr>
        <w:t>, including any CITES</w:t>
      </w:r>
      <w:r w:rsidR="00AC5085">
        <w:rPr>
          <w:rFonts w:cs="Arial"/>
        </w:rPr>
        <w:t xml:space="preserve"> listed taxon, </w:t>
      </w:r>
      <w:r w:rsidR="005C1970" w:rsidRPr="00AC5085">
        <w:rPr>
          <w:rFonts w:cs="Arial"/>
        </w:rPr>
        <w:t>or t</w:t>
      </w:r>
      <w:r w:rsidR="004B3738" w:rsidRPr="00AC5085">
        <w:rPr>
          <w:rFonts w:cs="Arial"/>
        </w:rPr>
        <w:t>hreaten any relevant ecosystem.</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A42117">
        <w:rPr>
          <w:rFonts w:cs="Arial"/>
          <w:lang w:val="en-US"/>
        </w:rPr>
        <w:t>WA</w:t>
      </w:r>
      <w:r w:rsidR="00BC007E">
        <w:rPr>
          <w:rFonts w:cs="Arial"/>
          <w:lang w:val="en-US"/>
        </w:rPr>
        <w:t xml:space="preserve"> Temperate Demersal Gillnet and Demersal Longline Fisheries</w:t>
      </w:r>
      <w:r w:rsidR="00D76C5E">
        <w:rPr>
          <w:rFonts w:cs="Arial"/>
          <w:lang w:val="en-US"/>
        </w:rPr>
        <w:t xml:space="preserve"> as</w:t>
      </w:r>
      <w:r>
        <w:rPr>
          <w:rFonts w:cs="Arial"/>
          <w:lang w:val="en-US"/>
        </w:rPr>
        <w:t xml:space="preserve"> </w:t>
      </w:r>
      <w:r>
        <w:rPr>
          <w:rFonts w:cs="Arial"/>
        </w:rPr>
        <w:t>approved wildlife trade operation</w:t>
      </w:r>
      <w:r w:rsidR="00D76C5E">
        <w:rPr>
          <w:rFonts w:cs="Arial"/>
        </w:rPr>
        <w:t>s</w:t>
      </w:r>
      <w:r w:rsidR="00392049" w:rsidRPr="00822585">
        <w:rPr>
          <w:rFonts w:cs="Arial"/>
        </w:rPr>
        <w:t xml:space="preserve"> </w:t>
      </w:r>
      <w:r w:rsidR="00392049" w:rsidRPr="00297D18">
        <w:rPr>
          <w:rFonts w:cs="Arial"/>
        </w:rPr>
        <w:t xml:space="preserve">until </w:t>
      </w:r>
      <w:r w:rsidR="00BC007E">
        <w:rPr>
          <w:rFonts w:cs="Arial"/>
        </w:rPr>
        <w:t>24 August 2018</w:t>
      </w:r>
      <w:r w:rsidR="00392049" w:rsidRPr="00297D18">
        <w:rPr>
          <w:rFonts w:cs="Arial"/>
        </w:rPr>
        <w:t xml:space="preserve">. </w:t>
      </w:r>
      <w:r w:rsidRPr="00297D18">
        <w:rPr>
          <w:rFonts w:cs="Arial"/>
        </w:rPr>
        <w:t>The</w:t>
      </w:r>
      <w:r>
        <w:rPr>
          <w:rFonts w:cs="Arial"/>
        </w:rPr>
        <w:t xml:space="preserve"> declaration</w:t>
      </w:r>
      <w:r w:rsidR="00D76C5E">
        <w:rPr>
          <w:rFonts w:cs="Arial"/>
        </w:rPr>
        <w:t>s</w:t>
      </w:r>
      <w:r>
        <w:rPr>
          <w:rFonts w:cs="Arial"/>
        </w:rPr>
        <w:t xml:space="preserve">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966034">
        <w:rPr>
          <w:rFonts w:cs="Arial"/>
        </w:rPr>
        <w:t>D</w:t>
      </w:r>
      <w:r w:rsidR="00E35762">
        <w:rPr>
          <w:rFonts w:cs="Arial"/>
        </w:rPr>
        <w:t>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 xml:space="preserve">ttachment </w:t>
      </w:r>
      <w:r w:rsidR="00985F0B">
        <w:rPr>
          <w:rFonts w:cs="Arial"/>
          <w:b/>
          <w:u w:val="single"/>
        </w:rPr>
        <w:t>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C37862" w:rsidRDefault="00C37862" w:rsidP="005C1970">
      <w:pPr>
        <w:widowControl w:val="0"/>
      </w:pPr>
      <w:r w:rsidRPr="00C37862">
        <w:t xml:space="preserve">The assessment considered the possible impacts on </w:t>
      </w:r>
      <w:r w:rsidR="00BC007E">
        <w:rPr>
          <w:rFonts w:cs="Arial"/>
        </w:rPr>
        <w:t>hammerhead sharks</w:t>
      </w:r>
      <w:r w:rsidRPr="00C37862">
        <w:rPr>
          <w:rFonts w:cs="Arial"/>
        </w:rPr>
        <w:t xml:space="preserve"> which are harvested in </w:t>
      </w:r>
      <w:r w:rsidR="00BC007E">
        <w:rPr>
          <w:rFonts w:cs="Arial"/>
        </w:rPr>
        <w:t>these fisheries</w:t>
      </w:r>
      <w:r w:rsidRPr="00C37862">
        <w:rPr>
          <w:lang w:val="en-US"/>
        </w:rPr>
        <w:t xml:space="preserve"> and which are listed </w:t>
      </w:r>
      <w:r w:rsidR="007B5B2F">
        <w:rPr>
          <w:rFonts w:cs="Arial"/>
        </w:rPr>
        <w:t>in the Appendi</w:t>
      </w:r>
      <w:r w:rsidR="00E14857">
        <w:rPr>
          <w:rFonts w:cs="Arial"/>
        </w:rPr>
        <w:t>c</w:t>
      </w:r>
      <w:r w:rsidRPr="00C37862">
        <w:rPr>
          <w:rFonts w:cs="Arial"/>
        </w:rPr>
        <w:t xml:space="preserve">es </w:t>
      </w:r>
      <w:r w:rsidR="00E14857">
        <w:rPr>
          <w:rFonts w:cs="Arial"/>
        </w:rPr>
        <w:t>to</w:t>
      </w:r>
      <w:r w:rsidRPr="00C37862">
        <w:rPr>
          <w:rFonts w:cs="Arial"/>
        </w:rPr>
        <w:t xml:space="preserve"> </w:t>
      </w:r>
      <w:r w:rsidR="00E14857">
        <w:rPr>
          <w:rFonts w:cs="Arial"/>
        </w:rPr>
        <w:t>CITES</w:t>
      </w:r>
      <w:r w:rsidRPr="00C37862">
        <w:t xml:space="preserve">. As a party to </w:t>
      </w:r>
      <w:r w:rsidR="00E14857">
        <w:t>CITES</w:t>
      </w:r>
      <w:r w:rsidRPr="00C37862">
        <w:t xml:space="preserve">, Australia must apply all CITES provisions of the EPBC Act to CITES imports and exports as appropriate. </w:t>
      </w:r>
      <w:r w:rsidRPr="00C37862">
        <w:rPr>
          <w:rFonts w:cs="Arial"/>
        </w:rPr>
        <w:t>Specimens of species listed in Appendix II or Appendix III of CITES may be exported commercially under a CITES export permit, if sourced from an approved wildlife trade operation</w:t>
      </w:r>
      <w:r>
        <w:rPr>
          <w:rFonts w:cs="Arial"/>
        </w:rPr>
        <w:t xml:space="preserve"> and a non-</w:t>
      </w:r>
      <w:r w:rsidR="00E35762">
        <w:rPr>
          <w:rFonts w:cs="Arial"/>
        </w:rPr>
        <w:t>detriment</w:t>
      </w:r>
      <w:r>
        <w:rPr>
          <w:rFonts w:cs="Arial"/>
        </w:rPr>
        <w:t xml:space="preserve"> finding has been made by the exporting country's CITES Scientific Authority</w:t>
      </w:r>
      <w:r w:rsidRPr="00C37862">
        <w:rPr>
          <w:rFonts w:cs="Arial"/>
        </w:rPr>
        <w:t xml:space="preserve">. Inclusion of CITES specimens in the list of exempt native specimens is not possible due to international obligations to monitor trade. </w:t>
      </w:r>
      <w:r w:rsidRPr="00C37862">
        <w:t>Under the EPBC Act, individual exporters are required to apply for CITES export permits and export of CITES specimens may only occur where a permit has been issued by Australia's CITES Management Authority</w:t>
      </w:r>
      <w:r w:rsidR="009A1A89">
        <w:t xml:space="preserve"> (Department of the Environment</w:t>
      </w:r>
      <w:r w:rsidRPr="00C37862">
        <w:t>).</w:t>
      </w:r>
    </w:p>
    <w:p w:rsidR="00631D4A"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A42117">
        <w:rPr>
          <w:rFonts w:ascii="Arial" w:hAnsi="Arial" w:cs="Arial"/>
          <w:bCs/>
          <w:sz w:val="22"/>
          <w:szCs w:val="22"/>
          <w:lang w:val="en-AU" w:eastAsia="zh-CN" w:bidi="th-TH"/>
        </w:rPr>
        <w:t>WA</w:t>
      </w:r>
      <w:r w:rsidR="00BC007E" w:rsidRPr="00BC007E">
        <w:rPr>
          <w:rFonts w:ascii="Arial" w:hAnsi="Arial" w:cs="Arial"/>
          <w:bCs/>
          <w:sz w:val="22"/>
          <w:szCs w:val="22"/>
          <w:lang w:val="en-AU" w:eastAsia="zh-CN" w:bidi="th-TH"/>
        </w:rPr>
        <w:t xml:space="preserve"> Department of Fisheries</w:t>
      </w:r>
      <w:r w:rsidR="00BC007E" w:rsidRPr="00BC007E">
        <w:rPr>
          <w:rFonts w:ascii="Arial" w:hAnsi="Arial" w:cs="Arial"/>
          <w:sz w:val="22"/>
          <w:szCs w:val="22"/>
          <w:lang w:val="en-AU" w:eastAsia="zh-CN" w:bidi="th-TH"/>
        </w:rPr>
        <w:t xml:space="preserve"> </w:t>
      </w:r>
      <w:r w:rsidR="00BC007E">
        <w:rPr>
          <w:rFonts w:ascii="Arial" w:hAnsi="Arial" w:cs="Arial"/>
          <w:sz w:val="22"/>
          <w:szCs w:val="22"/>
          <w:lang w:val="en-AU" w:eastAsia="zh-CN" w:bidi="th-TH"/>
        </w:rPr>
        <w:t>and the D</w:t>
      </w:r>
      <w:r w:rsidR="00C37862" w:rsidRPr="00297D18">
        <w:rPr>
          <w:rFonts w:ascii="Arial" w:hAnsi="Arial" w:cs="Arial"/>
          <w:sz w:val="22"/>
          <w:szCs w:val="22"/>
          <w:lang w:val="en-AU" w:eastAsia="zh-CN" w:bidi="th-TH"/>
        </w:rPr>
        <w:t xml:space="preserve">epartment have </w:t>
      </w:r>
      <w:r w:rsidRPr="00297D18">
        <w:rPr>
          <w:rFonts w:ascii="Arial" w:hAnsi="Arial" w:cs="Arial"/>
          <w:sz w:val="22"/>
          <w:szCs w:val="22"/>
          <w:lang w:val="en-AU" w:eastAsia="zh-CN" w:bidi="th-TH"/>
        </w:rPr>
        <w:t>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00BC007E">
        <w:rPr>
          <w:rFonts w:ascii="Arial" w:hAnsi="Arial" w:cs="Arial"/>
          <w:sz w:val="22"/>
          <w:szCs w:val="22"/>
          <w:lang w:val="en-AU" w:eastAsia="zh-CN" w:bidi="th-TH"/>
        </w:rPr>
        <w:t xml:space="preserve">the </w:t>
      </w:r>
      <w:r w:rsidR="00A42117">
        <w:rPr>
          <w:rFonts w:ascii="Arial" w:hAnsi="Arial" w:cs="Arial"/>
          <w:bCs/>
          <w:sz w:val="22"/>
          <w:szCs w:val="22"/>
          <w:lang w:val="en-AU" w:eastAsia="zh-CN" w:bidi="th-TH"/>
        </w:rPr>
        <w:t>WA</w:t>
      </w:r>
      <w:r w:rsidR="00BC007E" w:rsidRPr="00BC007E">
        <w:rPr>
          <w:rFonts w:ascii="Arial" w:hAnsi="Arial" w:cs="Arial"/>
          <w:bCs/>
          <w:sz w:val="22"/>
          <w:szCs w:val="22"/>
          <w:lang w:val="en-AU" w:eastAsia="zh-CN" w:bidi="th-TH"/>
        </w:rPr>
        <w:t xml:space="preserve"> Department of Fisheries</w:t>
      </w:r>
      <w:r w:rsidRPr="0025194B">
        <w:rPr>
          <w:rFonts w:ascii="Arial" w:hAnsi="Arial" w:cs="Arial"/>
          <w:sz w:val="22"/>
          <w:szCs w:val="22"/>
          <w:lang w:val="en-AU" w:eastAsia="zh-CN" w:bidi="th-TH"/>
        </w:rPr>
        <w:t xml:space="preserve"> is committed to addressing these issues and has already taken proactive measures. </w:t>
      </w:r>
    </w:p>
    <w:p w:rsidR="00631D4A" w:rsidRPr="00631D4A" w:rsidRDefault="00297D18" w:rsidP="00631D4A">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00A42117">
        <w:rPr>
          <w:rFonts w:ascii="Arial" w:hAnsi="Arial" w:cs="Arial"/>
          <w:bCs/>
          <w:sz w:val="22"/>
          <w:szCs w:val="22"/>
          <w:lang w:val="en-AU" w:eastAsia="zh-CN" w:bidi="th-TH"/>
        </w:rPr>
        <w:t>WA</w:t>
      </w:r>
      <w:r w:rsidR="00BC007E" w:rsidRPr="00BC007E">
        <w:rPr>
          <w:rFonts w:ascii="Arial" w:hAnsi="Arial" w:cs="Arial"/>
          <w:bCs/>
          <w:sz w:val="22"/>
          <w:szCs w:val="22"/>
          <w:lang w:val="en-AU" w:eastAsia="zh-CN" w:bidi="th-TH"/>
        </w:rPr>
        <w:t xml:space="preserve"> Department of Fisheries</w:t>
      </w:r>
      <w:r w:rsidR="00BC007E" w:rsidRPr="00BC007E">
        <w:rPr>
          <w:rFonts w:ascii="Arial" w:hAnsi="Arial" w:cs="Arial"/>
          <w:sz w:val="22"/>
          <w:szCs w:val="22"/>
          <w:lang w:val="en-AU" w:eastAsia="zh-CN" w:bidi="th-TH"/>
        </w:rPr>
        <w:t xml:space="preserve"> </w:t>
      </w:r>
      <w:r w:rsidR="00A42117">
        <w:rPr>
          <w:rFonts w:ascii="Arial" w:hAnsi="Arial" w:cs="Arial"/>
          <w:sz w:val="22"/>
          <w:szCs w:val="22"/>
        </w:rPr>
        <w:t>and the D</w:t>
      </w:r>
      <w:r w:rsidR="00631D4A" w:rsidRPr="0025194B">
        <w:rPr>
          <w:rFonts w:ascii="Arial" w:hAnsi="Arial" w:cs="Arial"/>
          <w:sz w:val="22"/>
          <w:szCs w:val="22"/>
        </w:rPr>
        <w:t>epartment’s officers have agreed to additional recommendations (</w:t>
      </w:r>
      <w:r w:rsidR="00E150B6">
        <w:rPr>
          <w:rFonts w:ascii="Arial" w:hAnsi="Arial" w:cs="Arial"/>
          <w:b/>
          <w:sz w:val="22"/>
          <w:szCs w:val="22"/>
          <w:u w:val="single"/>
        </w:rPr>
        <w:t xml:space="preserve">Attachment </w:t>
      </w:r>
      <w:r w:rsidR="00985F0B">
        <w:rPr>
          <w:rFonts w:ascii="Arial" w:hAnsi="Arial" w:cs="Arial"/>
          <w:b/>
          <w:sz w:val="22"/>
          <w:szCs w:val="22"/>
          <w:u w:val="single"/>
        </w:rPr>
        <w:t>1</w:t>
      </w:r>
      <w:r w:rsidR="00631D4A" w:rsidRPr="0025194B">
        <w:rPr>
          <w:rFonts w:ascii="Arial" w:hAnsi="Arial" w:cs="Arial"/>
          <w:sz w:val="22"/>
          <w:szCs w:val="22"/>
        </w:rPr>
        <w:t xml:space="preserve">) to be implemented before the next </w:t>
      </w:r>
      <w:r w:rsidR="00966034">
        <w:rPr>
          <w:rFonts w:ascii="Arial" w:hAnsi="Arial" w:cs="Arial"/>
          <w:sz w:val="22"/>
          <w:szCs w:val="22"/>
        </w:rPr>
        <w:t xml:space="preserve">Australian </w:t>
      </w:r>
      <w:r w:rsidR="00631D4A" w:rsidRPr="0025194B">
        <w:rPr>
          <w:rFonts w:ascii="Arial" w:hAnsi="Arial" w:cs="Arial"/>
          <w:sz w:val="22"/>
          <w:szCs w:val="22"/>
        </w:rPr>
        <w:t>Government assessment of the</w:t>
      </w:r>
      <w:r w:rsidR="00D76C5E">
        <w:rPr>
          <w:rFonts w:ascii="Arial" w:hAnsi="Arial" w:cs="Arial"/>
          <w:sz w:val="22"/>
          <w:szCs w:val="22"/>
        </w:rPr>
        <w:t>se</w:t>
      </w:r>
      <w:r w:rsidR="00631D4A" w:rsidRPr="0025194B">
        <w:rPr>
          <w:rFonts w:ascii="Arial" w:hAnsi="Arial" w:cs="Arial"/>
          <w:sz w:val="22"/>
          <w:szCs w:val="22"/>
        </w:rPr>
        <w:t xml:space="preserve"> fisher</w:t>
      </w:r>
      <w:r w:rsidR="00D76C5E">
        <w:rPr>
          <w:rFonts w:ascii="Arial" w:hAnsi="Arial" w:cs="Arial"/>
          <w:sz w:val="22"/>
          <w:szCs w:val="22"/>
        </w:rPr>
        <w:t>ies</w:t>
      </w:r>
      <w:r w:rsidR="00631D4A" w:rsidRPr="0025194B">
        <w:rPr>
          <w:rFonts w:ascii="Arial" w:hAnsi="Arial" w:cs="Arial"/>
          <w:sz w:val="22"/>
          <w:szCs w:val="22"/>
        </w:rPr>
        <w:t>.</w:t>
      </w:r>
      <w:r w:rsidR="00631D4A" w:rsidRPr="0025194B">
        <w:rPr>
          <w:rFonts w:ascii="Arial" w:hAnsi="Arial" w:cs="Arial"/>
          <w:color w:val="1F497D"/>
          <w:sz w:val="22"/>
          <w:szCs w:val="22"/>
        </w:rPr>
        <w:t xml:space="preserve"> </w:t>
      </w:r>
    </w:p>
    <w:p w:rsidR="00BC007E" w:rsidRDefault="005C1970" w:rsidP="005C1970">
      <w:r w:rsidRPr="00F21E5F">
        <w:rPr>
          <w:rFonts w:cs="Arial"/>
        </w:rPr>
        <w:t xml:space="preserve">The </w:t>
      </w:r>
      <w:r>
        <w:rPr>
          <w:rFonts w:cs="Arial"/>
        </w:rPr>
        <w:t xml:space="preserve">management regime for </w:t>
      </w:r>
      <w:r w:rsidR="00BC007E">
        <w:rPr>
          <w:rFonts w:cs="Arial"/>
        </w:rPr>
        <w:t>these fisheries</w:t>
      </w:r>
      <w:r w:rsidR="007C093A">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inte</w:t>
      </w:r>
      <w:r w:rsidR="00D76C5E">
        <w:rPr>
          <w:rFonts w:cs="Arial"/>
        </w:rPr>
        <w:t>ractions with protected species</w:t>
      </w:r>
      <w:r w:rsidRPr="00ED1794">
        <w:rPr>
          <w:rFonts w:cs="Arial"/>
        </w:rPr>
        <w:t xml:space="preserve"> in </w:t>
      </w:r>
      <w:r w:rsidR="00BC007E">
        <w:t>August 2012</w:t>
      </w:r>
      <w:r>
        <w:t>.</w:t>
      </w:r>
      <w:r w:rsidR="00BC007E">
        <w:t xml:space="preserve"> A key focus of this accreditation </w:t>
      </w:r>
      <w:r w:rsidR="00D76C5E">
        <w:t>sought</w:t>
      </w:r>
      <w:r w:rsidR="00A42117">
        <w:t xml:space="preserve"> effective measures to reduce</w:t>
      </w:r>
      <w:r w:rsidR="00BC007E">
        <w:t xml:space="preserve"> the risk </w:t>
      </w:r>
      <w:r w:rsidR="004A5621">
        <w:t xml:space="preserve">of fatal interactions between these fisheries </w:t>
      </w:r>
      <w:r w:rsidR="00A42117">
        <w:t xml:space="preserve">and </w:t>
      </w:r>
      <w:r w:rsidR="00BC007E">
        <w:t>Australian sea lions</w:t>
      </w:r>
      <w:r w:rsidR="004A5621">
        <w:t>, a species listed as threatened under the EPBC Act.</w:t>
      </w:r>
      <w:r w:rsidR="00BC007E">
        <w:t xml:space="preserve"> </w:t>
      </w:r>
    </w:p>
    <w:p w:rsidR="004A5621" w:rsidRDefault="004A5621" w:rsidP="005C1970">
      <w:r w:rsidRPr="004A5621">
        <w:t>The WA Department of Fisheries has worked cooperatively and collaboratively with the Department and other stakeholders since the last EPBC Act assessmen</w:t>
      </w:r>
      <w:r>
        <w:t xml:space="preserve">t to develop </w:t>
      </w:r>
      <w:r w:rsidRPr="004A5621">
        <w:t xml:space="preserve">management measures to mitigate the risk of </w:t>
      </w:r>
      <w:r>
        <w:t>Australian sea lions interacting with these fisheries</w:t>
      </w:r>
      <w:r w:rsidRPr="004A5621">
        <w:t xml:space="preserve">. </w:t>
      </w:r>
      <w:r>
        <w:t>The next important step will be to implement these measures</w:t>
      </w:r>
      <w:r w:rsidR="00A42117">
        <w:t xml:space="preserve">, </w:t>
      </w:r>
      <w:r w:rsidR="00D76C5E">
        <w:t xml:space="preserve">i.e., </w:t>
      </w:r>
      <w:r w:rsidR="00EE6C4A">
        <w:t>the</w:t>
      </w:r>
      <w:r w:rsidR="00A42117">
        <w:t xml:space="preserve"> gillnet exclusion zones around Australian sea lion breeding colonies</w:t>
      </w:r>
      <w:r w:rsidR="00EE6C4A">
        <w:t xml:space="preserve"> proposed by the WA Department of Fisheries</w:t>
      </w:r>
      <w:r w:rsidRPr="004A5621">
        <w:t>. To ensure this, officers from the WA Department of Fisheries and the Department of the Environment have agreed to a condition that will be applied to the reaccreditation of the fishery under Part 13 of the EPBC Act. Officers have also agreed to an additional recommendation to minimise risks in the longer term (</w:t>
      </w:r>
      <w:r w:rsidRPr="004A5621">
        <w:rPr>
          <w:b/>
          <w:u w:val="single"/>
        </w:rPr>
        <w:t>Attachment </w:t>
      </w:r>
      <w:r w:rsidR="00985F0B">
        <w:rPr>
          <w:b/>
          <w:u w:val="single"/>
        </w:rPr>
        <w:t>1</w:t>
      </w:r>
      <w:r w:rsidRPr="004A5621">
        <w:t>).</w:t>
      </w:r>
    </w:p>
    <w:p w:rsidR="005C1970" w:rsidRDefault="00A42117" w:rsidP="005C1970">
      <w:pPr>
        <w:rPr>
          <w:rFonts w:cs="Arial"/>
        </w:rPr>
      </w:pPr>
      <w:r>
        <w:rPr>
          <w:rFonts w:cs="Arial"/>
        </w:rPr>
        <w:lastRenderedPageBreak/>
        <w:t>Subject to this condition,</w:t>
      </w:r>
      <w:r w:rsidR="005C1970" w:rsidRPr="00F21E5F">
        <w:rPr>
          <w:rFonts w:cs="Arial"/>
        </w:rPr>
        <w:t xml:space="preserve"> I am satisfied that it </w:t>
      </w:r>
      <w:r w:rsidR="005C1970">
        <w:rPr>
          <w:rFonts w:cs="Arial"/>
        </w:rPr>
        <w:t>is</w:t>
      </w:r>
      <w:r w:rsidR="005C1970" w:rsidRPr="00F21E5F">
        <w:rPr>
          <w:rFonts w:cs="Arial"/>
        </w:rPr>
        <w:t xml:space="preserve"> unlikely that fishing operations conducted in accordance with the </w:t>
      </w:r>
      <w:r w:rsidR="005C1970">
        <w:rPr>
          <w:rFonts w:cs="Arial"/>
        </w:rPr>
        <w:t xml:space="preserve">management regime </w:t>
      </w:r>
      <w:r w:rsidR="005C1970"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w:t>
      </w:r>
      <w:r w:rsidR="00EE6C4A">
        <w:rPr>
          <w:rFonts w:cs="Arial"/>
        </w:rPr>
        <w:t>s</w:t>
      </w:r>
      <w:r w:rsidR="005C1970" w:rsidRPr="00F21E5F">
        <w:rPr>
          <w:rFonts w:cs="Arial"/>
        </w:rPr>
        <w:t>, operators are required to take all reasonable steps to avoid the killing or injuring of species listed under Part 13 of the EPBC Act.</w:t>
      </w:r>
    </w:p>
    <w:p w:rsidR="004D31A7" w:rsidRDefault="005C1970" w:rsidP="00392049">
      <w:pPr>
        <w:rPr>
          <w:rFonts w:cs="Arial"/>
          <w:color w:val="00B050"/>
        </w:rPr>
      </w:pPr>
      <w:r w:rsidRPr="00F21E5F">
        <w:rPr>
          <w:rFonts w:cs="Arial"/>
        </w:rPr>
        <w:t xml:space="preserve">I have therefore reaccredited the </w:t>
      </w:r>
      <w:r w:rsidRPr="00465B32">
        <w:rPr>
          <w:rFonts w:cs="Arial"/>
        </w:rPr>
        <w:t>management regime</w:t>
      </w:r>
      <w:r w:rsidR="00EE6C4A">
        <w:rPr>
          <w:rFonts w:cs="Arial"/>
        </w:rPr>
        <w:t>s</w:t>
      </w:r>
      <w:r w:rsidRPr="00465B32">
        <w:rPr>
          <w:rFonts w:cs="Arial"/>
          <w:lang w:val="en-US"/>
        </w:rPr>
        <w:t xml:space="preserve"> for </w:t>
      </w:r>
      <w:r w:rsidR="00D76C5E" w:rsidRPr="00465B32">
        <w:rPr>
          <w:rFonts w:cs="Arial"/>
          <w:lang w:val="en-US"/>
        </w:rPr>
        <w:t>these</w:t>
      </w:r>
      <w:r w:rsidR="00A42117">
        <w:rPr>
          <w:rFonts w:cs="Arial"/>
        </w:rPr>
        <w:t xml:space="preserve"> fisheries</w:t>
      </w:r>
      <w:r w:rsidR="007C093A">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w:t>
      </w:r>
      <w:r w:rsidR="00EE6C4A">
        <w:rPr>
          <w:rFonts w:cs="Arial"/>
        </w:rPr>
        <w:t>s</w:t>
      </w:r>
      <w:r w:rsidRPr="00F21E5F">
        <w:rPr>
          <w:rFonts w:cs="Arial"/>
        </w:rPr>
        <w:t xml:space="preserve"> are not required to seek permits if they are at risk of killing or injuring listed species in Commonwealth waters.</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0777F8" w:rsidRPr="004D31A7" w:rsidRDefault="002A4671" w:rsidP="00711DE5">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392049" w:rsidRDefault="00392049" w:rsidP="00711DE5">
      <w:pPr>
        <w:rPr>
          <w:rFonts w:cs="Arial"/>
        </w:rPr>
      </w:pPr>
      <w:bookmarkStart w:id="0" w:name="bkStart"/>
      <w:bookmarkEnd w:id="0"/>
      <w:r w:rsidRPr="00822585">
        <w:rPr>
          <w:rFonts w:cs="Arial"/>
        </w:rPr>
        <w:t>Yours sincerely</w:t>
      </w:r>
    </w:p>
    <w:p w:rsidR="001F4075" w:rsidRDefault="001F4075" w:rsidP="001F4075"/>
    <w:p w:rsidR="001F4075" w:rsidRDefault="00560B86" w:rsidP="001F4075">
      <w:r>
        <w:t>[SIGNED]</w:t>
      </w:r>
    </w:p>
    <w:p w:rsidR="009C333F" w:rsidRDefault="000F1E51" w:rsidP="00392049">
      <w:pPr>
        <w:tabs>
          <w:tab w:val="left" w:pos="284"/>
        </w:tabs>
      </w:pPr>
      <w:r w:rsidRPr="00711DE5">
        <w:t>Paul Murphy</w:t>
      </w:r>
      <w:r w:rsidR="00392049" w:rsidRPr="00711DE5">
        <w:br/>
      </w:r>
      <w:r w:rsidR="00392049" w:rsidRPr="00711DE5">
        <w:br/>
      </w:r>
      <w:r w:rsidR="00392049" w:rsidRPr="00711DE5">
        <w:rPr>
          <w:rFonts w:cs="Arial"/>
        </w:rPr>
        <w:t>Delegate of the</w:t>
      </w:r>
      <w:r w:rsidR="00392049" w:rsidRPr="00822585">
        <w:rPr>
          <w:rFonts w:cs="Arial"/>
        </w:rPr>
        <w:t xml:space="preserve"> Minister for </w:t>
      </w:r>
      <w:r w:rsidR="00F10DBE">
        <w:rPr>
          <w:rFonts w:cs="Arial"/>
        </w:rPr>
        <w:t xml:space="preserve">the </w:t>
      </w:r>
      <w:r w:rsidR="009A1A89">
        <w:rPr>
          <w:rFonts w:cs="Arial"/>
        </w:rPr>
        <w:t>Environment</w:t>
      </w:r>
      <w:r w:rsidR="00E10FB5">
        <w:br/>
        <w:t>26</w:t>
      </w:r>
      <w:r w:rsidR="00711DE5">
        <w:t xml:space="preserve"> August 2015</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8565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p>
    <w:p w:rsidR="00FA0CF5" w:rsidRDefault="00FA0CF5" w:rsidP="006B1098">
      <w:pPr>
        <w:tabs>
          <w:tab w:val="left" w:pos="284"/>
        </w:tabs>
        <w:rPr>
          <w:rFonts w:cs="Arial"/>
        </w:rPr>
        <w:sectPr w:rsidR="00FA0CF5" w:rsidSect="00C325B9">
          <w:headerReference w:type="first" r:id="rId15"/>
          <w:footerReference w:type="first" r:id="rId16"/>
          <w:pgSz w:w="11906" w:h="16838"/>
          <w:pgMar w:top="1134" w:right="1418" w:bottom="1134" w:left="1418" w:header="425" w:footer="425" w:gutter="0"/>
          <w:pgNumType w:start="1"/>
          <w:cols w:space="708"/>
          <w:titlePg/>
          <w:docGrid w:linePitch="360"/>
        </w:sectPr>
      </w:pPr>
    </w:p>
    <w:p w:rsidR="00711DE5" w:rsidRPr="00E14857" w:rsidRDefault="00711DE5" w:rsidP="00711DE5">
      <w:pPr>
        <w:jc w:val="center"/>
        <w:rPr>
          <w:rFonts w:cs="Arial"/>
        </w:rPr>
      </w:pPr>
      <w:r w:rsidRPr="00E14857">
        <w:rPr>
          <w:rFonts w:cs="Arial"/>
          <w:b/>
          <w:bCs/>
        </w:rPr>
        <w:t xml:space="preserve">Conditions on the approved wildlife trade operation declaration for the </w:t>
      </w:r>
      <w:r>
        <w:rPr>
          <w:rFonts w:cs="Arial"/>
          <w:b/>
          <w:bCs/>
        </w:rPr>
        <w:br/>
      </w:r>
      <w:r w:rsidRPr="006E5E0E">
        <w:rPr>
          <w:rFonts w:cs="Arial"/>
          <w:b/>
          <w:bCs/>
        </w:rPr>
        <w:t>WA</w:t>
      </w:r>
      <w:r w:rsidRPr="006E5E0E">
        <w:rPr>
          <w:rFonts w:cs="Arial"/>
          <w:b/>
        </w:rPr>
        <w:t xml:space="preserve"> </w:t>
      </w:r>
      <w:r w:rsidRPr="00711DE5">
        <w:rPr>
          <w:rFonts w:cs="Arial"/>
          <w:b/>
          <w:lang w:val="en-US"/>
        </w:rPr>
        <w:t xml:space="preserve">Temperate Demersal Gillnet and Demersal Longline Fisheries </w:t>
      </w:r>
      <w:r w:rsidRPr="006E5E0E">
        <w:rPr>
          <w:rFonts w:cs="Arial"/>
          <w:b/>
        </w:rPr>
        <w:t xml:space="preserve">– </w:t>
      </w:r>
      <w:r>
        <w:rPr>
          <w:b/>
        </w:rPr>
        <w:t>August</w:t>
      </w:r>
      <w:r w:rsidRPr="006E5E0E">
        <w:rPr>
          <w:b/>
        </w:rPr>
        <w:t xml:space="preserve"> 2015</w:t>
      </w:r>
    </w:p>
    <w:p w:rsidR="00711DE5" w:rsidRDefault="00711DE5" w:rsidP="001D4EF9">
      <w:pPr>
        <w:numPr>
          <w:ilvl w:val="0"/>
          <w:numId w:val="37"/>
        </w:numPr>
        <w:tabs>
          <w:tab w:val="clear" w:pos="360"/>
          <w:tab w:val="num" w:pos="426"/>
        </w:tabs>
        <w:spacing w:after="120" w:line="240" w:lineRule="auto"/>
        <w:ind w:left="426" w:hanging="426"/>
      </w:pPr>
      <w:r w:rsidRPr="00C3049E">
        <w:rPr>
          <w:rFonts w:cs="Arial"/>
        </w:rPr>
        <w:t>Operation of the</w:t>
      </w:r>
      <w:r>
        <w:rPr>
          <w:rFonts w:cs="Arial"/>
        </w:rPr>
        <w:t>se fisheries</w:t>
      </w:r>
      <w:r w:rsidRPr="00C3049E">
        <w:rPr>
          <w:rFonts w:cs="Arial"/>
        </w:rPr>
        <w:t xml:space="preserve"> will be carried out in accordance with</w:t>
      </w:r>
      <w:r w:rsidRPr="00C3049E">
        <w:rPr>
          <w:rFonts w:cs="Arial"/>
          <w:i/>
        </w:rPr>
        <w:t xml:space="preserve"> </w:t>
      </w:r>
      <w:r w:rsidRPr="00C3049E">
        <w:rPr>
          <w:rFonts w:cs="Arial"/>
        </w:rPr>
        <w:t>the</w:t>
      </w:r>
      <w:r w:rsidRPr="00C3049E">
        <w:rPr>
          <w:rFonts w:cs="Arial"/>
          <w:i/>
        </w:rPr>
        <w:t xml:space="preserve"> </w:t>
      </w:r>
      <w:r w:rsidRPr="002650E1">
        <w:rPr>
          <w:rStyle w:val="Emphasis"/>
          <w:rFonts w:cs="Arial"/>
          <w:i w:val="0"/>
        </w:rPr>
        <w:t>management regime</w:t>
      </w:r>
      <w:r w:rsidRPr="00C3049E">
        <w:rPr>
          <w:rFonts w:cs="Arial"/>
          <w:i/>
        </w:rPr>
        <w:t xml:space="preserve"> </w:t>
      </w:r>
      <w:r w:rsidRPr="00C3049E">
        <w:rPr>
          <w:rFonts w:cs="Arial"/>
        </w:rPr>
        <w:t xml:space="preserve">under the </w:t>
      </w:r>
      <w:r>
        <w:rPr>
          <w:rFonts w:cs="Arial"/>
        </w:rPr>
        <w:t>WA</w:t>
      </w:r>
      <w:r w:rsidRPr="0016087B">
        <w:rPr>
          <w:rFonts w:cs="Arial"/>
        </w:rPr>
        <w:t xml:space="preserve"> </w:t>
      </w:r>
      <w:r w:rsidRPr="0016087B">
        <w:rPr>
          <w:rFonts w:cs="Arial"/>
          <w:i/>
        </w:rPr>
        <w:t>Fish Resources Management Act 1994</w:t>
      </w:r>
      <w:r w:rsidRPr="0016087B">
        <w:rPr>
          <w:rFonts w:cs="Arial"/>
        </w:rPr>
        <w:t xml:space="preserve"> and the </w:t>
      </w:r>
      <w:r>
        <w:rPr>
          <w:rFonts w:cs="Arial"/>
        </w:rPr>
        <w:t xml:space="preserve">WA </w:t>
      </w:r>
      <w:r w:rsidRPr="002650E1">
        <w:rPr>
          <w:rFonts w:cs="Arial"/>
        </w:rPr>
        <w:t>Fish Resources Management Regulations 1995</w:t>
      </w:r>
      <w:r>
        <w:rPr>
          <w:rFonts w:cs="Arial"/>
        </w:rPr>
        <w:t>.</w:t>
      </w:r>
    </w:p>
    <w:p w:rsidR="00711DE5" w:rsidRDefault="00711DE5" w:rsidP="001D4EF9">
      <w:pPr>
        <w:numPr>
          <w:ilvl w:val="0"/>
          <w:numId w:val="37"/>
        </w:numPr>
        <w:tabs>
          <w:tab w:val="clear" w:pos="360"/>
          <w:tab w:val="num" w:pos="426"/>
        </w:tabs>
        <w:spacing w:after="120" w:line="240" w:lineRule="auto"/>
        <w:ind w:left="426" w:hanging="426"/>
      </w:pPr>
      <w:r>
        <w:rPr>
          <w:rFonts w:cs="Arial"/>
        </w:rPr>
        <w:t>The WA Department of Fisheries</w:t>
      </w:r>
      <w:r w:rsidRPr="00F6308F">
        <w:rPr>
          <w:rFonts w:cs="Arial"/>
        </w:rPr>
        <w:t xml:space="preserve"> 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changes to the</w:t>
      </w:r>
      <w:r>
        <w:rPr>
          <w:rFonts w:cs="Arial"/>
        </w:rPr>
        <w:t>se fisheries’</w:t>
      </w:r>
      <w:r w:rsidRPr="001B2CE2">
        <w:rPr>
          <w:rFonts w:cs="Arial"/>
        </w:rPr>
        <w:t xml:space="preserve"> </w:t>
      </w:r>
      <w:r w:rsidRPr="00F6308F">
        <w:rPr>
          <w:rFonts w:cs="Arial"/>
        </w:rPr>
        <w:t xml:space="preserve">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p>
    <w:p w:rsidR="00711DE5" w:rsidRPr="00004ADD" w:rsidRDefault="00711DE5" w:rsidP="001D4EF9">
      <w:pPr>
        <w:numPr>
          <w:ilvl w:val="0"/>
          <w:numId w:val="37"/>
        </w:numPr>
        <w:tabs>
          <w:tab w:val="clear" w:pos="360"/>
          <w:tab w:val="num" w:pos="426"/>
        </w:tabs>
        <w:spacing w:after="120" w:line="240" w:lineRule="auto"/>
        <w:ind w:left="426" w:hanging="426"/>
        <w:rPr>
          <w:rFonts w:cs="Arial"/>
        </w:rPr>
      </w:pPr>
      <w:r w:rsidRPr="00C5213B">
        <w:rPr>
          <w:rFonts w:cs="Arial"/>
        </w:rPr>
        <w:t xml:space="preserve">The </w:t>
      </w:r>
      <w:r w:rsidRPr="002650E1">
        <w:rPr>
          <w:rFonts w:cs="Arial"/>
        </w:rPr>
        <w:t>WA Department of Fisheries</w:t>
      </w:r>
      <w:r>
        <w:rPr>
          <w:rFonts w:cs="Arial"/>
        </w:rPr>
        <w:t xml:space="preserve">, in its annual </w:t>
      </w:r>
      <w:r w:rsidRPr="002650E1">
        <w:rPr>
          <w:rFonts w:cs="Arial"/>
          <w:i/>
        </w:rPr>
        <w:t>Status reports of the fisheries and aquatic resources of Western Australia</w:t>
      </w:r>
      <w:r>
        <w:rPr>
          <w:rFonts w:cs="Arial"/>
        </w:rPr>
        <w:t>, to report on these fisheries against performance measures that relate to their sustainability.</w:t>
      </w:r>
    </w:p>
    <w:p w:rsidR="00711DE5" w:rsidRDefault="00711DE5" w:rsidP="00711DE5">
      <w:pPr>
        <w:spacing w:after="0" w:line="240" w:lineRule="auto"/>
        <w:rPr>
          <w:rFonts w:cs="Arial"/>
        </w:rPr>
      </w:pPr>
    </w:p>
    <w:p w:rsidR="00711DE5" w:rsidRPr="00E14857" w:rsidRDefault="00711DE5" w:rsidP="00711DE5">
      <w:pPr>
        <w:jc w:val="center"/>
        <w:rPr>
          <w:rFonts w:cs="Arial"/>
        </w:rPr>
      </w:pPr>
      <w:r>
        <w:rPr>
          <w:rFonts w:cs="Arial"/>
          <w:b/>
          <w:bCs/>
        </w:rPr>
        <w:t>Condition</w:t>
      </w:r>
      <w:r w:rsidRPr="00E14857">
        <w:rPr>
          <w:rFonts w:cs="Arial"/>
          <w:b/>
          <w:bCs/>
        </w:rPr>
        <w:t xml:space="preserve"> on the </w:t>
      </w:r>
      <w:r>
        <w:rPr>
          <w:rFonts w:cs="Arial"/>
          <w:b/>
          <w:bCs/>
        </w:rPr>
        <w:t>reaccreditation of the</w:t>
      </w:r>
      <w:r w:rsidRPr="00E14857">
        <w:rPr>
          <w:rFonts w:cs="Arial"/>
          <w:b/>
          <w:bCs/>
        </w:rPr>
        <w:t xml:space="preserve"> </w:t>
      </w:r>
      <w:r>
        <w:rPr>
          <w:rFonts w:cs="Arial"/>
          <w:b/>
          <w:bCs/>
        </w:rPr>
        <w:br/>
      </w:r>
      <w:r w:rsidRPr="006E5E0E">
        <w:rPr>
          <w:rFonts w:cs="Arial"/>
          <w:b/>
          <w:bCs/>
        </w:rPr>
        <w:t>WA</w:t>
      </w:r>
      <w:r>
        <w:rPr>
          <w:rFonts w:cs="Arial"/>
          <w:b/>
        </w:rPr>
        <w:t xml:space="preserve"> </w:t>
      </w:r>
      <w:r w:rsidRPr="00711DE5">
        <w:rPr>
          <w:rFonts w:cs="Arial"/>
          <w:b/>
          <w:lang w:val="en-US"/>
        </w:rPr>
        <w:t>Temperate Demersal Gillnet and Demersal Longline Fisheries</w:t>
      </w:r>
      <w:r>
        <w:rPr>
          <w:rFonts w:cs="Arial"/>
          <w:b/>
        </w:rPr>
        <w:br/>
        <w:t xml:space="preserve">under Part 13 of the EPBC Act </w:t>
      </w:r>
      <w:r w:rsidRPr="006E5E0E">
        <w:rPr>
          <w:rFonts w:cs="Arial"/>
          <w:b/>
        </w:rPr>
        <w:t xml:space="preserve">– </w:t>
      </w:r>
      <w:r>
        <w:rPr>
          <w:b/>
        </w:rPr>
        <w:t>August</w:t>
      </w:r>
      <w:r w:rsidRPr="006E5E0E">
        <w:rPr>
          <w:b/>
        </w:rPr>
        <w:t xml:space="preserve"> 2015</w:t>
      </w:r>
    </w:p>
    <w:p w:rsidR="001D4EF9" w:rsidRPr="0001163E" w:rsidRDefault="001D4EF9" w:rsidP="00004ADD">
      <w:pPr>
        <w:spacing w:after="0"/>
        <w:rPr>
          <w:rFonts w:cs="Arial"/>
          <w:bCs/>
        </w:rPr>
      </w:pPr>
      <w:r>
        <w:rPr>
          <w:rFonts w:cs="Arial"/>
          <w:bCs/>
        </w:rPr>
        <w:t xml:space="preserve">A.  </w:t>
      </w:r>
      <w:r w:rsidRPr="0001163E">
        <w:rPr>
          <w:rFonts w:cs="Arial"/>
          <w:bCs/>
        </w:rPr>
        <w:t>The WA Department of Fisheries to:</w:t>
      </w:r>
    </w:p>
    <w:p w:rsidR="001D4EF9" w:rsidRDefault="001D4EF9" w:rsidP="00004ADD">
      <w:pPr>
        <w:pStyle w:val="ListParagraph"/>
        <w:numPr>
          <w:ilvl w:val="0"/>
          <w:numId w:val="42"/>
        </w:numPr>
        <w:spacing w:before="120"/>
        <w:contextualSpacing/>
        <w:rPr>
          <w:rFonts w:cs="Arial"/>
          <w:bCs/>
        </w:rPr>
      </w:pPr>
      <w:r w:rsidRPr="0001163E">
        <w:rPr>
          <w:rFonts w:cs="Arial"/>
          <w:bCs/>
        </w:rPr>
        <w:t xml:space="preserve">implement an effective network of gillnet exclusion zones to protect foraging Australian sea lions </w:t>
      </w:r>
      <w:r>
        <w:rPr>
          <w:rFonts w:cs="Arial"/>
          <w:bCs/>
        </w:rPr>
        <w:t xml:space="preserve">by </w:t>
      </w:r>
      <w:r w:rsidRPr="0001163E">
        <w:rPr>
          <w:rFonts w:cs="Arial"/>
          <w:bCs/>
        </w:rPr>
        <w:t xml:space="preserve">no later than mid 2016 </w:t>
      </w:r>
    </w:p>
    <w:p w:rsidR="00004ADD" w:rsidRPr="00004ADD" w:rsidRDefault="00004ADD" w:rsidP="00004ADD">
      <w:pPr>
        <w:pStyle w:val="ListParagraph"/>
        <w:numPr>
          <w:ilvl w:val="0"/>
          <w:numId w:val="0"/>
        </w:numPr>
        <w:spacing w:before="120"/>
        <w:ind w:left="720"/>
        <w:contextualSpacing/>
        <w:rPr>
          <w:rFonts w:cs="Arial"/>
          <w:bCs/>
          <w:sz w:val="8"/>
          <w:szCs w:val="8"/>
        </w:rPr>
      </w:pPr>
    </w:p>
    <w:p w:rsidR="001D4EF9" w:rsidRDefault="001D4EF9" w:rsidP="00004ADD">
      <w:pPr>
        <w:pStyle w:val="ListParagraph"/>
        <w:numPr>
          <w:ilvl w:val="0"/>
          <w:numId w:val="42"/>
        </w:numPr>
        <w:spacing w:before="240" w:after="120"/>
        <w:contextualSpacing/>
        <w:rPr>
          <w:rFonts w:cs="Arial"/>
          <w:bCs/>
        </w:rPr>
      </w:pPr>
      <w:r w:rsidRPr="0001163E">
        <w:rPr>
          <w:rFonts w:cs="Arial"/>
        </w:rPr>
        <w:t xml:space="preserve">continue to monitor and annually review </w:t>
      </w:r>
      <w:r w:rsidRPr="0001163E">
        <w:rPr>
          <w:rFonts w:cs="Arial"/>
          <w:bCs/>
        </w:rPr>
        <w:t>fishing effort within the foraging range of Australian sea lion</w:t>
      </w:r>
      <w:r w:rsidR="00220BDF">
        <w:rPr>
          <w:rFonts w:cs="Arial"/>
          <w:bCs/>
        </w:rPr>
        <w:t>s</w:t>
      </w:r>
      <w:r w:rsidRPr="0001163E">
        <w:rPr>
          <w:rFonts w:cs="Arial"/>
          <w:bCs/>
        </w:rPr>
        <w:t xml:space="preserve"> and report on likely encounters, and</w:t>
      </w:r>
    </w:p>
    <w:p w:rsidR="00004ADD" w:rsidRPr="00004ADD" w:rsidRDefault="00004ADD" w:rsidP="00004ADD">
      <w:pPr>
        <w:pStyle w:val="ListParagraph"/>
        <w:numPr>
          <w:ilvl w:val="0"/>
          <w:numId w:val="0"/>
        </w:numPr>
        <w:spacing w:before="240" w:after="120"/>
        <w:ind w:left="720"/>
        <w:contextualSpacing/>
        <w:rPr>
          <w:rFonts w:cs="Arial"/>
          <w:bCs/>
          <w:sz w:val="8"/>
          <w:szCs w:val="8"/>
        </w:rPr>
      </w:pPr>
    </w:p>
    <w:p w:rsidR="00711DE5" w:rsidRPr="00FD2E13" w:rsidRDefault="001D4EF9" w:rsidP="00004ADD">
      <w:pPr>
        <w:pStyle w:val="ListParagraph"/>
        <w:numPr>
          <w:ilvl w:val="0"/>
          <w:numId w:val="42"/>
        </w:numPr>
        <w:spacing w:after="120"/>
        <w:contextualSpacing/>
        <w:rPr>
          <w:rFonts w:cs="Arial"/>
          <w:bCs/>
        </w:rPr>
      </w:pPr>
      <w:r w:rsidRPr="0001163E">
        <w:rPr>
          <w:rFonts w:cs="Arial"/>
          <w:bCs/>
        </w:rPr>
        <w:t>implement further mitigation measures to minimise interactions, should encounter rates increase outside the gillnet exclusion zones</w:t>
      </w:r>
      <w:r w:rsidR="00711DE5">
        <w:rPr>
          <w:rFonts w:cs="Arial"/>
          <w:bCs/>
        </w:rPr>
        <w:t>.</w:t>
      </w:r>
    </w:p>
    <w:p w:rsidR="00711DE5" w:rsidRDefault="00711DE5" w:rsidP="00711DE5">
      <w:pPr>
        <w:pStyle w:val="ListParagraph"/>
        <w:numPr>
          <w:ilvl w:val="0"/>
          <w:numId w:val="0"/>
        </w:numPr>
        <w:spacing w:after="120"/>
        <w:ind w:left="369"/>
        <w:rPr>
          <w:rFonts w:cs="Arial"/>
          <w:bCs/>
        </w:rPr>
      </w:pPr>
    </w:p>
    <w:p w:rsidR="00711DE5" w:rsidRDefault="00711DE5" w:rsidP="00711DE5">
      <w:pPr>
        <w:pStyle w:val="ListNumber"/>
        <w:numPr>
          <w:ilvl w:val="0"/>
          <w:numId w:val="0"/>
        </w:numPr>
        <w:jc w:val="center"/>
        <w:rPr>
          <w:rFonts w:cs="Arial"/>
          <w:b/>
        </w:rPr>
      </w:pPr>
      <w:r>
        <w:rPr>
          <w:rFonts w:cs="Arial"/>
          <w:b/>
          <w:bCs/>
        </w:rPr>
        <w:t>Recommendation</w:t>
      </w:r>
      <w:r w:rsidRPr="006B1098">
        <w:rPr>
          <w:rFonts w:cs="Arial"/>
          <w:b/>
          <w:bCs/>
        </w:rPr>
        <w:t xml:space="preserve"> to </w:t>
      </w:r>
      <w:r>
        <w:rPr>
          <w:rFonts w:cs="Arial"/>
          <w:b/>
          <w:bCs/>
        </w:rPr>
        <w:t>the WA Department of Fisheries</w:t>
      </w:r>
      <w:r w:rsidRPr="006B1098">
        <w:rPr>
          <w:rFonts w:cs="Arial"/>
          <w:b/>
        </w:rPr>
        <w:t xml:space="preserve"> on the </w:t>
      </w:r>
      <w:r>
        <w:rPr>
          <w:rFonts w:cs="Arial"/>
          <w:b/>
        </w:rPr>
        <w:br/>
      </w:r>
      <w:r w:rsidRPr="006B1098">
        <w:rPr>
          <w:rFonts w:cs="Arial"/>
          <w:b/>
        </w:rPr>
        <w:t>ecologically sustainable man</w:t>
      </w:r>
      <w:r>
        <w:rPr>
          <w:rFonts w:cs="Arial"/>
          <w:b/>
        </w:rPr>
        <w:t xml:space="preserve">agement of the </w:t>
      </w:r>
      <w:r>
        <w:rPr>
          <w:rFonts w:cs="Arial"/>
          <w:b/>
        </w:rPr>
        <w:br/>
      </w:r>
      <w:r>
        <w:rPr>
          <w:rFonts w:cs="Arial"/>
          <w:b/>
          <w:bCs/>
        </w:rPr>
        <w:t xml:space="preserve">WA </w:t>
      </w:r>
      <w:r w:rsidRPr="00711DE5">
        <w:rPr>
          <w:rFonts w:cs="Arial"/>
          <w:b/>
          <w:bCs/>
          <w:lang w:val="en-US"/>
        </w:rPr>
        <w:t>Temperate Demersal Gillnet and Demersal Longline Fisheries</w:t>
      </w:r>
      <w:r w:rsidRPr="006E5E0E">
        <w:rPr>
          <w:rFonts w:cs="Arial"/>
          <w:b/>
        </w:rPr>
        <w:t xml:space="preserve"> – </w:t>
      </w:r>
      <w:r>
        <w:rPr>
          <w:b/>
        </w:rPr>
        <w:t>August</w:t>
      </w:r>
      <w:r w:rsidRPr="006E5E0E">
        <w:rPr>
          <w:b/>
        </w:rPr>
        <w:t xml:space="preserve"> 2015</w:t>
      </w:r>
    </w:p>
    <w:p w:rsidR="00711DE5" w:rsidRDefault="001D4EF9" w:rsidP="00004ADD">
      <w:pPr>
        <w:numPr>
          <w:ilvl w:val="0"/>
          <w:numId w:val="40"/>
        </w:numPr>
        <w:spacing w:after="120"/>
        <w:ind w:left="426" w:hanging="426"/>
        <w:rPr>
          <w:rFonts w:cs="Arial"/>
        </w:rPr>
      </w:pPr>
      <w:r>
        <w:rPr>
          <w:rFonts w:cs="Arial"/>
        </w:rPr>
        <w:t>The WA</w:t>
      </w:r>
      <w:r w:rsidRPr="00AF6063">
        <w:rPr>
          <w:rFonts w:cs="Arial"/>
        </w:rPr>
        <w:t xml:space="preserve"> Department of Fisheries to</w:t>
      </w:r>
      <w:r>
        <w:rPr>
          <w:rFonts w:cs="Arial"/>
        </w:rPr>
        <w:t xml:space="preserve"> continue to undertake or support research projects to improve understanding of Australian sea lion movements and populations in these fisheries, to better inform the predictability of encounters</w:t>
      </w:r>
      <w:r w:rsidR="00711DE5">
        <w:rPr>
          <w:rFonts w:cs="Arial"/>
        </w:rPr>
        <w:t>.</w:t>
      </w:r>
    </w:p>
    <w:p w:rsidR="001D4EF9" w:rsidRDefault="001D4EF9" w:rsidP="00004ADD">
      <w:pPr>
        <w:numPr>
          <w:ilvl w:val="0"/>
          <w:numId w:val="40"/>
        </w:numPr>
        <w:spacing w:after="120"/>
        <w:ind w:left="426" w:hanging="426"/>
        <w:rPr>
          <w:rFonts w:cs="Arial"/>
        </w:rPr>
      </w:pPr>
      <w:r w:rsidRPr="009649BF">
        <w:rPr>
          <w:rFonts w:cs="Arial"/>
        </w:rPr>
        <w:t>The WA Department of Fisheries to continue to work cooperatively with the WA Department of Parks and Wildlife to ensure fishing impacts on Australian sea lions are minimised.</w:t>
      </w:r>
    </w:p>
    <w:p w:rsidR="001D4EF9" w:rsidRDefault="001D4EF9" w:rsidP="00004ADD">
      <w:pPr>
        <w:numPr>
          <w:ilvl w:val="0"/>
          <w:numId w:val="40"/>
        </w:numPr>
        <w:spacing w:after="120"/>
        <w:ind w:left="426" w:hanging="426"/>
        <w:rPr>
          <w:rFonts w:cs="Arial"/>
        </w:rPr>
      </w:pPr>
      <w:r>
        <w:rPr>
          <w:rFonts w:cs="Arial"/>
        </w:rPr>
        <w:t>The WA</w:t>
      </w:r>
      <w:r w:rsidRPr="00AF6063">
        <w:rPr>
          <w:rFonts w:cs="Arial"/>
        </w:rPr>
        <w:t xml:space="preserve"> Department of Fisheries to</w:t>
      </w:r>
      <w:r>
        <w:rPr>
          <w:rFonts w:cs="Arial"/>
        </w:rPr>
        <w:t xml:space="preserve"> continue to refine and implement strategies to rebuild sandbar and dusky shark.</w:t>
      </w:r>
    </w:p>
    <w:p w:rsidR="001D4EF9" w:rsidRPr="001D4EF9" w:rsidRDefault="001D4EF9" w:rsidP="00004ADD">
      <w:pPr>
        <w:numPr>
          <w:ilvl w:val="0"/>
          <w:numId w:val="40"/>
        </w:numPr>
        <w:spacing w:after="120"/>
        <w:ind w:left="426" w:hanging="426"/>
        <w:rPr>
          <w:rFonts w:cs="Arial"/>
        </w:rPr>
      </w:pPr>
      <w:r>
        <w:rPr>
          <w:rFonts w:cs="Arial"/>
          <w:bCs/>
        </w:rPr>
        <w:t>The WA</w:t>
      </w:r>
      <w:r w:rsidRPr="0063105F">
        <w:rPr>
          <w:rFonts w:cs="Arial"/>
          <w:bCs/>
        </w:rPr>
        <w:t xml:space="preserve"> Department of Fisheries to review and update the Ecologi</w:t>
      </w:r>
      <w:r>
        <w:rPr>
          <w:rFonts w:cs="Arial"/>
          <w:bCs/>
        </w:rPr>
        <w:t>cally Sustainable Development report for the WA TDGDLFs. The updated report</w:t>
      </w:r>
      <w:r w:rsidRPr="0063105F">
        <w:rPr>
          <w:rFonts w:cs="Arial"/>
          <w:bCs/>
        </w:rPr>
        <w:t xml:space="preserve"> should apply to target species, byproduct, bycatch (including protected species) and impacts on the marine environment</w:t>
      </w:r>
      <w:r>
        <w:rPr>
          <w:rFonts w:cs="Arial"/>
          <w:bCs/>
        </w:rPr>
        <w:t>.</w:t>
      </w:r>
    </w:p>
    <w:p w:rsidR="001D4EF9" w:rsidRPr="001D4EF9" w:rsidRDefault="001D4EF9" w:rsidP="00004ADD">
      <w:pPr>
        <w:numPr>
          <w:ilvl w:val="0"/>
          <w:numId w:val="40"/>
        </w:numPr>
        <w:spacing w:after="120"/>
        <w:ind w:left="426" w:hanging="426"/>
        <w:rPr>
          <w:rFonts w:cs="Arial"/>
        </w:rPr>
      </w:pPr>
      <w:r>
        <w:rPr>
          <w:rFonts w:cs="Arial"/>
          <w:bCs/>
        </w:rPr>
        <w:t xml:space="preserve">The WA </w:t>
      </w:r>
      <w:r>
        <w:rPr>
          <w:rFonts w:cs="Arial"/>
        </w:rPr>
        <w:t>Department of Fisheries to:</w:t>
      </w:r>
    </w:p>
    <w:p w:rsidR="001D4EF9" w:rsidRPr="006F6110" w:rsidRDefault="001D4EF9" w:rsidP="00004ADD">
      <w:pPr>
        <w:pStyle w:val="ListParagraph"/>
        <w:numPr>
          <w:ilvl w:val="0"/>
          <w:numId w:val="45"/>
        </w:numPr>
        <w:spacing w:after="120" w:line="240" w:lineRule="auto"/>
        <w:rPr>
          <w:rFonts w:cs="Arial"/>
          <w:b/>
          <w:bCs/>
        </w:rPr>
      </w:pPr>
      <w:r>
        <w:rPr>
          <w:rFonts w:cs="Arial"/>
        </w:rPr>
        <w:t xml:space="preserve">further </w:t>
      </w:r>
      <w:r w:rsidRPr="006F6110">
        <w:rPr>
          <w:rFonts w:cs="Arial"/>
        </w:rPr>
        <w:t>facilitate</w:t>
      </w:r>
      <w:r>
        <w:rPr>
          <w:rFonts w:cs="Arial"/>
          <w:color w:val="FF0000"/>
        </w:rPr>
        <w:t xml:space="preserve"> </w:t>
      </w:r>
      <w:r>
        <w:rPr>
          <w:rFonts w:cs="Arial"/>
        </w:rPr>
        <w:t>measures to improve species specific identification of hammerhead sharks in logbooks, and</w:t>
      </w:r>
    </w:p>
    <w:p w:rsidR="00BB418A" w:rsidRPr="00004ADD" w:rsidRDefault="001D4EF9" w:rsidP="00004ADD">
      <w:pPr>
        <w:numPr>
          <w:ilvl w:val="0"/>
          <w:numId w:val="45"/>
        </w:numPr>
        <w:spacing w:after="120"/>
        <w:rPr>
          <w:rFonts w:cs="Arial"/>
        </w:rPr>
        <w:sectPr w:rsidR="00BB418A" w:rsidRPr="00004ADD" w:rsidSect="00C325B9">
          <w:headerReference w:type="first" r:id="rId17"/>
          <w:pgSz w:w="11906" w:h="16838"/>
          <w:pgMar w:top="1134" w:right="1418" w:bottom="1134" w:left="1418" w:header="425" w:footer="425" w:gutter="0"/>
          <w:pgNumType w:start="1"/>
          <w:cols w:space="708"/>
          <w:titlePg/>
          <w:docGrid w:linePitch="360"/>
        </w:sectPr>
      </w:pPr>
      <w:r>
        <w:rPr>
          <w:rFonts w:cs="Arial"/>
        </w:rPr>
        <w:t>facilitate improved reporting of discarded hammerhead sharks.</w:t>
      </w:r>
    </w:p>
    <w:p w:rsidR="0054376F" w:rsidRDefault="0054376F" w:rsidP="00004ADD">
      <w:pPr>
        <w:pStyle w:val="ListNumber"/>
        <w:numPr>
          <w:ilvl w:val="0"/>
          <w:numId w:val="0"/>
        </w:numPr>
        <w:spacing w:after="120"/>
        <w:rPr>
          <w:highlight w:val="yellow"/>
        </w:rPr>
        <w:sectPr w:rsidR="0054376F" w:rsidSect="00C325B9">
          <w:headerReference w:type="first" r:id="rId18"/>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9"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20"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receiving youth allowance, Austudy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1"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2"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3"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4"/>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BDF" w:rsidRDefault="00220BDF" w:rsidP="00A60185">
      <w:pPr>
        <w:spacing w:after="0" w:line="240" w:lineRule="auto"/>
      </w:pPr>
      <w:r>
        <w:separator/>
      </w:r>
    </w:p>
  </w:endnote>
  <w:endnote w:type="continuationSeparator" w:id="0">
    <w:p w:rsidR="00220BDF" w:rsidRDefault="00220BDF"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59E" w:rsidRDefault="009135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Pr="00785782" w:rsidRDefault="00C66549">
    <w:pPr>
      <w:pStyle w:val="Footer"/>
      <w:rPr>
        <w:sz w:val="22"/>
      </w:rPr>
    </w:pPr>
    <w:r w:rsidRPr="00785782">
      <w:rPr>
        <w:sz w:val="22"/>
      </w:rPr>
      <w:fldChar w:fldCharType="begin"/>
    </w:r>
    <w:r w:rsidR="00220BDF" w:rsidRPr="00785782">
      <w:rPr>
        <w:sz w:val="22"/>
      </w:rPr>
      <w:instrText xml:space="preserve"> PAGE   \* MERGEFORMAT </w:instrText>
    </w:r>
    <w:r w:rsidRPr="00785782">
      <w:rPr>
        <w:sz w:val="22"/>
      </w:rPr>
      <w:fldChar w:fldCharType="separate"/>
    </w:r>
    <w:r w:rsidR="0091359E">
      <w:rPr>
        <w:noProof/>
        <w:sz w:val="22"/>
      </w:rPr>
      <w:t>2</w:t>
    </w:r>
    <w:r w:rsidRPr="00785782">
      <w:rPr>
        <w:sz w:val="22"/>
      </w:rPr>
      <w:fldChar w:fldCharType="end"/>
    </w:r>
  </w:p>
  <w:p w:rsidR="00220BDF" w:rsidRDefault="00220BD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Default="00220BDF" w:rsidP="00C43020">
    <w:pPr>
      <w:pStyle w:val="Footer"/>
    </w:pPr>
  </w:p>
  <w:p w:rsidR="00220BDF" w:rsidRPr="00C43020" w:rsidRDefault="00220BDF" w:rsidP="008565B9">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Pr="006F181F" w:rsidRDefault="00220BDF" w:rsidP="00631D4A">
    <w:pPr>
      <w:pStyle w:val="Foote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BDF" w:rsidRDefault="00220BDF" w:rsidP="00A60185">
      <w:pPr>
        <w:spacing w:after="0" w:line="240" w:lineRule="auto"/>
      </w:pPr>
      <w:r>
        <w:separator/>
      </w:r>
    </w:p>
  </w:footnote>
  <w:footnote w:type="continuationSeparator" w:id="0">
    <w:p w:rsidR="00220BDF" w:rsidRDefault="00220BDF" w:rsidP="00A60185">
      <w:pPr>
        <w:spacing w:after="0" w:line="240" w:lineRule="auto"/>
      </w:pPr>
      <w:r>
        <w:continuationSeparator/>
      </w:r>
    </w:p>
  </w:footnote>
  <w:footnote w:id="1">
    <w:p w:rsidR="00220BDF" w:rsidRDefault="00220BDF"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Default="00C66549" w:rsidP="00E45765">
    <w:pPr>
      <w:pStyle w:val="Classification"/>
    </w:pPr>
    <w:r>
      <w:fldChar w:fldCharType="begin"/>
    </w:r>
    <w:r w:rsidR="00220BDF">
      <w:instrText xml:space="preserve"> DOCPROPERTY SecurityClassification \* MERGEFORMAT </w:instrText>
    </w:r>
    <w:r>
      <w:fldChar w:fldCharType="separate"/>
    </w:r>
    <w:r w:rsidR="00220BDF">
      <w:rPr>
        <w:b/>
        <w:bCs/>
        <w:lang w:val="en-US"/>
      </w:rPr>
      <w:t xml:space="preserve">Error! Unknown document property </w:t>
    </w:r>
    <w:proofErr w:type="spellStart"/>
    <w:r w:rsidR="00220BDF">
      <w:rPr>
        <w:b/>
        <w:bCs/>
        <w:lang w:val="en-US"/>
      </w:rPr>
      <w:t>name.Error</w:t>
    </w:r>
    <w:proofErr w:type="spellEnd"/>
    <w:r w:rsidR="00220BDF">
      <w:rPr>
        <w:b/>
        <w:bCs/>
        <w:lang w:val="en-US"/>
      </w:rPr>
      <w:t>!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Default="0091359E">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49.4pt;height:85.8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Default="00C66549"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52.6pt;height:54.6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Pr="00FA0CF5" w:rsidRDefault="00220BDF" w:rsidP="00FA0CF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Pr="00BB418A" w:rsidRDefault="00220BDF" w:rsidP="008A2AEA">
    <w:pPr>
      <w:pStyle w:val="Header"/>
      <w:jc w:val="right"/>
    </w:pPr>
    <w:r>
      <w:t>Attachment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Default="00220BDF" w:rsidP="006B1098">
    <w:pPr>
      <w:pStyle w:val="Header"/>
      <w:jc w:val="right"/>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F" w:rsidRDefault="0091359E" w:rsidP="00C6319E">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Work:Logos all:SEWPaC Logo:DSEWPaC_inline_strip_black.eps" style="width:149.4pt;height:85.2pt;visibility:visible">
          <v:imagedata r:id="rId1" o:title="DSEWPaC_inline_strip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0DC73606"/>
    <w:multiLevelType w:val="hybridMultilevel"/>
    <w:tmpl w:val="27F8D5BC"/>
    <w:lvl w:ilvl="0" w:tplc="0FE6541A">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0DED7778"/>
    <w:multiLevelType w:val="hybridMultilevel"/>
    <w:tmpl w:val="DEDC41B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0524944"/>
    <w:multiLevelType w:val="hybridMultilevel"/>
    <w:tmpl w:val="1820006C"/>
    <w:lvl w:ilvl="0" w:tplc="B11AABCE">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6DC30C8"/>
    <w:multiLevelType w:val="hybridMultilevel"/>
    <w:tmpl w:val="DEC0EE3C"/>
    <w:lvl w:ilvl="0" w:tplc="21AE7EDA">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nsid w:val="1D7120FB"/>
    <w:multiLevelType w:val="singleLevel"/>
    <w:tmpl w:val="2000EDEA"/>
    <w:lvl w:ilvl="0">
      <w:start w:val="1"/>
      <w:numFmt w:val="upperLetter"/>
      <w:lvlText w:val="%1:"/>
      <w:lvlJc w:val="left"/>
      <w:pPr>
        <w:ind w:left="360" w:hanging="360"/>
      </w:pPr>
      <w:rPr>
        <w:rFonts w:hint="default"/>
        <w:sz w:val="22"/>
      </w:rPr>
    </w:lvl>
  </w:abstractNum>
  <w:abstractNum w:abstractNumId="9">
    <w:nsid w:val="1F745BC2"/>
    <w:multiLevelType w:val="multilevel"/>
    <w:tmpl w:val="E5E89F92"/>
    <w:numStyleLink w:val="BulletList"/>
  </w:abstractNum>
  <w:abstractNum w:abstractNumId="1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3">
    <w:nsid w:val="3DD3110E"/>
    <w:multiLevelType w:val="hybridMultilevel"/>
    <w:tmpl w:val="84B0E8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cs="Times New Roman" w:hint="default"/>
        <w:sz w:val="24"/>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C926A5"/>
    <w:multiLevelType w:val="hybridMultilevel"/>
    <w:tmpl w:val="7944856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8">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E2B3DB6"/>
    <w:multiLevelType w:val="hybridMultilevel"/>
    <w:tmpl w:val="45786472"/>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6">
    <w:nsid w:val="6FAE23A7"/>
    <w:multiLevelType w:val="singleLevel"/>
    <w:tmpl w:val="2000EDEA"/>
    <w:lvl w:ilvl="0">
      <w:start w:val="1"/>
      <w:numFmt w:val="upperLetter"/>
      <w:lvlText w:val="%1:"/>
      <w:lvlJc w:val="left"/>
      <w:pPr>
        <w:ind w:left="360" w:hanging="360"/>
      </w:pPr>
      <w:rPr>
        <w:rFonts w:hint="default"/>
        <w:sz w:val="22"/>
      </w:rPr>
    </w:lvl>
  </w:abstractNum>
  <w:abstractNum w:abstractNumId="27">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8">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25"/>
  </w:num>
  <w:num w:numId="4">
    <w:abstractNumId w:val="22"/>
  </w:num>
  <w:num w:numId="5">
    <w:abstractNumId w:val="11"/>
  </w:num>
  <w:num w:numId="6">
    <w:abstractNumId w:val="10"/>
  </w:num>
  <w:num w:numId="7">
    <w:abstractNumId w:val="20"/>
  </w:num>
  <w:num w:numId="8">
    <w:abstractNumId w:val="9"/>
  </w:num>
  <w:num w:numId="9">
    <w:abstractNumId w:val="8"/>
  </w:num>
  <w:num w:numId="10">
    <w:abstractNumId w:val="2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7"/>
  </w:num>
  <w:num w:numId="18">
    <w:abstractNumId w:val="19"/>
  </w:num>
  <w:num w:numId="19">
    <w:abstractNumId w:val="28"/>
  </w:num>
  <w:num w:numId="20">
    <w:abstractNumId w:val="18"/>
  </w:num>
  <w:num w:numId="21">
    <w:abstractNumId w:val="16"/>
  </w:num>
  <w:num w:numId="22">
    <w:abstractNumId w:val="23"/>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9"/>
  </w:num>
  <w:num w:numId="32">
    <w:abstractNumId w:val="9"/>
  </w:num>
  <w:num w:numId="33">
    <w:abstractNumId w:val="9"/>
  </w:num>
  <w:num w:numId="34">
    <w:abstractNumId w:val="9"/>
  </w:num>
  <w:num w:numId="35">
    <w:abstractNumId w:val="7"/>
  </w:num>
  <w:num w:numId="36">
    <w:abstractNumId w:val="0"/>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5"/>
  </w:num>
  <w:num w:numId="40">
    <w:abstractNumId w:val="13"/>
  </w:num>
  <w:num w:numId="41">
    <w:abstractNumId w:val="24"/>
  </w:num>
  <w:num w:numId="42">
    <w:abstractNumId w:val="4"/>
  </w:num>
  <w:num w:numId="43">
    <w:abstractNumId w:val="12"/>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7373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DD"/>
    <w:rsid w:val="00004AEE"/>
    <w:rsid w:val="00005CAA"/>
    <w:rsid w:val="00010210"/>
    <w:rsid w:val="00014060"/>
    <w:rsid w:val="00015ADA"/>
    <w:rsid w:val="00017BB8"/>
    <w:rsid w:val="00020C99"/>
    <w:rsid w:val="000260F8"/>
    <w:rsid w:val="0002707B"/>
    <w:rsid w:val="00031219"/>
    <w:rsid w:val="00043190"/>
    <w:rsid w:val="00043C42"/>
    <w:rsid w:val="00047F98"/>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D4EF9"/>
    <w:rsid w:val="001E0274"/>
    <w:rsid w:val="001E1182"/>
    <w:rsid w:val="001E1CE4"/>
    <w:rsid w:val="001E25B3"/>
    <w:rsid w:val="001F4075"/>
    <w:rsid w:val="001F5C95"/>
    <w:rsid w:val="00202C90"/>
    <w:rsid w:val="002105CA"/>
    <w:rsid w:val="00212E75"/>
    <w:rsid w:val="00213DE8"/>
    <w:rsid w:val="00214B4E"/>
    <w:rsid w:val="00216118"/>
    <w:rsid w:val="002209AB"/>
    <w:rsid w:val="00220BDF"/>
    <w:rsid w:val="00224D4E"/>
    <w:rsid w:val="002251E3"/>
    <w:rsid w:val="00227A95"/>
    <w:rsid w:val="00235467"/>
    <w:rsid w:val="002473FC"/>
    <w:rsid w:val="00252E3C"/>
    <w:rsid w:val="00261931"/>
    <w:rsid w:val="00261EFE"/>
    <w:rsid w:val="00262198"/>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5621"/>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0B86"/>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3166"/>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1DE5"/>
    <w:rsid w:val="00713FA2"/>
    <w:rsid w:val="00716663"/>
    <w:rsid w:val="007167C0"/>
    <w:rsid w:val="00720481"/>
    <w:rsid w:val="00720E46"/>
    <w:rsid w:val="00721704"/>
    <w:rsid w:val="0073057B"/>
    <w:rsid w:val="00733193"/>
    <w:rsid w:val="00733C36"/>
    <w:rsid w:val="00735651"/>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7F4FF3"/>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AEA"/>
    <w:rsid w:val="008A2B4A"/>
    <w:rsid w:val="008A2D87"/>
    <w:rsid w:val="008A3C96"/>
    <w:rsid w:val="008B4019"/>
    <w:rsid w:val="008B65C9"/>
    <w:rsid w:val="008C2D4A"/>
    <w:rsid w:val="008C49DA"/>
    <w:rsid w:val="008D3900"/>
    <w:rsid w:val="008D6E1D"/>
    <w:rsid w:val="008E611A"/>
    <w:rsid w:val="008F39B4"/>
    <w:rsid w:val="008F4162"/>
    <w:rsid w:val="008F4784"/>
    <w:rsid w:val="00903E02"/>
    <w:rsid w:val="009054AD"/>
    <w:rsid w:val="00905A36"/>
    <w:rsid w:val="009120E4"/>
    <w:rsid w:val="00913175"/>
    <w:rsid w:val="0091359E"/>
    <w:rsid w:val="00916EDB"/>
    <w:rsid w:val="009240A6"/>
    <w:rsid w:val="009242EF"/>
    <w:rsid w:val="009252EF"/>
    <w:rsid w:val="00932291"/>
    <w:rsid w:val="0093408E"/>
    <w:rsid w:val="00947CBC"/>
    <w:rsid w:val="0095201C"/>
    <w:rsid w:val="00952DDF"/>
    <w:rsid w:val="009602A8"/>
    <w:rsid w:val="0096170E"/>
    <w:rsid w:val="00966034"/>
    <w:rsid w:val="0097415B"/>
    <w:rsid w:val="00976E4A"/>
    <w:rsid w:val="00985F0B"/>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2117"/>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07E"/>
    <w:rsid w:val="00BC0616"/>
    <w:rsid w:val="00BC4215"/>
    <w:rsid w:val="00BC473A"/>
    <w:rsid w:val="00BD1A6F"/>
    <w:rsid w:val="00BD422A"/>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66549"/>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2FE5"/>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37D1C"/>
    <w:rsid w:val="00D45EE3"/>
    <w:rsid w:val="00D50618"/>
    <w:rsid w:val="00D509E9"/>
    <w:rsid w:val="00D50A8A"/>
    <w:rsid w:val="00D53B1C"/>
    <w:rsid w:val="00D5575B"/>
    <w:rsid w:val="00D62131"/>
    <w:rsid w:val="00D64914"/>
    <w:rsid w:val="00D76C5E"/>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0FB5"/>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1E28"/>
    <w:rsid w:val="00EE2A2B"/>
    <w:rsid w:val="00EE3146"/>
    <w:rsid w:val="00EE482C"/>
    <w:rsid w:val="00EE6C4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3C00"/>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37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wa/temperate-shark"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nvironment.gov.au/foi/index.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Principal.Registry@aat.gov.au" TargetMode="External"/><Relationship Id="rId10" Type="http://schemas.openxmlformats.org/officeDocument/2006/relationships/header" Target="header2.xml"/><Relationship Id="rId19" Type="http://schemas.openxmlformats.org/officeDocument/2006/relationships/hyperlink" Target="http://www.aa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foi@environment.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C53F3-4699-4CA1-AB67-2FF729521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2084</Words>
  <Characters>11884</Characters>
  <Application>Microsoft Office Word</Application>
  <DocSecurity>0</DocSecurity>
  <Lines>99</Lines>
  <Paragraphs>27</Paragraphs>
  <ScaleCrop>false</ScaleCrop>
  <Company/>
  <LinksUpToDate>false</LinksUpToDate>
  <CharactersWithSpaces>13941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Decision Letter – August 2015</dc:title>
  <dc:creator/>
  <cp:lastModifiedBy/>
  <cp:revision>1</cp:revision>
  <dcterms:created xsi:type="dcterms:W3CDTF">2015-08-31T03:36:00Z</dcterms:created>
  <dcterms:modified xsi:type="dcterms:W3CDTF">2015-08-31T03:36:00Z</dcterms:modified>
</cp:coreProperties>
</file>