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FED29" w14:textId="58D7C40F" w:rsidR="00E321E1" w:rsidRDefault="003F79A0" w:rsidP="0028447B">
      <w:pPr>
        <w:spacing w:after="120"/>
        <w:jc w:val="center"/>
        <w:rPr>
          <w:snapToGrid w:val="0"/>
        </w:rPr>
      </w:pPr>
      <w:bookmarkStart w:id="0" w:name="_GoBack"/>
      <w:bookmarkEnd w:id="0"/>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Default="00E321E1" w:rsidP="0028447B">
      <w:pPr>
        <w:jc w:val="center"/>
        <w:rPr>
          <w:b/>
          <w:snapToGrid w:val="0"/>
        </w:rPr>
      </w:pPr>
      <w:r>
        <w:rPr>
          <w:b/>
          <w:snapToGrid w:val="0"/>
        </w:rPr>
        <w:t>COMMONWEALTH OF AUSTRALIA</w:t>
      </w:r>
    </w:p>
    <w:p w14:paraId="0C2FED2B" w14:textId="77777777" w:rsidR="00E321E1" w:rsidRDefault="00E321E1" w:rsidP="0028447B">
      <w:pPr>
        <w:jc w:val="center"/>
        <w:rPr>
          <w:snapToGrid w:val="0"/>
        </w:rPr>
      </w:pPr>
    </w:p>
    <w:p w14:paraId="0C2FED2C" w14:textId="77777777" w:rsidR="00E321E1" w:rsidRPr="00AA004D" w:rsidRDefault="00E321E1" w:rsidP="0028447B">
      <w:pPr>
        <w:pStyle w:val="Heading1"/>
        <w:jc w:val="center"/>
        <w:rPr>
          <w:b/>
          <w:i/>
          <w:iCs/>
        </w:rPr>
      </w:pPr>
      <w:r w:rsidRPr="00AA004D">
        <w:rPr>
          <w:b/>
          <w:i/>
          <w:iCs/>
        </w:rPr>
        <w:t>Environment Protection and Biodiversity Conservation Act 1999</w:t>
      </w:r>
    </w:p>
    <w:p w14:paraId="0C2FED2D" w14:textId="77777777" w:rsidR="00E321E1" w:rsidRDefault="00E321E1" w:rsidP="0028447B">
      <w:pPr>
        <w:jc w:val="center"/>
        <w:rPr>
          <w:b/>
          <w:snapToGrid w:val="0"/>
        </w:rPr>
      </w:pPr>
    </w:p>
    <w:p w14:paraId="157661E9" w14:textId="1106BA0F" w:rsidR="008A7845" w:rsidRPr="004B6C56" w:rsidRDefault="00FB1480" w:rsidP="008A7845">
      <w:pPr>
        <w:jc w:val="center"/>
        <w:rPr>
          <w:b/>
          <w:snapToGrid w:val="0"/>
          <w:sz w:val="22"/>
          <w:szCs w:val="22"/>
        </w:rPr>
      </w:pPr>
      <w:r w:rsidRPr="004B6C56">
        <w:rPr>
          <w:b/>
          <w:snapToGrid w:val="0"/>
          <w:sz w:val="22"/>
          <w:szCs w:val="22"/>
        </w:rPr>
        <w:t xml:space="preserve">Revocation of Accreditation of a Plan, Regime or </w:t>
      </w:r>
      <w:r w:rsidR="00C77716" w:rsidRPr="004B6C56">
        <w:rPr>
          <w:b/>
          <w:snapToGrid w:val="0"/>
          <w:sz w:val="22"/>
          <w:szCs w:val="22"/>
        </w:rPr>
        <w:t>Policy for the purposes of Part </w:t>
      </w:r>
      <w:r w:rsidRPr="004B6C56">
        <w:rPr>
          <w:b/>
          <w:snapToGrid w:val="0"/>
          <w:sz w:val="22"/>
          <w:szCs w:val="22"/>
        </w:rPr>
        <w:t>13</w:t>
      </w:r>
    </w:p>
    <w:p w14:paraId="4A1C95EF" w14:textId="77777777" w:rsidR="008A7845" w:rsidRPr="004B6C56" w:rsidRDefault="00FB1480" w:rsidP="008A7845">
      <w:pPr>
        <w:jc w:val="center"/>
        <w:rPr>
          <w:b/>
          <w:snapToGrid w:val="0"/>
          <w:sz w:val="22"/>
          <w:szCs w:val="22"/>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Pr="004B6C56">
        <w:rPr>
          <w:b/>
          <w:snapToGrid w:val="0"/>
          <w:sz w:val="22"/>
          <w:szCs w:val="22"/>
        </w:rPr>
        <w:t>13</w:t>
      </w:r>
    </w:p>
    <w:p w14:paraId="420002C0" w14:textId="2A61E26A" w:rsidR="008A7845" w:rsidRPr="004B6C56" w:rsidRDefault="001B6AA0" w:rsidP="008A7845">
      <w:pPr>
        <w:jc w:val="center"/>
        <w:rPr>
          <w:b/>
          <w:snapToGrid w:val="0"/>
          <w:sz w:val="22"/>
          <w:szCs w:val="22"/>
        </w:rPr>
      </w:pPr>
      <w:r w:rsidRPr="001B6AA0">
        <w:rPr>
          <w:b/>
          <w:snapToGrid w:val="0"/>
          <w:sz w:val="22"/>
          <w:szCs w:val="22"/>
        </w:rPr>
        <w:t>PILBARA FISH TRAWL INTERIM MANAGED FISHERY, AUGUST, 2018</w:t>
      </w:r>
    </w:p>
    <w:p w14:paraId="0C2FED30" w14:textId="77777777" w:rsidR="00E321E1" w:rsidRPr="004B6C56" w:rsidRDefault="00E321E1" w:rsidP="0028447B">
      <w:pPr>
        <w:rPr>
          <w:snapToGrid w:val="0"/>
          <w:sz w:val="22"/>
          <w:szCs w:val="22"/>
        </w:rPr>
      </w:pPr>
    </w:p>
    <w:p w14:paraId="0C2FED31" w14:textId="1FFF3478" w:rsidR="00B134B6" w:rsidRPr="004B6C56" w:rsidRDefault="00FB1480" w:rsidP="0028447B">
      <w:pPr>
        <w:rPr>
          <w:sz w:val="22"/>
          <w:szCs w:val="22"/>
        </w:rPr>
      </w:pPr>
      <w:r w:rsidRPr="004B6C56">
        <w:rPr>
          <w:sz w:val="22"/>
          <w:szCs w:val="22"/>
        </w:rPr>
        <w:t xml:space="preserve">I, </w:t>
      </w:r>
      <w:r w:rsidR="001B6AA0" w:rsidRPr="001B6AA0">
        <w:rPr>
          <w:sz w:val="22"/>
          <w:szCs w:val="22"/>
        </w:rPr>
        <w:t xml:space="preserve">MELISSA PRICE, </w:t>
      </w:r>
      <w:r w:rsidR="001B6AA0">
        <w:rPr>
          <w:sz w:val="22"/>
          <w:szCs w:val="22"/>
        </w:rPr>
        <w:t>Minister for the Environment</w:t>
      </w:r>
      <w:r w:rsidRPr="004B6C56">
        <w:rPr>
          <w:sz w:val="22"/>
          <w:szCs w:val="22"/>
        </w:rPr>
        <w:t>:</w:t>
      </w:r>
    </w:p>
    <w:p w14:paraId="0C2FED32" w14:textId="77777777" w:rsidR="00B134B6" w:rsidRPr="004B6C56" w:rsidRDefault="00B134B6" w:rsidP="0028447B">
      <w:pPr>
        <w:rPr>
          <w:sz w:val="22"/>
          <w:szCs w:val="22"/>
        </w:rPr>
      </w:pPr>
    </w:p>
    <w:p w14:paraId="0C2FED33" w14:textId="1C4E051D" w:rsidR="00B134B6" w:rsidRPr="004B6C56" w:rsidRDefault="00C77716" w:rsidP="0028447B">
      <w:pPr>
        <w:numPr>
          <w:ilvl w:val="0"/>
          <w:numId w:val="14"/>
        </w:numPr>
        <w:ind w:left="360"/>
        <w:rPr>
          <w:snapToGrid w:val="0"/>
          <w:sz w:val="22"/>
          <w:szCs w:val="22"/>
        </w:rPr>
      </w:pPr>
      <w:r w:rsidRPr="004B6C56">
        <w:rPr>
          <w:sz w:val="22"/>
          <w:szCs w:val="22"/>
        </w:rPr>
        <w:t>revoke</w:t>
      </w:r>
      <w:r w:rsidR="00FB1480" w:rsidRPr="004B6C56">
        <w:rPr>
          <w:sz w:val="22"/>
          <w:szCs w:val="22"/>
        </w:rPr>
        <w:t xml:space="preserve"> the accre</w:t>
      </w:r>
      <w:r w:rsidR="005E68D9" w:rsidRPr="004B6C56">
        <w:rPr>
          <w:sz w:val="22"/>
          <w:szCs w:val="22"/>
        </w:rPr>
        <w:t>ditation of the</w:t>
      </w:r>
      <w:r w:rsidR="004B6C56">
        <w:rPr>
          <w:sz w:val="22"/>
          <w:szCs w:val="22"/>
        </w:rPr>
        <w:t xml:space="preserve"> </w:t>
      </w:r>
      <w:r w:rsidR="00FB1480" w:rsidRPr="004B6C56">
        <w:rPr>
          <w:sz w:val="22"/>
          <w:szCs w:val="22"/>
        </w:rPr>
        <w:t xml:space="preserve">management regime for the </w:t>
      </w:r>
      <w:r w:rsidR="001B6AA0" w:rsidRPr="001B6AA0">
        <w:rPr>
          <w:rFonts w:cs="Arial"/>
          <w:color w:val="000000" w:themeColor="text1"/>
          <w:sz w:val="22"/>
          <w:szCs w:val="22"/>
        </w:rPr>
        <w:t>Western Australian</w:t>
      </w:r>
      <w:r w:rsidR="00807FA4" w:rsidRPr="001B6AA0">
        <w:rPr>
          <w:rStyle w:val="Emphasis"/>
          <w:i w:val="0"/>
          <w:color w:val="000000" w:themeColor="text1"/>
          <w:sz w:val="22"/>
          <w:szCs w:val="22"/>
        </w:rPr>
        <w:t xml:space="preserve"> </w:t>
      </w:r>
      <w:r w:rsidR="001B6AA0" w:rsidRPr="001B6AA0">
        <w:rPr>
          <w:rStyle w:val="Emphasis"/>
          <w:i w:val="0"/>
          <w:color w:val="000000" w:themeColor="text1"/>
          <w:sz w:val="22"/>
          <w:szCs w:val="22"/>
        </w:rPr>
        <w:t>Pilbara</w:t>
      </w:r>
      <w:r w:rsidR="001D38D1">
        <w:rPr>
          <w:rStyle w:val="Emphasis"/>
          <w:i w:val="0"/>
          <w:color w:val="000000" w:themeColor="text1"/>
          <w:sz w:val="22"/>
          <w:szCs w:val="22"/>
        </w:rPr>
        <w:t xml:space="preserve"> Fish</w:t>
      </w:r>
      <w:r w:rsidR="001B6AA0" w:rsidRPr="001B6AA0">
        <w:rPr>
          <w:rStyle w:val="Emphasis"/>
          <w:i w:val="0"/>
          <w:color w:val="000000" w:themeColor="text1"/>
          <w:sz w:val="22"/>
          <w:szCs w:val="22"/>
        </w:rPr>
        <w:t xml:space="preserve"> Trawl Interim Managed Fishery</w:t>
      </w:r>
      <w:r w:rsidR="00FB1480" w:rsidRPr="001B6AA0">
        <w:rPr>
          <w:color w:val="000000" w:themeColor="text1"/>
          <w:sz w:val="22"/>
          <w:szCs w:val="22"/>
        </w:rPr>
        <w:t xml:space="preserve"> dated </w:t>
      </w:r>
      <w:r w:rsidR="001B6AA0" w:rsidRPr="001B6AA0">
        <w:rPr>
          <w:color w:val="000000" w:themeColor="text1"/>
          <w:sz w:val="22"/>
          <w:szCs w:val="22"/>
        </w:rPr>
        <w:t xml:space="preserve">14 May </w:t>
      </w:r>
      <w:r w:rsidR="001B6AA0">
        <w:rPr>
          <w:sz w:val="22"/>
          <w:szCs w:val="22"/>
        </w:rPr>
        <w:t>2014</w:t>
      </w:r>
      <w:r w:rsidR="00C4202F" w:rsidRPr="004B6C56">
        <w:rPr>
          <w:rStyle w:val="Emphasis"/>
          <w:i w:val="0"/>
          <w:sz w:val="22"/>
          <w:szCs w:val="22"/>
        </w:rPr>
        <w:t>,</w:t>
      </w:r>
      <w:r w:rsidR="00FB1480" w:rsidRPr="004B6C56">
        <w:rPr>
          <w:snapToGrid w:val="0"/>
          <w:sz w:val="22"/>
          <w:szCs w:val="22"/>
        </w:rPr>
        <w:t xml:space="preserve"> and</w:t>
      </w:r>
    </w:p>
    <w:p w14:paraId="0C2FED34" w14:textId="77777777" w:rsidR="00B134B6" w:rsidRPr="004B6C56" w:rsidRDefault="00B134B6" w:rsidP="0028447B">
      <w:pPr>
        <w:ind w:left="360"/>
        <w:rPr>
          <w:snapToGrid w:val="0"/>
          <w:sz w:val="22"/>
          <w:szCs w:val="22"/>
        </w:rPr>
      </w:pPr>
    </w:p>
    <w:p w14:paraId="0C2FED35" w14:textId="77777777" w:rsidR="00E321E1" w:rsidRPr="004B6C56" w:rsidRDefault="00FB1480" w:rsidP="0028447B">
      <w:pPr>
        <w:numPr>
          <w:ilvl w:val="0"/>
          <w:numId w:val="14"/>
        </w:numPr>
        <w:spacing w:after="120"/>
        <w:ind w:left="360"/>
        <w:rPr>
          <w:snapToGrid w:val="0"/>
          <w:sz w:val="22"/>
          <w:szCs w:val="22"/>
        </w:rPr>
      </w:pPr>
      <w:r w:rsidRPr="004B6C56">
        <w:rPr>
          <w:snapToGrid w:val="0"/>
          <w:sz w:val="22"/>
          <w:szCs w:val="22"/>
        </w:rPr>
        <w:t>being satisfied that:</w:t>
      </w:r>
    </w:p>
    <w:p w14:paraId="0C2FED36" w14:textId="1A5CB58A" w:rsidR="00F755FB" w:rsidRPr="004B6C56" w:rsidRDefault="00FB1480" w:rsidP="0028447B">
      <w:pPr>
        <w:numPr>
          <w:ilvl w:val="1"/>
          <w:numId w:val="14"/>
        </w:numPr>
        <w:spacing w:after="120"/>
        <w:ind w:left="720"/>
        <w:rPr>
          <w:sz w:val="22"/>
          <w:szCs w:val="22"/>
        </w:rPr>
      </w:pPr>
      <w:r w:rsidRPr="004B6C56">
        <w:rPr>
          <w:sz w:val="22"/>
          <w:szCs w:val="22"/>
        </w:rPr>
        <w:t xml:space="preserve">the </w:t>
      </w:r>
      <w:r w:rsidR="001B6AA0" w:rsidRPr="001B6AA0">
        <w:rPr>
          <w:rStyle w:val="Emphasis"/>
          <w:i w:val="0"/>
          <w:color w:val="000000" w:themeColor="text1"/>
          <w:sz w:val="22"/>
          <w:szCs w:val="22"/>
        </w:rPr>
        <w:t xml:space="preserve">Pilbara </w:t>
      </w:r>
      <w:r w:rsidR="00592A16">
        <w:rPr>
          <w:rStyle w:val="Emphasis"/>
          <w:i w:val="0"/>
          <w:color w:val="000000" w:themeColor="text1"/>
          <w:sz w:val="22"/>
          <w:szCs w:val="22"/>
        </w:rPr>
        <w:t xml:space="preserve">Fish </w:t>
      </w:r>
      <w:r w:rsidR="001B6AA0" w:rsidRPr="001B6AA0">
        <w:rPr>
          <w:rStyle w:val="Emphasis"/>
          <w:i w:val="0"/>
          <w:color w:val="000000" w:themeColor="text1"/>
          <w:sz w:val="22"/>
          <w:szCs w:val="22"/>
        </w:rPr>
        <w:t>Trawl Interim Managed Fishery</w:t>
      </w:r>
      <w:r w:rsidR="00592A16">
        <w:rPr>
          <w:rStyle w:val="Emphasis"/>
          <w:i w:val="0"/>
          <w:color w:val="000000" w:themeColor="text1"/>
          <w:sz w:val="22"/>
          <w:szCs w:val="22"/>
        </w:rPr>
        <w:t xml:space="preserve"> Management Plan 1997</w:t>
      </w:r>
      <w:r w:rsidRPr="004B6C56">
        <w:rPr>
          <w:sz w:val="22"/>
          <w:szCs w:val="22"/>
        </w:rPr>
        <w:t xml:space="preserve">, in force under the </w:t>
      </w:r>
      <w:r w:rsidR="001B6AA0" w:rsidRPr="001B6AA0">
        <w:rPr>
          <w:i/>
          <w:sz w:val="22"/>
          <w:szCs w:val="22"/>
        </w:rPr>
        <w:t>Fish Resources Management Act 1994</w:t>
      </w:r>
      <w:r w:rsidR="001B6AA0">
        <w:rPr>
          <w:sz w:val="22"/>
          <w:szCs w:val="22"/>
        </w:rPr>
        <w:t xml:space="preserve"> (Western Australia)</w:t>
      </w:r>
      <w:r w:rsidR="004B6C56" w:rsidRPr="004B6C56">
        <w:rPr>
          <w:color w:val="FF0000"/>
          <w:sz w:val="22"/>
          <w:szCs w:val="22"/>
        </w:rPr>
        <w:t xml:space="preserve"> </w:t>
      </w:r>
      <w:r w:rsidR="004B6C56" w:rsidRPr="004B6C56">
        <w:rPr>
          <w:sz w:val="22"/>
          <w:szCs w:val="22"/>
        </w:rPr>
        <w:t>and the</w:t>
      </w:r>
      <w:r w:rsidR="004B6C56" w:rsidRPr="004B6C56">
        <w:rPr>
          <w:i/>
          <w:sz w:val="22"/>
          <w:szCs w:val="22"/>
        </w:rPr>
        <w:t xml:space="preserve"> </w:t>
      </w:r>
      <w:r w:rsidR="001B6AA0" w:rsidRPr="001B6AA0">
        <w:rPr>
          <w:sz w:val="22"/>
          <w:szCs w:val="22"/>
        </w:rPr>
        <w:t>Fish Resources Management Regulations 1995</w:t>
      </w:r>
      <w:r w:rsidR="001B6AA0">
        <w:rPr>
          <w:sz w:val="22"/>
          <w:szCs w:val="22"/>
        </w:rPr>
        <w:t>,</w:t>
      </w:r>
      <w:r w:rsidR="004B6C56" w:rsidRPr="004B6C56">
        <w:rPr>
          <w:color w:val="FF0000"/>
          <w:sz w:val="22"/>
          <w:szCs w:val="22"/>
        </w:rPr>
        <w:t xml:space="preserve"> </w:t>
      </w:r>
      <w:r w:rsidRPr="004B6C56">
        <w:rPr>
          <w:rStyle w:val="Emphasis"/>
          <w:i w:val="0"/>
          <w:sz w:val="22"/>
          <w:szCs w:val="22"/>
        </w:rPr>
        <w:t>r</w:t>
      </w:r>
      <w:r w:rsidRPr="004B6C56">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4B6C56">
        <w:rPr>
          <w:sz w:val="22"/>
          <w:szCs w:val="22"/>
        </w:rPr>
        <w:t>ured as a result of the fishing,</w:t>
      </w:r>
      <w:r w:rsidRPr="004B6C56">
        <w:rPr>
          <w:sz w:val="22"/>
          <w:szCs w:val="22"/>
        </w:rPr>
        <w:t xml:space="preserve"> and</w:t>
      </w:r>
    </w:p>
    <w:p w14:paraId="0C2FED37" w14:textId="77777777" w:rsidR="00E321E1" w:rsidRPr="004B6C56" w:rsidRDefault="00FB1480" w:rsidP="0028447B">
      <w:pPr>
        <w:numPr>
          <w:ilvl w:val="1"/>
          <w:numId w:val="14"/>
        </w:numPr>
        <w:spacing w:after="120"/>
        <w:ind w:left="720"/>
        <w:rPr>
          <w:snapToGrid w:val="0"/>
          <w:sz w:val="22"/>
          <w:szCs w:val="22"/>
        </w:rPr>
      </w:pPr>
      <w:r w:rsidRPr="004B6C56">
        <w:rPr>
          <w:sz w:val="22"/>
          <w:szCs w:val="22"/>
        </w:rPr>
        <w:t>the fishery to which the management regime relates does not, or is not likely to, adversely affect:</w:t>
      </w:r>
    </w:p>
    <w:p w14:paraId="0C2FED38" w14:textId="77777777" w:rsidR="00E321E1" w:rsidRPr="004B6C56" w:rsidRDefault="00FB1480" w:rsidP="00035DC3">
      <w:pPr>
        <w:numPr>
          <w:ilvl w:val="0"/>
          <w:numId w:val="15"/>
        </w:numPr>
        <w:spacing w:after="120"/>
        <w:ind w:left="1080"/>
        <w:rPr>
          <w:sz w:val="22"/>
          <w:szCs w:val="22"/>
        </w:rPr>
      </w:pPr>
      <w:r w:rsidRPr="004B6C56">
        <w:rPr>
          <w:sz w:val="22"/>
          <w:szCs w:val="22"/>
        </w:rPr>
        <w:t>the survival or recovery in nature of any listed threatened species</w:t>
      </w:r>
      <w:r w:rsidR="00C4202F" w:rsidRPr="004B6C56">
        <w:rPr>
          <w:sz w:val="22"/>
          <w:szCs w:val="22"/>
        </w:rPr>
        <w:t>,</w:t>
      </w:r>
      <w:r w:rsidRPr="004B6C56">
        <w:rPr>
          <w:sz w:val="22"/>
          <w:szCs w:val="22"/>
        </w:rPr>
        <w:t xml:space="preserve"> or </w:t>
      </w:r>
    </w:p>
    <w:p w14:paraId="0C2FED39" w14:textId="47A09AD6" w:rsidR="00B134B6" w:rsidRPr="004B6C56" w:rsidRDefault="00FB1480" w:rsidP="00035DC3">
      <w:pPr>
        <w:numPr>
          <w:ilvl w:val="0"/>
          <w:numId w:val="15"/>
        </w:numPr>
        <w:ind w:left="1080"/>
        <w:rPr>
          <w:sz w:val="22"/>
          <w:szCs w:val="22"/>
        </w:rPr>
      </w:pPr>
      <w:r w:rsidRPr="004B6C56">
        <w:rPr>
          <w:sz w:val="22"/>
          <w:szCs w:val="22"/>
        </w:rPr>
        <w:t>the conservation status of a listed migratory species, cetacean, or listed marine species or a population of that species,</w:t>
      </w:r>
    </w:p>
    <w:p w14:paraId="0C2FED3A" w14:textId="77777777" w:rsidR="00B134B6" w:rsidRPr="004B6C56" w:rsidRDefault="00B134B6" w:rsidP="0028447B">
      <w:pPr>
        <w:rPr>
          <w:sz w:val="22"/>
          <w:szCs w:val="22"/>
        </w:rPr>
      </w:pPr>
    </w:p>
    <w:p w14:paraId="0C2FED3B" w14:textId="7369A3E8" w:rsidR="00E321E1" w:rsidRPr="004B6C56" w:rsidRDefault="00FB1480" w:rsidP="0028447B">
      <w:pPr>
        <w:spacing w:after="120"/>
        <w:rPr>
          <w:snapToGrid w:val="0"/>
          <w:sz w:val="22"/>
          <w:szCs w:val="22"/>
        </w:rPr>
      </w:pPr>
      <w:r w:rsidRPr="004B6C56">
        <w:rPr>
          <w:sz w:val="22"/>
          <w:szCs w:val="22"/>
        </w:rPr>
        <w:t xml:space="preserve">accredit the </w:t>
      </w:r>
      <w:r w:rsidR="001B6AA0" w:rsidRPr="001B6AA0">
        <w:rPr>
          <w:sz w:val="22"/>
          <w:szCs w:val="22"/>
        </w:rPr>
        <w:t>Pilbara Fish Trawl Interim Managed Fishery Management Plan 1997</w:t>
      </w:r>
      <w:r w:rsidRPr="004B6C56">
        <w:rPr>
          <w:sz w:val="22"/>
          <w:szCs w:val="22"/>
        </w:rPr>
        <w:t xml:space="preserve"> </w:t>
      </w:r>
      <w:r w:rsidRPr="004B6C56">
        <w:rPr>
          <w:snapToGrid w:val="0"/>
          <w:sz w:val="22"/>
          <w:szCs w:val="22"/>
        </w:rPr>
        <w:t xml:space="preserve">for the </w:t>
      </w:r>
      <w:r w:rsidR="001B6AA0" w:rsidRPr="001B6AA0">
        <w:rPr>
          <w:rFonts w:cs="Arial"/>
          <w:color w:val="000000" w:themeColor="text1"/>
          <w:sz w:val="22"/>
          <w:szCs w:val="22"/>
        </w:rPr>
        <w:t>Western Australian Pilbara Trawl Interim Managed Fishery</w:t>
      </w:r>
      <w:r w:rsidR="00C4202F" w:rsidRPr="001B6AA0">
        <w:rPr>
          <w:color w:val="000000" w:themeColor="text1"/>
          <w:sz w:val="22"/>
          <w:szCs w:val="22"/>
        </w:rPr>
        <w:t xml:space="preserve"> </w:t>
      </w:r>
      <w:r w:rsidRPr="004B6C56">
        <w:rPr>
          <w:sz w:val="22"/>
          <w:szCs w:val="22"/>
        </w:rPr>
        <w:t xml:space="preserve">in force under the </w:t>
      </w:r>
      <w:r w:rsidR="001B6AA0" w:rsidRPr="001B6AA0">
        <w:rPr>
          <w:i/>
          <w:sz w:val="22"/>
          <w:szCs w:val="22"/>
        </w:rPr>
        <w:t>Fish Resources Management Act 1994</w:t>
      </w:r>
      <w:r w:rsidR="001B6AA0" w:rsidRPr="001B6AA0">
        <w:rPr>
          <w:sz w:val="22"/>
          <w:szCs w:val="22"/>
        </w:rPr>
        <w:t xml:space="preserve"> (Western Australia) </w:t>
      </w:r>
      <w:r w:rsidR="009F0448" w:rsidRPr="004B6C56">
        <w:rPr>
          <w:sz w:val="22"/>
          <w:szCs w:val="22"/>
        </w:rPr>
        <w:t>and the</w:t>
      </w:r>
      <w:r w:rsidR="009F0448" w:rsidRPr="004B6C56">
        <w:rPr>
          <w:i/>
          <w:sz w:val="22"/>
          <w:szCs w:val="22"/>
        </w:rPr>
        <w:t xml:space="preserve"> </w:t>
      </w:r>
      <w:r w:rsidR="0039328E" w:rsidRPr="0039328E">
        <w:rPr>
          <w:sz w:val="22"/>
          <w:szCs w:val="22"/>
        </w:rPr>
        <w:t>Fish Resources Management Regulations 1995</w:t>
      </w:r>
      <w:r w:rsidR="0039328E">
        <w:rPr>
          <w:sz w:val="22"/>
          <w:szCs w:val="22"/>
        </w:rPr>
        <w:t xml:space="preserve"> </w:t>
      </w:r>
      <w:r w:rsidR="0039328E" w:rsidRPr="001B6AA0">
        <w:rPr>
          <w:sz w:val="22"/>
          <w:szCs w:val="22"/>
        </w:rPr>
        <w:t xml:space="preserve">(Western Australia) </w:t>
      </w:r>
      <w:r w:rsidR="007C176F" w:rsidRPr="004B6C56">
        <w:rPr>
          <w:sz w:val="22"/>
          <w:szCs w:val="22"/>
        </w:rPr>
        <w:t>under sections </w:t>
      </w:r>
      <w:r w:rsidR="004B6C56">
        <w:rPr>
          <w:sz w:val="22"/>
          <w:szCs w:val="22"/>
        </w:rPr>
        <w:t>208A, 222A, 245 and </w:t>
      </w:r>
      <w:r w:rsidRPr="004B6C56">
        <w:rPr>
          <w:sz w:val="22"/>
          <w:szCs w:val="22"/>
        </w:rPr>
        <w:t xml:space="preserve">265 of the </w:t>
      </w:r>
      <w:r w:rsidRPr="004B6C56">
        <w:rPr>
          <w:rStyle w:val="Emphasis"/>
          <w:sz w:val="22"/>
          <w:szCs w:val="22"/>
        </w:rPr>
        <w:t>Environment Protection and Biodiversity Conservation</w:t>
      </w:r>
      <w:r w:rsidRPr="004B6C56">
        <w:rPr>
          <w:rStyle w:val="Emphasis"/>
          <w:i w:val="0"/>
          <w:sz w:val="22"/>
          <w:szCs w:val="22"/>
        </w:rPr>
        <w:t xml:space="preserve"> </w:t>
      </w:r>
      <w:r w:rsidRPr="004B6C56">
        <w:rPr>
          <w:rStyle w:val="Emphasis"/>
          <w:sz w:val="22"/>
          <w:szCs w:val="22"/>
        </w:rPr>
        <w:t>Act</w:t>
      </w:r>
      <w:r w:rsidR="004A2909" w:rsidRPr="004B6C56">
        <w:rPr>
          <w:rStyle w:val="Emphasis"/>
          <w:sz w:val="22"/>
          <w:szCs w:val="22"/>
        </w:rPr>
        <w:t> </w:t>
      </w:r>
      <w:r w:rsidRPr="004B6C56">
        <w:rPr>
          <w:rStyle w:val="Emphasis"/>
          <w:sz w:val="22"/>
          <w:szCs w:val="22"/>
        </w:rPr>
        <w:t>1999</w:t>
      </w:r>
      <w:r w:rsidRPr="004B6C56">
        <w:rPr>
          <w:rStyle w:val="Emphasis"/>
          <w:i w:val="0"/>
          <w:sz w:val="22"/>
          <w:szCs w:val="22"/>
        </w:rPr>
        <w:t xml:space="preserve"> (EPBC Act)</w:t>
      </w:r>
      <w:r w:rsidRPr="004B6C56">
        <w:rPr>
          <w:sz w:val="22"/>
          <w:szCs w:val="22"/>
        </w:rPr>
        <w:t xml:space="preserve"> for the pu</w:t>
      </w:r>
      <w:r w:rsidR="00941B39" w:rsidRPr="004B6C56">
        <w:rPr>
          <w:sz w:val="22"/>
          <w:szCs w:val="22"/>
        </w:rPr>
        <w:t>rposes of Divisions 1, 2, 3 and 4 respectively of Part </w:t>
      </w:r>
      <w:r w:rsidRPr="004B6C56">
        <w:rPr>
          <w:sz w:val="22"/>
          <w:szCs w:val="22"/>
        </w:rPr>
        <w:t>13 of the EPBC</w:t>
      </w:r>
      <w:r w:rsidR="00941B39" w:rsidRPr="004B6C56">
        <w:rPr>
          <w:sz w:val="22"/>
          <w:szCs w:val="22"/>
        </w:rPr>
        <w:t> </w:t>
      </w:r>
      <w:r w:rsidRPr="004B6C56">
        <w:rPr>
          <w:sz w:val="22"/>
          <w:szCs w:val="22"/>
        </w:rPr>
        <w:t>Act</w:t>
      </w:r>
      <w:r w:rsidRPr="004B6C56">
        <w:rPr>
          <w:snapToGrid w:val="0"/>
          <w:sz w:val="22"/>
          <w:szCs w:val="22"/>
        </w:rPr>
        <w:t>.</w:t>
      </w:r>
    </w:p>
    <w:p w14:paraId="0C2FED3C" w14:textId="77777777" w:rsidR="00E321E1" w:rsidRPr="004B6C56" w:rsidRDefault="00E321E1" w:rsidP="0028447B">
      <w:pPr>
        <w:rPr>
          <w:sz w:val="22"/>
          <w:szCs w:val="22"/>
        </w:rPr>
      </w:pPr>
    </w:p>
    <w:p w14:paraId="1D649C4B" w14:textId="77777777" w:rsidR="00662A3D" w:rsidRPr="00662A3D" w:rsidRDefault="00662A3D" w:rsidP="00662A3D">
      <w:pPr>
        <w:ind w:right="198"/>
        <w:rPr>
          <w:snapToGrid w:val="0"/>
          <w:sz w:val="22"/>
          <w:szCs w:val="22"/>
        </w:rPr>
      </w:pPr>
      <w:r w:rsidRPr="00662A3D">
        <w:rPr>
          <w:snapToGrid w:val="0"/>
          <w:sz w:val="22"/>
          <w:szCs w:val="22"/>
        </w:rPr>
        <w:t>Unless amended or revoked, this accreditation is subject to the following three conditions applied under section 303AA:</w:t>
      </w:r>
    </w:p>
    <w:p w14:paraId="37CCBB4B" w14:textId="77777777" w:rsidR="00662A3D" w:rsidRPr="00662A3D" w:rsidRDefault="00662A3D" w:rsidP="00662A3D">
      <w:pPr>
        <w:ind w:right="198"/>
        <w:rPr>
          <w:snapToGrid w:val="0"/>
          <w:sz w:val="22"/>
          <w:szCs w:val="22"/>
        </w:rPr>
      </w:pPr>
    </w:p>
    <w:p w14:paraId="443A021D" w14:textId="77777777" w:rsidR="00662A3D" w:rsidRPr="00662A3D" w:rsidRDefault="00662A3D" w:rsidP="00662A3D">
      <w:pPr>
        <w:ind w:right="198"/>
        <w:rPr>
          <w:snapToGrid w:val="0"/>
          <w:sz w:val="22"/>
          <w:szCs w:val="22"/>
        </w:rPr>
      </w:pPr>
    </w:p>
    <w:p w14:paraId="006FF286" w14:textId="77777777" w:rsidR="00662A3D" w:rsidRPr="00662A3D" w:rsidRDefault="00662A3D" w:rsidP="00662A3D">
      <w:pPr>
        <w:ind w:right="198"/>
        <w:rPr>
          <w:snapToGrid w:val="0"/>
          <w:sz w:val="22"/>
          <w:szCs w:val="22"/>
        </w:rPr>
      </w:pPr>
    </w:p>
    <w:p w14:paraId="61B7A5F1" w14:textId="77777777" w:rsidR="00662A3D" w:rsidRPr="00662A3D" w:rsidRDefault="00662A3D" w:rsidP="00662A3D">
      <w:pPr>
        <w:ind w:right="198"/>
        <w:rPr>
          <w:snapToGrid w:val="0"/>
          <w:sz w:val="22"/>
          <w:szCs w:val="22"/>
        </w:rPr>
      </w:pPr>
    </w:p>
    <w:p w14:paraId="5D65EF48" w14:textId="77777777" w:rsidR="00662A3D" w:rsidRPr="00662A3D" w:rsidRDefault="00662A3D" w:rsidP="00662A3D">
      <w:pPr>
        <w:ind w:right="198"/>
        <w:rPr>
          <w:snapToGrid w:val="0"/>
          <w:sz w:val="22"/>
          <w:szCs w:val="22"/>
        </w:rPr>
      </w:pPr>
    </w:p>
    <w:p w14:paraId="2A999591" w14:textId="77777777" w:rsidR="00662A3D" w:rsidRPr="00662A3D" w:rsidRDefault="00662A3D" w:rsidP="00662A3D">
      <w:pPr>
        <w:ind w:right="198"/>
        <w:rPr>
          <w:snapToGrid w:val="0"/>
          <w:sz w:val="22"/>
          <w:szCs w:val="22"/>
        </w:rPr>
      </w:pPr>
    </w:p>
    <w:p w14:paraId="610BB18B" w14:textId="77777777" w:rsidR="00662A3D" w:rsidRDefault="00662A3D" w:rsidP="00662A3D">
      <w:pPr>
        <w:ind w:right="198"/>
        <w:rPr>
          <w:snapToGrid w:val="0"/>
          <w:sz w:val="22"/>
          <w:szCs w:val="22"/>
        </w:rPr>
      </w:pPr>
    </w:p>
    <w:p w14:paraId="59133740" w14:textId="77777777" w:rsidR="00662A3D" w:rsidRDefault="00662A3D" w:rsidP="00662A3D">
      <w:pPr>
        <w:ind w:right="198"/>
        <w:rPr>
          <w:snapToGrid w:val="0"/>
          <w:sz w:val="22"/>
          <w:szCs w:val="22"/>
        </w:rPr>
      </w:pPr>
    </w:p>
    <w:p w14:paraId="513B741B" w14:textId="77777777" w:rsidR="00662A3D" w:rsidRDefault="00662A3D" w:rsidP="00662A3D">
      <w:pPr>
        <w:ind w:right="198"/>
        <w:rPr>
          <w:snapToGrid w:val="0"/>
          <w:sz w:val="22"/>
          <w:szCs w:val="22"/>
        </w:rPr>
      </w:pPr>
    </w:p>
    <w:p w14:paraId="70E21230" w14:textId="77777777" w:rsidR="00662A3D" w:rsidRDefault="00662A3D" w:rsidP="00662A3D">
      <w:pPr>
        <w:ind w:right="198"/>
        <w:rPr>
          <w:snapToGrid w:val="0"/>
          <w:sz w:val="22"/>
          <w:szCs w:val="22"/>
        </w:rPr>
      </w:pPr>
    </w:p>
    <w:p w14:paraId="2BE0A83C" w14:textId="77777777" w:rsidR="00662A3D" w:rsidRPr="00662A3D" w:rsidRDefault="00662A3D" w:rsidP="00662A3D">
      <w:pPr>
        <w:ind w:right="198"/>
        <w:rPr>
          <w:snapToGrid w:val="0"/>
          <w:sz w:val="22"/>
          <w:szCs w:val="22"/>
        </w:rPr>
      </w:pPr>
    </w:p>
    <w:p w14:paraId="18A7017B" w14:textId="77777777" w:rsidR="00662A3D" w:rsidRPr="00662A3D" w:rsidRDefault="00662A3D" w:rsidP="00662A3D">
      <w:pPr>
        <w:ind w:right="198"/>
        <w:rPr>
          <w:b/>
          <w:snapToGrid w:val="0"/>
          <w:sz w:val="22"/>
          <w:szCs w:val="22"/>
        </w:rPr>
      </w:pPr>
      <w:r w:rsidRPr="00662A3D">
        <w:rPr>
          <w:b/>
          <w:snapToGrid w:val="0"/>
          <w:sz w:val="22"/>
          <w:szCs w:val="22"/>
        </w:rPr>
        <w:lastRenderedPageBreak/>
        <w:t xml:space="preserve">Condition A: </w:t>
      </w:r>
    </w:p>
    <w:p w14:paraId="2CE027BE" w14:textId="36F06DC9" w:rsidR="00662A3D" w:rsidRPr="00662A3D" w:rsidRDefault="00662A3D" w:rsidP="00662A3D">
      <w:pPr>
        <w:rPr>
          <w:snapToGrid w:val="0"/>
          <w:sz w:val="22"/>
          <w:szCs w:val="22"/>
        </w:rPr>
      </w:pPr>
      <w:r w:rsidRPr="00662A3D">
        <w:rPr>
          <w:snapToGrid w:val="0"/>
          <w:sz w:val="22"/>
          <w:szCs w:val="22"/>
        </w:rPr>
        <w:t>The WA Department of Primary Industri</w:t>
      </w:r>
      <w:r w:rsidR="00C87883">
        <w:rPr>
          <w:snapToGrid w:val="0"/>
          <w:sz w:val="22"/>
          <w:szCs w:val="22"/>
        </w:rPr>
        <w:t>es and Regional Development to:</w:t>
      </w:r>
    </w:p>
    <w:p w14:paraId="2E615E2B" w14:textId="77777777" w:rsidR="00662A3D" w:rsidRPr="00662A3D" w:rsidRDefault="00662A3D" w:rsidP="00662A3D">
      <w:pPr>
        <w:pStyle w:val="ListParagraph"/>
        <w:ind w:left="729"/>
        <w:rPr>
          <w:snapToGrid w:val="0"/>
          <w:sz w:val="22"/>
          <w:szCs w:val="22"/>
        </w:rPr>
      </w:pPr>
    </w:p>
    <w:p w14:paraId="68666FA9" w14:textId="36FDFB2A" w:rsidR="00662A3D" w:rsidRPr="00662A3D" w:rsidRDefault="00662A3D" w:rsidP="00662A3D">
      <w:pPr>
        <w:pStyle w:val="ListParagraph"/>
        <w:numPr>
          <w:ilvl w:val="0"/>
          <w:numId w:val="16"/>
        </w:numPr>
        <w:ind w:left="709" w:hanging="689"/>
        <w:contextualSpacing w:val="0"/>
        <w:rPr>
          <w:snapToGrid w:val="0"/>
          <w:sz w:val="22"/>
          <w:szCs w:val="22"/>
        </w:rPr>
      </w:pPr>
      <w:r w:rsidRPr="00662A3D">
        <w:rPr>
          <w:snapToGrid w:val="0"/>
          <w:sz w:val="22"/>
          <w:szCs w:val="22"/>
        </w:rPr>
        <w:t xml:space="preserve">undertake ongoing fishery independent monitoring (electronic </w:t>
      </w:r>
      <w:r w:rsidR="00C87883">
        <w:rPr>
          <w:snapToGrid w:val="0"/>
          <w:sz w:val="22"/>
          <w:szCs w:val="22"/>
        </w:rPr>
        <w:t>or human</w:t>
      </w:r>
      <w:r w:rsidRPr="00662A3D">
        <w:rPr>
          <w:snapToGrid w:val="0"/>
          <w:sz w:val="22"/>
          <w:szCs w:val="22"/>
        </w:rPr>
        <w:t>) if reported interactions with EPBC Act protected species increase outside of historical ranges.</w:t>
      </w:r>
    </w:p>
    <w:p w14:paraId="3CD690A5" w14:textId="77777777" w:rsidR="00662A3D" w:rsidRPr="00662A3D" w:rsidRDefault="00662A3D" w:rsidP="00662A3D">
      <w:pPr>
        <w:pStyle w:val="ListParagraph"/>
        <w:ind w:left="729"/>
        <w:rPr>
          <w:snapToGrid w:val="0"/>
          <w:sz w:val="22"/>
          <w:szCs w:val="22"/>
        </w:rPr>
      </w:pPr>
    </w:p>
    <w:p w14:paraId="0E77D326" w14:textId="0AF1F0F5" w:rsidR="00662A3D" w:rsidRPr="00662A3D" w:rsidRDefault="00662A3D" w:rsidP="00662A3D">
      <w:pPr>
        <w:pStyle w:val="ListParagraph"/>
        <w:numPr>
          <w:ilvl w:val="0"/>
          <w:numId w:val="16"/>
        </w:numPr>
        <w:ind w:left="709" w:hanging="689"/>
        <w:contextualSpacing w:val="0"/>
        <w:rPr>
          <w:snapToGrid w:val="0"/>
          <w:sz w:val="22"/>
          <w:szCs w:val="22"/>
        </w:rPr>
      </w:pPr>
      <w:r w:rsidRPr="00662A3D">
        <w:rPr>
          <w:snapToGrid w:val="0"/>
          <w:sz w:val="22"/>
          <w:szCs w:val="22"/>
        </w:rPr>
        <w:t>review and update the Bycatch Action Plan, to take into account relevant research that has occurred since the plan was last updated. The plan should include clear goals and objectives aimed at minimising interactions with EPBC Act listed species. The Bycatch Action Plan review and update should be completed by early 2020 and be publicly available.</w:t>
      </w:r>
    </w:p>
    <w:p w14:paraId="59F0994F" w14:textId="350F73F4" w:rsidR="00662A3D" w:rsidRPr="00662A3D" w:rsidRDefault="00662A3D" w:rsidP="00662A3D">
      <w:pPr>
        <w:ind w:right="198"/>
        <w:rPr>
          <w:snapToGrid w:val="0"/>
          <w:sz w:val="22"/>
          <w:szCs w:val="22"/>
        </w:rPr>
      </w:pPr>
    </w:p>
    <w:p w14:paraId="7E364C6E" w14:textId="77777777" w:rsidR="00662A3D" w:rsidRPr="00662A3D" w:rsidRDefault="00662A3D" w:rsidP="00662A3D">
      <w:pPr>
        <w:ind w:right="198"/>
        <w:rPr>
          <w:snapToGrid w:val="0"/>
          <w:sz w:val="22"/>
          <w:szCs w:val="22"/>
          <w:highlight w:val="yellow"/>
        </w:rPr>
      </w:pPr>
    </w:p>
    <w:p w14:paraId="041F04E9" w14:textId="77777777" w:rsidR="00662A3D" w:rsidRPr="00662A3D" w:rsidRDefault="00662A3D" w:rsidP="00662A3D">
      <w:pPr>
        <w:rPr>
          <w:rFonts w:ascii="Arial" w:hAnsi="Arial" w:cs="Arial"/>
          <w:sz w:val="22"/>
          <w:szCs w:val="22"/>
        </w:rPr>
      </w:pPr>
      <w:r w:rsidRPr="00662A3D">
        <w:rPr>
          <w:b/>
          <w:snapToGrid w:val="0"/>
          <w:sz w:val="22"/>
          <w:szCs w:val="22"/>
        </w:rPr>
        <w:t>Condition B:</w:t>
      </w:r>
      <w:r w:rsidRPr="00662A3D">
        <w:rPr>
          <w:rFonts w:ascii="Arial" w:hAnsi="Arial" w:cs="Arial"/>
          <w:sz w:val="22"/>
          <w:szCs w:val="22"/>
        </w:rPr>
        <w:t xml:space="preserve"> </w:t>
      </w:r>
    </w:p>
    <w:p w14:paraId="350C1651" w14:textId="7EB5A7E3" w:rsidR="00662A3D" w:rsidRPr="00662A3D" w:rsidRDefault="00592A16" w:rsidP="00662A3D">
      <w:pPr>
        <w:rPr>
          <w:snapToGrid w:val="0"/>
          <w:sz w:val="22"/>
          <w:szCs w:val="22"/>
        </w:rPr>
      </w:pPr>
      <w:r w:rsidRPr="00592A16">
        <w:rPr>
          <w:snapToGrid w:val="0"/>
          <w:sz w:val="22"/>
          <w:szCs w:val="22"/>
        </w:rPr>
        <w:t>The WA Department of Primary Industries and Regional Development, to ensure fishing operations are not adversely affecting the conservation status of dolphin populations, by:</w:t>
      </w:r>
    </w:p>
    <w:p w14:paraId="2BC0F9B1" w14:textId="77777777" w:rsidR="00662A3D" w:rsidRPr="00662A3D" w:rsidRDefault="00662A3D" w:rsidP="00662A3D">
      <w:pPr>
        <w:pStyle w:val="ListParagraph"/>
        <w:ind w:left="729"/>
        <w:rPr>
          <w:snapToGrid w:val="0"/>
          <w:sz w:val="22"/>
          <w:szCs w:val="22"/>
        </w:rPr>
      </w:pPr>
    </w:p>
    <w:p w14:paraId="35907122" w14:textId="2C4CA09F" w:rsidR="00592A16" w:rsidRDefault="00592A16" w:rsidP="00592A16">
      <w:pPr>
        <w:numPr>
          <w:ilvl w:val="1"/>
          <w:numId w:val="18"/>
        </w:numPr>
        <w:tabs>
          <w:tab w:val="clear" w:pos="1440"/>
          <w:tab w:val="num" w:pos="1134"/>
        </w:tabs>
        <w:ind w:left="709" w:hanging="567"/>
        <w:rPr>
          <w:sz w:val="22"/>
          <w:szCs w:val="22"/>
        </w:rPr>
      </w:pPr>
      <w:r>
        <w:rPr>
          <w:sz w:val="22"/>
          <w:szCs w:val="22"/>
        </w:rPr>
        <w:t>incorporating the use of d</w:t>
      </w:r>
      <w:r w:rsidRPr="004756E2">
        <w:rPr>
          <w:sz w:val="22"/>
          <w:szCs w:val="22"/>
        </w:rPr>
        <w:t xml:space="preserve">olphin mitigation plans by fishers into the industry code of practice. Dolphin mitigation plans are to be prepared by vessel operators, and </w:t>
      </w:r>
      <w:r w:rsidR="00AC41FC">
        <w:rPr>
          <w:sz w:val="22"/>
          <w:szCs w:val="22"/>
        </w:rPr>
        <w:t>o</w:t>
      </w:r>
      <w:r w:rsidRPr="004756E2">
        <w:rPr>
          <w:sz w:val="22"/>
          <w:szCs w:val="22"/>
        </w:rPr>
        <w:t xml:space="preserve">utline </w:t>
      </w:r>
      <w:r w:rsidR="00AC41FC">
        <w:rPr>
          <w:sz w:val="22"/>
          <w:szCs w:val="22"/>
        </w:rPr>
        <w:t>the</w:t>
      </w:r>
      <w:r w:rsidRPr="004756E2">
        <w:rPr>
          <w:sz w:val="22"/>
          <w:szCs w:val="22"/>
        </w:rPr>
        <w:t xml:space="preserve"> actions being t</w:t>
      </w:r>
      <w:r>
        <w:rPr>
          <w:sz w:val="22"/>
          <w:szCs w:val="22"/>
        </w:rPr>
        <w:t>aken by the fisher to minimise d</w:t>
      </w:r>
      <w:r w:rsidRPr="004756E2">
        <w:rPr>
          <w:sz w:val="22"/>
          <w:szCs w:val="22"/>
        </w:rPr>
        <w:t>olphin interactions on that particular vessel.</w:t>
      </w:r>
    </w:p>
    <w:p w14:paraId="6B20E08D" w14:textId="77777777" w:rsidR="00592A16" w:rsidRDefault="00592A16" w:rsidP="00592A16">
      <w:pPr>
        <w:ind w:left="709"/>
        <w:rPr>
          <w:sz w:val="22"/>
          <w:szCs w:val="22"/>
        </w:rPr>
      </w:pPr>
    </w:p>
    <w:p w14:paraId="0150F8D3" w14:textId="77777777" w:rsidR="00592A16" w:rsidRDefault="00592A16" w:rsidP="00592A16">
      <w:pPr>
        <w:numPr>
          <w:ilvl w:val="1"/>
          <w:numId w:val="18"/>
        </w:numPr>
        <w:tabs>
          <w:tab w:val="clear" w:pos="1440"/>
          <w:tab w:val="num" w:pos="1134"/>
        </w:tabs>
        <w:ind w:left="709" w:hanging="567"/>
        <w:rPr>
          <w:sz w:val="22"/>
          <w:szCs w:val="22"/>
        </w:rPr>
      </w:pPr>
      <w:r w:rsidRPr="00F759B4">
        <w:rPr>
          <w:sz w:val="22"/>
          <w:szCs w:val="22"/>
        </w:rPr>
        <w:t>developing a clear set of criteria for protected species interaction management, to be included in the Bycatch Action Plan or Harvest Strategy. The criteria should specify escalating management responses taken by the Western Australian Department of Primary Industries and Regional Development, depending on the rate and scale of interactions with protected species by fishers.</w:t>
      </w:r>
    </w:p>
    <w:p w14:paraId="67535F55" w14:textId="77777777" w:rsidR="00592A16" w:rsidRDefault="00592A16" w:rsidP="00592A16">
      <w:pPr>
        <w:ind w:left="709"/>
        <w:rPr>
          <w:sz w:val="22"/>
          <w:szCs w:val="22"/>
        </w:rPr>
      </w:pPr>
    </w:p>
    <w:p w14:paraId="1A667778" w14:textId="77777777" w:rsidR="00592A16" w:rsidRDefault="00592A16" w:rsidP="00592A16">
      <w:pPr>
        <w:numPr>
          <w:ilvl w:val="1"/>
          <w:numId w:val="18"/>
        </w:numPr>
        <w:tabs>
          <w:tab w:val="clear" w:pos="1440"/>
          <w:tab w:val="num" w:pos="1134"/>
        </w:tabs>
        <w:ind w:left="709" w:hanging="567"/>
        <w:rPr>
          <w:sz w:val="22"/>
          <w:szCs w:val="22"/>
        </w:rPr>
      </w:pPr>
      <w:r w:rsidRPr="00F759B4">
        <w:rPr>
          <w:sz w:val="22"/>
          <w:szCs w:val="22"/>
        </w:rPr>
        <w:t>evaluating any relevant new mitigation measures as identified in emerging research in the field of bycatch mitigation, and adopting such measures where they show promise.</w:t>
      </w:r>
    </w:p>
    <w:p w14:paraId="6801EEA4" w14:textId="77777777" w:rsidR="00592A16" w:rsidRDefault="00592A16" w:rsidP="00592A16">
      <w:pPr>
        <w:ind w:left="360"/>
        <w:rPr>
          <w:sz w:val="22"/>
          <w:szCs w:val="22"/>
        </w:rPr>
      </w:pPr>
    </w:p>
    <w:p w14:paraId="5F78CE62" w14:textId="77777777" w:rsidR="00662A3D" w:rsidRPr="00662A3D" w:rsidRDefault="00662A3D" w:rsidP="00662A3D">
      <w:pPr>
        <w:ind w:right="198"/>
        <w:rPr>
          <w:b/>
          <w:snapToGrid w:val="0"/>
          <w:sz w:val="22"/>
          <w:szCs w:val="22"/>
        </w:rPr>
      </w:pPr>
    </w:p>
    <w:p w14:paraId="38926A62" w14:textId="77777777" w:rsidR="00662A3D" w:rsidRPr="00662A3D" w:rsidRDefault="00662A3D" w:rsidP="00662A3D">
      <w:pPr>
        <w:ind w:right="198"/>
        <w:rPr>
          <w:b/>
          <w:snapToGrid w:val="0"/>
          <w:sz w:val="22"/>
          <w:szCs w:val="22"/>
        </w:rPr>
      </w:pPr>
      <w:r w:rsidRPr="00662A3D">
        <w:rPr>
          <w:b/>
          <w:snapToGrid w:val="0"/>
          <w:sz w:val="22"/>
          <w:szCs w:val="22"/>
        </w:rPr>
        <w:t>Condition C:</w:t>
      </w:r>
    </w:p>
    <w:p w14:paraId="6407F0D7" w14:textId="4A59D7F3" w:rsidR="00662A3D" w:rsidRPr="00662A3D" w:rsidRDefault="00592A16" w:rsidP="00662A3D">
      <w:pPr>
        <w:rPr>
          <w:snapToGrid w:val="0"/>
          <w:sz w:val="22"/>
          <w:szCs w:val="22"/>
        </w:rPr>
      </w:pPr>
      <w:r w:rsidRPr="00592A16">
        <w:rPr>
          <w:snapToGrid w:val="0"/>
          <w:sz w:val="22"/>
          <w:szCs w:val="22"/>
        </w:rPr>
        <w:t>The WA Department of Primary Industries and Regional Development, to continue to monitor interactions, to ensure that fishing operations do not adversely affect sawfish (in particular Green Sawfish) through:</w:t>
      </w:r>
    </w:p>
    <w:p w14:paraId="1FAF4DA3" w14:textId="77777777" w:rsidR="00662A3D" w:rsidRPr="00662A3D" w:rsidRDefault="00662A3D" w:rsidP="00662A3D">
      <w:pPr>
        <w:rPr>
          <w:snapToGrid w:val="0"/>
          <w:sz w:val="22"/>
          <w:szCs w:val="22"/>
        </w:rPr>
      </w:pPr>
    </w:p>
    <w:p w14:paraId="6AA57B21" w14:textId="77777777" w:rsidR="00592A16" w:rsidRDefault="00592A16" w:rsidP="00592A16">
      <w:pPr>
        <w:numPr>
          <w:ilvl w:val="0"/>
          <w:numId w:val="19"/>
        </w:numPr>
        <w:tabs>
          <w:tab w:val="clear" w:pos="1440"/>
          <w:tab w:val="num" w:pos="1276"/>
        </w:tabs>
        <w:ind w:left="709" w:hanging="567"/>
        <w:rPr>
          <w:sz w:val="22"/>
          <w:szCs w:val="22"/>
        </w:rPr>
      </w:pPr>
      <w:r w:rsidRPr="00F759B4">
        <w:rPr>
          <w:sz w:val="22"/>
          <w:szCs w:val="22"/>
        </w:rPr>
        <w:t xml:space="preserve">continuing to ensure the WA Pilbara Fish Trawl (Interim) Managed Fishery operates in accordance with </w:t>
      </w:r>
      <w:r>
        <w:rPr>
          <w:sz w:val="22"/>
          <w:szCs w:val="22"/>
        </w:rPr>
        <w:t>the national recovery plan for s</w:t>
      </w:r>
      <w:r w:rsidRPr="00F759B4">
        <w:rPr>
          <w:sz w:val="22"/>
          <w:szCs w:val="22"/>
        </w:rPr>
        <w:t>awfish (Sawfish and River Sharks Multispecies Recovery Plan).</w:t>
      </w:r>
    </w:p>
    <w:p w14:paraId="69719726" w14:textId="77777777" w:rsidR="00592A16" w:rsidRPr="00F759B4" w:rsidRDefault="00592A16" w:rsidP="00592A16">
      <w:pPr>
        <w:pStyle w:val="ListParagraph"/>
        <w:numPr>
          <w:ilvl w:val="0"/>
          <w:numId w:val="19"/>
        </w:numPr>
        <w:tabs>
          <w:tab w:val="clear" w:pos="1440"/>
          <w:tab w:val="num" w:pos="1276"/>
        </w:tabs>
        <w:ind w:left="709" w:hanging="567"/>
        <w:rPr>
          <w:sz w:val="22"/>
          <w:szCs w:val="22"/>
        </w:rPr>
      </w:pPr>
      <w:r w:rsidRPr="00F759B4">
        <w:rPr>
          <w:sz w:val="22"/>
          <w:szCs w:val="22"/>
        </w:rPr>
        <w:t xml:space="preserve">developing and implementing additional mitigation measures and alternative strategies (as appropriate), to reduce the impact on Green Sawfish. </w:t>
      </w:r>
    </w:p>
    <w:p w14:paraId="44E43120" w14:textId="77777777" w:rsidR="00662A3D" w:rsidRPr="001A5858" w:rsidRDefault="00662A3D" w:rsidP="00592A16">
      <w:pPr>
        <w:ind w:left="709" w:right="198" w:hanging="731"/>
        <w:rPr>
          <w:snapToGrid w:val="0"/>
        </w:rPr>
      </w:pPr>
    </w:p>
    <w:p w14:paraId="013D6402" w14:textId="77777777" w:rsidR="00662A3D" w:rsidRPr="005E68D9" w:rsidRDefault="00662A3D" w:rsidP="00662A3D">
      <w:pPr>
        <w:rPr>
          <w:szCs w:val="22"/>
        </w:rPr>
      </w:pPr>
    </w:p>
    <w:p w14:paraId="0C2FED3D" w14:textId="77777777" w:rsidR="00E321E1" w:rsidRPr="004B6C56" w:rsidRDefault="00E321E1" w:rsidP="0028447B">
      <w:pPr>
        <w:rPr>
          <w:sz w:val="22"/>
          <w:szCs w:val="22"/>
        </w:rPr>
      </w:pPr>
    </w:p>
    <w:p w14:paraId="0C2FED3E" w14:textId="7ADD6ABD" w:rsidR="00E321E1" w:rsidRPr="004B6C56" w:rsidRDefault="00FB1480" w:rsidP="0028447B">
      <w:pPr>
        <w:pStyle w:val="Heading1"/>
        <w:jc w:val="center"/>
        <w:rPr>
          <w:iCs/>
          <w:sz w:val="22"/>
          <w:szCs w:val="22"/>
        </w:rPr>
      </w:pPr>
      <w:r w:rsidRPr="004B6C56">
        <w:rPr>
          <w:iCs/>
          <w:sz w:val="22"/>
          <w:szCs w:val="22"/>
        </w:rPr>
        <w:t xml:space="preserve">Dated this </w:t>
      </w:r>
      <w:r w:rsidR="00D405CB">
        <w:rPr>
          <w:iCs/>
          <w:sz w:val="22"/>
          <w:szCs w:val="22"/>
        </w:rPr>
        <w:t xml:space="preserve"> 12</w:t>
      </w:r>
      <w:r w:rsidR="00D405CB" w:rsidRPr="00D405CB">
        <w:rPr>
          <w:iCs/>
          <w:sz w:val="22"/>
          <w:szCs w:val="22"/>
          <w:vertAlign w:val="superscript"/>
        </w:rPr>
        <w:t>th</w:t>
      </w:r>
      <w:r w:rsidR="00D405CB">
        <w:rPr>
          <w:iCs/>
          <w:sz w:val="22"/>
          <w:szCs w:val="22"/>
        </w:rPr>
        <w:t xml:space="preserve">  </w:t>
      </w:r>
      <w:r w:rsidR="005E68D9" w:rsidRPr="004B6C56">
        <w:rPr>
          <w:iCs/>
          <w:sz w:val="22"/>
          <w:szCs w:val="22"/>
        </w:rPr>
        <w:t>day of</w:t>
      </w:r>
      <w:r w:rsidR="00D405CB">
        <w:rPr>
          <w:iCs/>
          <w:sz w:val="22"/>
          <w:szCs w:val="22"/>
        </w:rPr>
        <w:t xml:space="preserve">  November </w:t>
      </w:r>
      <w:r w:rsidR="00B0492C">
        <w:rPr>
          <w:iCs/>
          <w:sz w:val="22"/>
          <w:szCs w:val="22"/>
        </w:rPr>
        <w:t>2018</w:t>
      </w:r>
    </w:p>
    <w:p w14:paraId="0C2FED3F" w14:textId="77777777" w:rsidR="00E321E1" w:rsidRPr="004B6C56" w:rsidRDefault="00E321E1" w:rsidP="0028447B">
      <w:pPr>
        <w:rPr>
          <w:sz w:val="22"/>
          <w:szCs w:val="22"/>
        </w:rPr>
      </w:pPr>
    </w:p>
    <w:p w14:paraId="0C2FED40" w14:textId="77777777" w:rsidR="00E321E1" w:rsidRPr="004B6C56" w:rsidRDefault="00E321E1" w:rsidP="0028447B">
      <w:pPr>
        <w:rPr>
          <w:sz w:val="22"/>
          <w:szCs w:val="22"/>
        </w:rPr>
      </w:pPr>
    </w:p>
    <w:p w14:paraId="0C2FED41" w14:textId="77777777" w:rsidR="00E321E1" w:rsidRPr="004B6C56" w:rsidRDefault="00E321E1" w:rsidP="0028447B">
      <w:pPr>
        <w:rPr>
          <w:sz w:val="22"/>
          <w:szCs w:val="22"/>
        </w:rPr>
      </w:pPr>
    </w:p>
    <w:p w14:paraId="0C2FED44" w14:textId="49D7BA57" w:rsidR="00E321E1" w:rsidRPr="004B6C56" w:rsidRDefault="00FB1480" w:rsidP="0028447B">
      <w:pPr>
        <w:jc w:val="center"/>
        <w:rPr>
          <w:sz w:val="22"/>
          <w:szCs w:val="22"/>
        </w:rPr>
      </w:pPr>
      <w:r w:rsidRPr="004B6C56">
        <w:rPr>
          <w:sz w:val="22"/>
          <w:szCs w:val="22"/>
        </w:rPr>
        <w:t>..…………</w:t>
      </w:r>
      <w:r w:rsidR="00D405CB">
        <w:rPr>
          <w:sz w:val="22"/>
          <w:szCs w:val="22"/>
        </w:rPr>
        <w:t>Melissa Price</w:t>
      </w:r>
      <w:r w:rsidRPr="004B6C56">
        <w:rPr>
          <w:sz w:val="22"/>
          <w:szCs w:val="22"/>
        </w:rPr>
        <w:t>……….……..</w:t>
      </w:r>
    </w:p>
    <w:p w14:paraId="0C2FED45" w14:textId="77777777" w:rsidR="00F755FB" w:rsidRPr="004B6C56"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0C2FED46" w14:textId="06F44322" w:rsidR="00B134B6" w:rsidRPr="004B6C56" w:rsidRDefault="0039328E"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39328E">
        <w:rPr>
          <w:rFonts w:ascii="Times New Roman" w:hAnsi="Times New Roman" w:cs="Times New Roman"/>
          <w:snapToGrid w:val="0"/>
          <w:sz w:val="22"/>
          <w:szCs w:val="22"/>
          <w:lang w:val="en-AU"/>
        </w:rPr>
        <w:t>Minister for the Environment</w:t>
      </w:r>
    </w:p>
    <w:sectPr w:rsidR="00B134B6" w:rsidRPr="004B6C56" w:rsidSect="0028447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9D1E63" w14:textId="77777777" w:rsidR="0097359A" w:rsidRDefault="0097359A">
      <w:r>
        <w:separator/>
      </w:r>
    </w:p>
  </w:endnote>
  <w:endnote w:type="continuationSeparator" w:id="0">
    <w:p w14:paraId="76240C97" w14:textId="77777777" w:rsidR="0097359A" w:rsidRDefault="00973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41B14" w14:textId="77777777" w:rsidR="00360703" w:rsidRDefault="003607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4E55D" w14:textId="77777777" w:rsidR="00360703" w:rsidRDefault="003607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ED7F7" w14:textId="77777777" w:rsidR="00360703" w:rsidRDefault="003607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A7628E" w14:textId="77777777" w:rsidR="0097359A" w:rsidRDefault="0097359A">
      <w:r>
        <w:separator/>
      </w:r>
    </w:p>
  </w:footnote>
  <w:footnote w:type="continuationSeparator" w:id="0">
    <w:p w14:paraId="574D310E" w14:textId="77777777" w:rsidR="0097359A" w:rsidRDefault="009735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74F10" w14:textId="77777777" w:rsidR="00360703" w:rsidRDefault="003607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5D302" w14:textId="77777777" w:rsidR="00360703" w:rsidRDefault="003607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018C4"/>
    <w:multiLevelType w:val="hybridMultilevel"/>
    <w:tmpl w:val="98C4116A"/>
    <w:lvl w:ilvl="0" w:tplc="F6A22BB0">
      <w:start w:val="1"/>
      <w:numFmt w:val="lowerLetter"/>
      <w:lvlText w:val="%1)"/>
      <w:lvlJc w:val="left"/>
      <w:pPr>
        <w:tabs>
          <w:tab w:val="num" w:pos="1440"/>
        </w:tabs>
        <w:ind w:left="1440" w:hanging="360"/>
      </w:pPr>
      <w:rPr>
        <w:rFonts w:ascii="Times New Roman" w:hAnsi="Times New Roman"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F793D7A"/>
    <w:multiLevelType w:val="hybridMultilevel"/>
    <w:tmpl w:val="13F85028"/>
    <w:lvl w:ilvl="0" w:tplc="653E91AA">
      <w:start w:val="1"/>
      <w:numFmt w:val="lowerLetter"/>
      <w:lvlText w:val="%1)"/>
      <w:lvlJc w:val="left"/>
      <w:pPr>
        <w:ind w:left="6173" w:hanging="360"/>
      </w:pPr>
      <w:rPr>
        <w:b w:val="0"/>
        <w:strike w:val="0"/>
      </w:rPr>
    </w:lvl>
    <w:lvl w:ilvl="1" w:tplc="8C8A2080" w:tentative="1">
      <w:start w:val="1"/>
      <w:numFmt w:val="lowerLetter"/>
      <w:lvlText w:val="%2."/>
      <w:lvlJc w:val="left"/>
      <w:pPr>
        <w:ind w:left="6893" w:hanging="360"/>
      </w:pPr>
    </w:lvl>
    <w:lvl w:ilvl="2" w:tplc="13C84A14" w:tentative="1">
      <w:start w:val="1"/>
      <w:numFmt w:val="lowerRoman"/>
      <w:lvlText w:val="%3."/>
      <w:lvlJc w:val="right"/>
      <w:pPr>
        <w:ind w:left="7613" w:hanging="180"/>
      </w:pPr>
    </w:lvl>
    <w:lvl w:ilvl="3" w:tplc="69FC4FA4" w:tentative="1">
      <w:start w:val="1"/>
      <w:numFmt w:val="decimal"/>
      <w:lvlText w:val="%4."/>
      <w:lvlJc w:val="left"/>
      <w:pPr>
        <w:ind w:left="8333" w:hanging="360"/>
      </w:pPr>
    </w:lvl>
    <w:lvl w:ilvl="4" w:tplc="D1D8FCB8" w:tentative="1">
      <w:start w:val="1"/>
      <w:numFmt w:val="lowerLetter"/>
      <w:lvlText w:val="%5."/>
      <w:lvlJc w:val="left"/>
      <w:pPr>
        <w:ind w:left="9053" w:hanging="360"/>
      </w:pPr>
    </w:lvl>
    <w:lvl w:ilvl="5" w:tplc="C95C77F6" w:tentative="1">
      <w:start w:val="1"/>
      <w:numFmt w:val="lowerRoman"/>
      <w:lvlText w:val="%6."/>
      <w:lvlJc w:val="right"/>
      <w:pPr>
        <w:ind w:left="9773" w:hanging="180"/>
      </w:pPr>
    </w:lvl>
    <w:lvl w:ilvl="6" w:tplc="BE7AC0BE" w:tentative="1">
      <w:start w:val="1"/>
      <w:numFmt w:val="decimal"/>
      <w:lvlText w:val="%7."/>
      <w:lvlJc w:val="left"/>
      <w:pPr>
        <w:ind w:left="10493" w:hanging="360"/>
      </w:pPr>
    </w:lvl>
    <w:lvl w:ilvl="7" w:tplc="D1C6540A" w:tentative="1">
      <w:start w:val="1"/>
      <w:numFmt w:val="lowerLetter"/>
      <w:lvlText w:val="%8."/>
      <w:lvlJc w:val="left"/>
      <w:pPr>
        <w:ind w:left="11213" w:hanging="360"/>
      </w:pPr>
    </w:lvl>
    <w:lvl w:ilvl="8" w:tplc="7B2A5C24" w:tentative="1">
      <w:start w:val="1"/>
      <w:numFmt w:val="lowerRoman"/>
      <w:lvlText w:val="%9."/>
      <w:lvlJc w:val="right"/>
      <w:pPr>
        <w:ind w:left="11933" w:hanging="180"/>
      </w:pPr>
    </w:lvl>
  </w:abstractNum>
  <w:abstractNum w:abstractNumId="4"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8"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31106B03"/>
    <w:multiLevelType w:val="hybridMultilevel"/>
    <w:tmpl w:val="32F06FE4"/>
    <w:lvl w:ilvl="0" w:tplc="CE7277F4">
      <w:start w:val="1"/>
      <w:numFmt w:val="lowerLetter"/>
      <w:lvlText w:val="%1)"/>
      <w:lvlJc w:val="left"/>
      <w:pPr>
        <w:ind w:left="380" w:hanging="360"/>
      </w:pPr>
    </w:lvl>
    <w:lvl w:ilvl="1" w:tplc="4F62B1F2">
      <w:start w:val="1"/>
      <w:numFmt w:val="decimal"/>
      <w:lvlText w:val="%2."/>
      <w:lvlJc w:val="left"/>
      <w:pPr>
        <w:tabs>
          <w:tab w:val="num" w:pos="740"/>
        </w:tabs>
        <w:ind w:left="740" w:hanging="360"/>
      </w:pPr>
    </w:lvl>
    <w:lvl w:ilvl="2" w:tplc="1BACFCE0">
      <w:start w:val="1"/>
      <w:numFmt w:val="decimal"/>
      <w:lvlText w:val="%3."/>
      <w:lvlJc w:val="left"/>
      <w:pPr>
        <w:tabs>
          <w:tab w:val="num" w:pos="1460"/>
        </w:tabs>
        <w:ind w:left="1460" w:hanging="360"/>
      </w:pPr>
    </w:lvl>
    <w:lvl w:ilvl="3" w:tplc="BC7A2FCA">
      <w:start w:val="1"/>
      <w:numFmt w:val="decimal"/>
      <w:lvlText w:val="%4."/>
      <w:lvlJc w:val="left"/>
      <w:pPr>
        <w:tabs>
          <w:tab w:val="num" w:pos="2180"/>
        </w:tabs>
        <w:ind w:left="2180" w:hanging="360"/>
      </w:pPr>
    </w:lvl>
    <w:lvl w:ilvl="4" w:tplc="B172E812">
      <w:start w:val="1"/>
      <w:numFmt w:val="decimal"/>
      <w:lvlText w:val="%5."/>
      <w:lvlJc w:val="left"/>
      <w:pPr>
        <w:tabs>
          <w:tab w:val="num" w:pos="2900"/>
        </w:tabs>
        <w:ind w:left="2900" w:hanging="360"/>
      </w:pPr>
    </w:lvl>
    <w:lvl w:ilvl="5" w:tplc="ACDA9778">
      <w:start w:val="1"/>
      <w:numFmt w:val="decimal"/>
      <w:lvlText w:val="%6."/>
      <w:lvlJc w:val="left"/>
      <w:pPr>
        <w:tabs>
          <w:tab w:val="num" w:pos="3620"/>
        </w:tabs>
        <w:ind w:left="3620" w:hanging="360"/>
      </w:pPr>
    </w:lvl>
    <w:lvl w:ilvl="6" w:tplc="5F86F33E">
      <w:start w:val="1"/>
      <w:numFmt w:val="decimal"/>
      <w:lvlText w:val="%7."/>
      <w:lvlJc w:val="left"/>
      <w:pPr>
        <w:tabs>
          <w:tab w:val="num" w:pos="4340"/>
        </w:tabs>
        <w:ind w:left="4340" w:hanging="360"/>
      </w:pPr>
    </w:lvl>
    <w:lvl w:ilvl="7" w:tplc="58D4158E">
      <w:start w:val="1"/>
      <w:numFmt w:val="decimal"/>
      <w:lvlText w:val="%8."/>
      <w:lvlJc w:val="left"/>
      <w:pPr>
        <w:tabs>
          <w:tab w:val="num" w:pos="5060"/>
        </w:tabs>
        <w:ind w:left="5060" w:hanging="360"/>
      </w:pPr>
    </w:lvl>
    <w:lvl w:ilvl="8" w:tplc="3AA07F5E">
      <w:start w:val="1"/>
      <w:numFmt w:val="decimal"/>
      <w:lvlText w:val="%9."/>
      <w:lvlJc w:val="left"/>
      <w:pPr>
        <w:tabs>
          <w:tab w:val="num" w:pos="5780"/>
        </w:tabs>
        <w:ind w:left="5780" w:hanging="360"/>
      </w:pPr>
    </w:lvl>
  </w:abstractNum>
  <w:abstractNum w:abstractNumId="10"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4" w15:restartNumberingAfterBreak="0">
    <w:nsid w:val="52037D38"/>
    <w:multiLevelType w:val="hybridMultilevel"/>
    <w:tmpl w:val="BC64D39E"/>
    <w:lvl w:ilvl="0" w:tplc="98604B08">
      <w:start w:val="1"/>
      <w:numFmt w:val="decimal"/>
      <w:lvlText w:val="%1."/>
      <w:lvlJc w:val="left"/>
      <w:pPr>
        <w:tabs>
          <w:tab w:val="num" w:pos="360"/>
        </w:tabs>
        <w:ind w:left="360" w:hanging="360"/>
      </w:pPr>
    </w:lvl>
    <w:lvl w:ilvl="1" w:tplc="F6A22BB0">
      <w:start w:val="1"/>
      <w:numFmt w:val="lowerLetter"/>
      <w:lvlText w:val="%2)"/>
      <w:lvlJc w:val="left"/>
      <w:pPr>
        <w:tabs>
          <w:tab w:val="num" w:pos="1440"/>
        </w:tabs>
        <w:ind w:left="1440" w:hanging="360"/>
      </w:pPr>
      <w:rPr>
        <w:rFonts w:ascii="Times New Roman" w:hAnsi="Times New Roman"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8"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7"/>
  </w:num>
  <w:num w:numId="3">
    <w:abstractNumId w:val="16"/>
  </w:num>
  <w:num w:numId="4">
    <w:abstractNumId w:val="6"/>
  </w:num>
  <w:num w:numId="5">
    <w:abstractNumId w:val="17"/>
  </w:num>
  <w:num w:numId="6">
    <w:abstractNumId w:val="5"/>
  </w:num>
  <w:num w:numId="7">
    <w:abstractNumId w:val="10"/>
  </w:num>
  <w:num w:numId="8">
    <w:abstractNumId w:val="8"/>
  </w:num>
  <w:num w:numId="9">
    <w:abstractNumId w:val="18"/>
  </w:num>
  <w:num w:numId="10">
    <w:abstractNumId w:val="15"/>
  </w:num>
  <w:num w:numId="11">
    <w:abstractNumId w:val="4"/>
  </w:num>
  <w:num w:numId="12">
    <w:abstractNumId w:val="13"/>
  </w:num>
  <w:num w:numId="13">
    <w:abstractNumId w:val="12"/>
  </w:num>
  <w:num w:numId="14">
    <w:abstractNumId w:val="11"/>
  </w:num>
  <w:num w:numId="15">
    <w:abstractNumId w:val="1"/>
  </w:num>
  <w:num w:numId="16">
    <w:abstractNumId w:val="9"/>
  </w:num>
  <w:num w:numId="17">
    <w:abstractNumId w:val="3"/>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BE"/>
    <w:rsid w:val="00022807"/>
    <w:rsid w:val="00035DC3"/>
    <w:rsid w:val="00075416"/>
    <w:rsid w:val="000928E7"/>
    <w:rsid w:val="000D53C1"/>
    <w:rsid w:val="000E4742"/>
    <w:rsid w:val="00131745"/>
    <w:rsid w:val="00141DC4"/>
    <w:rsid w:val="001572F9"/>
    <w:rsid w:val="00157A07"/>
    <w:rsid w:val="00191A78"/>
    <w:rsid w:val="001B6AA0"/>
    <w:rsid w:val="001D38D1"/>
    <w:rsid w:val="001F0D85"/>
    <w:rsid w:val="0028447B"/>
    <w:rsid w:val="002A2D3C"/>
    <w:rsid w:val="002D6AA4"/>
    <w:rsid w:val="00300E20"/>
    <w:rsid w:val="00313CDC"/>
    <w:rsid w:val="00330C65"/>
    <w:rsid w:val="00360703"/>
    <w:rsid w:val="003732DA"/>
    <w:rsid w:val="003779EB"/>
    <w:rsid w:val="00390BAD"/>
    <w:rsid w:val="0039328E"/>
    <w:rsid w:val="003933A8"/>
    <w:rsid w:val="003A3E63"/>
    <w:rsid w:val="003F0B0A"/>
    <w:rsid w:val="003F79A0"/>
    <w:rsid w:val="00406255"/>
    <w:rsid w:val="00433409"/>
    <w:rsid w:val="00442816"/>
    <w:rsid w:val="004A2909"/>
    <w:rsid w:val="004B6C56"/>
    <w:rsid w:val="004C0D63"/>
    <w:rsid w:val="004D5F51"/>
    <w:rsid w:val="004E4888"/>
    <w:rsid w:val="005739BE"/>
    <w:rsid w:val="00592A16"/>
    <w:rsid w:val="005E68D9"/>
    <w:rsid w:val="005F34BD"/>
    <w:rsid w:val="00662A3D"/>
    <w:rsid w:val="006852D4"/>
    <w:rsid w:val="006F1DB8"/>
    <w:rsid w:val="007A3126"/>
    <w:rsid w:val="007B42E4"/>
    <w:rsid w:val="007C176F"/>
    <w:rsid w:val="007C5DB1"/>
    <w:rsid w:val="0080484A"/>
    <w:rsid w:val="00807FA4"/>
    <w:rsid w:val="00863B42"/>
    <w:rsid w:val="00896264"/>
    <w:rsid w:val="008972F9"/>
    <w:rsid w:val="008A7845"/>
    <w:rsid w:val="00941B39"/>
    <w:rsid w:val="0097359A"/>
    <w:rsid w:val="009F0448"/>
    <w:rsid w:val="00A157AF"/>
    <w:rsid w:val="00A22CBB"/>
    <w:rsid w:val="00A34121"/>
    <w:rsid w:val="00A6198D"/>
    <w:rsid w:val="00A65DF9"/>
    <w:rsid w:val="00AA004D"/>
    <w:rsid w:val="00AC41FC"/>
    <w:rsid w:val="00B0492C"/>
    <w:rsid w:val="00B134B6"/>
    <w:rsid w:val="00BA5A3E"/>
    <w:rsid w:val="00BE4C00"/>
    <w:rsid w:val="00C03370"/>
    <w:rsid w:val="00C4202F"/>
    <w:rsid w:val="00C64506"/>
    <w:rsid w:val="00C77716"/>
    <w:rsid w:val="00C87883"/>
    <w:rsid w:val="00C91B0F"/>
    <w:rsid w:val="00CB0588"/>
    <w:rsid w:val="00CC100A"/>
    <w:rsid w:val="00D0634F"/>
    <w:rsid w:val="00D12080"/>
    <w:rsid w:val="00D405CB"/>
    <w:rsid w:val="00DA4775"/>
    <w:rsid w:val="00DA5695"/>
    <w:rsid w:val="00DE0E59"/>
    <w:rsid w:val="00DF487E"/>
    <w:rsid w:val="00DF543C"/>
    <w:rsid w:val="00E321E1"/>
    <w:rsid w:val="00E661FE"/>
    <w:rsid w:val="00E92FA8"/>
    <w:rsid w:val="00EE3E5C"/>
    <w:rsid w:val="00F24BBC"/>
    <w:rsid w:val="00F41316"/>
    <w:rsid w:val="00F755FB"/>
    <w:rsid w:val="00FB14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FED29"/>
  <w15:docId w15:val="{2FBF445C-9D63-4179-9AF9-FCAC122AD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F01672D5.dotm</Template>
  <TotalTime>1</TotalTime>
  <Pages>2</Pages>
  <Words>628</Words>
  <Characters>3556</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dc:title>
  <dc:creator>Commonwealth of Australia</dc:creator>
  <cp:lastModifiedBy>Bec Durack</cp:lastModifiedBy>
  <cp:revision>2</cp:revision>
  <dcterms:created xsi:type="dcterms:W3CDTF">2018-11-20T03:27:00Z</dcterms:created>
  <dcterms:modified xsi:type="dcterms:W3CDTF">2018-11-20T03:27:00Z</dcterms:modified>
</cp:coreProperties>
</file>