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EC6C2" w14:textId="04BB35AB" w:rsidR="001C1D88" w:rsidRPr="00271AD0" w:rsidRDefault="008A5D4B" w:rsidP="001C1D88">
      <w:pPr>
        <w:spacing w:before="200"/>
        <w:jc w:val="right"/>
        <w:rPr>
          <w:sz w:val="20"/>
          <w:szCs w:val="20"/>
        </w:rPr>
      </w:pPr>
      <w:bookmarkStart w:id="0" w:name="_GoBack"/>
      <w:bookmarkEnd w:id="0"/>
      <w:r w:rsidRPr="00271AD0">
        <w:rPr>
          <w:sz w:val="20"/>
          <w:szCs w:val="20"/>
        </w:rPr>
        <w:t>MS18-001044</w:t>
      </w:r>
    </w:p>
    <w:p w14:paraId="3B1BD286" w14:textId="77777777" w:rsidR="001C1D88" w:rsidRDefault="00041980" w:rsidP="001C1D88">
      <w:r>
        <w:t xml:space="preserve">The </w:t>
      </w:r>
      <w:r w:rsidRPr="00041980">
        <w:t>H</w:t>
      </w:r>
      <w:r>
        <w:t>on</w:t>
      </w:r>
      <w:r w:rsidRPr="00041980">
        <w:t xml:space="preserve"> Dave K</w:t>
      </w:r>
      <w:r>
        <w:t>elly</w:t>
      </w:r>
      <w:r w:rsidRPr="00041980">
        <w:t xml:space="preserve"> MLA</w:t>
      </w:r>
    </w:p>
    <w:p w14:paraId="3568348C" w14:textId="77777777" w:rsidR="001C1D88" w:rsidRDefault="008776EC" w:rsidP="001C1D88">
      <w:r>
        <w:t>Minister for</w:t>
      </w:r>
      <w:r w:rsidRPr="008776EC">
        <w:t xml:space="preserve"> Fisheries</w:t>
      </w:r>
    </w:p>
    <w:p w14:paraId="79B4BED7" w14:textId="77777777" w:rsidR="001C1D88" w:rsidRDefault="008776EC" w:rsidP="001C1D88">
      <w:r w:rsidRPr="008776EC">
        <w:t>8th Floor, Dumas House</w:t>
      </w:r>
    </w:p>
    <w:p w14:paraId="260A3219" w14:textId="77777777" w:rsidR="008776EC" w:rsidRDefault="008776EC" w:rsidP="001C1D88">
      <w:r w:rsidRPr="008776EC">
        <w:t xml:space="preserve">2 Havelock Street </w:t>
      </w:r>
    </w:p>
    <w:p w14:paraId="7030A373" w14:textId="77777777" w:rsidR="001C1D88" w:rsidRDefault="008776EC" w:rsidP="001C1D88">
      <w:r w:rsidRPr="008776EC">
        <w:t xml:space="preserve">WEST </w:t>
      </w:r>
      <w:proofErr w:type="gramStart"/>
      <w:r w:rsidRPr="008776EC">
        <w:t xml:space="preserve">PERTH </w:t>
      </w:r>
      <w:r>
        <w:t xml:space="preserve"> </w:t>
      </w:r>
      <w:r w:rsidRPr="008776EC">
        <w:t>WA</w:t>
      </w:r>
      <w:proofErr w:type="gramEnd"/>
      <w:r w:rsidRPr="008776EC">
        <w:t xml:space="preserve"> </w:t>
      </w:r>
      <w:r>
        <w:t xml:space="preserve"> </w:t>
      </w:r>
      <w:r w:rsidRPr="008776EC">
        <w:t>600</w:t>
      </w:r>
      <w:r>
        <w:t>5</w:t>
      </w:r>
    </w:p>
    <w:p w14:paraId="14FB5FBA" w14:textId="77777777" w:rsidR="001C1D88" w:rsidRDefault="001C1D88" w:rsidP="001C1D88"/>
    <w:p w14:paraId="0A941A3F" w14:textId="77777777" w:rsidR="001C1D88" w:rsidRPr="00B41BA3" w:rsidRDefault="001C1D88" w:rsidP="001C1D88"/>
    <w:p w14:paraId="6EBF94C9" w14:textId="77777777" w:rsidR="008D6A5D" w:rsidRPr="00B41BA3" w:rsidRDefault="008D6A5D" w:rsidP="008D6A5D">
      <w:r w:rsidRPr="00B41BA3">
        <w:t xml:space="preserve">Dear </w:t>
      </w:r>
      <w:r w:rsidR="00041980">
        <w:t>Minister</w:t>
      </w:r>
    </w:p>
    <w:p w14:paraId="46BBE22C" w14:textId="77777777" w:rsidR="008D6A5D" w:rsidRDefault="008D6A5D" w:rsidP="008D6A5D"/>
    <w:p w14:paraId="18CDB11F" w14:textId="5306EF97" w:rsidR="00395762" w:rsidRDefault="00395762" w:rsidP="00041980">
      <w:pPr>
        <w:rPr>
          <w:color w:val="000000" w:themeColor="text1"/>
        </w:rPr>
      </w:pPr>
      <w:r w:rsidRPr="00041980">
        <w:rPr>
          <w:color w:val="000000" w:themeColor="text1"/>
        </w:rPr>
        <w:t xml:space="preserve">In </w:t>
      </w:r>
      <w:r>
        <w:rPr>
          <w:color w:val="000000" w:themeColor="text1"/>
        </w:rPr>
        <w:t>March 2018</w:t>
      </w:r>
      <w:r w:rsidRPr="00041980">
        <w:rPr>
          <w:color w:val="000000" w:themeColor="text1"/>
        </w:rPr>
        <w:t xml:space="preserve">, the Western Australian </w:t>
      </w:r>
      <w:r w:rsidRPr="008776EC">
        <w:rPr>
          <w:color w:val="000000" w:themeColor="text1"/>
        </w:rPr>
        <w:t>Department of Primary Industries and Regional Development</w:t>
      </w:r>
      <w:r w:rsidRPr="00041980">
        <w:rPr>
          <w:color w:val="000000" w:themeColor="text1"/>
        </w:rPr>
        <w:t xml:space="preserve"> </w:t>
      </w:r>
      <w:r>
        <w:rPr>
          <w:color w:val="000000" w:themeColor="text1"/>
        </w:rPr>
        <w:t xml:space="preserve">(DPIRD) </w:t>
      </w:r>
      <w:r w:rsidRPr="00041980">
        <w:rPr>
          <w:color w:val="000000" w:themeColor="text1"/>
        </w:rPr>
        <w:t xml:space="preserve">provided an application to the Department of the Environment </w:t>
      </w:r>
      <w:r>
        <w:rPr>
          <w:color w:val="000000" w:themeColor="text1"/>
        </w:rPr>
        <w:t xml:space="preserve">and Energy </w:t>
      </w:r>
      <w:r w:rsidRPr="00041980">
        <w:rPr>
          <w:color w:val="000000" w:themeColor="text1"/>
        </w:rPr>
        <w:t xml:space="preserve">seeking continued export approval for the Pilbara Fish Trawl </w:t>
      </w:r>
      <w:r>
        <w:rPr>
          <w:color w:val="000000" w:themeColor="text1"/>
        </w:rPr>
        <w:t>(</w:t>
      </w:r>
      <w:r w:rsidRPr="00041980">
        <w:rPr>
          <w:color w:val="000000" w:themeColor="text1"/>
        </w:rPr>
        <w:t>Interim</w:t>
      </w:r>
      <w:r>
        <w:rPr>
          <w:color w:val="000000" w:themeColor="text1"/>
        </w:rPr>
        <w:t>)</w:t>
      </w:r>
      <w:r w:rsidRPr="00041980">
        <w:rPr>
          <w:color w:val="000000" w:themeColor="text1"/>
        </w:rPr>
        <w:t xml:space="preserve"> Managed Fishery</w:t>
      </w:r>
      <w:r>
        <w:rPr>
          <w:color w:val="000000" w:themeColor="text1"/>
        </w:rPr>
        <w:t xml:space="preserve">. </w:t>
      </w:r>
      <w:r w:rsidR="00041980" w:rsidRPr="00041980">
        <w:rPr>
          <w:color w:val="000000" w:themeColor="text1"/>
        </w:rPr>
        <w:t xml:space="preserve">The application has been assessed for the purposes of the protected species provisions of </w:t>
      </w:r>
      <w:r w:rsidR="00712E93">
        <w:rPr>
          <w:color w:val="000000" w:themeColor="text1"/>
        </w:rPr>
        <w:t>Part</w:t>
      </w:r>
      <w:r w:rsidR="00712E93" w:rsidRPr="0019641C">
        <w:t> </w:t>
      </w:r>
      <w:r w:rsidR="00041980" w:rsidRPr="00041980">
        <w:rPr>
          <w:color w:val="000000" w:themeColor="text1"/>
        </w:rPr>
        <w:t>13 and the wi</w:t>
      </w:r>
      <w:r w:rsidR="00712E93">
        <w:rPr>
          <w:color w:val="000000" w:themeColor="text1"/>
        </w:rPr>
        <w:t>ldlife trade provisions of Part</w:t>
      </w:r>
      <w:r w:rsidR="00712E93" w:rsidRPr="0019641C">
        <w:t> </w:t>
      </w:r>
      <w:r w:rsidR="00041980" w:rsidRPr="00041980">
        <w:rPr>
          <w:color w:val="000000" w:themeColor="text1"/>
        </w:rPr>
        <w:t xml:space="preserve">13A of the </w:t>
      </w:r>
      <w:r>
        <w:rPr>
          <w:color w:val="000000" w:themeColor="text1"/>
        </w:rPr>
        <w:t>E</w:t>
      </w:r>
      <w:r w:rsidRPr="0019641C">
        <w:rPr>
          <w:i/>
        </w:rPr>
        <w:t>nvironment Protection and Bio</w:t>
      </w:r>
      <w:r>
        <w:rPr>
          <w:i/>
        </w:rPr>
        <w:t>diversity Conservation Act 1999</w:t>
      </w:r>
      <w:r>
        <w:t xml:space="preserve"> (</w:t>
      </w:r>
      <w:r w:rsidR="00041980" w:rsidRPr="00041980">
        <w:rPr>
          <w:color w:val="000000" w:themeColor="text1"/>
        </w:rPr>
        <w:t>EPBC Act</w:t>
      </w:r>
      <w:r>
        <w:rPr>
          <w:color w:val="000000" w:themeColor="text1"/>
        </w:rPr>
        <w:t>)</w:t>
      </w:r>
      <w:r w:rsidR="00041980" w:rsidRPr="00041980">
        <w:rPr>
          <w:color w:val="000000" w:themeColor="text1"/>
        </w:rPr>
        <w:t xml:space="preserve">. </w:t>
      </w:r>
    </w:p>
    <w:p w14:paraId="6BB996F7" w14:textId="77777777" w:rsidR="00395762" w:rsidRDefault="00395762" w:rsidP="00041980">
      <w:pPr>
        <w:rPr>
          <w:color w:val="000000" w:themeColor="text1"/>
        </w:rPr>
      </w:pPr>
    </w:p>
    <w:p w14:paraId="20BA0D66" w14:textId="41EE98C1" w:rsidR="00395762" w:rsidRDefault="00395762" w:rsidP="00395762">
      <w:r w:rsidRPr="0019641C">
        <w:t xml:space="preserve">The Department of the Environment and Energy has assessed the application and considered </w:t>
      </w:r>
      <w:r>
        <w:rPr>
          <w:color w:val="000000" w:themeColor="text1"/>
        </w:rPr>
        <w:t>DPIRD</w:t>
      </w:r>
      <w:r w:rsidRPr="0019641C">
        <w:rPr>
          <w:bCs/>
        </w:rPr>
        <w:t>’s</w:t>
      </w:r>
      <w:r w:rsidRPr="0019641C">
        <w:t xml:space="preserve"> responses to the conditions and recommend</w:t>
      </w:r>
      <w:r>
        <w:t>ations made in the previous 2014</w:t>
      </w:r>
      <w:r w:rsidRPr="0019641C">
        <w:t> assessment. The assessment report will be available on the Department</w:t>
      </w:r>
      <w:r>
        <w:t>’s</w:t>
      </w:r>
      <w:r w:rsidRPr="0019641C">
        <w:t xml:space="preserve"> website at: </w:t>
      </w:r>
      <w:r w:rsidRPr="00FA0314">
        <w:t>http://www.environment.gov.au/marine/fisheries/wa/pilbara-trawl</w:t>
      </w:r>
      <w:r w:rsidRPr="00D87067">
        <w:t>.</w:t>
      </w:r>
    </w:p>
    <w:p w14:paraId="124A17E2" w14:textId="77777777" w:rsidR="00395762" w:rsidRDefault="00395762" w:rsidP="00041980">
      <w:pPr>
        <w:rPr>
          <w:color w:val="000000" w:themeColor="text1"/>
        </w:rPr>
      </w:pPr>
    </w:p>
    <w:p w14:paraId="7E823252" w14:textId="20DB9B6C" w:rsidR="00712E93" w:rsidRDefault="00395762" w:rsidP="00712E93">
      <w:pPr>
        <w:widowControl w:val="0"/>
      </w:pPr>
      <w:r w:rsidRPr="0019641C">
        <w:t xml:space="preserve">I consider that the management arrangements for the </w:t>
      </w:r>
      <w:r w:rsidRPr="0019641C">
        <w:rPr>
          <w:lang w:val="en-US"/>
        </w:rPr>
        <w:t>fishery</w:t>
      </w:r>
      <w:r w:rsidRPr="0019641C">
        <w:t xml:space="preserve"> meet most of the Australian Government </w:t>
      </w:r>
      <w:r w:rsidRPr="0019641C">
        <w:rPr>
          <w:i/>
        </w:rPr>
        <w:t>Guidelines for the Ecologically Sustainable Management of Fisheries - 2</w:t>
      </w:r>
      <w:r w:rsidRPr="0019641C">
        <w:rPr>
          <w:i/>
          <w:vertAlign w:val="superscript"/>
        </w:rPr>
        <w:t>nd</w:t>
      </w:r>
      <w:r w:rsidRPr="0019641C">
        <w:rPr>
          <w:i/>
        </w:rPr>
        <w:t xml:space="preserve"> Edition</w:t>
      </w:r>
      <w:r w:rsidRPr="0019641C">
        <w:t xml:space="preserve">. </w:t>
      </w:r>
      <w:r w:rsidR="00712E93" w:rsidRPr="00041980">
        <w:rPr>
          <w:color w:val="000000" w:themeColor="text1"/>
        </w:rPr>
        <w:t xml:space="preserve">I am satisfied that it is unlikely that fishing operations conducted in accordance with the management regime for the </w:t>
      </w:r>
      <w:r w:rsidR="00712E93">
        <w:rPr>
          <w:color w:val="000000" w:themeColor="text1"/>
        </w:rPr>
        <w:t>f</w:t>
      </w:r>
      <w:r w:rsidR="00712E93" w:rsidRPr="00041980">
        <w:rPr>
          <w:color w:val="000000" w:themeColor="text1"/>
        </w:rPr>
        <w:t>ishery will adversely affect the survival or recovery of protected species</w:t>
      </w:r>
      <w:r w:rsidR="00712E93">
        <w:rPr>
          <w:color w:val="000000" w:themeColor="text1"/>
        </w:rPr>
        <w:t xml:space="preserve">. </w:t>
      </w:r>
      <w:r w:rsidR="00712E93" w:rsidRPr="00041980">
        <w:rPr>
          <w:color w:val="000000" w:themeColor="text1"/>
        </w:rPr>
        <w:t>I also consider that under the current management regime, operators are required to take all reasonable steps to avoid the killing or injuri</w:t>
      </w:r>
      <w:r w:rsidR="00712E93">
        <w:rPr>
          <w:color w:val="000000" w:themeColor="text1"/>
        </w:rPr>
        <w:t>ng of species listed under Part</w:t>
      </w:r>
      <w:r w:rsidR="00712E93" w:rsidRPr="0019641C">
        <w:t> </w:t>
      </w:r>
      <w:r w:rsidR="00712E93" w:rsidRPr="00041980">
        <w:rPr>
          <w:color w:val="000000" w:themeColor="text1"/>
        </w:rPr>
        <w:t>13 of the EPBC Act</w:t>
      </w:r>
      <w:r w:rsidR="008A5D4B">
        <w:rPr>
          <w:color w:val="000000" w:themeColor="text1"/>
        </w:rPr>
        <w:t xml:space="preserve">, subject to the conditions outlined at </w:t>
      </w:r>
      <w:r w:rsidR="008A5D4B" w:rsidRPr="008A5D4B">
        <w:rPr>
          <w:b/>
          <w:color w:val="000000" w:themeColor="text1"/>
          <w:u w:val="single"/>
        </w:rPr>
        <w:t>Attachment 1</w:t>
      </w:r>
      <w:r w:rsidR="00712E93">
        <w:rPr>
          <w:color w:val="000000" w:themeColor="text1"/>
        </w:rPr>
        <w:t>.</w:t>
      </w:r>
      <w:r w:rsidR="00712E93" w:rsidRPr="0019641C">
        <w:t xml:space="preserve"> </w:t>
      </w:r>
      <w:r w:rsidRPr="0019641C">
        <w:t>Taking into account these arrangements, I am satisfied that the operation of the fishery remains consistent with the objects of th</w:t>
      </w:r>
      <w:r>
        <w:t>e EPBC Act and</w:t>
      </w:r>
      <w:r w:rsidRPr="0019641C">
        <w:t xml:space="preserve"> I have declare</w:t>
      </w:r>
      <w:r>
        <w:t>d</w:t>
      </w:r>
      <w:r w:rsidRPr="0019641C">
        <w:t xml:space="preserve"> the </w:t>
      </w:r>
      <w:r w:rsidRPr="0019641C">
        <w:rPr>
          <w:lang w:val="en-US"/>
        </w:rPr>
        <w:t>fishery</w:t>
      </w:r>
      <w:r w:rsidRPr="0019641C">
        <w:t xml:space="preserve"> </w:t>
      </w:r>
      <w:r w:rsidRPr="0019641C">
        <w:rPr>
          <w:lang w:val="en-US"/>
        </w:rPr>
        <w:t xml:space="preserve">an </w:t>
      </w:r>
      <w:r w:rsidRPr="0019641C">
        <w:t xml:space="preserve">approved wildlife trade operation until </w:t>
      </w:r>
      <w:r w:rsidR="00712E93">
        <w:t>2</w:t>
      </w:r>
      <w:r w:rsidR="00FA0314">
        <w:t>0</w:t>
      </w:r>
      <w:r w:rsidRPr="0019641C">
        <w:t> </w:t>
      </w:r>
      <w:r w:rsidR="00712E93">
        <w:t>August</w:t>
      </w:r>
      <w:r w:rsidRPr="0019641C">
        <w:t> 20</w:t>
      </w:r>
      <w:r w:rsidR="00712E93">
        <w:t>21</w:t>
      </w:r>
      <w:r w:rsidR="008A5D4B">
        <w:t xml:space="preserve"> subject to the conditions </w:t>
      </w:r>
      <w:r w:rsidR="00CA54C2">
        <w:t xml:space="preserve">specified at </w:t>
      </w:r>
      <w:r w:rsidR="008A5D4B" w:rsidRPr="008A5D4B">
        <w:rPr>
          <w:b/>
          <w:u w:val="single"/>
        </w:rPr>
        <w:t xml:space="preserve">Attachment </w:t>
      </w:r>
      <w:r w:rsidR="008A5D4B">
        <w:rPr>
          <w:b/>
          <w:u w:val="single"/>
        </w:rPr>
        <w:t>2</w:t>
      </w:r>
      <w:r w:rsidRPr="0019641C">
        <w:t>.</w:t>
      </w:r>
      <w:r w:rsidR="00712E93" w:rsidRPr="0019641C">
        <w:t xml:space="preserve"> </w:t>
      </w:r>
    </w:p>
    <w:p w14:paraId="22707A36" w14:textId="77777777" w:rsidR="00395762" w:rsidRDefault="00395762" w:rsidP="00041980">
      <w:pPr>
        <w:rPr>
          <w:color w:val="000000" w:themeColor="text1"/>
        </w:rPr>
      </w:pPr>
    </w:p>
    <w:p w14:paraId="04B30276" w14:textId="22A73E07" w:rsidR="00712E93" w:rsidRDefault="00712E93" w:rsidP="00041980">
      <w:pPr>
        <w:rPr>
          <w:color w:val="000000" w:themeColor="text1"/>
        </w:rPr>
      </w:pPr>
      <w:r w:rsidRPr="0019641C">
        <w:rPr>
          <w:lang w:eastAsia="zh-CN" w:bidi="th-TH"/>
        </w:rPr>
        <w:t xml:space="preserve">Officers from </w:t>
      </w:r>
      <w:r>
        <w:rPr>
          <w:color w:val="000000" w:themeColor="text1"/>
        </w:rPr>
        <w:t>DPIRD</w:t>
      </w:r>
      <w:r w:rsidRPr="0019641C">
        <w:rPr>
          <w:lang w:eastAsia="zh-CN" w:bidi="th-TH"/>
        </w:rPr>
        <w:t xml:space="preserve"> and the Department have discussed key areas requiring further attention. While there are some environmental risks associated with this fishery, I believe that </w:t>
      </w:r>
      <w:r>
        <w:rPr>
          <w:color w:val="000000" w:themeColor="text1"/>
        </w:rPr>
        <w:t>DPIRD</w:t>
      </w:r>
      <w:r w:rsidRPr="0019641C">
        <w:rPr>
          <w:lang w:eastAsia="zh-CN" w:bidi="th-TH"/>
        </w:rPr>
        <w:t xml:space="preserve"> is committed to addressing these issues.</w:t>
      </w:r>
    </w:p>
    <w:p w14:paraId="00C95AE2" w14:textId="77777777" w:rsidR="00041980" w:rsidRDefault="00041980" w:rsidP="008D6A5D"/>
    <w:p w14:paraId="47B03A49" w14:textId="77777777" w:rsidR="008D6A5D" w:rsidRPr="00315137" w:rsidRDefault="008D6A5D" w:rsidP="008D6A5D">
      <w:r w:rsidRPr="00315137">
        <w:t>Yours sincerely</w:t>
      </w:r>
    </w:p>
    <w:p w14:paraId="4EB8E679" w14:textId="77777777" w:rsidR="008D6A5D" w:rsidRPr="00315137" w:rsidRDefault="008D6A5D" w:rsidP="008D6A5D"/>
    <w:p w14:paraId="266EA11A" w14:textId="77777777" w:rsidR="008D6A5D" w:rsidRDefault="008D6A5D" w:rsidP="008D6A5D"/>
    <w:p w14:paraId="17EE55D9" w14:textId="77777777" w:rsidR="00271AD0" w:rsidRPr="00315137" w:rsidRDefault="00271AD0" w:rsidP="008D6A5D"/>
    <w:p w14:paraId="6118FE0A" w14:textId="77777777" w:rsidR="008D6A5D" w:rsidRPr="00315137" w:rsidRDefault="008D6A5D" w:rsidP="008D6A5D"/>
    <w:p w14:paraId="16D6BBA6" w14:textId="77777777" w:rsidR="008D6A5D" w:rsidRDefault="000242C5" w:rsidP="008D6A5D">
      <w:r>
        <w:t>MELISSA PRICE</w:t>
      </w:r>
    </w:p>
    <w:p w14:paraId="46E98601" w14:textId="77777777" w:rsidR="008D6A5D" w:rsidRDefault="008D6A5D" w:rsidP="008D6A5D"/>
    <w:p w14:paraId="5F928239" w14:textId="7D8C2DDB" w:rsidR="00B01771" w:rsidRDefault="008D6A5D">
      <w:proofErr w:type="spellStart"/>
      <w:r>
        <w:t>Enc</w:t>
      </w:r>
      <w:proofErr w:type="spellEnd"/>
      <w:r>
        <w:t xml:space="preserve"> </w:t>
      </w:r>
      <w:r w:rsidRPr="003F3C54">
        <w:t xml:space="preserve"> </w:t>
      </w:r>
      <w:r w:rsidR="00B01771">
        <w:br w:type="page"/>
      </w:r>
    </w:p>
    <w:p w14:paraId="129AB8D9" w14:textId="2218133A" w:rsidR="00B01771" w:rsidRDefault="00B01771" w:rsidP="00081AE3">
      <w:pPr>
        <w:jc w:val="right"/>
        <w:rPr>
          <w:rFonts w:cs="Arial"/>
          <w:b/>
          <w:bCs/>
        </w:rPr>
      </w:pPr>
      <w:r>
        <w:rPr>
          <w:rFonts w:cs="Arial"/>
          <w:b/>
          <w:bCs/>
        </w:rPr>
        <w:lastRenderedPageBreak/>
        <w:t>ATTACHMENT 1</w:t>
      </w:r>
    </w:p>
    <w:p w14:paraId="10A65EA8" w14:textId="77777777" w:rsidR="00A16177" w:rsidRDefault="00A16177" w:rsidP="00B01771">
      <w:pPr>
        <w:jc w:val="center"/>
        <w:rPr>
          <w:b/>
        </w:rPr>
      </w:pPr>
    </w:p>
    <w:p w14:paraId="54B22523" w14:textId="02601ACE" w:rsidR="006B14DB" w:rsidRDefault="00B01771" w:rsidP="00B01771">
      <w:pPr>
        <w:jc w:val="center"/>
        <w:rPr>
          <w:b/>
        </w:rPr>
      </w:pPr>
      <w:r w:rsidRPr="00B01771">
        <w:rPr>
          <w:b/>
        </w:rPr>
        <w:t xml:space="preserve">Conditions on the </w:t>
      </w:r>
      <w:r w:rsidR="005216DB">
        <w:rPr>
          <w:b/>
        </w:rPr>
        <w:t xml:space="preserve">accreditation of the management regime for the Western Australian Pilbara Fish Trawl </w:t>
      </w:r>
      <w:r w:rsidR="00AE0F24">
        <w:rPr>
          <w:b/>
        </w:rPr>
        <w:t>(</w:t>
      </w:r>
      <w:r w:rsidR="00874C0C">
        <w:rPr>
          <w:b/>
        </w:rPr>
        <w:t>Interim</w:t>
      </w:r>
      <w:r w:rsidR="00AE0F24">
        <w:rPr>
          <w:b/>
        </w:rPr>
        <w:t>)</w:t>
      </w:r>
      <w:r w:rsidR="00874C0C">
        <w:rPr>
          <w:b/>
        </w:rPr>
        <w:t xml:space="preserve"> </w:t>
      </w:r>
      <w:r w:rsidR="005216DB">
        <w:rPr>
          <w:b/>
        </w:rPr>
        <w:t xml:space="preserve">Managed Fishery </w:t>
      </w:r>
      <w:r w:rsidR="005216DB" w:rsidRPr="00AE0F24">
        <w:rPr>
          <w:b/>
        </w:rPr>
        <w:t>under Part 13</w:t>
      </w:r>
      <w:r w:rsidR="005216DB">
        <w:rPr>
          <w:b/>
        </w:rPr>
        <w:t xml:space="preserve"> of the </w:t>
      </w:r>
      <w:r w:rsidR="005216DB" w:rsidRPr="005216DB">
        <w:rPr>
          <w:b/>
          <w:i/>
        </w:rPr>
        <w:t>Environment Protection and Biodiversity Conservation Act 1999</w:t>
      </w:r>
      <w:r w:rsidRPr="00B01771">
        <w:rPr>
          <w:b/>
        </w:rPr>
        <w:t xml:space="preserve"> </w:t>
      </w:r>
      <w:r w:rsidR="005216DB">
        <w:rPr>
          <w:b/>
        </w:rPr>
        <w:t xml:space="preserve">(EPBC Act) </w:t>
      </w:r>
      <w:r w:rsidRPr="00B01771">
        <w:rPr>
          <w:b/>
        </w:rPr>
        <w:t xml:space="preserve">– </w:t>
      </w:r>
      <w:r>
        <w:rPr>
          <w:b/>
        </w:rPr>
        <w:t>August</w:t>
      </w:r>
      <w:r w:rsidRPr="00B01771">
        <w:rPr>
          <w:b/>
        </w:rPr>
        <w:t xml:space="preserve"> 2018</w:t>
      </w:r>
    </w:p>
    <w:p w14:paraId="5147946B" w14:textId="77777777" w:rsidR="00B01771" w:rsidRDefault="00B01771" w:rsidP="00B01771">
      <w:pPr>
        <w:jc w:val="center"/>
        <w:rPr>
          <w:b/>
        </w:rPr>
      </w:pPr>
    </w:p>
    <w:p w14:paraId="4215AB81" w14:textId="77777777" w:rsidR="00B01771" w:rsidRDefault="00B01771" w:rsidP="00B01771">
      <w:pPr>
        <w:jc w:val="center"/>
        <w:rPr>
          <w:b/>
        </w:rPr>
      </w:pPr>
    </w:p>
    <w:p w14:paraId="58D19FF2" w14:textId="549E5F55" w:rsidR="00B01771" w:rsidRPr="00F354D1" w:rsidRDefault="00F354D1" w:rsidP="00B01771">
      <w:pPr>
        <w:rPr>
          <w:b/>
          <w:sz w:val="22"/>
          <w:szCs w:val="22"/>
        </w:rPr>
      </w:pPr>
      <w:r w:rsidRPr="00F354D1">
        <w:rPr>
          <w:b/>
          <w:sz w:val="22"/>
          <w:szCs w:val="22"/>
        </w:rPr>
        <w:t>Condition A:</w:t>
      </w:r>
    </w:p>
    <w:p w14:paraId="7CF1E9F7" w14:textId="77777777" w:rsidR="00B01771" w:rsidRDefault="00B01771" w:rsidP="00CA54C2">
      <w:pPr>
        <w:ind w:left="360"/>
        <w:rPr>
          <w:sz w:val="22"/>
          <w:szCs w:val="22"/>
        </w:rPr>
      </w:pPr>
      <w:r w:rsidRPr="004756E2">
        <w:rPr>
          <w:sz w:val="22"/>
          <w:szCs w:val="22"/>
        </w:rPr>
        <w:t>The WA Department of Primary Industries and Regional Development to:</w:t>
      </w:r>
    </w:p>
    <w:p w14:paraId="67A9ADE0" w14:textId="7E9C6774" w:rsidR="00B01771" w:rsidRDefault="00B01771" w:rsidP="00B01771">
      <w:pPr>
        <w:numPr>
          <w:ilvl w:val="1"/>
          <w:numId w:val="49"/>
        </w:numPr>
        <w:rPr>
          <w:sz w:val="22"/>
          <w:szCs w:val="22"/>
        </w:rPr>
      </w:pPr>
      <w:proofErr w:type="gramStart"/>
      <w:r w:rsidRPr="004756E2">
        <w:rPr>
          <w:sz w:val="22"/>
          <w:szCs w:val="22"/>
        </w:rPr>
        <w:t>undertake</w:t>
      </w:r>
      <w:proofErr w:type="gramEnd"/>
      <w:r w:rsidRPr="004756E2">
        <w:rPr>
          <w:sz w:val="22"/>
          <w:szCs w:val="22"/>
        </w:rPr>
        <w:t xml:space="preserve"> ongoing fishery independent monitoring (electronic </w:t>
      </w:r>
      <w:r w:rsidR="00542F1F">
        <w:rPr>
          <w:sz w:val="22"/>
          <w:szCs w:val="22"/>
        </w:rPr>
        <w:t>or</w:t>
      </w:r>
      <w:r w:rsidRPr="004756E2">
        <w:rPr>
          <w:sz w:val="22"/>
          <w:szCs w:val="22"/>
        </w:rPr>
        <w:t xml:space="preserve"> human) if reported interactions with EPBC Act protected species increase outside of historical ranges.</w:t>
      </w:r>
    </w:p>
    <w:p w14:paraId="73806208" w14:textId="77777777" w:rsidR="00B01771" w:rsidRDefault="00B01771" w:rsidP="00B01771">
      <w:pPr>
        <w:numPr>
          <w:ilvl w:val="1"/>
          <w:numId w:val="49"/>
        </w:numPr>
        <w:rPr>
          <w:sz w:val="22"/>
          <w:szCs w:val="22"/>
        </w:rPr>
      </w:pPr>
      <w:proofErr w:type="gramStart"/>
      <w:r w:rsidRPr="004756E2">
        <w:rPr>
          <w:sz w:val="22"/>
          <w:szCs w:val="22"/>
        </w:rPr>
        <w:t>review</w:t>
      </w:r>
      <w:proofErr w:type="gramEnd"/>
      <w:r w:rsidRPr="004756E2">
        <w:rPr>
          <w:sz w:val="22"/>
          <w:szCs w:val="22"/>
        </w:rPr>
        <w:t xml:space="preserve"> and update the Bycatch Action Plan, to take into account relevant research that has occurred since the plan was last updated. The plan should include clear goals and objectives aimed at minimising interactions with EPBC Act listed species. The Bycatch Action Plan review and update should be completed by early 2020 and be publically available.</w:t>
      </w:r>
    </w:p>
    <w:p w14:paraId="1F3DD02F" w14:textId="07A64957" w:rsidR="00B01771" w:rsidRDefault="00B01771" w:rsidP="00CA54C2">
      <w:pPr>
        <w:rPr>
          <w:sz w:val="22"/>
          <w:szCs w:val="22"/>
        </w:rPr>
      </w:pPr>
    </w:p>
    <w:p w14:paraId="0A0547F5" w14:textId="29E7F0EA" w:rsidR="00CA54C2" w:rsidRPr="00F354D1" w:rsidRDefault="00CA54C2" w:rsidP="00CA54C2">
      <w:pPr>
        <w:rPr>
          <w:b/>
          <w:sz w:val="22"/>
          <w:szCs w:val="22"/>
        </w:rPr>
      </w:pPr>
      <w:r w:rsidRPr="00F354D1">
        <w:rPr>
          <w:b/>
          <w:sz w:val="22"/>
          <w:szCs w:val="22"/>
        </w:rPr>
        <w:t>Condition B</w:t>
      </w:r>
      <w:r w:rsidR="00F354D1">
        <w:rPr>
          <w:b/>
          <w:sz w:val="22"/>
          <w:szCs w:val="22"/>
        </w:rPr>
        <w:t>:</w:t>
      </w:r>
    </w:p>
    <w:p w14:paraId="2168578B" w14:textId="4417AE6B" w:rsidR="00B01771" w:rsidRDefault="00B01771" w:rsidP="00CA54C2">
      <w:pPr>
        <w:ind w:left="360"/>
        <w:rPr>
          <w:sz w:val="22"/>
          <w:szCs w:val="22"/>
        </w:rPr>
      </w:pPr>
      <w:r w:rsidRPr="004756E2">
        <w:rPr>
          <w:sz w:val="22"/>
          <w:szCs w:val="22"/>
        </w:rPr>
        <w:t>The WA Department of Primary Industries and Regional Development, to ensure fishing operations are not adversely affect</w:t>
      </w:r>
      <w:r w:rsidR="00B0765B">
        <w:rPr>
          <w:sz w:val="22"/>
          <w:szCs w:val="22"/>
        </w:rPr>
        <w:t>ing the conservation status of d</w:t>
      </w:r>
      <w:r w:rsidRPr="004756E2">
        <w:rPr>
          <w:sz w:val="22"/>
          <w:szCs w:val="22"/>
        </w:rPr>
        <w:t>olphin populations, by:</w:t>
      </w:r>
    </w:p>
    <w:p w14:paraId="3AF33960" w14:textId="5F01C1FE" w:rsidR="00B01771" w:rsidRDefault="00B0765B" w:rsidP="00B01771">
      <w:pPr>
        <w:numPr>
          <w:ilvl w:val="1"/>
          <w:numId w:val="49"/>
        </w:numPr>
        <w:rPr>
          <w:sz w:val="22"/>
          <w:szCs w:val="22"/>
        </w:rPr>
      </w:pPr>
      <w:proofErr w:type="gramStart"/>
      <w:r>
        <w:rPr>
          <w:sz w:val="22"/>
          <w:szCs w:val="22"/>
        </w:rPr>
        <w:t>incorporating</w:t>
      </w:r>
      <w:proofErr w:type="gramEnd"/>
      <w:r>
        <w:rPr>
          <w:sz w:val="22"/>
          <w:szCs w:val="22"/>
        </w:rPr>
        <w:t xml:space="preserve"> the use of d</w:t>
      </w:r>
      <w:r w:rsidR="00B01771" w:rsidRPr="004756E2">
        <w:rPr>
          <w:sz w:val="22"/>
          <w:szCs w:val="22"/>
        </w:rPr>
        <w:t xml:space="preserve">olphin mitigation plans by fishers into the industry code of practice. Dolphin mitigation plans are to be prepared by vessel operators, and outline </w:t>
      </w:r>
      <w:r w:rsidR="00081D97">
        <w:rPr>
          <w:sz w:val="22"/>
          <w:szCs w:val="22"/>
        </w:rPr>
        <w:t>the</w:t>
      </w:r>
      <w:r w:rsidR="00B01771" w:rsidRPr="004756E2">
        <w:rPr>
          <w:sz w:val="22"/>
          <w:szCs w:val="22"/>
        </w:rPr>
        <w:t xml:space="preserve"> actions being t</w:t>
      </w:r>
      <w:r>
        <w:rPr>
          <w:sz w:val="22"/>
          <w:szCs w:val="22"/>
        </w:rPr>
        <w:t>aken by the fisher to minimise d</w:t>
      </w:r>
      <w:r w:rsidR="00B01771" w:rsidRPr="004756E2">
        <w:rPr>
          <w:sz w:val="22"/>
          <w:szCs w:val="22"/>
        </w:rPr>
        <w:t>olphin interactions on that particular vessel.</w:t>
      </w:r>
    </w:p>
    <w:p w14:paraId="1FECF576" w14:textId="77777777" w:rsidR="00B01771" w:rsidRDefault="00B01771" w:rsidP="00B01771">
      <w:pPr>
        <w:numPr>
          <w:ilvl w:val="1"/>
          <w:numId w:val="49"/>
        </w:numPr>
        <w:rPr>
          <w:sz w:val="22"/>
          <w:szCs w:val="22"/>
        </w:rPr>
      </w:pPr>
      <w:proofErr w:type="gramStart"/>
      <w:r w:rsidRPr="00F759B4">
        <w:rPr>
          <w:sz w:val="22"/>
          <w:szCs w:val="22"/>
        </w:rPr>
        <w:t>developing</w:t>
      </w:r>
      <w:proofErr w:type="gramEnd"/>
      <w:r w:rsidRPr="00F759B4">
        <w:rPr>
          <w:sz w:val="22"/>
          <w:szCs w:val="22"/>
        </w:rPr>
        <w:t xml:space="preserve"> a clear set of criteria for protected species interaction management, to be included in the Bycatch Action Plan or Harvest Strategy. The criteria should specify escalating management responses taken by the Western Australian Department of Primary Industries and Regional Development, depending on the rate and scale of interactions with protected species by fishers.</w:t>
      </w:r>
    </w:p>
    <w:p w14:paraId="609184AF" w14:textId="77777777" w:rsidR="00B01771" w:rsidRDefault="00B01771" w:rsidP="00B01771">
      <w:pPr>
        <w:numPr>
          <w:ilvl w:val="1"/>
          <w:numId w:val="49"/>
        </w:numPr>
        <w:rPr>
          <w:sz w:val="22"/>
          <w:szCs w:val="22"/>
        </w:rPr>
      </w:pPr>
      <w:proofErr w:type="gramStart"/>
      <w:r w:rsidRPr="00F759B4">
        <w:rPr>
          <w:sz w:val="22"/>
          <w:szCs w:val="22"/>
        </w:rPr>
        <w:t>evaluating</w:t>
      </w:r>
      <w:proofErr w:type="gramEnd"/>
      <w:r w:rsidRPr="00F759B4">
        <w:rPr>
          <w:sz w:val="22"/>
          <w:szCs w:val="22"/>
        </w:rPr>
        <w:t xml:space="preserve"> any relevant new mitigation measures as identified in emerging research in the field of bycatch mitigation, and adopting such measures where they show promise.</w:t>
      </w:r>
    </w:p>
    <w:p w14:paraId="07F71996" w14:textId="77777777" w:rsidR="00CA54C2" w:rsidRDefault="00CA54C2">
      <w:pPr>
        <w:rPr>
          <w:sz w:val="22"/>
          <w:szCs w:val="22"/>
        </w:rPr>
      </w:pPr>
    </w:p>
    <w:p w14:paraId="2CF51400" w14:textId="4B5AAB7A" w:rsidR="00CA54C2" w:rsidRDefault="00CA54C2">
      <w:pPr>
        <w:rPr>
          <w:sz w:val="22"/>
          <w:szCs w:val="22"/>
        </w:rPr>
      </w:pPr>
      <w:r w:rsidRPr="00F354D1">
        <w:rPr>
          <w:b/>
          <w:sz w:val="22"/>
          <w:szCs w:val="22"/>
        </w:rPr>
        <w:t>Condition C</w:t>
      </w:r>
      <w:r w:rsidR="00F354D1">
        <w:rPr>
          <w:sz w:val="22"/>
          <w:szCs w:val="22"/>
        </w:rPr>
        <w:t>:</w:t>
      </w:r>
    </w:p>
    <w:p w14:paraId="0BD0568E" w14:textId="402060FF" w:rsidR="00B01771" w:rsidRDefault="00B01771" w:rsidP="00CA54C2">
      <w:pPr>
        <w:ind w:left="360"/>
        <w:rPr>
          <w:sz w:val="22"/>
          <w:szCs w:val="22"/>
        </w:rPr>
      </w:pPr>
      <w:r w:rsidRPr="004756E2">
        <w:rPr>
          <w:sz w:val="22"/>
          <w:szCs w:val="22"/>
        </w:rPr>
        <w:t>The WA Department of Primary Industries and Regional Development, to continue to monitor interactions, to ensure that fishing oper</w:t>
      </w:r>
      <w:r w:rsidR="00B0765B">
        <w:rPr>
          <w:sz w:val="22"/>
          <w:szCs w:val="22"/>
        </w:rPr>
        <w:t>ations do not adversely affect s</w:t>
      </w:r>
      <w:r w:rsidRPr="004756E2">
        <w:rPr>
          <w:sz w:val="22"/>
          <w:szCs w:val="22"/>
        </w:rPr>
        <w:t>awfish (in particular Green Sawfish) through:</w:t>
      </w:r>
    </w:p>
    <w:p w14:paraId="529530BE" w14:textId="19B0FCA4" w:rsidR="00B01771" w:rsidRDefault="00B01771" w:rsidP="00B01771">
      <w:pPr>
        <w:numPr>
          <w:ilvl w:val="1"/>
          <w:numId w:val="49"/>
        </w:numPr>
        <w:rPr>
          <w:sz w:val="22"/>
          <w:szCs w:val="22"/>
        </w:rPr>
      </w:pPr>
      <w:proofErr w:type="gramStart"/>
      <w:r w:rsidRPr="00F759B4">
        <w:rPr>
          <w:sz w:val="22"/>
          <w:szCs w:val="22"/>
        </w:rPr>
        <w:t>continuing</w:t>
      </w:r>
      <w:proofErr w:type="gramEnd"/>
      <w:r w:rsidRPr="00F759B4">
        <w:rPr>
          <w:sz w:val="22"/>
          <w:szCs w:val="22"/>
        </w:rPr>
        <w:t xml:space="preserve"> to ensure the WA Pilbara Fish Trawl (Interim) Managed Fishery operates in accordance with </w:t>
      </w:r>
      <w:r w:rsidR="00B0765B">
        <w:rPr>
          <w:sz w:val="22"/>
          <w:szCs w:val="22"/>
        </w:rPr>
        <w:t>the national recovery plan for s</w:t>
      </w:r>
      <w:r w:rsidRPr="00F759B4">
        <w:rPr>
          <w:sz w:val="22"/>
          <w:szCs w:val="22"/>
        </w:rPr>
        <w:t>awfish (Sawfish and River Sharks Multispecies Recovery Plan).</w:t>
      </w:r>
    </w:p>
    <w:p w14:paraId="407BDAD7" w14:textId="77777777" w:rsidR="00B01771" w:rsidRPr="00F759B4" w:rsidRDefault="00B01771" w:rsidP="00B01771">
      <w:pPr>
        <w:pStyle w:val="ListParagraph"/>
        <w:numPr>
          <w:ilvl w:val="1"/>
          <w:numId w:val="49"/>
        </w:numPr>
        <w:contextualSpacing/>
        <w:rPr>
          <w:sz w:val="22"/>
          <w:szCs w:val="22"/>
        </w:rPr>
      </w:pPr>
      <w:proofErr w:type="gramStart"/>
      <w:r w:rsidRPr="00F759B4">
        <w:rPr>
          <w:sz w:val="22"/>
          <w:szCs w:val="22"/>
        </w:rPr>
        <w:t>developing</w:t>
      </w:r>
      <w:proofErr w:type="gramEnd"/>
      <w:r w:rsidRPr="00F759B4">
        <w:rPr>
          <w:sz w:val="22"/>
          <w:szCs w:val="22"/>
        </w:rPr>
        <w:t xml:space="preserve"> and implementing additional mitigation measures and alternative strategies (as appropriate), to reduce the impact on Green Sawfish. </w:t>
      </w:r>
    </w:p>
    <w:p w14:paraId="6A874092" w14:textId="77777777" w:rsidR="00B01771" w:rsidRDefault="00B01771" w:rsidP="00B01771">
      <w:pPr>
        <w:rPr>
          <w:sz w:val="22"/>
          <w:szCs w:val="22"/>
        </w:rPr>
      </w:pPr>
    </w:p>
    <w:p w14:paraId="01E1620C" w14:textId="4BC41FD3" w:rsidR="003A205E" w:rsidRDefault="00CA54C2">
      <w:pPr>
        <w:rPr>
          <w:rFonts w:cs="Arial"/>
          <w:b/>
          <w:bCs/>
        </w:rPr>
      </w:pPr>
      <w:r>
        <w:rPr>
          <w:b/>
        </w:rPr>
        <w:br w:type="page"/>
      </w:r>
    </w:p>
    <w:p w14:paraId="08CB4FBD" w14:textId="6D686F10" w:rsidR="00CA54C2" w:rsidRDefault="00CA54C2" w:rsidP="00CA54C2">
      <w:pPr>
        <w:spacing w:after="600"/>
        <w:jc w:val="right"/>
        <w:rPr>
          <w:rFonts w:cs="Arial"/>
          <w:b/>
          <w:bCs/>
        </w:rPr>
      </w:pPr>
      <w:r>
        <w:rPr>
          <w:rFonts w:cs="Arial"/>
          <w:b/>
          <w:bCs/>
        </w:rPr>
        <w:lastRenderedPageBreak/>
        <w:t>ATTACHMENT 2</w:t>
      </w:r>
    </w:p>
    <w:p w14:paraId="359C0265" w14:textId="7A5BD73A" w:rsidR="00CA54C2" w:rsidRDefault="00CA54C2" w:rsidP="00CA54C2">
      <w:pPr>
        <w:jc w:val="center"/>
        <w:rPr>
          <w:b/>
        </w:rPr>
      </w:pPr>
      <w:r w:rsidRPr="00B01771">
        <w:rPr>
          <w:b/>
        </w:rPr>
        <w:t xml:space="preserve">Conditions on the approved wildlife trade operation declaration for the </w:t>
      </w:r>
      <w:r w:rsidRPr="00B01771">
        <w:rPr>
          <w:b/>
          <w:color w:val="000000" w:themeColor="text1"/>
        </w:rPr>
        <w:t xml:space="preserve">Pilbara Fish Trawl </w:t>
      </w:r>
      <w:r w:rsidR="00AE0F24">
        <w:rPr>
          <w:b/>
          <w:color w:val="000000" w:themeColor="text1"/>
        </w:rPr>
        <w:t>(</w:t>
      </w:r>
      <w:r w:rsidRPr="00B01771">
        <w:rPr>
          <w:b/>
          <w:color w:val="000000" w:themeColor="text1"/>
        </w:rPr>
        <w:t>Interim</w:t>
      </w:r>
      <w:r w:rsidR="00AE0F24">
        <w:rPr>
          <w:b/>
          <w:color w:val="000000" w:themeColor="text1"/>
        </w:rPr>
        <w:t>)</w:t>
      </w:r>
      <w:r w:rsidRPr="00B01771">
        <w:rPr>
          <w:b/>
          <w:color w:val="000000" w:themeColor="text1"/>
        </w:rPr>
        <w:t xml:space="preserve"> Managed Fishery</w:t>
      </w:r>
      <w:r w:rsidRPr="00B01771">
        <w:rPr>
          <w:b/>
        </w:rPr>
        <w:t xml:space="preserve"> – </w:t>
      </w:r>
      <w:r>
        <w:rPr>
          <w:b/>
        </w:rPr>
        <w:t>August</w:t>
      </w:r>
      <w:r w:rsidRPr="00B01771">
        <w:rPr>
          <w:b/>
        </w:rPr>
        <w:t xml:space="preserve"> 2018</w:t>
      </w:r>
    </w:p>
    <w:p w14:paraId="3D14B362" w14:textId="77777777" w:rsidR="00CA54C2" w:rsidRDefault="00CA54C2" w:rsidP="00CA54C2">
      <w:pPr>
        <w:jc w:val="center"/>
        <w:rPr>
          <w:b/>
        </w:rPr>
      </w:pPr>
    </w:p>
    <w:p w14:paraId="5E329682" w14:textId="77777777" w:rsidR="00CA54C2" w:rsidRDefault="00CA54C2" w:rsidP="00CA54C2">
      <w:pPr>
        <w:jc w:val="center"/>
        <w:rPr>
          <w:b/>
        </w:rPr>
      </w:pPr>
    </w:p>
    <w:p w14:paraId="55C4E63F" w14:textId="77777777" w:rsidR="00CA54C2" w:rsidRPr="00CF5312" w:rsidRDefault="00CA54C2" w:rsidP="00CA54C2">
      <w:pPr>
        <w:rPr>
          <w:sz w:val="22"/>
          <w:szCs w:val="22"/>
        </w:rPr>
      </w:pPr>
      <w:r w:rsidRPr="00CF5312">
        <w:rPr>
          <w:sz w:val="22"/>
          <w:szCs w:val="22"/>
        </w:rPr>
        <w:t xml:space="preserve">Relating to the harvesting of fish </w:t>
      </w:r>
      <w:r w:rsidRPr="00CF5312">
        <w:rPr>
          <w:snapToGrid w:val="0"/>
          <w:sz w:val="22"/>
          <w:szCs w:val="22"/>
        </w:rPr>
        <w:t xml:space="preserve">specimens that are, or are derived from, fish or invertebrates, other than </w:t>
      </w:r>
      <w:r w:rsidRPr="00CF5312">
        <w:rPr>
          <w:sz w:val="22"/>
          <w:szCs w:val="22"/>
        </w:rPr>
        <w:t xml:space="preserve">specimens of species listed under Part 13 </w:t>
      </w:r>
      <w:r>
        <w:rPr>
          <w:sz w:val="22"/>
          <w:szCs w:val="22"/>
        </w:rPr>
        <w:t>and</w:t>
      </w:r>
      <w:r w:rsidRPr="00CF5312">
        <w:rPr>
          <w:sz w:val="22"/>
          <w:szCs w:val="22"/>
        </w:rPr>
        <w:t xml:space="preserve"> Part 13A of the </w:t>
      </w:r>
      <w:r w:rsidRPr="00CF5312">
        <w:rPr>
          <w:i/>
          <w:sz w:val="22"/>
          <w:szCs w:val="22"/>
        </w:rPr>
        <w:t>Environment Protection and Biodiversity Conservation Act 1999</w:t>
      </w:r>
      <w:r w:rsidRPr="00CF5312">
        <w:rPr>
          <w:sz w:val="22"/>
          <w:szCs w:val="22"/>
        </w:rPr>
        <w:t xml:space="preserve"> (EPBC Act),</w:t>
      </w:r>
      <w:r w:rsidRPr="00CF5312">
        <w:rPr>
          <w:snapToGrid w:val="0"/>
          <w:sz w:val="22"/>
          <w:szCs w:val="22"/>
        </w:rPr>
        <w:t xml:space="preserve"> taken in the </w:t>
      </w:r>
      <w:r w:rsidRPr="00AF27B2">
        <w:rPr>
          <w:sz w:val="22"/>
          <w:szCs w:val="22"/>
        </w:rPr>
        <w:t>Western Australian Pilbara Trawl Fishery</w:t>
      </w:r>
      <w:r>
        <w:rPr>
          <w:sz w:val="22"/>
          <w:szCs w:val="22"/>
        </w:rPr>
        <w:t>:</w:t>
      </w:r>
    </w:p>
    <w:p w14:paraId="7DC1E3BD" w14:textId="77777777" w:rsidR="00CA54C2" w:rsidRPr="00CF5312" w:rsidRDefault="00CA54C2" w:rsidP="00CA54C2">
      <w:pPr>
        <w:rPr>
          <w:i/>
          <w:color w:val="0000FF"/>
          <w:sz w:val="22"/>
          <w:szCs w:val="22"/>
        </w:rPr>
      </w:pPr>
    </w:p>
    <w:p w14:paraId="124AB63C" w14:textId="77777777" w:rsidR="00CA54C2" w:rsidRPr="004756E2" w:rsidRDefault="00CA54C2" w:rsidP="00CA54C2">
      <w:pPr>
        <w:numPr>
          <w:ilvl w:val="0"/>
          <w:numId w:val="50"/>
        </w:numPr>
        <w:rPr>
          <w:sz w:val="22"/>
          <w:szCs w:val="22"/>
        </w:rPr>
      </w:pPr>
      <w:r w:rsidRPr="004756E2">
        <w:rPr>
          <w:sz w:val="22"/>
          <w:szCs w:val="22"/>
        </w:rPr>
        <w:t xml:space="preserve">Operation of the Western Australian Pilbara Fish Trawl (Interim) Managed Fishery will be carried out in accordance with the Western Australian Pilbara Fish Trawl (Interim) Managed Fishery Management Plan 1997, in force under the Western Australian Fish Resources Management Act 1994, and the Western Australian Fish Resources Management Regulations 1995. </w:t>
      </w:r>
    </w:p>
    <w:p w14:paraId="573DD6EA" w14:textId="77777777" w:rsidR="00CA54C2" w:rsidRPr="004756E2" w:rsidRDefault="00CA54C2" w:rsidP="00CA54C2">
      <w:pPr>
        <w:rPr>
          <w:sz w:val="22"/>
          <w:szCs w:val="22"/>
        </w:rPr>
      </w:pPr>
    </w:p>
    <w:p w14:paraId="7A6AB4E8" w14:textId="77777777" w:rsidR="00CA54C2" w:rsidRPr="004756E2" w:rsidRDefault="00CA54C2" w:rsidP="00CA54C2">
      <w:pPr>
        <w:numPr>
          <w:ilvl w:val="0"/>
          <w:numId w:val="50"/>
        </w:numPr>
        <w:rPr>
          <w:sz w:val="22"/>
          <w:szCs w:val="22"/>
        </w:rPr>
      </w:pPr>
      <w:r w:rsidRPr="004756E2">
        <w:rPr>
          <w:sz w:val="22"/>
          <w:szCs w:val="22"/>
        </w:rPr>
        <w:t xml:space="preserve">The Western Australian Department of Primary Industries and Regional Development, to inform the Department of the Environment and Energy, of any intended material changes to the Western Australian Pilbara Fish Trawl (Interim) Managed Fishery management arrangements that may affect the assessment against which </w:t>
      </w:r>
      <w:r w:rsidRPr="004756E2">
        <w:rPr>
          <w:i/>
          <w:sz w:val="22"/>
          <w:szCs w:val="22"/>
        </w:rPr>
        <w:t>Environment Protection and Biodiversity Conservation Act 1999</w:t>
      </w:r>
      <w:r w:rsidRPr="004756E2">
        <w:rPr>
          <w:sz w:val="22"/>
          <w:szCs w:val="22"/>
        </w:rPr>
        <w:t xml:space="preserve"> decisions are made.</w:t>
      </w:r>
    </w:p>
    <w:p w14:paraId="6AAB29AE" w14:textId="77777777" w:rsidR="00CA54C2" w:rsidRPr="004756E2" w:rsidRDefault="00CA54C2" w:rsidP="00CA54C2">
      <w:pPr>
        <w:rPr>
          <w:sz w:val="22"/>
          <w:szCs w:val="22"/>
        </w:rPr>
      </w:pPr>
    </w:p>
    <w:p w14:paraId="436AECB9" w14:textId="77777777" w:rsidR="00CA54C2" w:rsidRDefault="00CA54C2" w:rsidP="00CA54C2">
      <w:pPr>
        <w:numPr>
          <w:ilvl w:val="0"/>
          <w:numId w:val="50"/>
        </w:numPr>
        <w:rPr>
          <w:sz w:val="22"/>
          <w:szCs w:val="22"/>
        </w:rPr>
      </w:pPr>
      <w:r w:rsidRPr="004756E2">
        <w:rPr>
          <w:sz w:val="22"/>
          <w:szCs w:val="22"/>
        </w:rPr>
        <w:t xml:space="preserve">The Western Australian Department of Primary Industries and Regional Development, to produce and present reports to the Department of the Environment and Energy annually, as per </w:t>
      </w:r>
      <w:r>
        <w:rPr>
          <w:sz w:val="22"/>
          <w:szCs w:val="22"/>
        </w:rPr>
        <w:br/>
      </w:r>
      <w:r w:rsidRPr="004756E2">
        <w:rPr>
          <w:sz w:val="22"/>
          <w:szCs w:val="22"/>
        </w:rPr>
        <w:t xml:space="preserve">Appendix B of the Guidelines for the Ecologically Sustainable Management of Fisheries - 2nd Edition. </w:t>
      </w:r>
    </w:p>
    <w:p w14:paraId="51FC7A0E" w14:textId="77777777" w:rsidR="00B01771" w:rsidRPr="00B01771" w:rsidRDefault="00B01771" w:rsidP="00B01771">
      <w:pPr>
        <w:rPr>
          <w:b/>
        </w:rPr>
      </w:pPr>
    </w:p>
    <w:sectPr w:rsidR="00B01771" w:rsidRPr="00B01771" w:rsidSect="00084012">
      <w:headerReference w:type="even" r:id="rId7"/>
      <w:headerReference w:type="default" r:id="rId8"/>
      <w:footerReference w:type="even" r:id="rId9"/>
      <w:footerReference w:type="default" r:id="rId10"/>
      <w:headerReference w:type="first" r:id="rId11"/>
      <w:footerReference w:type="first" r:id="rId12"/>
      <w:pgSz w:w="11906" w:h="16838"/>
      <w:pgMar w:top="1418" w:right="1276" w:bottom="567" w:left="1418" w:header="425" w:footer="425"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0744D" w14:textId="77777777" w:rsidR="00041980" w:rsidRDefault="00041980" w:rsidP="00A60185">
      <w:r>
        <w:separator/>
      </w:r>
    </w:p>
  </w:endnote>
  <w:endnote w:type="continuationSeparator" w:id="0">
    <w:p w14:paraId="637A8483" w14:textId="77777777" w:rsidR="00041980" w:rsidRDefault="00041980"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8F51A" w14:textId="77777777" w:rsidR="00F0044A" w:rsidRDefault="00F004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D9721" w14:textId="1CD2AC13" w:rsidR="00100BEF" w:rsidRDefault="00100BEF" w:rsidP="00A16177">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A91AD" w14:textId="4CFCE096" w:rsidR="00A16177" w:rsidRPr="00A16177" w:rsidRDefault="00FC036A" w:rsidP="00E811BF">
    <w:pPr>
      <w:pBdr>
        <w:top w:val="single" w:sz="4" w:space="1" w:color="00529B"/>
      </w:pBdr>
      <w:tabs>
        <w:tab w:val="center" w:pos="4513"/>
        <w:tab w:val="right" w:pos="9026"/>
      </w:tabs>
      <w:spacing w:before="120"/>
      <w:jc w:val="center"/>
      <w:rPr>
        <w:rFonts w:eastAsiaTheme="minorHAnsi"/>
        <w:sz w:val="22"/>
        <w:szCs w:val="22"/>
      </w:rPr>
    </w:pPr>
    <w:r w:rsidRPr="000B0528">
      <w:rPr>
        <w:rFonts w:eastAsiaTheme="minorHAnsi"/>
        <w:color w:val="00529B"/>
        <w:sz w:val="20"/>
      </w:rPr>
      <w:t>Parliament House Canberra ACT 2600 Telephone (02) 6277 4242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534C9" w14:textId="77777777" w:rsidR="00041980" w:rsidRDefault="00041980" w:rsidP="00A60185">
      <w:r>
        <w:separator/>
      </w:r>
    </w:p>
  </w:footnote>
  <w:footnote w:type="continuationSeparator" w:id="0">
    <w:p w14:paraId="59D6DD9B" w14:textId="77777777" w:rsidR="00041980" w:rsidRDefault="00041980"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69CB" w14:textId="77777777" w:rsidR="00F0044A" w:rsidRDefault="00F004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77E46" w14:textId="77777777" w:rsidR="00F0044A" w:rsidRDefault="00F004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D23EA" w14:textId="77777777" w:rsidR="00E811BF" w:rsidRPr="00E57B6C" w:rsidRDefault="00E811BF" w:rsidP="00E811BF">
    <w:pPr>
      <w:pStyle w:val="Footer"/>
      <w:tabs>
        <w:tab w:val="right" w:pos="9356"/>
      </w:tabs>
      <w:jc w:val="center"/>
    </w:pPr>
    <w:r>
      <w:rPr>
        <w:noProof/>
      </w:rPr>
      <w:drawing>
        <wp:inline distT="0" distB="0" distL="0" distR="0" wp14:anchorId="6241C66A" wp14:editId="1065C699">
          <wp:extent cx="1133475" cy="832152"/>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ice-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5863" cy="877955"/>
                  </a:xfrm>
                  <a:prstGeom prst="rect">
                    <a:avLst/>
                  </a:prstGeom>
                </pic:spPr>
              </pic:pic>
            </a:graphicData>
          </a:graphic>
        </wp:inline>
      </w:drawing>
    </w:r>
  </w:p>
  <w:p w14:paraId="4C6788AC" w14:textId="77777777" w:rsidR="00E811BF" w:rsidRPr="00D93A22" w:rsidRDefault="00E811BF" w:rsidP="00E811BF">
    <w:pPr>
      <w:jc w:val="center"/>
    </w:pPr>
  </w:p>
  <w:p w14:paraId="3AF2FEF5" w14:textId="77777777" w:rsidR="00E811BF" w:rsidRPr="000B0528" w:rsidRDefault="00E811BF" w:rsidP="00E811BF">
    <w:pPr>
      <w:tabs>
        <w:tab w:val="center" w:pos="4513"/>
        <w:tab w:val="right" w:pos="9026"/>
      </w:tabs>
      <w:jc w:val="center"/>
      <w:rPr>
        <w:rFonts w:eastAsiaTheme="minorHAnsi"/>
        <w:b/>
        <w:color w:val="00529B"/>
        <w:sz w:val="28"/>
      </w:rPr>
    </w:pPr>
    <w:r w:rsidRPr="000B0528">
      <w:rPr>
        <w:rFonts w:eastAsiaTheme="minorHAnsi"/>
        <w:b/>
        <w:color w:val="00529B"/>
        <w:sz w:val="28"/>
      </w:rPr>
      <w:t>THE HON MELISSA PRICE MP</w:t>
    </w:r>
  </w:p>
  <w:p w14:paraId="172BD9FE" w14:textId="67E6A97E" w:rsidR="00E811BF" w:rsidRPr="000B0528" w:rsidRDefault="00E811BF" w:rsidP="00E811BF">
    <w:pPr>
      <w:tabs>
        <w:tab w:val="center" w:pos="4513"/>
        <w:tab w:val="right" w:pos="9026"/>
      </w:tabs>
      <w:jc w:val="center"/>
      <w:rPr>
        <w:rFonts w:eastAsiaTheme="minorHAnsi"/>
        <w:b/>
        <w:color w:val="00529B"/>
      </w:rPr>
    </w:pPr>
    <w:r w:rsidRPr="000B0528">
      <w:rPr>
        <w:rFonts w:eastAsiaTheme="minorHAnsi"/>
        <w:b/>
        <w:color w:val="00529B"/>
      </w:rPr>
      <w:t>MINISTER FOR THE ENVIRONMENT</w:t>
    </w:r>
  </w:p>
  <w:p w14:paraId="0856A8B6" w14:textId="77777777" w:rsidR="00E811BF" w:rsidRDefault="00E811BF" w:rsidP="00E811BF">
    <w:pPr>
      <w:pStyle w:val="Footer"/>
      <w:tabs>
        <w:tab w:val="right" w:pos="9356"/>
      </w:tabs>
      <w:jc w:val="center"/>
    </w:pPr>
  </w:p>
  <w:p w14:paraId="7F9313DF" w14:textId="77777777" w:rsidR="00E811BF" w:rsidRPr="00E57B6C" w:rsidRDefault="00E811BF" w:rsidP="00E811B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291970"/>
    <w:multiLevelType w:val="multilevel"/>
    <w:tmpl w:val="E898CC72"/>
    <w:numStyleLink w:val="KeyPoints"/>
  </w:abstractNum>
  <w:abstractNum w:abstractNumId="18" w15:restartNumberingAfterBreak="0">
    <w:nsid w:val="1F745BC2"/>
    <w:multiLevelType w:val="multilevel"/>
    <w:tmpl w:val="E5E89F92"/>
    <w:numStyleLink w:val="BulletList"/>
  </w:abstractNum>
  <w:abstractNum w:abstractNumId="19" w15:restartNumberingAfterBreak="0">
    <w:nsid w:val="29253B4A"/>
    <w:multiLevelType w:val="multilevel"/>
    <w:tmpl w:val="E898CC72"/>
    <w:numStyleLink w:val="KeyPoints"/>
  </w:abstractNum>
  <w:abstractNum w:abstractNumId="20" w15:restartNumberingAfterBreak="0">
    <w:nsid w:val="2C1B4F6C"/>
    <w:multiLevelType w:val="multilevel"/>
    <w:tmpl w:val="E898CC72"/>
    <w:numStyleLink w:val="KeyPoints"/>
  </w:abstractNum>
  <w:abstractNum w:abstractNumId="21"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816F9C"/>
    <w:multiLevelType w:val="multilevel"/>
    <w:tmpl w:val="E5E89F92"/>
    <w:numStyleLink w:val="BulletList"/>
  </w:abstractNum>
  <w:abstractNum w:abstractNumId="25" w15:restartNumberingAfterBreak="0">
    <w:nsid w:val="3B351B82"/>
    <w:multiLevelType w:val="multilevel"/>
    <w:tmpl w:val="E5E89F92"/>
    <w:numStyleLink w:val="BulletList"/>
  </w:abstractNum>
  <w:abstractNum w:abstractNumId="26" w15:restartNumberingAfterBreak="0">
    <w:nsid w:val="48B871CF"/>
    <w:multiLevelType w:val="multilevel"/>
    <w:tmpl w:val="E5E89F92"/>
    <w:numStyleLink w:val="BulletList"/>
  </w:abstractNum>
  <w:abstractNum w:abstractNumId="27" w15:restartNumberingAfterBreak="0">
    <w:nsid w:val="49016841"/>
    <w:multiLevelType w:val="multilevel"/>
    <w:tmpl w:val="E5E89F92"/>
    <w:numStyleLink w:val="BulletList"/>
  </w:abstractNum>
  <w:abstractNum w:abstractNumId="28" w15:restartNumberingAfterBreak="0">
    <w:nsid w:val="51A44175"/>
    <w:multiLevelType w:val="multilevel"/>
    <w:tmpl w:val="E5E89F92"/>
    <w:numStyleLink w:val="BulletList"/>
  </w:abstractNum>
  <w:abstractNum w:abstractNumId="29"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5456429"/>
    <w:multiLevelType w:val="multilevel"/>
    <w:tmpl w:val="E898CC72"/>
    <w:numStyleLink w:val="KeyPoints"/>
  </w:abstractNum>
  <w:abstractNum w:abstractNumId="32" w15:restartNumberingAfterBreak="0">
    <w:nsid w:val="672E0C2A"/>
    <w:multiLevelType w:val="multilevel"/>
    <w:tmpl w:val="E5E89F92"/>
    <w:numStyleLink w:val="BulletList"/>
  </w:abstractNum>
  <w:abstractNum w:abstractNumId="33"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823B13"/>
    <w:multiLevelType w:val="multilevel"/>
    <w:tmpl w:val="E5E89F92"/>
    <w:numStyleLink w:val="BulletList"/>
  </w:abstractNum>
  <w:abstractNum w:abstractNumId="36" w15:restartNumberingAfterBreak="0">
    <w:nsid w:val="6DF2198A"/>
    <w:multiLevelType w:val="multilevel"/>
    <w:tmpl w:val="E5E89F92"/>
    <w:numStyleLink w:val="BulletList"/>
  </w:abstractNum>
  <w:abstractNum w:abstractNumId="37" w15:restartNumberingAfterBreak="0">
    <w:nsid w:val="6E335CDA"/>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F032444"/>
    <w:multiLevelType w:val="multilevel"/>
    <w:tmpl w:val="E5E89F92"/>
    <w:numStyleLink w:val="BulletList"/>
  </w:abstractNum>
  <w:abstractNum w:abstractNumId="39"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2C700E0"/>
    <w:multiLevelType w:val="multilevel"/>
    <w:tmpl w:val="E898CC72"/>
    <w:numStyleLink w:val="KeyPoints"/>
  </w:abstractNum>
  <w:abstractNum w:abstractNumId="42"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15:restartNumberingAfterBreak="0">
    <w:nsid w:val="788260C9"/>
    <w:multiLevelType w:val="multilevel"/>
    <w:tmpl w:val="E898CC72"/>
    <w:numStyleLink w:val="KeyPoints"/>
  </w:abstractNum>
  <w:abstractNum w:abstractNumId="44"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D3708B3"/>
    <w:multiLevelType w:val="multilevel"/>
    <w:tmpl w:val="E5E89F92"/>
    <w:numStyleLink w:val="BulletList"/>
  </w:abstractNum>
  <w:num w:numId="1">
    <w:abstractNumId w:val="42"/>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9"/>
  </w:num>
  <w:num w:numId="6">
    <w:abstractNumId w:val="40"/>
  </w:num>
  <w:num w:numId="7">
    <w:abstractNumId w:val="34"/>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4"/>
  </w:num>
  <w:num w:numId="17">
    <w:abstractNumId w:val="12"/>
  </w:num>
  <w:num w:numId="18">
    <w:abstractNumId w:val="32"/>
  </w:num>
  <w:num w:numId="19">
    <w:abstractNumId w:val="11"/>
  </w:num>
  <w:num w:numId="20">
    <w:abstractNumId w:val="20"/>
  </w:num>
  <w:num w:numId="21">
    <w:abstractNumId w:val="14"/>
  </w:num>
  <w:num w:numId="22">
    <w:abstractNumId w:val="19"/>
  </w:num>
  <w:num w:numId="23">
    <w:abstractNumId w:val="27"/>
  </w:num>
  <w:num w:numId="24">
    <w:abstractNumId w:val="38"/>
  </w:num>
  <w:num w:numId="25">
    <w:abstractNumId w:val="33"/>
  </w:num>
  <w:num w:numId="26">
    <w:abstractNumId w:val="25"/>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6"/>
  </w:num>
  <w:num w:numId="32">
    <w:abstractNumId w:val="33"/>
  </w:num>
  <w:num w:numId="33">
    <w:abstractNumId w:val="28"/>
  </w:num>
  <w:num w:numId="34">
    <w:abstractNumId w:val="17"/>
  </w:num>
  <w:num w:numId="35">
    <w:abstractNumId w:val="30"/>
  </w:num>
  <w:num w:numId="36">
    <w:abstractNumId w:val="45"/>
  </w:num>
  <w:num w:numId="37">
    <w:abstractNumId w:val="45"/>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3"/>
  </w:num>
  <w:num w:numId="45">
    <w:abstractNumId w:val="35"/>
  </w:num>
  <w:num w:numId="46">
    <w:abstractNumId w:val="46"/>
  </w:num>
  <w:num w:numId="47">
    <w:abstractNumId w:val="31"/>
  </w:num>
  <w:num w:numId="48">
    <w:abstractNumId w:val="18"/>
  </w:num>
  <w:num w:numId="49">
    <w:abstractNumId w:val="29"/>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041980"/>
    <w:rsid w:val="00004AEE"/>
    <w:rsid w:val="00005CAA"/>
    <w:rsid w:val="00010210"/>
    <w:rsid w:val="00012D66"/>
    <w:rsid w:val="00015ADA"/>
    <w:rsid w:val="00020C99"/>
    <w:rsid w:val="000242C5"/>
    <w:rsid w:val="0002707B"/>
    <w:rsid w:val="00041980"/>
    <w:rsid w:val="0005148E"/>
    <w:rsid w:val="00072C5A"/>
    <w:rsid w:val="000759E5"/>
    <w:rsid w:val="00081AE3"/>
    <w:rsid w:val="00081D97"/>
    <w:rsid w:val="00084012"/>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07878"/>
    <w:rsid w:val="00111326"/>
    <w:rsid w:val="0011498E"/>
    <w:rsid w:val="00117A45"/>
    <w:rsid w:val="001224AE"/>
    <w:rsid w:val="001337D4"/>
    <w:rsid w:val="00147C12"/>
    <w:rsid w:val="001527A1"/>
    <w:rsid w:val="001530DC"/>
    <w:rsid w:val="00154989"/>
    <w:rsid w:val="00155A9F"/>
    <w:rsid w:val="00160262"/>
    <w:rsid w:val="00160561"/>
    <w:rsid w:val="0016780A"/>
    <w:rsid w:val="001713FA"/>
    <w:rsid w:val="00173EBF"/>
    <w:rsid w:val="00175ED3"/>
    <w:rsid w:val="001842A2"/>
    <w:rsid w:val="00187FA8"/>
    <w:rsid w:val="00192F5E"/>
    <w:rsid w:val="00197772"/>
    <w:rsid w:val="001A51C8"/>
    <w:rsid w:val="001B4CA8"/>
    <w:rsid w:val="001B5EA1"/>
    <w:rsid w:val="001C1D88"/>
    <w:rsid w:val="001C4F3D"/>
    <w:rsid w:val="001D0CDC"/>
    <w:rsid w:val="001D1D82"/>
    <w:rsid w:val="001E1182"/>
    <w:rsid w:val="001F7F4B"/>
    <w:rsid w:val="00202C90"/>
    <w:rsid w:val="00213DE8"/>
    <w:rsid w:val="00216118"/>
    <w:rsid w:val="002209AB"/>
    <w:rsid w:val="002251E3"/>
    <w:rsid w:val="00227A95"/>
    <w:rsid w:val="00230626"/>
    <w:rsid w:val="002316BD"/>
    <w:rsid w:val="002473FC"/>
    <w:rsid w:val="00252E3C"/>
    <w:rsid w:val="00262198"/>
    <w:rsid w:val="00271AD0"/>
    <w:rsid w:val="00285F1B"/>
    <w:rsid w:val="00292B81"/>
    <w:rsid w:val="00294095"/>
    <w:rsid w:val="002B18AE"/>
    <w:rsid w:val="002C1C93"/>
    <w:rsid w:val="002C5066"/>
    <w:rsid w:val="002C5813"/>
    <w:rsid w:val="002C6DCC"/>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557EC"/>
    <w:rsid w:val="00365147"/>
    <w:rsid w:val="0037016E"/>
    <w:rsid w:val="00372908"/>
    <w:rsid w:val="00383020"/>
    <w:rsid w:val="00394D7E"/>
    <w:rsid w:val="00395762"/>
    <w:rsid w:val="003975FD"/>
    <w:rsid w:val="003A205E"/>
    <w:rsid w:val="003B057D"/>
    <w:rsid w:val="003B60CC"/>
    <w:rsid w:val="003B6945"/>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4260"/>
    <w:rsid w:val="004F7169"/>
    <w:rsid w:val="00500D66"/>
    <w:rsid w:val="00514C8E"/>
    <w:rsid w:val="005216DB"/>
    <w:rsid w:val="00531DBF"/>
    <w:rsid w:val="00542F1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E2446"/>
    <w:rsid w:val="006F10C4"/>
    <w:rsid w:val="006F40E9"/>
    <w:rsid w:val="006F5603"/>
    <w:rsid w:val="006F7B87"/>
    <w:rsid w:val="00701400"/>
    <w:rsid w:val="007037CF"/>
    <w:rsid w:val="00712E93"/>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74C0C"/>
    <w:rsid w:val="008776EC"/>
    <w:rsid w:val="008A3C96"/>
    <w:rsid w:val="008A5D4B"/>
    <w:rsid w:val="008B4019"/>
    <w:rsid w:val="008B65C9"/>
    <w:rsid w:val="008C2D4A"/>
    <w:rsid w:val="008D0284"/>
    <w:rsid w:val="008D3900"/>
    <w:rsid w:val="008D6A5D"/>
    <w:rsid w:val="008D6E1D"/>
    <w:rsid w:val="008F39B4"/>
    <w:rsid w:val="008F4162"/>
    <w:rsid w:val="00903E02"/>
    <w:rsid w:val="00913175"/>
    <w:rsid w:val="00916EDB"/>
    <w:rsid w:val="00920861"/>
    <w:rsid w:val="00922B13"/>
    <w:rsid w:val="009242EF"/>
    <w:rsid w:val="00932291"/>
    <w:rsid w:val="00932861"/>
    <w:rsid w:val="0093408E"/>
    <w:rsid w:val="00952DDF"/>
    <w:rsid w:val="00955921"/>
    <w:rsid w:val="009610A3"/>
    <w:rsid w:val="00963B6A"/>
    <w:rsid w:val="00970950"/>
    <w:rsid w:val="009812D4"/>
    <w:rsid w:val="009920D8"/>
    <w:rsid w:val="009952F5"/>
    <w:rsid w:val="009A6DB7"/>
    <w:rsid w:val="009B38BE"/>
    <w:rsid w:val="009C3D0F"/>
    <w:rsid w:val="009E1B19"/>
    <w:rsid w:val="009F35E2"/>
    <w:rsid w:val="009F65F9"/>
    <w:rsid w:val="009F68BA"/>
    <w:rsid w:val="00A06277"/>
    <w:rsid w:val="00A079DC"/>
    <w:rsid w:val="00A111C2"/>
    <w:rsid w:val="00A16177"/>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A7003"/>
    <w:rsid w:val="00AB11C8"/>
    <w:rsid w:val="00AC08A8"/>
    <w:rsid w:val="00AD56C8"/>
    <w:rsid w:val="00AD58F2"/>
    <w:rsid w:val="00AE0F24"/>
    <w:rsid w:val="00B01771"/>
    <w:rsid w:val="00B0512A"/>
    <w:rsid w:val="00B0529F"/>
    <w:rsid w:val="00B0765B"/>
    <w:rsid w:val="00B1418B"/>
    <w:rsid w:val="00B21195"/>
    <w:rsid w:val="00B24B22"/>
    <w:rsid w:val="00B25310"/>
    <w:rsid w:val="00B32F8F"/>
    <w:rsid w:val="00B3492A"/>
    <w:rsid w:val="00B37681"/>
    <w:rsid w:val="00B54DE9"/>
    <w:rsid w:val="00B553EC"/>
    <w:rsid w:val="00B55E3F"/>
    <w:rsid w:val="00B63C1E"/>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872C6"/>
    <w:rsid w:val="00C96688"/>
    <w:rsid w:val="00CA0723"/>
    <w:rsid w:val="00CA54C2"/>
    <w:rsid w:val="00CB1690"/>
    <w:rsid w:val="00CC20B4"/>
    <w:rsid w:val="00CC4365"/>
    <w:rsid w:val="00CD11B0"/>
    <w:rsid w:val="00CD5B9F"/>
    <w:rsid w:val="00CE71C2"/>
    <w:rsid w:val="00CF34E9"/>
    <w:rsid w:val="00CF42D5"/>
    <w:rsid w:val="00CF4EDA"/>
    <w:rsid w:val="00D021CB"/>
    <w:rsid w:val="00D07510"/>
    <w:rsid w:val="00D10F1A"/>
    <w:rsid w:val="00D116F8"/>
    <w:rsid w:val="00D17596"/>
    <w:rsid w:val="00D21D54"/>
    <w:rsid w:val="00D22640"/>
    <w:rsid w:val="00D26D3A"/>
    <w:rsid w:val="00D45EE3"/>
    <w:rsid w:val="00D50618"/>
    <w:rsid w:val="00D509E9"/>
    <w:rsid w:val="00D52D81"/>
    <w:rsid w:val="00D53B1C"/>
    <w:rsid w:val="00DA1B12"/>
    <w:rsid w:val="00DA54C9"/>
    <w:rsid w:val="00DA6739"/>
    <w:rsid w:val="00DA6CAE"/>
    <w:rsid w:val="00DB1A9E"/>
    <w:rsid w:val="00DB31D6"/>
    <w:rsid w:val="00DB4005"/>
    <w:rsid w:val="00DC34EB"/>
    <w:rsid w:val="00DE3689"/>
    <w:rsid w:val="00DF1E5B"/>
    <w:rsid w:val="00DF2275"/>
    <w:rsid w:val="00DF3F5E"/>
    <w:rsid w:val="00DF5653"/>
    <w:rsid w:val="00E0596E"/>
    <w:rsid w:val="00E06F66"/>
    <w:rsid w:val="00E356E5"/>
    <w:rsid w:val="00E36F81"/>
    <w:rsid w:val="00E45765"/>
    <w:rsid w:val="00E5098C"/>
    <w:rsid w:val="00E60213"/>
    <w:rsid w:val="00E661B2"/>
    <w:rsid w:val="00E74D29"/>
    <w:rsid w:val="00E75CC9"/>
    <w:rsid w:val="00E811BF"/>
    <w:rsid w:val="00E83C74"/>
    <w:rsid w:val="00E83CEE"/>
    <w:rsid w:val="00E91F18"/>
    <w:rsid w:val="00E9226D"/>
    <w:rsid w:val="00EA416C"/>
    <w:rsid w:val="00EA5941"/>
    <w:rsid w:val="00EB0468"/>
    <w:rsid w:val="00EB60CE"/>
    <w:rsid w:val="00EB7D53"/>
    <w:rsid w:val="00EE3146"/>
    <w:rsid w:val="00EE6AD9"/>
    <w:rsid w:val="00EF50BB"/>
    <w:rsid w:val="00EF53FF"/>
    <w:rsid w:val="00F00192"/>
    <w:rsid w:val="00F0044A"/>
    <w:rsid w:val="00F01DF6"/>
    <w:rsid w:val="00F0340D"/>
    <w:rsid w:val="00F03DD0"/>
    <w:rsid w:val="00F059A6"/>
    <w:rsid w:val="00F122F8"/>
    <w:rsid w:val="00F23756"/>
    <w:rsid w:val="00F2523A"/>
    <w:rsid w:val="00F25FFA"/>
    <w:rsid w:val="00F310D2"/>
    <w:rsid w:val="00F354D1"/>
    <w:rsid w:val="00F36F3D"/>
    <w:rsid w:val="00F458DB"/>
    <w:rsid w:val="00F477BD"/>
    <w:rsid w:val="00F53491"/>
    <w:rsid w:val="00F65A1C"/>
    <w:rsid w:val="00F66F50"/>
    <w:rsid w:val="00F82FF8"/>
    <w:rsid w:val="00F8330D"/>
    <w:rsid w:val="00F84305"/>
    <w:rsid w:val="00F8485C"/>
    <w:rsid w:val="00F87149"/>
    <w:rsid w:val="00F87FFE"/>
    <w:rsid w:val="00F954C9"/>
    <w:rsid w:val="00FA0314"/>
    <w:rsid w:val="00FA4CF0"/>
    <w:rsid w:val="00FA61AA"/>
    <w:rsid w:val="00FA69A4"/>
    <w:rsid w:val="00FB1279"/>
    <w:rsid w:val="00FB1495"/>
    <w:rsid w:val="00FC036A"/>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9D7BF"/>
  <w15:chartTrackingRefBased/>
  <w15:docId w15:val="{36D8BA53-FA27-4509-B16B-2E0B494A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rFonts w:eastAsia="Times New Roman"/>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rPr>
  </w:style>
  <w:style w:type="paragraph" w:styleId="ListParagraph">
    <w:name w:val="List Paragraph"/>
    <w:basedOn w:val="Normal"/>
    <w:uiPriority w:val="34"/>
    <w:qFormat/>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PlaceholderText">
    <w:name w:val="Placeholder Text"/>
    <w:basedOn w:val="DefaultParagraphFont"/>
    <w:uiPriority w:val="99"/>
    <w:semiHidden/>
    <w:rsid w:val="000242C5"/>
    <w:rPr>
      <w:color w:val="808080"/>
    </w:rPr>
  </w:style>
  <w:style w:type="character" w:styleId="Hyperlink">
    <w:name w:val="Hyperlink"/>
    <w:basedOn w:val="DefaultParagraphFont"/>
    <w:uiPriority w:val="99"/>
    <w:unhideWhenUsed/>
    <w:rsid w:val="00395762"/>
    <w:rPr>
      <w:color w:val="0000FF"/>
      <w:u w:val="single"/>
    </w:rPr>
  </w:style>
  <w:style w:type="character" w:styleId="CommentReference">
    <w:name w:val="annotation reference"/>
    <w:basedOn w:val="DefaultParagraphFont"/>
    <w:uiPriority w:val="99"/>
    <w:semiHidden/>
    <w:unhideWhenUsed/>
    <w:rsid w:val="00CD5B9F"/>
    <w:rPr>
      <w:sz w:val="16"/>
      <w:szCs w:val="16"/>
    </w:rPr>
  </w:style>
  <w:style w:type="paragraph" w:styleId="CommentText">
    <w:name w:val="annotation text"/>
    <w:basedOn w:val="Normal"/>
    <w:link w:val="CommentTextChar"/>
    <w:uiPriority w:val="99"/>
    <w:semiHidden/>
    <w:unhideWhenUsed/>
    <w:rsid w:val="00CD5B9F"/>
    <w:rPr>
      <w:sz w:val="20"/>
      <w:szCs w:val="20"/>
    </w:rPr>
  </w:style>
  <w:style w:type="character" w:customStyle="1" w:styleId="CommentTextChar">
    <w:name w:val="Comment Text Char"/>
    <w:basedOn w:val="DefaultParagraphFont"/>
    <w:link w:val="CommentText"/>
    <w:uiPriority w:val="99"/>
    <w:semiHidden/>
    <w:rsid w:val="00CD5B9F"/>
    <w:rPr>
      <w:sz w:val="20"/>
      <w:szCs w:val="20"/>
    </w:rPr>
  </w:style>
  <w:style w:type="paragraph" w:styleId="CommentSubject">
    <w:name w:val="annotation subject"/>
    <w:basedOn w:val="CommentText"/>
    <w:next w:val="CommentText"/>
    <w:link w:val="CommentSubjectChar"/>
    <w:uiPriority w:val="99"/>
    <w:semiHidden/>
    <w:unhideWhenUsed/>
    <w:rsid w:val="00CD5B9F"/>
    <w:rPr>
      <w:b/>
      <w:bCs/>
    </w:rPr>
  </w:style>
  <w:style w:type="character" w:customStyle="1" w:styleId="CommentSubjectChar">
    <w:name w:val="Comment Subject Char"/>
    <w:basedOn w:val="CommentTextChar"/>
    <w:link w:val="CommentSubject"/>
    <w:uiPriority w:val="99"/>
    <w:semiHidden/>
    <w:rsid w:val="00CD5B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F01672D5.dotm</Template>
  <TotalTime>0</TotalTime>
  <Pages>3</Pages>
  <Words>900</Words>
  <Characters>5135</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Hon Dave Kelly MLA</dc:title>
  <dc:subject/>
  <dc:creator>Minister for the Environment</dc:creator>
  <cp:keywords/>
  <dc:description/>
  <cp:lastModifiedBy>Bec Durack</cp:lastModifiedBy>
  <cp:revision>2</cp:revision>
  <dcterms:created xsi:type="dcterms:W3CDTF">2018-11-20T03:24:00Z</dcterms:created>
  <dcterms:modified xsi:type="dcterms:W3CDTF">2018-11-20T03:24:00Z</dcterms:modified>
</cp:coreProperties>
</file>