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6332A" w14:textId="4BD2202F" w:rsidR="00B6012C" w:rsidRPr="00FD022E" w:rsidRDefault="00B6012C" w:rsidP="007F171B">
      <w:pPr>
        <w:widowControl w:val="0"/>
        <w:tabs>
          <w:tab w:val="left" w:pos="6700"/>
        </w:tabs>
        <w:spacing w:line="276" w:lineRule="auto"/>
        <w:rPr>
          <w:rFonts w:cs="Arial"/>
          <w:sz w:val="48"/>
        </w:rPr>
      </w:pPr>
    </w:p>
    <w:p w14:paraId="33C7C20A" w14:textId="77777777" w:rsidR="00B6012C" w:rsidRPr="00FD022E" w:rsidRDefault="00B6012C" w:rsidP="007F171B">
      <w:pPr>
        <w:widowControl w:val="0"/>
        <w:tabs>
          <w:tab w:val="left" w:pos="6700"/>
        </w:tabs>
        <w:spacing w:line="276" w:lineRule="auto"/>
        <w:jc w:val="center"/>
        <w:rPr>
          <w:rFonts w:cs="Arial"/>
          <w:sz w:val="40"/>
          <w:szCs w:val="40"/>
        </w:rPr>
      </w:pPr>
    </w:p>
    <w:p w14:paraId="116BB68D" w14:textId="77777777" w:rsidR="00B6012C" w:rsidRPr="003C3DE3" w:rsidRDefault="00B6012C" w:rsidP="007F171B">
      <w:pPr>
        <w:widowControl w:val="0"/>
        <w:tabs>
          <w:tab w:val="left" w:pos="6700"/>
        </w:tabs>
        <w:spacing w:line="276" w:lineRule="auto"/>
        <w:jc w:val="center"/>
        <w:rPr>
          <w:rFonts w:cs="Arial"/>
          <w:b/>
          <w:color w:val="17365D" w:themeColor="text2" w:themeShade="BF"/>
          <w:sz w:val="40"/>
          <w:szCs w:val="40"/>
        </w:rPr>
      </w:pPr>
    </w:p>
    <w:p w14:paraId="7CB94214" w14:textId="4A9D6B79" w:rsidR="00B6012C" w:rsidRPr="000930C1" w:rsidRDefault="00B6012C" w:rsidP="00CA6E91">
      <w:pPr>
        <w:pStyle w:val="Heading4"/>
        <w:spacing w:before="0" w:after="200" w:line="276" w:lineRule="auto"/>
        <w:jc w:val="center"/>
        <w:rPr>
          <w:b/>
          <w:i w:val="0"/>
          <w:color w:val="17365D" w:themeColor="text2" w:themeShade="BF"/>
          <w:sz w:val="44"/>
          <w:szCs w:val="44"/>
        </w:rPr>
      </w:pPr>
      <w:r w:rsidRPr="000930C1">
        <w:rPr>
          <w:b/>
          <w:i w:val="0"/>
          <w:color w:val="17365D" w:themeColor="text2" w:themeShade="BF"/>
          <w:sz w:val="44"/>
          <w:szCs w:val="44"/>
        </w:rPr>
        <w:t>Assessment of the</w:t>
      </w:r>
      <w:r w:rsidR="003C3DE3" w:rsidRPr="000930C1">
        <w:rPr>
          <w:b/>
          <w:i w:val="0"/>
          <w:color w:val="17365D" w:themeColor="text2" w:themeShade="BF"/>
          <w:sz w:val="44"/>
          <w:szCs w:val="44"/>
        </w:rPr>
        <w:t xml:space="preserve"> </w:t>
      </w:r>
      <w:r w:rsidR="00D232A5" w:rsidRPr="000930C1">
        <w:rPr>
          <w:b/>
          <w:i w:val="0"/>
          <w:color w:val="17365D" w:themeColor="text2" w:themeShade="BF"/>
          <w:sz w:val="44"/>
          <w:szCs w:val="44"/>
        </w:rPr>
        <w:t xml:space="preserve">Queensland </w:t>
      </w:r>
      <w:r w:rsidR="003034FF" w:rsidRPr="000930C1">
        <w:rPr>
          <w:b/>
          <w:i w:val="0"/>
          <w:color w:val="17365D" w:themeColor="text2" w:themeShade="BF"/>
          <w:sz w:val="44"/>
          <w:szCs w:val="44"/>
        </w:rPr>
        <w:t>Sea Cucumber Fishery</w:t>
      </w:r>
      <w:r w:rsidR="00BF3D43">
        <w:rPr>
          <w:b/>
          <w:i w:val="0"/>
          <w:color w:val="17365D" w:themeColor="text2" w:themeShade="BF"/>
          <w:sz w:val="44"/>
          <w:szCs w:val="44"/>
        </w:rPr>
        <w:t xml:space="preserve"> </w:t>
      </w:r>
      <w:r w:rsidR="00BF3D43" w:rsidRPr="000930C1">
        <w:rPr>
          <w:b/>
          <w:i w:val="0"/>
          <w:color w:val="17365D" w:themeColor="text2" w:themeShade="BF"/>
          <w:sz w:val="44"/>
          <w:szCs w:val="44"/>
        </w:rPr>
        <w:t>(East Coast)</w:t>
      </w:r>
    </w:p>
    <w:p w14:paraId="395ACF88" w14:textId="2DBA8B83" w:rsidR="000930C1" w:rsidRPr="000930C1" w:rsidRDefault="000930C1" w:rsidP="00CA6E91">
      <w:pPr>
        <w:pStyle w:val="Heading4"/>
        <w:spacing w:before="0" w:after="200" w:line="276" w:lineRule="auto"/>
        <w:jc w:val="center"/>
        <w:rPr>
          <w:sz w:val="28"/>
          <w:szCs w:val="28"/>
        </w:rPr>
      </w:pPr>
      <w:r w:rsidRPr="000930C1">
        <w:rPr>
          <w:sz w:val="28"/>
          <w:szCs w:val="28"/>
        </w:rPr>
        <w:t xml:space="preserve">(formerly the Queensland East Coast </w:t>
      </w:r>
      <w:proofErr w:type="spellStart"/>
      <w:r w:rsidRPr="000930C1">
        <w:rPr>
          <w:sz w:val="28"/>
          <w:szCs w:val="28"/>
        </w:rPr>
        <w:t>Bêche</w:t>
      </w:r>
      <w:proofErr w:type="spellEnd"/>
      <w:r w:rsidRPr="000930C1">
        <w:rPr>
          <w:sz w:val="28"/>
          <w:szCs w:val="28"/>
        </w:rPr>
        <w:t>-de-</w:t>
      </w:r>
      <w:proofErr w:type="spellStart"/>
      <w:r w:rsidRPr="000930C1">
        <w:rPr>
          <w:sz w:val="28"/>
          <w:szCs w:val="28"/>
        </w:rPr>
        <w:t>mer</w:t>
      </w:r>
      <w:proofErr w:type="spellEnd"/>
      <w:r w:rsidRPr="000930C1">
        <w:rPr>
          <w:sz w:val="28"/>
          <w:szCs w:val="28"/>
        </w:rPr>
        <w:t xml:space="preserve"> Fishery)</w:t>
      </w:r>
    </w:p>
    <w:p w14:paraId="535E58FC" w14:textId="77777777" w:rsidR="00381C3D" w:rsidRPr="000930C1" w:rsidRDefault="00381C3D" w:rsidP="00CA6E91">
      <w:pPr>
        <w:tabs>
          <w:tab w:val="left" w:pos="6700"/>
        </w:tabs>
        <w:spacing w:line="276" w:lineRule="auto"/>
        <w:jc w:val="center"/>
        <w:outlineLvl w:val="5"/>
        <w:rPr>
          <w:rFonts w:cs="Arial"/>
          <w:b/>
        </w:rPr>
      </w:pPr>
    </w:p>
    <w:p w14:paraId="1497D3BD" w14:textId="162EAA11" w:rsidR="00B6012C" w:rsidRPr="000930C1" w:rsidRDefault="00F428C1" w:rsidP="00CA6E91">
      <w:pPr>
        <w:pStyle w:val="Heading7"/>
        <w:keepNext w:val="0"/>
        <w:autoSpaceDE/>
        <w:autoSpaceDN/>
        <w:spacing w:after="120" w:line="276" w:lineRule="auto"/>
        <w:rPr>
          <w:rFonts w:ascii="Arial" w:hAnsi="Arial" w:cs="Arial"/>
          <w:sz w:val="28"/>
          <w:szCs w:val="36"/>
          <w:lang w:val="en-AU"/>
        </w:rPr>
      </w:pPr>
      <w:r>
        <w:rPr>
          <w:rFonts w:ascii="Arial" w:hAnsi="Arial" w:cs="Arial"/>
          <w:sz w:val="28"/>
          <w:szCs w:val="36"/>
          <w:lang w:val="en-AU"/>
        </w:rPr>
        <w:t>September</w:t>
      </w:r>
      <w:r w:rsidR="00E04D5B" w:rsidRPr="000930C1">
        <w:rPr>
          <w:rFonts w:ascii="Arial" w:hAnsi="Arial" w:cs="Arial"/>
          <w:sz w:val="28"/>
          <w:szCs w:val="36"/>
          <w:lang w:val="en-AU"/>
        </w:rPr>
        <w:t xml:space="preserve"> </w:t>
      </w:r>
      <w:r w:rsidR="00D232A5" w:rsidRPr="000930C1">
        <w:rPr>
          <w:rFonts w:ascii="Arial" w:hAnsi="Arial" w:cs="Arial"/>
          <w:sz w:val="28"/>
          <w:szCs w:val="36"/>
          <w:lang w:val="en-AU"/>
        </w:rPr>
        <w:t>2020</w:t>
      </w:r>
    </w:p>
    <w:p w14:paraId="2040416A" w14:textId="77777777" w:rsidR="00B6012C" w:rsidRPr="00A94147" w:rsidRDefault="00B6012C" w:rsidP="007F171B">
      <w:pPr>
        <w:spacing w:line="276" w:lineRule="auto"/>
        <w:rPr>
          <w:rFonts w:cs="Arial"/>
          <w:highlight w:val="yellow"/>
        </w:rPr>
      </w:pPr>
    </w:p>
    <w:p w14:paraId="54B4FEE2" w14:textId="77777777" w:rsidR="00574DD7" w:rsidRPr="00A94147" w:rsidRDefault="00574DD7" w:rsidP="007F171B">
      <w:pPr>
        <w:spacing w:line="276" w:lineRule="auto"/>
        <w:rPr>
          <w:rFonts w:cs="Arial"/>
          <w:highlight w:val="yellow"/>
        </w:rPr>
        <w:sectPr w:rsidR="00574DD7" w:rsidRPr="00A94147" w:rsidSect="001955CD">
          <w:footerReference w:type="default" r:id="rId7"/>
          <w:headerReference w:type="first" r:id="rId8"/>
          <w:footerReference w:type="first" r:id="rId9"/>
          <w:pgSz w:w="11906" w:h="16838"/>
          <w:pgMar w:top="1418" w:right="1276" w:bottom="567" w:left="1418" w:header="425" w:footer="425" w:gutter="0"/>
          <w:pgNumType w:start="1"/>
          <w:cols w:space="708"/>
          <w:titlePg/>
          <w:docGrid w:linePitch="360"/>
        </w:sectPr>
      </w:pPr>
    </w:p>
    <w:p w14:paraId="5C1A4B42" w14:textId="5916A496" w:rsidR="00B6012C" w:rsidRPr="00A94147" w:rsidRDefault="00B6012C" w:rsidP="007F171B">
      <w:pPr>
        <w:spacing w:line="276" w:lineRule="auto"/>
        <w:rPr>
          <w:rFonts w:cs="Arial"/>
          <w:sz w:val="20"/>
          <w:szCs w:val="20"/>
          <w:highlight w:val="yellow"/>
        </w:rPr>
      </w:pPr>
    </w:p>
    <w:p w14:paraId="1AB4BB3C" w14:textId="4FFE5C06" w:rsidR="00134108" w:rsidRPr="00A94147" w:rsidRDefault="00134108" w:rsidP="007F171B">
      <w:pPr>
        <w:spacing w:line="276" w:lineRule="auto"/>
        <w:rPr>
          <w:rStyle w:val="Hyperlink"/>
          <w:rFonts w:eastAsia="Times New Roman" w:cs="Arial"/>
          <w:noProof/>
          <w:color w:val="auto"/>
          <w:sz w:val="20"/>
          <w:szCs w:val="20"/>
          <w:highlight w:val="yellow"/>
          <w:lang w:eastAsia="en-AU"/>
        </w:rPr>
      </w:pPr>
    </w:p>
    <w:p w14:paraId="02B38320" w14:textId="77777777" w:rsidR="00134108" w:rsidRPr="00A94147" w:rsidRDefault="00134108" w:rsidP="007F171B">
      <w:pPr>
        <w:spacing w:line="276" w:lineRule="auto"/>
        <w:rPr>
          <w:rStyle w:val="Hyperlink"/>
          <w:rFonts w:eastAsia="Times New Roman" w:cs="Arial"/>
          <w:noProof/>
          <w:color w:val="auto"/>
          <w:sz w:val="20"/>
          <w:szCs w:val="20"/>
          <w:highlight w:val="yellow"/>
          <w:lang w:eastAsia="en-AU"/>
        </w:rPr>
      </w:pPr>
    </w:p>
    <w:p w14:paraId="2C148F52" w14:textId="77777777" w:rsidR="00134108" w:rsidRPr="00A94147" w:rsidRDefault="00134108" w:rsidP="007F171B">
      <w:pPr>
        <w:spacing w:line="276" w:lineRule="auto"/>
        <w:rPr>
          <w:rStyle w:val="Hyperlink"/>
          <w:rFonts w:eastAsia="Times New Roman" w:cs="Arial"/>
          <w:noProof/>
          <w:color w:val="auto"/>
          <w:sz w:val="20"/>
          <w:szCs w:val="20"/>
          <w:highlight w:val="yellow"/>
          <w:lang w:eastAsia="en-AU"/>
        </w:rPr>
      </w:pPr>
    </w:p>
    <w:p w14:paraId="796DA257" w14:textId="77777777" w:rsidR="00134108" w:rsidRPr="00A94147" w:rsidRDefault="00134108" w:rsidP="007F171B">
      <w:pPr>
        <w:spacing w:line="276" w:lineRule="auto"/>
        <w:rPr>
          <w:rStyle w:val="Hyperlink"/>
          <w:rFonts w:eastAsia="Times New Roman" w:cs="Arial"/>
          <w:noProof/>
          <w:color w:val="auto"/>
          <w:sz w:val="20"/>
          <w:szCs w:val="20"/>
          <w:highlight w:val="yellow"/>
          <w:lang w:eastAsia="en-AU"/>
        </w:rPr>
      </w:pPr>
    </w:p>
    <w:p w14:paraId="55A75FF0" w14:textId="5A9C8879" w:rsidR="00381C3D" w:rsidRPr="00A94147" w:rsidRDefault="00381C3D" w:rsidP="007F171B">
      <w:pPr>
        <w:spacing w:line="276" w:lineRule="auto"/>
        <w:rPr>
          <w:rStyle w:val="Hyperlink"/>
          <w:rFonts w:eastAsia="Times New Roman" w:cs="Arial"/>
          <w:noProof/>
          <w:color w:val="auto"/>
          <w:sz w:val="20"/>
          <w:szCs w:val="20"/>
          <w:highlight w:val="yellow"/>
          <w:lang w:eastAsia="en-AU"/>
        </w:rPr>
      </w:pPr>
    </w:p>
    <w:p w14:paraId="6E33F720" w14:textId="77777777" w:rsidR="00381C3D" w:rsidRPr="00A94147" w:rsidRDefault="00381C3D" w:rsidP="007F171B">
      <w:pPr>
        <w:spacing w:line="276" w:lineRule="auto"/>
        <w:rPr>
          <w:rStyle w:val="Hyperlink"/>
          <w:rFonts w:eastAsia="Times New Roman" w:cs="Arial"/>
          <w:noProof/>
          <w:color w:val="auto"/>
          <w:sz w:val="20"/>
          <w:szCs w:val="20"/>
          <w:highlight w:val="yellow"/>
          <w:lang w:eastAsia="en-AU"/>
        </w:rPr>
      </w:pPr>
    </w:p>
    <w:p w14:paraId="4DFC8019" w14:textId="77777777" w:rsidR="00381C3D" w:rsidRPr="00A94147" w:rsidRDefault="00381C3D" w:rsidP="007F171B">
      <w:pPr>
        <w:spacing w:line="276" w:lineRule="auto"/>
        <w:rPr>
          <w:rStyle w:val="Hyperlink"/>
          <w:rFonts w:eastAsia="Times New Roman" w:cs="Arial"/>
          <w:noProof/>
          <w:color w:val="auto"/>
          <w:sz w:val="20"/>
          <w:szCs w:val="20"/>
          <w:highlight w:val="yellow"/>
          <w:lang w:eastAsia="en-AU"/>
        </w:rPr>
      </w:pPr>
    </w:p>
    <w:p w14:paraId="27F68273" w14:textId="77777777" w:rsidR="00381C3D" w:rsidRPr="00A94147" w:rsidRDefault="00381C3D" w:rsidP="007F171B">
      <w:pPr>
        <w:spacing w:line="276" w:lineRule="auto"/>
        <w:rPr>
          <w:rStyle w:val="Hyperlink"/>
          <w:rFonts w:eastAsia="Times New Roman" w:cs="Arial"/>
          <w:noProof/>
          <w:color w:val="auto"/>
          <w:sz w:val="20"/>
          <w:szCs w:val="20"/>
          <w:highlight w:val="yellow"/>
          <w:lang w:eastAsia="en-AU"/>
        </w:rPr>
      </w:pPr>
    </w:p>
    <w:p w14:paraId="6B5E3DAC" w14:textId="77777777" w:rsidR="00381C3D" w:rsidRPr="00A94147" w:rsidRDefault="00381C3D" w:rsidP="007F171B">
      <w:pPr>
        <w:spacing w:line="276" w:lineRule="auto"/>
        <w:rPr>
          <w:rStyle w:val="Hyperlink"/>
          <w:rFonts w:eastAsia="Times New Roman" w:cs="Arial"/>
          <w:noProof/>
          <w:color w:val="auto"/>
          <w:sz w:val="20"/>
          <w:szCs w:val="20"/>
          <w:highlight w:val="yellow"/>
          <w:lang w:eastAsia="en-AU"/>
        </w:rPr>
      </w:pPr>
    </w:p>
    <w:p w14:paraId="0BDF2950" w14:textId="77777777" w:rsidR="00381C3D" w:rsidRPr="00A94147" w:rsidRDefault="00381C3D" w:rsidP="007F171B">
      <w:pPr>
        <w:spacing w:line="276" w:lineRule="auto"/>
        <w:rPr>
          <w:rStyle w:val="Hyperlink"/>
          <w:rFonts w:eastAsia="Times New Roman" w:cs="Arial"/>
          <w:noProof/>
          <w:color w:val="auto"/>
          <w:sz w:val="20"/>
          <w:szCs w:val="20"/>
          <w:highlight w:val="yellow"/>
          <w:lang w:eastAsia="en-AU"/>
        </w:rPr>
      </w:pPr>
    </w:p>
    <w:p w14:paraId="3278EA5D" w14:textId="77777777" w:rsidR="00381C3D" w:rsidRPr="00A94147" w:rsidRDefault="00381C3D" w:rsidP="007F171B">
      <w:pPr>
        <w:spacing w:line="276" w:lineRule="auto"/>
        <w:rPr>
          <w:rStyle w:val="Hyperlink"/>
          <w:rFonts w:eastAsia="Times New Roman" w:cs="Arial"/>
          <w:noProof/>
          <w:color w:val="auto"/>
          <w:sz w:val="20"/>
          <w:szCs w:val="20"/>
          <w:highlight w:val="yellow"/>
          <w:lang w:eastAsia="en-AU"/>
        </w:rPr>
      </w:pPr>
    </w:p>
    <w:p w14:paraId="53DF490F" w14:textId="77777777" w:rsidR="00381C3D" w:rsidRPr="00A94147" w:rsidRDefault="00381C3D" w:rsidP="007F171B">
      <w:pPr>
        <w:spacing w:line="276" w:lineRule="auto"/>
        <w:rPr>
          <w:rStyle w:val="Hyperlink"/>
          <w:rFonts w:eastAsia="Times New Roman" w:cs="Arial"/>
          <w:noProof/>
          <w:color w:val="auto"/>
          <w:sz w:val="20"/>
          <w:szCs w:val="20"/>
          <w:highlight w:val="yellow"/>
          <w:lang w:eastAsia="en-AU"/>
        </w:rPr>
      </w:pPr>
    </w:p>
    <w:p w14:paraId="53A8FDD9" w14:textId="77777777" w:rsidR="00381C3D" w:rsidRPr="00A94147" w:rsidRDefault="00381C3D" w:rsidP="007F171B">
      <w:pPr>
        <w:spacing w:line="276" w:lineRule="auto"/>
        <w:rPr>
          <w:rStyle w:val="Hyperlink"/>
          <w:rFonts w:eastAsia="Times New Roman" w:cs="Arial"/>
          <w:noProof/>
          <w:color w:val="auto"/>
          <w:sz w:val="20"/>
          <w:szCs w:val="20"/>
          <w:highlight w:val="yellow"/>
          <w:lang w:eastAsia="en-AU"/>
        </w:rPr>
      </w:pPr>
    </w:p>
    <w:p w14:paraId="626ADEFF" w14:textId="77777777" w:rsidR="00381C3D" w:rsidRPr="00A94147" w:rsidRDefault="00381C3D" w:rsidP="007F171B">
      <w:pPr>
        <w:spacing w:line="276" w:lineRule="auto"/>
        <w:rPr>
          <w:rStyle w:val="Hyperlink"/>
          <w:rFonts w:eastAsia="Times New Roman" w:cs="Arial"/>
          <w:noProof/>
          <w:color w:val="auto"/>
          <w:sz w:val="20"/>
          <w:szCs w:val="20"/>
          <w:highlight w:val="yellow"/>
          <w:lang w:eastAsia="en-AU"/>
        </w:rPr>
      </w:pPr>
    </w:p>
    <w:p w14:paraId="4C68D5AF" w14:textId="77777777" w:rsidR="00381C3D" w:rsidRPr="00A94147" w:rsidRDefault="00381C3D" w:rsidP="007F171B">
      <w:pPr>
        <w:spacing w:line="276" w:lineRule="auto"/>
        <w:rPr>
          <w:rStyle w:val="Hyperlink"/>
          <w:rFonts w:eastAsia="Times New Roman" w:cs="Arial"/>
          <w:noProof/>
          <w:color w:val="auto"/>
          <w:sz w:val="20"/>
          <w:szCs w:val="20"/>
          <w:highlight w:val="yellow"/>
          <w:lang w:eastAsia="en-AU"/>
        </w:rPr>
      </w:pPr>
    </w:p>
    <w:p w14:paraId="4AF0A397" w14:textId="77777777" w:rsidR="00134108" w:rsidRPr="00A94147" w:rsidRDefault="00134108" w:rsidP="007F171B">
      <w:pPr>
        <w:spacing w:line="276" w:lineRule="auto"/>
        <w:rPr>
          <w:rStyle w:val="Hyperlink"/>
          <w:rFonts w:eastAsia="Times New Roman" w:cs="Arial"/>
          <w:noProof/>
          <w:color w:val="auto"/>
          <w:sz w:val="20"/>
          <w:szCs w:val="20"/>
          <w:highlight w:val="yellow"/>
          <w:lang w:eastAsia="en-AU"/>
        </w:rPr>
      </w:pPr>
    </w:p>
    <w:p w14:paraId="38149A8D" w14:textId="77777777" w:rsidR="00134108" w:rsidRPr="00A94147" w:rsidRDefault="00134108" w:rsidP="007F171B">
      <w:pPr>
        <w:spacing w:line="276" w:lineRule="auto"/>
        <w:rPr>
          <w:rStyle w:val="Hyperlink"/>
          <w:rFonts w:eastAsia="Times New Roman" w:cs="Arial"/>
          <w:noProof/>
          <w:color w:val="auto"/>
          <w:sz w:val="20"/>
          <w:szCs w:val="20"/>
          <w:highlight w:val="yellow"/>
          <w:lang w:eastAsia="en-AU"/>
        </w:rPr>
      </w:pPr>
    </w:p>
    <w:p w14:paraId="14434FC4" w14:textId="77777777" w:rsidR="00056E19" w:rsidRPr="00A94147" w:rsidRDefault="00056E19" w:rsidP="007F171B">
      <w:pPr>
        <w:tabs>
          <w:tab w:val="right" w:leader="dot" w:pos="8302"/>
        </w:tabs>
        <w:spacing w:line="276" w:lineRule="auto"/>
        <w:rPr>
          <w:rFonts w:cs="Arial"/>
          <w:noProof/>
          <w:webHidden/>
          <w:sz w:val="20"/>
          <w:szCs w:val="20"/>
          <w:highlight w:val="yellow"/>
        </w:rPr>
      </w:pPr>
    </w:p>
    <w:p w14:paraId="0640B96F" w14:textId="4B8E758E" w:rsidR="00C743A7" w:rsidRPr="00A94147" w:rsidRDefault="00C743A7" w:rsidP="007F171B">
      <w:pPr>
        <w:spacing w:line="276" w:lineRule="auto"/>
        <w:rPr>
          <w:rFonts w:cs="Arial"/>
          <w:sz w:val="20"/>
          <w:szCs w:val="20"/>
          <w:highlight w:val="yellow"/>
        </w:rPr>
      </w:pPr>
    </w:p>
    <w:p w14:paraId="7C167C8F" w14:textId="1E15B93E" w:rsidR="00C743A7" w:rsidRPr="00920721" w:rsidRDefault="00C743A7" w:rsidP="007F171B">
      <w:pPr>
        <w:pStyle w:val="NormalWeb"/>
        <w:spacing w:before="120" w:beforeAutospacing="0" w:after="120" w:afterAutospacing="0" w:line="276" w:lineRule="auto"/>
        <w:rPr>
          <w:rFonts w:ascii="Arial" w:hAnsi="Arial" w:cs="Arial"/>
          <w:sz w:val="16"/>
          <w:szCs w:val="16"/>
        </w:rPr>
      </w:pPr>
      <w:r w:rsidRPr="00920721">
        <w:rPr>
          <w:rFonts w:ascii="Arial" w:hAnsi="Arial" w:cs="Arial"/>
          <w:sz w:val="16"/>
          <w:szCs w:val="16"/>
        </w:rPr>
        <w:t xml:space="preserve">© Copyright Commonwealth of Australia, </w:t>
      </w:r>
      <w:r w:rsidR="00D232A5" w:rsidRPr="00920721">
        <w:rPr>
          <w:rFonts w:ascii="Arial" w:hAnsi="Arial" w:cs="Arial"/>
          <w:sz w:val="16"/>
          <w:szCs w:val="16"/>
        </w:rPr>
        <w:t>2020</w:t>
      </w:r>
      <w:r w:rsidRPr="00920721">
        <w:rPr>
          <w:rFonts w:ascii="Arial" w:hAnsi="Arial" w:cs="Arial"/>
          <w:sz w:val="16"/>
          <w:szCs w:val="16"/>
        </w:rPr>
        <w:t>.</w:t>
      </w:r>
    </w:p>
    <w:p w14:paraId="05B584B8" w14:textId="77777777" w:rsidR="00C743A7" w:rsidRPr="00920721" w:rsidRDefault="00C743A7" w:rsidP="007F171B">
      <w:pPr>
        <w:pStyle w:val="NormalWeb"/>
        <w:spacing w:before="120" w:beforeAutospacing="0" w:after="120" w:afterAutospacing="0" w:line="276" w:lineRule="auto"/>
        <w:rPr>
          <w:rFonts w:ascii="Arial" w:hAnsi="Arial" w:cs="Arial"/>
          <w:i/>
          <w:sz w:val="16"/>
          <w:szCs w:val="16"/>
        </w:rPr>
      </w:pPr>
      <w:r w:rsidRPr="00920721">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0"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1430CFEF" w:rsidR="00C743A7" w:rsidRPr="00920721" w:rsidRDefault="00C743A7" w:rsidP="007F171B">
      <w:pPr>
        <w:pStyle w:val="NormalWeb"/>
        <w:spacing w:before="120" w:beforeAutospacing="0" w:after="120" w:afterAutospacing="0" w:line="276" w:lineRule="auto"/>
        <w:rPr>
          <w:rFonts w:ascii="Arial" w:hAnsi="Arial" w:cs="Arial"/>
          <w:sz w:val="16"/>
          <w:szCs w:val="16"/>
        </w:rPr>
      </w:pPr>
      <w:r w:rsidRPr="00920721">
        <w:rPr>
          <w:rFonts w:ascii="Arial" w:hAnsi="Arial" w:cs="Arial"/>
          <w:i/>
          <w:sz w:val="16"/>
          <w:szCs w:val="16"/>
        </w:rPr>
        <w:t xml:space="preserve">Assessment of the </w:t>
      </w:r>
      <w:r w:rsidR="000930C1" w:rsidRPr="00920721">
        <w:rPr>
          <w:rFonts w:ascii="Arial" w:hAnsi="Arial" w:cs="Arial"/>
          <w:i/>
          <w:sz w:val="16"/>
          <w:szCs w:val="16"/>
        </w:rPr>
        <w:t>Queensland Sea Cucumber Fishery</w:t>
      </w:r>
      <w:r w:rsidR="00BF3D43">
        <w:rPr>
          <w:rFonts w:ascii="Arial" w:hAnsi="Arial" w:cs="Arial"/>
          <w:i/>
          <w:sz w:val="16"/>
          <w:szCs w:val="16"/>
        </w:rPr>
        <w:t xml:space="preserve"> </w:t>
      </w:r>
      <w:r w:rsidR="00BF3D43" w:rsidRPr="00920721">
        <w:rPr>
          <w:rFonts w:ascii="Arial" w:hAnsi="Arial" w:cs="Arial"/>
          <w:i/>
          <w:sz w:val="16"/>
          <w:szCs w:val="16"/>
        </w:rPr>
        <w:t>(East Coast)</w:t>
      </w:r>
      <w:r w:rsidRPr="00920721">
        <w:rPr>
          <w:rFonts w:ascii="Arial" w:hAnsi="Arial" w:cs="Arial"/>
          <w:i/>
          <w:sz w:val="16"/>
          <w:szCs w:val="16"/>
        </w:rPr>
        <w:t xml:space="preserve"> </w:t>
      </w:r>
      <w:r w:rsidR="00CE765A">
        <w:rPr>
          <w:rFonts w:ascii="Arial" w:hAnsi="Arial" w:cs="Arial"/>
          <w:i/>
          <w:sz w:val="16"/>
          <w:szCs w:val="16"/>
        </w:rPr>
        <w:t>September</w:t>
      </w:r>
      <w:r w:rsidR="00E04D5B" w:rsidRPr="00920721">
        <w:rPr>
          <w:rFonts w:ascii="Arial" w:hAnsi="Arial" w:cs="Arial"/>
          <w:i/>
          <w:sz w:val="16"/>
          <w:szCs w:val="16"/>
        </w:rPr>
        <w:t xml:space="preserve"> </w:t>
      </w:r>
      <w:r w:rsidR="00D232A5" w:rsidRPr="00920721">
        <w:rPr>
          <w:rFonts w:ascii="Arial" w:hAnsi="Arial" w:cs="Arial"/>
          <w:i/>
          <w:sz w:val="16"/>
          <w:szCs w:val="16"/>
        </w:rPr>
        <w:t>2020</w:t>
      </w:r>
      <w:r w:rsidR="00056E19" w:rsidRPr="00920721">
        <w:rPr>
          <w:rFonts w:ascii="Arial" w:hAnsi="Arial" w:cs="Arial"/>
          <w:i/>
          <w:sz w:val="16"/>
          <w:szCs w:val="16"/>
        </w:rPr>
        <w:t xml:space="preserve"> </w:t>
      </w:r>
      <w:r w:rsidRPr="00920721">
        <w:rPr>
          <w:rFonts w:ascii="Arial" w:hAnsi="Arial" w:cs="Arial"/>
          <w:sz w:val="16"/>
          <w:szCs w:val="16"/>
        </w:rPr>
        <w:t xml:space="preserve">is licensed by the Commonwealth of Australia for use under a Creative Commons By Attribution 3.0 Australia </w:t>
      </w:r>
      <w:proofErr w:type="spellStart"/>
      <w:r w:rsidRPr="00920721">
        <w:rPr>
          <w:rFonts w:ascii="Arial" w:hAnsi="Arial" w:cs="Arial"/>
          <w:sz w:val="16"/>
          <w:szCs w:val="16"/>
        </w:rPr>
        <w:t>licence</w:t>
      </w:r>
      <w:proofErr w:type="spellEnd"/>
      <w:r w:rsidRPr="00920721">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920721">
        <w:rPr>
          <w:rFonts w:ascii="Arial" w:hAnsi="Arial" w:cs="Arial"/>
          <w:sz w:val="16"/>
          <w:szCs w:val="16"/>
        </w:rPr>
        <w:t>licence</w:t>
      </w:r>
      <w:proofErr w:type="spellEnd"/>
      <w:r w:rsidRPr="00920721">
        <w:rPr>
          <w:rFonts w:ascii="Arial" w:hAnsi="Arial" w:cs="Arial"/>
          <w:sz w:val="16"/>
          <w:szCs w:val="16"/>
        </w:rPr>
        <w:t xml:space="preserve"> conditions see: http://creativecommons.org/licenses/by/3.0/au/.</w:t>
      </w:r>
    </w:p>
    <w:p w14:paraId="6F619313" w14:textId="2FA5C889" w:rsidR="00C743A7" w:rsidRPr="00920721" w:rsidRDefault="00C743A7" w:rsidP="007F171B">
      <w:pPr>
        <w:pStyle w:val="NormalWeb"/>
        <w:spacing w:before="120" w:beforeAutospacing="0" w:after="120" w:afterAutospacing="0" w:line="276" w:lineRule="auto"/>
        <w:rPr>
          <w:rFonts w:ascii="Arial" w:hAnsi="Arial" w:cs="Arial"/>
          <w:sz w:val="16"/>
          <w:szCs w:val="16"/>
        </w:rPr>
      </w:pPr>
      <w:r w:rsidRPr="00920721">
        <w:rPr>
          <w:rFonts w:ascii="Arial" w:hAnsi="Arial" w:cs="Arial"/>
          <w:sz w:val="16"/>
          <w:szCs w:val="16"/>
        </w:rPr>
        <w:t>This report should be attributed as ‘</w:t>
      </w:r>
      <w:r w:rsidRPr="00920721">
        <w:rPr>
          <w:rFonts w:ascii="Arial" w:hAnsi="Arial" w:cs="Arial"/>
          <w:i/>
          <w:sz w:val="16"/>
          <w:szCs w:val="16"/>
        </w:rPr>
        <w:t xml:space="preserve">Assessment of the </w:t>
      </w:r>
      <w:r w:rsidR="000930C1" w:rsidRPr="00920721">
        <w:rPr>
          <w:rFonts w:ascii="Arial" w:hAnsi="Arial" w:cs="Arial"/>
          <w:i/>
          <w:sz w:val="16"/>
          <w:szCs w:val="16"/>
        </w:rPr>
        <w:t>Queensland Sea Cucumber Fishery</w:t>
      </w:r>
      <w:r w:rsidR="00BF3D43">
        <w:rPr>
          <w:rFonts w:ascii="Arial" w:hAnsi="Arial" w:cs="Arial"/>
          <w:i/>
          <w:sz w:val="16"/>
          <w:szCs w:val="16"/>
        </w:rPr>
        <w:t xml:space="preserve"> </w:t>
      </w:r>
      <w:r w:rsidR="00BF3D43" w:rsidRPr="00920721">
        <w:rPr>
          <w:rFonts w:ascii="Arial" w:hAnsi="Arial" w:cs="Arial"/>
          <w:i/>
          <w:sz w:val="16"/>
          <w:szCs w:val="16"/>
        </w:rPr>
        <w:t>(East Coast)</w:t>
      </w:r>
      <w:r w:rsidRPr="00920721">
        <w:rPr>
          <w:rFonts w:ascii="Arial" w:hAnsi="Arial" w:cs="Arial"/>
          <w:i/>
          <w:sz w:val="16"/>
          <w:szCs w:val="16"/>
        </w:rPr>
        <w:t xml:space="preserve"> </w:t>
      </w:r>
      <w:r w:rsidR="00F428C1">
        <w:rPr>
          <w:rFonts w:ascii="Arial" w:hAnsi="Arial" w:cs="Arial"/>
          <w:i/>
          <w:sz w:val="16"/>
          <w:szCs w:val="16"/>
        </w:rPr>
        <w:t>September</w:t>
      </w:r>
      <w:r w:rsidR="00395513" w:rsidRPr="00920721">
        <w:rPr>
          <w:rFonts w:ascii="Arial" w:hAnsi="Arial" w:cs="Arial"/>
          <w:i/>
          <w:sz w:val="16"/>
          <w:szCs w:val="16"/>
        </w:rPr>
        <w:t xml:space="preserve"> </w:t>
      </w:r>
      <w:r w:rsidR="00D232A5" w:rsidRPr="00920721">
        <w:rPr>
          <w:rFonts w:ascii="Arial" w:hAnsi="Arial" w:cs="Arial"/>
          <w:i/>
          <w:sz w:val="16"/>
          <w:szCs w:val="16"/>
        </w:rPr>
        <w:t>2020</w:t>
      </w:r>
      <w:r w:rsidRPr="00920721">
        <w:rPr>
          <w:rFonts w:ascii="Arial" w:hAnsi="Arial" w:cs="Arial"/>
          <w:sz w:val="16"/>
          <w:szCs w:val="16"/>
        </w:rPr>
        <w:t xml:space="preserve">, Commonwealth of Australia </w:t>
      </w:r>
      <w:r w:rsidR="00D232A5" w:rsidRPr="00920721">
        <w:rPr>
          <w:rFonts w:ascii="Arial" w:hAnsi="Arial" w:cs="Arial"/>
          <w:sz w:val="16"/>
          <w:szCs w:val="16"/>
        </w:rPr>
        <w:t>2020</w:t>
      </w:r>
      <w:r w:rsidR="004649FA" w:rsidRPr="00920721">
        <w:rPr>
          <w:rFonts w:ascii="Arial" w:hAnsi="Arial" w:cs="Arial"/>
          <w:sz w:val="16"/>
          <w:szCs w:val="16"/>
        </w:rPr>
        <w:t>’</w:t>
      </w:r>
      <w:r w:rsidRPr="00920721">
        <w:rPr>
          <w:rFonts w:ascii="Arial" w:hAnsi="Arial" w:cs="Arial"/>
          <w:sz w:val="16"/>
          <w:szCs w:val="16"/>
        </w:rPr>
        <w:t>.</w:t>
      </w:r>
    </w:p>
    <w:p w14:paraId="0D5442F5" w14:textId="5306C88B" w:rsidR="00C743A7" w:rsidRPr="00920721" w:rsidRDefault="00C743A7" w:rsidP="007F171B">
      <w:pPr>
        <w:pStyle w:val="NormalWeb"/>
        <w:spacing w:before="120" w:beforeAutospacing="0" w:after="120" w:afterAutospacing="0" w:line="276" w:lineRule="auto"/>
        <w:rPr>
          <w:rFonts w:ascii="Arial" w:hAnsi="Arial" w:cs="Arial"/>
          <w:sz w:val="20"/>
          <w:szCs w:val="20"/>
          <w:lang w:val="en-AU"/>
        </w:rPr>
      </w:pPr>
    </w:p>
    <w:p w14:paraId="749958A3" w14:textId="77777777" w:rsidR="00C743A7" w:rsidRPr="00920721" w:rsidRDefault="00C743A7" w:rsidP="007F171B">
      <w:pPr>
        <w:spacing w:line="276" w:lineRule="auto"/>
        <w:rPr>
          <w:rFonts w:cs="Arial"/>
          <w:b/>
          <w:sz w:val="16"/>
          <w:szCs w:val="16"/>
        </w:rPr>
      </w:pPr>
      <w:r w:rsidRPr="00920721">
        <w:rPr>
          <w:rFonts w:cs="Arial"/>
          <w:b/>
          <w:sz w:val="16"/>
          <w:szCs w:val="16"/>
        </w:rPr>
        <w:t>Disclaimer</w:t>
      </w:r>
    </w:p>
    <w:p w14:paraId="39EA68CA" w14:textId="065EDAFA" w:rsidR="00C743A7" w:rsidRPr="00920721" w:rsidRDefault="00C743A7" w:rsidP="007F171B">
      <w:pPr>
        <w:pStyle w:val="NormalWeb"/>
        <w:spacing w:before="120" w:beforeAutospacing="0" w:after="120" w:afterAutospacing="0" w:line="276" w:lineRule="auto"/>
        <w:rPr>
          <w:rFonts w:ascii="Arial" w:hAnsi="Arial" w:cs="Arial"/>
          <w:sz w:val="16"/>
          <w:szCs w:val="16"/>
          <w:lang w:val="en-AU"/>
        </w:rPr>
      </w:pPr>
      <w:r w:rsidRPr="00920721">
        <w:rPr>
          <w:rFonts w:ascii="Arial" w:hAnsi="Arial" w:cs="Arial"/>
          <w:sz w:val="16"/>
          <w:szCs w:val="16"/>
          <w:lang w:val="en-AU"/>
        </w:rPr>
        <w:t xml:space="preserve">This document is an assessment carried out by the </w:t>
      </w:r>
      <w:r w:rsidR="001D7069" w:rsidRPr="00920721">
        <w:rPr>
          <w:rFonts w:ascii="Arial" w:hAnsi="Arial" w:cs="Arial"/>
          <w:sz w:val="16"/>
          <w:szCs w:val="16"/>
          <w:lang w:val="en-AU"/>
        </w:rPr>
        <w:t xml:space="preserve">Department of Agriculture, </w:t>
      </w:r>
      <w:proofErr w:type="gramStart"/>
      <w:r w:rsidR="001D7069" w:rsidRPr="00920721">
        <w:rPr>
          <w:rFonts w:ascii="Arial" w:hAnsi="Arial" w:cs="Arial"/>
          <w:sz w:val="16"/>
          <w:szCs w:val="16"/>
          <w:lang w:val="en-AU"/>
        </w:rPr>
        <w:t>Water</w:t>
      </w:r>
      <w:proofErr w:type="gramEnd"/>
      <w:r w:rsidR="001D7069" w:rsidRPr="00920721">
        <w:rPr>
          <w:rFonts w:ascii="Arial" w:hAnsi="Arial" w:cs="Arial"/>
          <w:sz w:val="16"/>
          <w:szCs w:val="16"/>
          <w:lang w:val="en-AU"/>
        </w:rPr>
        <w:t xml:space="preserve"> and the Environment</w:t>
      </w:r>
      <w:r w:rsidRPr="00920721">
        <w:rPr>
          <w:rFonts w:ascii="Arial" w:hAnsi="Arial" w:cs="Arial"/>
          <w:sz w:val="16"/>
          <w:szCs w:val="16"/>
          <w:lang w:val="en-AU"/>
        </w:rPr>
        <w:t xml:space="preserve"> of a commercial fishery against the Australian Government </w:t>
      </w:r>
      <w:r w:rsidRPr="00920721">
        <w:rPr>
          <w:rFonts w:ascii="Arial" w:hAnsi="Arial" w:cs="Arial"/>
          <w:i/>
          <w:sz w:val="16"/>
          <w:szCs w:val="16"/>
          <w:lang w:val="en-AU"/>
        </w:rPr>
        <w:t>Guidelines for the Ecologically Sustainable Management of Fisheries – 2nd Edition</w:t>
      </w:r>
      <w:r w:rsidRPr="00920721">
        <w:rPr>
          <w:rFonts w:ascii="Arial" w:hAnsi="Arial" w:cs="Arial"/>
          <w:sz w:val="16"/>
          <w:szCs w:val="16"/>
          <w:lang w:val="en-AU"/>
        </w:rPr>
        <w:t xml:space="preserve">. It forms part of the advice provided to the Minister for the Environment on the fishery in relation to decisions under Parts 13 and 13A of the </w:t>
      </w:r>
      <w:r w:rsidRPr="00920721">
        <w:rPr>
          <w:rFonts w:ascii="Arial" w:hAnsi="Arial" w:cs="Arial"/>
          <w:i/>
          <w:sz w:val="16"/>
          <w:szCs w:val="16"/>
          <w:lang w:val="en-AU"/>
        </w:rPr>
        <w:t>Environment Protection and Biodiversity Conservation Act 1999</w:t>
      </w:r>
      <w:r w:rsidRPr="00920721">
        <w:rPr>
          <w:rFonts w:ascii="Arial" w:hAnsi="Arial" w:cs="Arial"/>
          <w:sz w:val="16"/>
          <w:szCs w:val="16"/>
          <w:lang w:val="en-AU"/>
        </w:rPr>
        <w:t>. The views expressed do not necessarily reflect those of the Minister for the Environment or the Australian Government.</w:t>
      </w:r>
    </w:p>
    <w:p w14:paraId="70C2E5B8" w14:textId="77777777" w:rsidR="00C743A7" w:rsidRPr="00920721" w:rsidRDefault="00C743A7" w:rsidP="007F171B">
      <w:pPr>
        <w:spacing w:line="276" w:lineRule="auto"/>
        <w:rPr>
          <w:rFonts w:cs="Arial"/>
          <w:color w:val="000000"/>
          <w:sz w:val="16"/>
          <w:szCs w:val="16"/>
        </w:rPr>
      </w:pPr>
      <w:r w:rsidRPr="00920721">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A94147" w:rsidRDefault="00574DD7" w:rsidP="007F171B">
      <w:pPr>
        <w:spacing w:line="276" w:lineRule="auto"/>
        <w:rPr>
          <w:rFonts w:cs="Arial"/>
          <w:sz w:val="16"/>
          <w:szCs w:val="16"/>
          <w:highlight w:val="yellow"/>
        </w:rPr>
      </w:pPr>
    </w:p>
    <w:p w14:paraId="7FF3C9F6" w14:textId="68EA5F38" w:rsidR="00C743A7" w:rsidRPr="00A94147" w:rsidRDefault="00C743A7" w:rsidP="007F171B">
      <w:pPr>
        <w:pStyle w:val="Heading1"/>
        <w:spacing w:after="0"/>
        <w:rPr>
          <w:rFonts w:ascii="Arial" w:hAnsi="Arial"/>
          <w:highlight w:val="yellow"/>
        </w:rPr>
      </w:pPr>
    </w:p>
    <w:p w14:paraId="4546424F" w14:textId="77777777" w:rsidR="00134108" w:rsidRPr="00A94147" w:rsidRDefault="00134108" w:rsidP="007F171B">
      <w:pPr>
        <w:spacing w:line="276" w:lineRule="auto"/>
        <w:rPr>
          <w:rFonts w:cs="Arial"/>
          <w:b/>
          <w:highlight w:val="yellow"/>
        </w:rPr>
        <w:sectPr w:rsidR="00134108" w:rsidRPr="00A94147" w:rsidSect="001955CD">
          <w:headerReference w:type="first" r:id="rId11"/>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sz w:val="22"/>
          <w:szCs w:val="22"/>
          <w:highlight w:val="yellow"/>
          <w:lang w:val="en-AU"/>
        </w:rPr>
        <w:id w:val="992149566"/>
        <w:docPartObj>
          <w:docPartGallery w:val="Table of Contents"/>
          <w:docPartUnique/>
        </w:docPartObj>
      </w:sdtPr>
      <w:sdtEndPr>
        <w:rPr>
          <w:noProof/>
        </w:rPr>
      </w:sdtEndPr>
      <w:sdtContent>
        <w:p w14:paraId="0DCB5FF7" w14:textId="5A26B87E" w:rsidR="00134108" w:rsidRPr="004C2922" w:rsidRDefault="00134108" w:rsidP="007F171B">
          <w:pPr>
            <w:pStyle w:val="TOCHeading"/>
            <w:spacing w:after="120"/>
            <w:rPr>
              <w:rFonts w:ascii="Arial" w:eastAsia="Calibri" w:hAnsi="Arial" w:cs="Arial"/>
              <w:caps/>
              <w:sz w:val="22"/>
              <w:szCs w:val="22"/>
              <w:lang w:val="en-AU"/>
            </w:rPr>
          </w:pPr>
          <w:r w:rsidRPr="004C2922">
            <w:rPr>
              <w:rFonts w:ascii="Arial" w:eastAsia="Calibri" w:hAnsi="Arial" w:cs="Arial"/>
              <w:caps/>
              <w:sz w:val="22"/>
              <w:szCs w:val="22"/>
              <w:lang w:val="en-AU"/>
            </w:rPr>
            <w:t>CONTENTS</w:t>
          </w:r>
        </w:p>
        <w:p w14:paraId="1440F9D9" w14:textId="4B329760" w:rsidR="0009712D" w:rsidRPr="00A31BA0" w:rsidRDefault="00134108" w:rsidP="00A31BA0">
          <w:pPr>
            <w:pStyle w:val="TOC1"/>
            <w:rPr>
              <w:rFonts w:ascii="Arial" w:eastAsiaTheme="minorEastAsia" w:hAnsi="Arial" w:cs="Arial"/>
              <w:sz w:val="22"/>
              <w:szCs w:val="22"/>
            </w:rPr>
          </w:pPr>
          <w:r w:rsidRPr="00A31BA0">
            <w:rPr>
              <w:b/>
              <w:highlight w:val="yellow"/>
            </w:rPr>
            <w:fldChar w:fldCharType="begin"/>
          </w:r>
          <w:r w:rsidRPr="00A31BA0">
            <w:rPr>
              <w:b/>
              <w:highlight w:val="yellow"/>
            </w:rPr>
            <w:instrText xml:space="preserve"> TOC \o "1-3" \h \z \u </w:instrText>
          </w:r>
          <w:r w:rsidRPr="00A31BA0">
            <w:rPr>
              <w:b/>
              <w:highlight w:val="yellow"/>
            </w:rPr>
            <w:fldChar w:fldCharType="separate"/>
          </w:r>
          <w:hyperlink w:anchor="_Toc51057515" w:history="1">
            <w:r w:rsidR="0009712D" w:rsidRPr="00A31BA0">
              <w:rPr>
                <w:rStyle w:val="Hyperlink"/>
                <w:rFonts w:ascii="Arial" w:hAnsi="Arial" w:cs="Arial"/>
                <w:sz w:val="22"/>
                <w:szCs w:val="22"/>
              </w:rPr>
              <w:t>Assessment Summary</w:t>
            </w:r>
            <w:r w:rsidR="0009712D" w:rsidRPr="00A31BA0">
              <w:rPr>
                <w:rFonts w:ascii="Arial" w:hAnsi="Arial" w:cs="Arial"/>
                <w:webHidden/>
                <w:sz w:val="22"/>
                <w:szCs w:val="22"/>
              </w:rPr>
              <w:tab/>
            </w:r>
            <w:r w:rsidR="0009712D" w:rsidRPr="00A31BA0">
              <w:rPr>
                <w:rFonts w:ascii="Arial" w:hAnsi="Arial" w:cs="Arial"/>
                <w:webHidden/>
                <w:sz w:val="22"/>
                <w:szCs w:val="22"/>
              </w:rPr>
              <w:fldChar w:fldCharType="begin"/>
            </w:r>
            <w:r w:rsidR="0009712D" w:rsidRPr="00A31BA0">
              <w:rPr>
                <w:rFonts w:ascii="Arial" w:hAnsi="Arial" w:cs="Arial"/>
                <w:webHidden/>
                <w:sz w:val="22"/>
                <w:szCs w:val="22"/>
              </w:rPr>
              <w:instrText xml:space="preserve"> PAGEREF _Toc51057515 \h </w:instrText>
            </w:r>
            <w:r w:rsidR="0009712D" w:rsidRPr="00A31BA0">
              <w:rPr>
                <w:rFonts w:ascii="Arial" w:hAnsi="Arial" w:cs="Arial"/>
                <w:webHidden/>
                <w:sz w:val="22"/>
                <w:szCs w:val="22"/>
              </w:rPr>
            </w:r>
            <w:r w:rsidR="0009712D" w:rsidRPr="00A31BA0">
              <w:rPr>
                <w:rFonts w:ascii="Arial" w:hAnsi="Arial" w:cs="Arial"/>
                <w:webHidden/>
                <w:sz w:val="22"/>
                <w:szCs w:val="22"/>
              </w:rPr>
              <w:fldChar w:fldCharType="separate"/>
            </w:r>
            <w:r w:rsidR="008D1411">
              <w:rPr>
                <w:rFonts w:ascii="Arial" w:hAnsi="Arial" w:cs="Arial"/>
                <w:webHidden/>
                <w:sz w:val="22"/>
                <w:szCs w:val="22"/>
              </w:rPr>
              <w:t>3</w:t>
            </w:r>
            <w:r w:rsidR="0009712D" w:rsidRPr="00A31BA0">
              <w:rPr>
                <w:rFonts w:ascii="Arial" w:hAnsi="Arial" w:cs="Arial"/>
                <w:webHidden/>
                <w:sz w:val="22"/>
                <w:szCs w:val="22"/>
              </w:rPr>
              <w:fldChar w:fldCharType="end"/>
            </w:r>
          </w:hyperlink>
        </w:p>
        <w:p w14:paraId="1BBDBDA5" w14:textId="0E1CC2A7" w:rsidR="0009712D" w:rsidRPr="00A31BA0" w:rsidRDefault="00D720FA" w:rsidP="00A31BA0">
          <w:pPr>
            <w:pStyle w:val="TOC1"/>
            <w:rPr>
              <w:rFonts w:ascii="Arial" w:eastAsiaTheme="minorEastAsia" w:hAnsi="Arial" w:cs="Arial"/>
              <w:sz w:val="22"/>
              <w:szCs w:val="22"/>
            </w:rPr>
          </w:pPr>
          <w:hyperlink w:anchor="_Toc51057516" w:history="1">
            <w:r w:rsidR="0009712D" w:rsidRPr="00A31BA0">
              <w:rPr>
                <w:rStyle w:val="Hyperlink"/>
                <w:rFonts w:ascii="Arial" w:hAnsi="Arial" w:cs="Arial"/>
                <w:sz w:val="22"/>
                <w:szCs w:val="22"/>
              </w:rPr>
              <w:t>Section 1: Assessment Summary</w:t>
            </w:r>
            <w:r w:rsidR="0009712D" w:rsidRPr="00A31BA0">
              <w:rPr>
                <w:rFonts w:ascii="Arial" w:hAnsi="Arial" w:cs="Arial"/>
                <w:webHidden/>
                <w:sz w:val="22"/>
                <w:szCs w:val="22"/>
              </w:rPr>
              <w:tab/>
            </w:r>
            <w:r w:rsidR="0009712D" w:rsidRPr="00A31BA0">
              <w:rPr>
                <w:rFonts w:ascii="Arial" w:hAnsi="Arial" w:cs="Arial"/>
                <w:webHidden/>
                <w:sz w:val="22"/>
                <w:szCs w:val="22"/>
              </w:rPr>
              <w:fldChar w:fldCharType="begin"/>
            </w:r>
            <w:r w:rsidR="0009712D" w:rsidRPr="00A31BA0">
              <w:rPr>
                <w:rFonts w:ascii="Arial" w:hAnsi="Arial" w:cs="Arial"/>
                <w:webHidden/>
                <w:sz w:val="22"/>
                <w:szCs w:val="22"/>
              </w:rPr>
              <w:instrText xml:space="preserve"> PAGEREF _Toc51057516 \h </w:instrText>
            </w:r>
            <w:r w:rsidR="0009712D" w:rsidRPr="00A31BA0">
              <w:rPr>
                <w:rFonts w:ascii="Arial" w:hAnsi="Arial" w:cs="Arial"/>
                <w:webHidden/>
                <w:sz w:val="22"/>
                <w:szCs w:val="22"/>
              </w:rPr>
            </w:r>
            <w:r w:rsidR="0009712D" w:rsidRPr="00A31BA0">
              <w:rPr>
                <w:rFonts w:ascii="Arial" w:hAnsi="Arial" w:cs="Arial"/>
                <w:webHidden/>
                <w:sz w:val="22"/>
                <w:szCs w:val="22"/>
              </w:rPr>
              <w:fldChar w:fldCharType="separate"/>
            </w:r>
            <w:r w:rsidR="008D1411">
              <w:rPr>
                <w:rFonts w:ascii="Arial" w:hAnsi="Arial" w:cs="Arial"/>
                <w:webHidden/>
                <w:sz w:val="22"/>
                <w:szCs w:val="22"/>
              </w:rPr>
              <w:t>6</w:t>
            </w:r>
            <w:r w:rsidR="0009712D" w:rsidRPr="00A31BA0">
              <w:rPr>
                <w:rFonts w:ascii="Arial" w:hAnsi="Arial" w:cs="Arial"/>
                <w:webHidden/>
                <w:sz w:val="22"/>
                <w:szCs w:val="22"/>
              </w:rPr>
              <w:fldChar w:fldCharType="end"/>
            </w:r>
          </w:hyperlink>
        </w:p>
        <w:p w14:paraId="5921252D" w14:textId="20E62D75" w:rsidR="0009712D" w:rsidRPr="00A31BA0" w:rsidRDefault="00D720FA" w:rsidP="00A31BA0">
          <w:pPr>
            <w:pStyle w:val="TOC1"/>
            <w:rPr>
              <w:rFonts w:ascii="Arial" w:eastAsiaTheme="minorEastAsia" w:hAnsi="Arial" w:cs="Arial"/>
              <w:sz w:val="22"/>
              <w:szCs w:val="22"/>
            </w:rPr>
          </w:pPr>
          <w:hyperlink w:anchor="_Toc51057517" w:history="1">
            <w:r w:rsidR="0009712D" w:rsidRPr="00A31BA0">
              <w:rPr>
                <w:rStyle w:val="Hyperlink"/>
                <w:rFonts w:ascii="Arial" w:hAnsi="Arial" w:cs="Arial"/>
                <w:sz w:val="22"/>
                <w:szCs w:val="22"/>
              </w:rPr>
              <w:t>Assessment history</w:t>
            </w:r>
            <w:r w:rsidR="0009712D" w:rsidRPr="00A31BA0">
              <w:rPr>
                <w:rFonts w:ascii="Arial" w:hAnsi="Arial" w:cs="Arial"/>
                <w:webHidden/>
                <w:sz w:val="22"/>
                <w:szCs w:val="22"/>
              </w:rPr>
              <w:tab/>
            </w:r>
            <w:r w:rsidR="0009712D" w:rsidRPr="00A31BA0">
              <w:rPr>
                <w:rFonts w:ascii="Arial" w:hAnsi="Arial" w:cs="Arial"/>
                <w:webHidden/>
                <w:sz w:val="22"/>
                <w:szCs w:val="22"/>
              </w:rPr>
              <w:fldChar w:fldCharType="begin"/>
            </w:r>
            <w:r w:rsidR="0009712D" w:rsidRPr="00A31BA0">
              <w:rPr>
                <w:rFonts w:ascii="Arial" w:hAnsi="Arial" w:cs="Arial"/>
                <w:webHidden/>
                <w:sz w:val="22"/>
                <w:szCs w:val="22"/>
              </w:rPr>
              <w:instrText xml:space="preserve"> PAGEREF _Toc51057517 \h </w:instrText>
            </w:r>
            <w:r w:rsidR="0009712D" w:rsidRPr="00A31BA0">
              <w:rPr>
                <w:rFonts w:ascii="Arial" w:hAnsi="Arial" w:cs="Arial"/>
                <w:webHidden/>
                <w:sz w:val="22"/>
                <w:szCs w:val="22"/>
              </w:rPr>
            </w:r>
            <w:r w:rsidR="0009712D" w:rsidRPr="00A31BA0">
              <w:rPr>
                <w:rFonts w:ascii="Arial" w:hAnsi="Arial" w:cs="Arial"/>
                <w:webHidden/>
                <w:sz w:val="22"/>
                <w:szCs w:val="22"/>
              </w:rPr>
              <w:fldChar w:fldCharType="separate"/>
            </w:r>
            <w:r w:rsidR="008D1411">
              <w:rPr>
                <w:rFonts w:ascii="Arial" w:hAnsi="Arial" w:cs="Arial"/>
                <w:webHidden/>
                <w:sz w:val="22"/>
                <w:szCs w:val="22"/>
              </w:rPr>
              <w:t>7</w:t>
            </w:r>
            <w:r w:rsidR="0009712D" w:rsidRPr="00A31BA0">
              <w:rPr>
                <w:rFonts w:ascii="Arial" w:hAnsi="Arial" w:cs="Arial"/>
                <w:webHidden/>
                <w:sz w:val="22"/>
                <w:szCs w:val="22"/>
              </w:rPr>
              <w:fldChar w:fldCharType="end"/>
            </w:r>
          </w:hyperlink>
        </w:p>
        <w:p w14:paraId="679C1F10" w14:textId="4CADD587" w:rsidR="0009712D" w:rsidRPr="00A31BA0" w:rsidRDefault="00D720FA" w:rsidP="00A31BA0">
          <w:pPr>
            <w:pStyle w:val="TOC1"/>
            <w:rPr>
              <w:rFonts w:ascii="Arial" w:eastAsiaTheme="minorEastAsia" w:hAnsi="Arial" w:cs="Arial"/>
              <w:sz w:val="22"/>
              <w:szCs w:val="22"/>
            </w:rPr>
          </w:pPr>
          <w:hyperlink w:anchor="_Toc51057518" w:history="1">
            <w:r w:rsidR="0009712D" w:rsidRPr="00A31BA0">
              <w:rPr>
                <w:rStyle w:val="Hyperlink"/>
                <w:rFonts w:ascii="Arial" w:hAnsi="Arial" w:cs="Arial"/>
                <w:sz w:val="22"/>
                <w:szCs w:val="22"/>
              </w:rPr>
              <w:t>Section 2: Summary of issues and conditions</w:t>
            </w:r>
            <w:r w:rsidR="0009712D" w:rsidRPr="00A31BA0">
              <w:rPr>
                <w:rFonts w:ascii="Arial" w:hAnsi="Arial" w:cs="Arial"/>
                <w:webHidden/>
                <w:sz w:val="22"/>
                <w:szCs w:val="22"/>
              </w:rPr>
              <w:tab/>
            </w:r>
            <w:r w:rsidR="0009712D" w:rsidRPr="00A31BA0">
              <w:rPr>
                <w:rFonts w:ascii="Arial" w:hAnsi="Arial" w:cs="Arial"/>
                <w:webHidden/>
                <w:sz w:val="22"/>
                <w:szCs w:val="22"/>
              </w:rPr>
              <w:fldChar w:fldCharType="begin"/>
            </w:r>
            <w:r w:rsidR="0009712D" w:rsidRPr="00A31BA0">
              <w:rPr>
                <w:rFonts w:ascii="Arial" w:hAnsi="Arial" w:cs="Arial"/>
                <w:webHidden/>
                <w:sz w:val="22"/>
                <w:szCs w:val="22"/>
              </w:rPr>
              <w:instrText xml:space="preserve"> PAGEREF _Toc51057518 \h </w:instrText>
            </w:r>
            <w:r w:rsidR="0009712D" w:rsidRPr="00A31BA0">
              <w:rPr>
                <w:rFonts w:ascii="Arial" w:hAnsi="Arial" w:cs="Arial"/>
                <w:webHidden/>
                <w:sz w:val="22"/>
                <w:szCs w:val="22"/>
              </w:rPr>
            </w:r>
            <w:r w:rsidR="0009712D" w:rsidRPr="00A31BA0">
              <w:rPr>
                <w:rFonts w:ascii="Arial" w:hAnsi="Arial" w:cs="Arial"/>
                <w:webHidden/>
                <w:sz w:val="22"/>
                <w:szCs w:val="22"/>
              </w:rPr>
              <w:fldChar w:fldCharType="separate"/>
            </w:r>
            <w:r w:rsidR="008D1411">
              <w:rPr>
                <w:rFonts w:ascii="Arial" w:hAnsi="Arial" w:cs="Arial"/>
                <w:webHidden/>
                <w:sz w:val="22"/>
                <w:szCs w:val="22"/>
              </w:rPr>
              <w:t>8</w:t>
            </w:r>
            <w:r w:rsidR="0009712D" w:rsidRPr="00A31BA0">
              <w:rPr>
                <w:rFonts w:ascii="Arial" w:hAnsi="Arial" w:cs="Arial"/>
                <w:webHidden/>
                <w:sz w:val="22"/>
                <w:szCs w:val="22"/>
              </w:rPr>
              <w:fldChar w:fldCharType="end"/>
            </w:r>
          </w:hyperlink>
        </w:p>
        <w:p w14:paraId="6B60A258" w14:textId="58188C0B" w:rsidR="0009712D" w:rsidRPr="00A31BA0" w:rsidRDefault="00D720FA" w:rsidP="00A31BA0">
          <w:pPr>
            <w:pStyle w:val="TOC1"/>
            <w:rPr>
              <w:rFonts w:ascii="Arial" w:eastAsiaTheme="minorEastAsia" w:hAnsi="Arial" w:cs="Arial"/>
              <w:sz w:val="22"/>
              <w:szCs w:val="22"/>
            </w:rPr>
          </w:pPr>
          <w:hyperlink w:anchor="_Toc51057519" w:history="1">
            <w:r w:rsidR="0009712D" w:rsidRPr="00A31BA0">
              <w:rPr>
                <w:rStyle w:val="Hyperlink"/>
                <w:rFonts w:ascii="Arial" w:hAnsi="Arial" w:cs="Arial"/>
                <w:sz w:val="22"/>
                <w:szCs w:val="22"/>
              </w:rPr>
              <w:t>Section 3: Detailed analysis against the Guidelines</w:t>
            </w:r>
            <w:r w:rsidR="0009712D" w:rsidRPr="00A31BA0">
              <w:rPr>
                <w:rFonts w:ascii="Arial" w:hAnsi="Arial" w:cs="Arial"/>
                <w:webHidden/>
                <w:sz w:val="22"/>
                <w:szCs w:val="22"/>
              </w:rPr>
              <w:tab/>
            </w:r>
            <w:r w:rsidR="0009712D" w:rsidRPr="00A31BA0">
              <w:rPr>
                <w:rFonts w:ascii="Arial" w:hAnsi="Arial" w:cs="Arial"/>
                <w:webHidden/>
                <w:sz w:val="22"/>
                <w:szCs w:val="22"/>
              </w:rPr>
              <w:fldChar w:fldCharType="begin"/>
            </w:r>
            <w:r w:rsidR="0009712D" w:rsidRPr="00A31BA0">
              <w:rPr>
                <w:rFonts w:ascii="Arial" w:hAnsi="Arial" w:cs="Arial"/>
                <w:webHidden/>
                <w:sz w:val="22"/>
                <w:szCs w:val="22"/>
              </w:rPr>
              <w:instrText xml:space="preserve"> PAGEREF _Toc51057519 \h </w:instrText>
            </w:r>
            <w:r w:rsidR="0009712D" w:rsidRPr="00A31BA0">
              <w:rPr>
                <w:rFonts w:ascii="Arial" w:hAnsi="Arial" w:cs="Arial"/>
                <w:webHidden/>
                <w:sz w:val="22"/>
                <w:szCs w:val="22"/>
              </w:rPr>
            </w:r>
            <w:r w:rsidR="0009712D" w:rsidRPr="00A31BA0">
              <w:rPr>
                <w:rFonts w:ascii="Arial" w:hAnsi="Arial" w:cs="Arial"/>
                <w:webHidden/>
                <w:sz w:val="22"/>
                <w:szCs w:val="22"/>
              </w:rPr>
              <w:fldChar w:fldCharType="separate"/>
            </w:r>
            <w:r w:rsidR="008D1411">
              <w:rPr>
                <w:rFonts w:ascii="Arial" w:hAnsi="Arial" w:cs="Arial"/>
                <w:webHidden/>
                <w:sz w:val="22"/>
                <w:szCs w:val="22"/>
              </w:rPr>
              <w:t>13</w:t>
            </w:r>
            <w:r w:rsidR="0009712D" w:rsidRPr="00A31BA0">
              <w:rPr>
                <w:rFonts w:ascii="Arial" w:hAnsi="Arial" w:cs="Arial"/>
                <w:webHidden/>
                <w:sz w:val="22"/>
                <w:szCs w:val="22"/>
              </w:rPr>
              <w:fldChar w:fldCharType="end"/>
            </w:r>
          </w:hyperlink>
        </w:p>
        <w:p w14:paraId="7540FBA2" w14:textId="57B01299" w:rsidR="0009712D" w:rsidRPr="00A31BA0" w:rsidRDefault="00D720FA" w:rsidP="00A31BA0">
          <w:pPr>
            <w:pStyle w:val="TOC1"/>
            <w:rPr>
              <w:rFonts w:ascii="Arial" w:eastAsiaTheme="minorEastAsia" w:hAnsi="Arial" w:cs="Arial"/>
              <w:sz w:val="22"/>
              <w:szCs w:val="22"/>
            </w:rPr>
          </w:pPr>
          <w:hyperlink w:anchor="_Toc51057520" w:history="1">
            <w:r w:rsidR="0009712D" w:rsidRPr="00A31BA0">
              <w:rPr>
                <w:rStyle w:val="Hyperlink"/>
                <w:rFonts w:ascii="Arial" w:hAnsi="Arial" w:cs="Arial"/>
                <w:sz w:val="22"/>
                <w:szCs w:val="22"/>
              </w:rPr>
              <w:t>Section 4: Assessment Against the EPBC Act</w:t>
            </w:r>
            <w:r w:rsidR="0009712D" w:rsidRPr="00A31BA0">
              <w:rPr>
                <w:rFonts w:ascii="Arial" w:hAnsi="Arial" w:cs="Arial"/>
                <w:webHidden/>
                <w:sz w:val="22"/>
                <w:szCs w:val="22"/>
              </w:rPr>
              <w:tab/>
            </w:r>
            <w:r w:rsidR="0009712D" w:rsidRPr="00A31BA0">
              <w:rPr>
                <w:rFonts w:ascii="Arial" w:hAnsi="Arial" w:cs="Arial"/>
                <w:webHidden/>
                <w:sz w:val="22"/>
                <w:szCs w:val="22"/>
              </w:rPr>
              <w:fldChar w:fldCharType="begin"/>
            </w:r>
            <w:r w:rsidR="0009712D" w:rsidRPr="00A31BA0">
              <w:rPr>
                <w:rFonts w:ascii="Arial" w:hAnsi="Arial" w:cs="Arial"/>
                <w:webHidden/>
                <w:sz w:val="22"/>
                <w:szCs w:val="22"/>
              </w:rPr>
              <w:instrText xml:space="preserve"> PAGEREF _Toc51057520 \h </w:instrText>
            </w:r>
            <w:r w:rsidR="0009712D" w:rsidRPr="00A31BA0">
              <w:rPr>
                <w:rFonts w:ascii="Arial" w:hAnsi="Arial" w:cs="Arial"/>
                <w:webHidden/>
                <w:sz w:val="22"/>
                <w:szCs w:val="22"/>
              </w:rPr>
            </w:r>
            <w:r w:rsidR="0009712D" w:rsidRPr="00A31BA0">
              <w:rPr>
                <w:rFonts w:ascii="Arial" w:hAnsi="Arial" w:cs="Arial"/>
                <w:webHidden/>
                <w:sz w:val="22"/>
                <w:szCs w:val="22"/>
              </w:rPr>
              <w:fldChar w:fldCharType="separate"/>
            </w:r>
            <w:r w:rsidR="008D1411">
              <w:rPr>
                <w:rFonts w:ascii="Arial" w:hAnsi="Arial" w:cs="Arial"/>
                <w:webHidden/>
                <w:sz w:val="22"/>
                <w:szCs w:val="22"/>
              </w:rPr>
              <w:t>45</w:t>
            </w:r>
            <w:r w:rsidR="0009712D" w:rsidRPr="00A31BA0">
              <w:rPr>
                <w:rFonts w:ascii="Arial" w:hAnsi="Arial" w:cs="Arial"/>
                <w:webHidden/>
                <w:sz w:val="22"/>
                <w:szCs w:val="22"/>
              </w:rPr>
              <w:fldChar w:fldCharType="end"/>
            </w:r>
          </w:hyperlink>
        </w:p>
        <w:p w14:paraId="590264D2" w14:textId="0E6A48AA" w:rsidR="0009712D" w:rsidRPr="00A31BA0" w:rsidRDefault="00D720FA" w:rsidP="00A31BA0">
          <w:pPr>
            <w:pStyle w:val="TOC2"/>
            <w:rPr>
              <w:rFonts w:ascii="Arial" w:hAnsi="Arial" w:cs="Arial"/>
              <w:noProof/>
              <w:lang w:val="en-AU" w:eastAsia="en-AU"/>
            </w:rPr>
          </w:pPr>
          <w:hyperlink w:anchor="_Toc51057521" w:history="1">
            <w:r w:rsidR="0009712D" w:rsidRPr="00A31BA0">
              <w:rPr>
                <w:rStyle w:val="Hyperlink"/>
                <w:rFonts w:ascii="Arial" w:hAnsi="Arial" w:cs="Arial"/>
                <w:noProof/>
              </w:rPr>
              <w:t>Part 12 – Identifying and monitoring biodiversity and making bioregional plans</w:t>
            </w:r>
            <w:r w:rsidR="0009712D" w:rsidRPr="00A31BA0">
              <w:rPr>
                <w:rFonts w:ascii="Arial" w:hAnsi="Arial" w:cs="Arial"/>
                <w:noProof/>
                <w:webHidden/>
              </w:rPr>
              <w:tab/>
            </w:r>
            <w:r w:rsidR="0009712D" w:rsidRPr="00A31BA0">
              <w:rPr>
                <w:rFonts w:ascii="Arial" w:hAnsi="Arial" w:cs="Arial"/>
                <w:noProof/>
                <w:webHidden/>
              </w:rPr>
              <w:fldChar w:fldCharType="begin"/>
            </w:r>
            <w:r w:rsidR="0009712D" w:rsidRPr="00A31BA0">
              <w:rPr>
                <w:rFonts w:ascii="Arial" w:hAnsi="Arial" w:cs="Arial"/>
                <w:noProof/>
                <w:webHidden/>
              </w:rPr>
              <w:instrText xml:space="preserve"> PAGEREF _Toc51057521 \h </w:instrText>
            </w:r>
            <w:r w:rsidR="0009712D" w:rsidRPr="00A31BA0">
              <w:rPr>
                <w:rFonts w:ascii="Arial" w:hAnsi="Arial" w:cs="Arial"/>
                <w:noProof/>
                <w:webHidden/>
              </w:rPr>
            </w:r>
            <w:r w:rsidR="0009712D" w:rsidRPr="00A31BA0">
              <w:rPr>
                <w:rFonts w:ascii="Arial" w:hAnsi="Arial" w:cs="Arial"/>
                <w:noProof/>
                <w:webHidden/>
              </w:rPr>
              <w:fldChar w:fldCharType="separate"/>
            </w:r>
            <w:r w:rsidR="008D1411">
              <w:rPr>
                <w:rFonts w:ascii="Arial" w:hAnsi="Arial" w:cs="Arial"/>
                <w:noProof/>
                <w:webHidden/>
              </w:rPr>
              <w:t>45</w:t>
            </w:r>
            <w:r w:rsidR="0009712D" w:rsidRPr="00A31BA0">
              <w:rPr>
                <w:rFonts w:ascii="Arial" w:hAnsi="Arial" w:cs="Arial"/>
                <w:noProof/>
                <w:webHidden/>
              </w:rPr>
              <w:fldChar w:fldCharType="end"/>
            </w:r>
          </w:hyperlink>
        </w:p>
        <w:p w14:paraId="4BE2A694" w14:textId="23876D1C" w:rsidR="0009712D" w:rsidRPr="00A31BA0" w:rsidRDefault="00D720FA" w:rsidP="00A31BA0">
          <w:pPr>
            <w:pStyle w:val="TOC2"/>
            <w:rPr>
              <w:rFonts w:ascii="Arial" w:hAnsi="Arial" w:cs="Arial"/>
              <w:noProof/>
              <w:lang w:val="en-AU" w:eastAsia="en-AU"/>
            </w:rPr>
          </w:pPr>
          <w:hyperlink w:anchor="_Toc51057522" w:history="1">
            <w:r w:rsidR="0009712D" w:rsidRPr="00A31BA0">
              <w:rPr>
                <w:rStyle w:val="Hyperlink"/>
                <w:rFonts w:ascii="Arial" w:hAnsi="Arial" w:cs="Arial"/>
                <w:noProof/>
              </w:rPr>
              <w:t>Part 13 – Species and communities</w:t>
            </w:r>
            <w:r w:rsidR="0009712D" w:rsidRPr="00A31BA0">
              <w:rPr>
                <w:rFonts w:ascii="Arial" w:hAnsi="Arial" w:cs="Arial"/>
                <w:noProof/>
                <w:webHidden/>
              </w:rPr>
              <w:tab/>
            </w:r>
            <w:r w:rsidR="0009712D" w:rsidRPr="00A31BA0">
              <w:rPr>
                <w:rFonts w:ascii="Arial" w:hAnsi="Arial" w:cs="Arial"/>
                <w:noProof/>
                <w:webHidden/>
              </w:rPr>
              <w:fldChar w:fldCharType="begin"/>
            </w:r>
            <w:r w:rsidR="0009712D" w:rsidRPr="00A31BA0">
              <w:rPr>
                <w:rFonts w:ascii="Arial" w:hAnsi="Arial" w:cs="Arial"/>
                <w:noProof/>
                <w:webHidden/>
              </w:rPr>
              <w:instrText xml:space="preserve"> PAGEREF _Toc51057522 \h </w:instrText>
            </w:r>
            <w:r w:rsidR="0009712D" w:rsidRPr="00A31BA0">
              <w:rPr>
                <w:rFonts w:ascii="Arial" w:hAnsi="Arial" w:cs="Arial"/>
                <w:noProof/>
                <w:webHidden/>
              </w:rPr>
            </w:r>
            <w:r w:rsidR="0009712D" w:rsidRPr="00A31BA0">
              <w:rPr>
                <w:rFonts w:ascii="Arial" w:hAnsi="Arial" w:cs="Arial"/>
                <w:noProof/>
                <w:webHidden/>
              </w:rPr>
              <w:fldChar w:fldCharType="separate"/>
            </w:r>
            <w:r w:rsidR="008D1411">
              <w:rPr>
                <w:rFonts w:ascii="Arial" w:hAnsi="Arial" w:cs="Arial"/>
                <w:noProof/>
                <w:webHidden/>
              </w:rPr>
              <w:t>46</w:t>
            </w:r>
            <w:r w:rsidR="0009712D" w:rsidRPr="00A31BA0">
              <w:rPr>
                <w:rFonts w:ascii="Arial" w:hAnsi="Arial" w:cs="Arial"/>
                <w:noProof/>
                <w:webHidden/>
              </w:rPr>
              <w:fldChar w:fldCharType="end"/>
            </w:r>
          </w:hyperlink>
        </w:p>
        <w:p w14:paraId="511D50E2" w14:textId="2733EB0C" w:rsidR="0009712D" w:rsidRPr="00A31BA0" w:rsidRDefault="00D720FA" w:rsidP="00A31BA0">
          <w:pPr>
            <w:pStyle w:val="TOC2"/>
            <w:rPr>
              <w:rFonts w:ascii="Arial" w:hAnsi="Arial" w:cs="Arial"/>
              <w:noProof/>
              <w:lang w:val="en-AU" w:eastAsia="en-AU"/>
            </w:rPr>
          </w:pPr>
          <w:hyperlink w:anchor="_Toc51057523" w:history="1">
            <w:r w:rsidR="0009712D" w:rsidRPr="00A31BA0">
              <w:rPr>
                <w:rStyle w:val="Hyperlink"/>
                <w:rFonts w:ascii="Arial" w:hAnsi="Arial" w:cs="Arial"/>
                <w:noProof/>
              </w:rPr>
              <w:t>Part 13A – International movement of wildlife specimens</w:t>
            </w:r>
            <w:r w:rsidR="0009712D" w:rsidRPr="00A31BA0">
              <w:rPr>
                <w:rFonts w:ascii="Arial" w:hAnsi="Arial" w:cs="Arial"/>
                <w:noProof/>
                <w:webHidden/>
              </w:rPr>
              <w:tab/>
            </w:r>
            <w:r w:rsidR="0009712D" w:rsidRPr="00A31BA0">
              <w:rPr>
                <w:rFonts w:ascii="Arial" w:hAnsi="Arial" w:cs="Arial"/>
                <w:noProof/>
                <w:webHidden/>
              </w:rPr>
              <w:fldChar w:fldCharType="begin"/>
            </w:r>
            <w:r w:rsidR="0009712D" w:rsidRPr="00A31BA0">
              <w:rPr>
                <w:rFonts w:ascii="Arial" w:hAnsi="Arial" w:cs="Arial"/>
                <w:noProof/>
                <w:webHidden/>
              </w:rPr>
              <w:instrText xml:space="preserve"> PAGEREF _Toc51057523 \h </w:instrText>
            </w:r>
            <w:r w:rsidR="0009712D" w:rsidRPr="00A31BA0">
              <w:rPr>
                <w:rFonts w:ascii="Arial" w:hAnsi="Arial" w:cs="Arial"/>
                <w:noProof/>
                <w:webHidden/>
              </w:rPr>
            </w:r>
            <w:r w:rsidR="0009712D" w:rsidRPr="00A31BA0">
              <w:rPr>
                <w:rFonts w:ascii="Arial" w:hAnsi="Arial" w:cs="Arial"/>
                <w:noProof/>
                <w:webHidden/>
              </w:rPr>
              <w:fldChar w:fldCharType="separate"/>
            </w:r>
            <w:r w:rsidR="008D1411">
              <w:rPr>
                <w:rFonts w:ascii="Arial" w:hAnsi="Arial" w:cs="Arial"/>
                <w:noProof/>
                <w:webHidden/>
              </w:rPr>
              <w:t>48</w:t>
            </w:r>
            <w:r w:rsidR="0009712D" w:rsidRPr="00A31BA0">
              <w:rPr>
                <w:rFonts w:ascii="Arial" w:hAnsi="Arial" w:cs="Arial"/>
                <w:noProof/>
                <w:webHidden/>
              </w:rPr>
              <w:fldChar w:fldCharType="end"/>
            </w:r>
          </w:hyperlink>
        </w:p>
        <w:p w14:paraId="6CB4D520" w14:textId="08F7B91F" w:rsidR="0009712D" w:rsidRPr="00A31BA0" w:rsidRDefault="00D720FA" w:rsidP="00A31BA0">
          <w:pPr>
            <w:pStyle w:val="TOC2"/>
            <w:rPr>
              <w:rFonts w:ascii="Arial" w:hAnsi="Arial" w:cs="Arial"/>
              <w:noProof/>
              <w:lang w:val="en-AU" w:eastAsia="en-AU"/>
            </w:rPr>
          </w:pPr>
          <w:hyperlink w:anchor="_Toc51057524" w:history="1">
            <w:r w:rsidR="0009712D" w:rsidRPr="00A31BA0">
              <w:rPr>
                <w:rStyle w:val="Hyperlink"/>
                <w:rFonts w:ascii="Arial" w:hAnsi="Arial" w:cs="Arial"/>
                <w:noProof/>
              </w:rPr>
              <w:t>Part 16 – Precautionary principle and other considerations in making decisions</w:t>
            </w:r>
            <w:r w:rsidR="0009712D" w:rsidRPr="00A31BA0">
              <w:rPr>
                <w:rFonts w:ascii="Arial" w:hAnsi="Arial" w:cs="Arial"/>
                <w:noProof/>
                <w:webHidden/>
              </w:rPr>
              <w:tab/>
            </w:r>
            <w:r w:rsidR="0009712D" w:rsidRPr="00A31BA0">
              <w:rPr>
                <w:rFonts w:ascii="Arial" w:hAnsi="Arial" w:cs="Arial"/>
                <w:noProof/>
                <w:webHidden/>
              </w:rPr>
              <w:fldChar w:fldCharType="begin"/>
            </w:r>
            <w:r w:rsidR="0009712D" w:rsidRPr="00A31BA0">
              <w:rPr>
                <w:rFonts w:ascii="Arial" w:hAnsi="Arial" w:cs="Arial"/>
                <w:noProof/>
                <w:webHidden/>
              </w:rPr>
              <w:instrText xml:space="preserve"> PAGEREF _Toc51057524 \h </w:instrText>
            </w:r>
            <w:r w:rsidR="0009712D" w:rsidRPr="00A31BA0">
              <w:rPr>
                <w:rFonts w:ascii="Arial" w:hAnsi="Arial" w:cs="Arial"/>
                <w:noProof/>
                <w:webHidden/>
              </w:rPr>
            </w:r>
            <w:r w:rsidR="0009712D" w:rsidRPr="00A31BA0">
              <w:rPr>
                <w:rFonts w:ascii="Arial" w:hAnsi="Arial" w:cs="Arial"/>
                <w:noProof/>
                <w:webHidden/>
              </w:rPr>
              <w:fldChar w:fldCharType="separate"/>
            </w:r>
            <w:r w:rsidR="008D1411">
              <w:rPr>
                <w:rFonts w:ascii="Arial" w:hAnsi="Arial" w:cs="Arial"/>
                <w:noProof/>
                <w:webHidden/>
              </w:rPr>
              <w:t>56</w:t>
            </w:r>
            <w:r w:rsidR="0009712D" w:rsidRPr="00A31BA0">
              <w:rPr>
                <w:rFonts w:ascii="Arial" w:hAnsi="Arial" w:cs="Arial"/>
                <w:noProof/>
                <w:webHidden/>
              </w:rPr>
              <w:fldChar w:fldCharType="end"/>
            </w:r>
          </w:hyperlink>
        </w:p>
        <w:p w14:paraId="70612375" w14:textId="7B363F53" w:rsidR="0009712D" w:rsidRPr="00A31BA0" w:rsidRDefault="00D720FA" w:rsidP="00A31BA0">
          <w:pPr>
            <w:pStyle w:val="TOC1"/>
            <w:rPr>
              <w:rFonts w:ascii="Arial" w:eastAsiaTheme="minorEastAsia" w:hAnsi="Arial" w:cs="Arial"/>
              <w:sz w:val="22"/>
              <w:szCs w:val="22"/>
            </w:rPr>
          </w:pPr>
          <w:hyperlink w:anchor="_Toc51057525" w:history="1">
            <w:r w:rsidR="0009712D" w:rsidRPr="00A31BA0">
              <w:rPr>
                <w:rStyle w:val="Hyperlink"/>
                <w:rFonts w:ascii="Arial" w:hAnsi="Arial" w:cs="Arial"/>
                <w:sz w:val="22"/>
                <w:szCs w:val="22"/>
              </w:rPr>
              <w:t>References and bibliography</w:t>
            </w:r>
            <w:r w:rsidR="0009712D" w:rsidRPr="00A31BA0">
              <w:rPr>
                <w:rFonts w:ascii="Arial" w:hAnsi="Arial" w:cs="Arial"/>
                <w:webHidden/>
                <w:sz w:val="22"/>
                <w:szCs w:val="22"/>
              </w:rPr>
              <w:tab/>
            </w:r>
            <w:r w:rsidR="0009712D" w:rsidRPr="00A31BA0">
              <w:rPr>
                <w:rFonts w:ascii="Arial" w:hAnsi="Arial" w:cs="Arial"/>
                <w:webHidden/>
                <w:sz w:val="22"/>
                <w:szCs w:val="22"/>
              </w:rPr>
              <w:fldChar w:fldCharType="begin"/>
            </w:r>
            <w:r w:rsidR="0009712D" w:rsidRPr="00A31BA0">
              <w:rPr>
                <w:rFonts w:ascii="Arial" w:hAnsi="Arial" w:cs="Arial"/>
                <w:webHidden/>
                <w:sz w:val="22"/>
                <w:szCs w:val="22"/>
              </w:rPr>
              <w:instrText xml:space="preserve"> PAGEREF _Toc51057525 \h </w:instrText>
            </w:r>
            <w:r w:rsidR="0009712D" w:rsidRPr="00A31BA0">
              <w:rPr>
                <w:rFonts w:ascii="Arial" w:hAnsi="Arial" w:cs="Arial"/>
                <w:webHidden/>
                <w:sz w:val="22"/>
                <w:szCs w:val="22"/>
              </w:rPr>
            </w:r>
            <w:r w:rsidR="0009712D" w:rsidRPr="00A31BA0">
              <w:rPr>
                <w:rFonts w:ascii="Arial" w:hAnsi="Arial" w:cs="Arial"/>
                <w:webHidden/>
                <w:sz w:val="22"/>
                <w:szCs w:val="22"/>
              </w:rPr>
              <w:fldChar w:fldCharType="separate"/>
            </w:r>
            <w:r w:rsidR="008D1411">
              <w:rPr>
                <w:rFonts w:ascii="Arial" w:hAnsi="Arial" w:cs="Arial"/>
                <w:webHidden/>
                <w:sz w:val="22"/>
                <w:szCs w:val="22"/>
              </w:rPr>
              <w:t>57</w:t>
            </w:r>
            <w:r w:rsidR="0009712D" w:rsidRPr="00A31BA0">
              <w:rPr>
                <w:rFonts w:ascii="Arial" w:hAnsi="Arial" w:cs="Arial"/>
                <w:webHidden/>
                <w:sz w:val="22"/>
                <w:szCs w:val="22"/>
              </w:rPr>
              <w:fldChar w:fldCharType="end"/>
            </w:r>
          </w:hyperlink>
        </w:p>
        <w:p w14:paraId="27C7C4CB" w14:textId="599A4300" w:rsidR="00134108" w:rsidRPr="00A94147" w:rsidRDefault="00134108" w:rsidP="00A31BA0">
          <w:pPr>
            <w:tabs>
              <w:tab w:val="right" w:leader="dot" w:pos="8931"/>
              <w:tab w:val="right" w:leader="dot" w:pos="9072"/>
            </w:tabs>
            <w:spacing w:before="0" w:line="276" w:lineRule="auto"/>
            <w:ind w:right="281"/>
            <w:rPr>
              <w:rFonts w:cs="Arial"/>
              <w:highlight w:val="yellow"/>
            </w:rPr>
          </w:pPr>
          <w:r w:rsidRPr="00A31BA0">
            <w:rPr>
              <w:rFonts w:cs="Arial"/>
              <w:b/>
              <w:highlight w:val="yellow"/>
            </w:rPr>
            <w:fldChar w:fldCharType="end"/>
          </w:r>
        </w:p>
      </w:sdtContent>
    </w:sdt>
    <w:p w14:paraId="4DFEFD79" w14:textId="77777777" w:rsidR="00584569" w:rsidRDefault="00534237" w:rsidP="007F171B">
      <w:pPr>
        <w:spacing w:before="0" w:after="0" w:line="276" w:lineRule="auto"/>
        <w:rPr>
          <w:b/>
          <w:highlight w:val="yellow"/>
        </w:rPr>
        <w:sectPr w:rsidR="00584569" w:rsidSect="0009712D">
          <w:footerReference w:type="default" r:id="rId12"/>
          <w:footerReference w:type="first" r:id="rId13"/>
          <w:pgSz w:w="11906" w:h="16838"/>
          <w:pgMar w:top="1021" w:right="1021" w:bottom="1021" w:left="1021" w:header="709" w:footer="709" w:gutter="0"/>
          <w:cols w:space="708"/>
          <w:docGrid w:linePitch="360"/>
        </w:sectPr>
      </w:pPr>
      <w:r w:rsidRPr="00A94147">
        <w:rPr>
          <w:b/>
          <w:highlight w:val="yellow"/>
        </w:rPr>
        <w:br w:type="page"/>
      </w:r>
    </w:p>
    <w:p w14:paraId="4911004E" w14:textId="5F743748" w:rsidR="00CF1DE5" w:rsidRPr="00920721" w:rsidRDefault="000C7574" w:rsidP="007F171B">
      <w:pPr>
        <w:pStyle w:val="Heading1"/>
        <w:spacing w:after="120"/>
        <w:rPr>
          <w:rFonts w:ascii="Arial" w:hAnsi="Arial"/>
        </w:rPr>
      </w:pPr>
      <w:bookmarkStart w:id="0" w:name="_Toc51057515"/>
      <w:r>
        <w:rPr>
          <w:rFonts w:ascii="Arial" w:hAnsi="Arial"/>
        </w:rPr>
        <w:lastRenderedPageBreak/>
        <w:t>A</w:t>
      </w:r>
      <w:r w:rsidRPr="00920721">
        <w:rPr>
          <w:rFonts w:ascii="Arial" w:hAnsi="Arial"/>
        </w:rPr>
        <w:t>ssessment</w:t>
      </w:r>
      <w:r w:rsidR="00CF1DE5" w:rsidRPr="00920721">
        <w:rPr>
          <w:rFonts w:ascii="Arial" w:hAnsi="Arial"/>
        </w:rPr>
        <w:t xml:space="preserve"> Summary</w:t>
      </w:r>
      <w:bookmarkEnd w:id="0"/>
    </w:p>
    <w:p w14:paraId="5C9B6884" w14:textId="060AF8E7" w:rsidR="00B331E5" w:rsidRPr="00920721" w:rsidRDefault="003C68F3" w:rsidP="00EE6F23">
      <w:pPr>
        <w:tabs>
          <w:tab w:val="left" w:pos="360"/>
        </w:tabs>
        <w:spacing w:before="0" w:line="276" w:lineRule="auto"/>
        <w:rPr>
          <w:rFonts w:cs="Arial"/>
        </w:rPr>
      </w:pPr>
      <w:r w:rsidRPr="00920721">
        <w:rPr>
          <w:rFonts w:cs="Arial"/>
        </w:rPr>
        <w:t xml:space="preserve">The </w:t>
      </w:r>
      <w:r w:rsidR="000930C1" w:rsidRPr="00920721">
        <w:rPr>
          <w:rFonts w:cs="Arial"/>
        </w:rPr>
        <w:t>Queensland Sea Cucumber Fishery</w:t>
      </w:r>
      <w:r w:rsidR="00620796" w:rsidRPr="00920721">
        <w:rPr>
          <w:rFonts w:cs="Arial"/>
        </w:rPr>
        <w:t xml:space="preserve"> </w:t>
      </w:r>
      <w:r w:rsidR="00BF3D43" w:rsidRPr="00920721">
        <w:rPr>
          <w:rFonts w:cs="Arial"/>
        </w:rPr>
        <w:t xml:space="preserve">(East Coast) </w:t>
      </w:r>
      <w:r w:rsidRPr="00920721">
        <w:rPr>
          <w:rFonts w:cs="Arial"/>
        </w:rPr>
        <w:t xml:space="preserve">is a </w:t>
      </w:r>
      <w:r w:rsidR="00620796" w:rsidRPr="00920721">
        <w:rPr>
          <w:rFonts w:cs="Arial"/>
        </w:rPr>
        <w:t xml:space="preserve">commercial </w:t>
      </w:r>
      <w:r w:rsidRPr="00920721">
        <w:rPr>
          <w:rFonts w:cs="Arial"/>
        </w:rPr>
        <w:t xml:space="preserve">fishery that </w:t>
      </w:r>
      <w:r w:rsidR="00B331E5" w:rsidRPr="00920721">
        <w:rPr>
          <w:rFonts w:cs="Arial"/>
        </w:rPr>
        <w:t xml:space="preserve">uses hand collection, with underwater breathing </w:t>
      </w:r>
      <w:r w:rsidR="00584569" w:rsidRPr="00920721">
        <w:rPr>
          <w:rFonts w:cs="Arial"/>
        </w:rPr>
        <w:t>apparatus</w:t>
      </w:r>
      <w:r w:rsidR="00B331E5" w:rsidRPr="00920721">
        <w:rPr>
          <w:rFonts w:cs="Arial"/>
        </w:rPr>
        <w:t xml:space="preserve"> to collect various sea cucumber species. </w:t>
      </w:r>
      <w:r w:rsidRPr="00920721">
        <w:rPr>
          <w:rFonts w:cs="Arial"/>
        </w:rPr>
        <w:t xml:space="preserve">The fishery operates </w:t>
      </w:r>
      <w:r w:rsidR="00B331E5" w:rsidRPr="00920721">
        <w:rPr>
          <w:rFonts w:cs="Arial"/>
        </w:rPr>
        <w:t xml:space="preserve">in </w:t>
      </w:r>
      <w:r w:rsidR="00B331E5" w:rsidRPr="00920721">
        <w:rPr>
          <w:rFonts w:cs="Arial"/>
          <w:noProof/>
        </w:rPr>
        <w:t>both</w:t>
      </w:r>
      <w:r w:rsidR="00B331E5" w:rsidRPr="00920721">
        <w:rPr>
          <w:rFonts w:cs="Arial"/>
        </w:rPr>
        <w:t xml:space="preserve"> state and Commonwealth waters, including the </w:t>
      </w:r>
      <w:r w:rsidRPr="00920721">
        <w:rPr>
          <w:rFonts w:cs="Arial"/>
        </w:rPr>
        <w:t>Great Barrier Reef Marine Park (GBRMP)</w:t>
      </w:r>
      <w:r w:rsidR="00430E0C">
        <w:rPr>
          <w:rFonts w:cs="Arial"/>
        </w:rPr>
        <w:t>.</w:t>
      </w:r>
    </w:p>
    <w:p w14:paraId="6D9A4B9F" w14:textId="6DFB742E" w:rsidR="00B331E5" w:rsidRDefault="00B331E5" w:rsidP="00EE6F23">
      <w:pPr>
        <w:tabs>
          <w:tab w:val="left" w:pos="360"/>
        </w:tabs>
        <w:spacing w:before="0" w:line="276" w:lineRule="auto"/>
        <w:rPr>
          <w:rFonts w:cs="Arial"/>
          <w:noProof/>
        </w:rPr>
      </w:pPr>
      <w:r w:rsidRPr="006A3554">
        <w:rPr>
          <w:rFonts w:cs="Arial"/>
          <w:noProof/>
        </w:rPr>
        <w:t xml:space="preserve">On 28 March 2018 the </w:t>
      </w:r>
      <w:r w:rsidR="001C103B">
        <w:rPr>
          <w:rFonts w:cs="Arial"/>
          <w:noProof/>
        </w:rPr>
        <w:t xml:space="preserve">management arrangements for the fishey were deemed to be sustainable and the </w:t>
      </w:r>
      <w:r>
        <w:rPr>
          <w:rFonts w:cs="Arial"/>
          <w:noProof/>
        </w:rPr>
        <w:t xml:space="preserve">fishery </w:t>
      </w:r>
      <w:r w:rsidRPr="006A3554">
        <w:rPr>
          <w:rFonts w:cs="Arial"/>
          <w:noProof/>
        </w:rPr>
        <w:t xml:space="preserve">was granted an exemption from requiring export approvals under the </w:t>
      </w:r>
      <w:r w:rsidRPr="006A3554">
        <w:rPr>
          <w:rFonts w:cs="Arial"/>
          <w:i/>
          <w:iCs/>
          <w:noProof/>
        </w:rPr>
        <w:t>Environment Protection and Biodiversity Conservation Act 1999</w:t>
      </w:r>
      <w:r>
        <w:rPr>
          <w:rFonts w:cs="Arial"/>
          <w:noProof/>
        </w:rPr>
        <w:t xml:space="preserve"> (EPBC Act)</w:t>
      </w:r>
      <w:r w:rsidRPr="006A3554">
        <w:rPr>
          <w:rFonts w:cs="Arial"/>
          <w:noProof/>
        </w:rPr>
        <w:t xml:space="preserve"> until </w:t>
      </w:r>
      <w:r w:rsidRPr="006A3554" w:rsidDel="001C103B">
        <w:rPr>
          <w:rFonts w:cs="Arial"/>
          <w:noProof/>
        </w:rPr>
        <w:t>28</w:t>
      </w:r>
      <w:r w:rsidR="001C103B">
        <w:rPr>
          <w:rFonts w:cs="Arial"/>
          <w:noProof/>
        </w:rPr>
        <w:t> </w:t>
      </w:r>
      <w:r w:rsidRPr="006A3554">
        <w:rPr>
          <w:rFonts w:cs="Arial"/>
          <w:noProof/>
        </w:rPr>
        <w:t>August 2025. The list of exempt native specimens was amended to allow export of product from the fishery</w:t>
      </w:r>
      <w:r w:rsidR="001C103B">
        <w:rPr>
          <w:rFonts w:cs="Arial"/>
          <w:noProof/>
        </w:rPr>
        <w:t>, exclud</w:t>
      </w:r>
      <w:r w:rsidR="000F2261">
        <w:rPr>
          <w:rFonts w:cs="Arial"/>
          <w:noProof/>
        </w:rPr>
        <w:t>ing</w:t>
      </w:r>
      <w:r w:rsidR="001C103B">
        <w:rPr>
          <w:rFonts w:cs="Arial"/>
          <w:noProof/>
        </w:rPr>
        <w:t xml:space="preserve"> any </w:t>
      </w:r>
      <w:r w:rsidR="000F2261">
        <w:rPr>
          <w:rFonts w:cs="Arial"/>
          <w:noProof/>
        </w:rPr>
        <w:t xml:space="preserve">species protected under the </w:t>
      </w:r>
      <w:r w:rsidR="000F2261" w:rsidRPr="00172D35">
        <w:rPr>
          <w:rFonts w:cs="Arial"/>
          <w:noProof/>
        </w:rPr>
        <w:t>Convention on International Trade in Endangered Species of Wild Fauna and Flora (CITES)</w:t>
      </w:r>
      <w:r w:rsidR="000F2261">
        <w:rPr>
          <w:rFonts w:cs="Arial"/>
          <w:noProof/>
        </w:rPr>
        <w:t xml:space="preserve"> or EPBC Act</w:t>
      </w:r>
      <w:r w:rsidRPr="006A3554">
        <w:rPr>
          <w:rFonts w:cs="Arial"/>
          <w:noProof/>
        </w:rPr>
        <w:t>.</w:t>
      </w:r>
    </w:p>
    <w:p w14:paraId="4649E135" w14:textId="6F2E9CBE" w:rsidR="00B331E5" w:rsidRPr="00172D35" w:rsidRDefault="00B331E5" w:rsidP="00EE6F23">
      <w:pPr>
        <w:tabs>
          <w:tab w:val="left" w:pos="360"/>
        </w:tabs>
        <w:spacing w:before="0" w:line="276" w:lineRule="auto"/>
        <w:rPr>
          <w:rFonts w:cs="Arial"/>
          <w:noProof/>
        </w:rPr>
      </w:pPr>
      <w:r w:rsidRPr="00172D35">
        <w:rPr>
          <w:rFonts w:cs="Arial"/>
          <w:noProof/>
        </w:rPr>
        <w:t xml:space="preserve">At the 18th </w:t>
      </w:r>
      <w:r w:rsidR="000F2261">
        <w:rPr>
          <w:rFonts w:cs="Arial"/>
          <w:noProof/>
        </w:rPr>
        <w:t xml:space="preserve">CITES </w:t>
      </w:r>
      <w:r w:rsidRPr="00172D35">
        <w:rPr>
          <w:rFonts w:cs="Arial"/>
          <w:noProof/>
        </w:rPr>
        <w:t xml:space="preserve">Conference of the Parties </w:t>
      </w:r>
      <w:r w:rsidR="000F2261">
        <w:rPr>
          <w:rFonts w:cs="Arial"/>
          <w:noProof/>
        </w:rPr>
        <w:t>meeting (</w:t>
      </w:r>
      <w:r w:rsidRPr="00172D35">
        <w:rPr>
          <w:rFonts w:cs="Arial"/>
          <w:noProof/>
        </w:rPr>
        <w:t>17-28 August 2019</w:t>
      </w:r>
      <w:r w:rsidR="000F2261">
        <w:rPr>
          <w:rFonts w:cs="Arial"/>
          <w:noProof/>
        </w:rPr>
        <w:t>)</w:t>
      </w:r>
      <w:r w:rsidRPr="00172D35">
        <w:rPr>
          <w:rFonts w:cs="Arial"/>
          <w:noProof/>
        </w:rPr>
        <w:t>, a proposal to include three species of sea cucumber</w:t>
      </w:r>
      <w:r w:rsidR="00630D30">
        <w:rPr>
          <w:rFonts w:cs="Arial"/>
          <w:noProof/>
        </w:rPr>
        <w:t>,</w:t>
      </w:r>
      <w:r w:rsidRPr="00172D35">
        <w:rPr>
          <w:rFonts w:cs="Arial"/>
          <w:noProof/>
        </w:rPr>
        <w:t xml:space="preserve"> including </w:t>
      </w:r>
      <w:bookmarkStart w:id="1" w:name="_Hlk49153577"/>
      <w:r w:rsidR="000F2261">
        <w:rPr>
          <w:rFonts w:cs="Arial"/>
          <w:noProof/>
        </w:rPr>
        <w:t>Black Teatfish</w:t>
      </w:r>
      <w:r w:rsidR="00430E0C">
        <w:rPr>
          <w:rFonts w:cs="Arial"/>
          <w:noProof/>
        </w:rPr>
        <w:t xml:space="preserve"> </w:t>
      </w:r>
      <w:r w:rsidR="00630D30">
        <w:rPr>
          <w:rFonts w:cs="Arial"/>
          <w:noProof/>
        </w:rPr>
        <w:t>(</w:t>
      </w:r>
      <w:r w:rsidRPr="00172D35">
        <w:rPr>
          <w:rFonts w:cs="Arial"/>
          <w:i/>
          <w:iCs/>
          <w:noProof/>
        </w:rPr>
        <w:t>Holothuria whitmaei</w:t>
      </w:r>
      <w:r w:rsidR="00630D30" w:rsidRPr="00630D30">
        <w:rPr>
          <w:rFonts w:cs="Arial"/>
          <w:noProof/>
        </w:rPr>
        <w:t>)</w:t>
      </w:r>
      <w:r w:rsidRPr="00172D35">
        <w:rPr>
          <w:rFonts w:cs="Arial"/>
          <w:noProof/>
        </w:rPr>
        <w:t xml:space="preserve"> </w:t>
      </w:r>
      <w:bookmarkEnd w:id="1"/>
      <w:r w:rsidRPr="00172D35">
        <w:rPr>
          <w:rFonts w:cs="Arial"/>
          <w:noProof/>
        </w:rPr>
        <w:t xml:space="preserve">and </w:t>
      </w:r>
      <w:r w:rsidR="000F2261">
        <w:rPr>
          <w:rFonts w:cs="Arial"/>
          <w:noProof/>
        </w:rPr>
        <w:t xml:space="preserve">White Teatfish </w:t>
      </w:r>
      <w:r w:rsidR="00630D30">
        <w:rPr>
          <w:rFonts w:cs="Arial"/>
          <w:noProof/>
        </w:rPr>
        <w:t>(</w:t>
      </w:r>
      <w:r w:rsidRPr="00172D35">
        <w:rPr>
          <w:rFonts w:cs="Arial"/>
          <w:i/>
          <w:iCs/>
          <w:noProof/>
        </w:rPr>
        <w:t>H.</w:t>
      </w:r>
      <w:r w:rsidR="00183D36">
        <w:rPr>
          <w:rFonts w:cs="Arial"/>
          <w:i/>
          <w:iCs/>
          <w:noProof/>
        </w:rPr>
        <w:t> </w:t>
      </w:r>
      <w:r w:rsidRPr="00172D35">
        <w:rPr>
          <w:rFonts w:cs="Arial"/>
          <w:i/>
          <w:iCs/>
          <w:noProof/>
        </w:rPr>
        <w:t>fuscogilva</w:t>
      </w:r>
      <w:r w:rsidRPr="00172D35">
        <w:rPr>
          <w:rFonts w:cs="Arial"/>
          <w:noProof/>
        </w:rPr>
        <w:t>)</w:t>
      </w:r>
      <w:r w:rsidR="00630D30">
        <w:rPr>
          <w:rFonts w:cs="Arial"/>
          <w:noProof/>
        </w:rPr>
        <w:t>,</w:t>
      </w:r>
      <w:r w:rsidRPr="00172D35">
        <w:rPr>
          <w:rFonts w:cs="Arial"/>
          <w:noProof/>
        </w:rPr>
        <w:t xml:space="preserve"> in CITES </w:t>
      </w:r>
      <w:r w:rsidR="000F2261" w:rsidRPr="00172D35">
        <w:rPr>
          <w:rFonts w:cs="Arial"/>
          <w:noProof/>
        </w:rPr>
        <w:t xml:space="preserve">Appendix II </w:t>
      </w:r>
      <w:r w:rsidRPr="00172D35">
        <w:rPr>
          <w:rFonts w:cs="Arial"/>
          <w:noProof/>
        </w:rPr>
        <w:t>was adopted. Th</w:t>
      </w:r>
      <w:r w:rsidR="000F2261">
        <w:rPr>
          <w:rFonts w:cs="Arial"/>
          <w:noProof/>
        </w:rPr>
        <w:t>is</w:t>
      </w:r>
      <w:r w:rsidRPr="00172D35">
        <w:rPr>
          <w:rFonts w:cs="Arial"/>
          <w:noProof/>
        </w:rPr>
        <w:t xml:space="preserve"> listing </w:t>
      </w:r>
      <w:r w:rsidR="00630D30">
        <w:rPr>
          <w:rFonts w:cs="Arial"/>
          <w:noProof/>
        </w:rPr>
        <w:t>came</w:t>
      </w:r>
      <w:r w:rsidRPr="00172D35">
        <w:rPr>
          <w:rFonts w:cs="Arial"/>
          <w:noProof/>
        </w:rPr>
        <w:t xml:space="preserve"> into effect on 28 August 2020. </w:t>
      </w:r>
    </w:p>
    <w:p w14:paraId="1B51997B" w14:textId="7E246A4C" w:rsidR="00B331E5" w:rsidRPr="00172D35" w:rsidRDefault="00B331E5" w:rsidP="00EE6F23">
      <w:pPr>
        <w:tabs>
          <w:tab w:val="left" w:pos="360"/>
        </w:tabs>
        <w:spacing w:before="0" w:line="276" w:lineRule="auto"/>
        <w:rPr>
          <w:rFonts w:cs="Arial"/>
          <w:noProof/>
        </w:rPr>
      </w:pPr>
      <w:r w:rsidRPr="00172D35">
        <w:rPr>
          <w:rFonts w:cs="Arial"/>
          <w:noProof/>
        </w:rPr>
        <w:t>As a party to the Convention, Australia must apply all CITES provisions of the EPBC Act to CITES imports and exports. Specimens being exported from Australia for commercial purposes must come from an approved commercial source</w:t>
      </w:r>
      <w:r w:rsidR="000F2261">
        <w:rPr>
          <w:rFonts w:cs="Arial"/>
          <w:noProof/>
        </w:rPr>
        <w:t>,</w:t>
      </w:r>
      <w:r w:rsidRPr="00172D35">
        <w:rPr>
          <w:rFonts w:cs="Arial"/>
          <w:noProof/>
        </w:rPr>
        <w:t xml:space="preserve"> such as a </w:t>
      </w:r>
      <w:r w:rsidR="000F2261">
        <w:rPr>
          <w:rFonts w:cs="Arial"/>
          <w:noProof/>
        </w:rPr>
        <w:t xml:space="preserve">Wildlife Trade Operation approved </w:t>
      </w:r>
      <w:r w:rsidRPr="00172D35">
        <w:rPr>
          <w:rFonts w:cs="Arial"/>
          <w:noProof/>
        </w:rPr>
        <w:t>under the EPBC Act.</w:t>
      </w:r>
    </w:p>
    <w:p w14:paraId="3CC53585" w14:textId="28A2511A" w:rsidR="00B331E5" w:rsidRDefault="00B331E5" w:rsidP="00EE6F23">
      <w:pPr>
        <w:tabs>
          <w:tab w:val="left" w:pos="360"/>
        </w:tabs>
        <w:spacing w:before="0" w:line="276" w:lineRule="auto"/>
        <w:rPr>
          <w:rFonts w:cs="Arial"/>
          <w:noProof/>
        </w:rPr>
      </w:pPr>
      <w:r>
        <w:rPr>
          <w:rFonts w:cs="Arial"/>
          <w:noProof/>
        </w:rPr>
        <w:t>In July 2020</w:t>
      </w:r>
      <w:r w:rsidRPr="00D44562">
        <w:rPr>
          <w:rFonts w:cs="Arial"/>
          <w:noProof/>
        </w:rPr>
        <w:t xml:space="preserve">, </w:t>
      </w:r>
      <w:r>
        <w:rPr>
          <w:rFonts w:cs="Arial"/>
          <w:noProof/>
        </w:rPr>
        <w:t xml:space="preserve">the Queensland Department of Agriculture and Fisheries (QDAF) </w:t>
      </w:r>
      <w:r w:rsidRPr="00D44562">
        <w:rPr>
          <w:rFonts w:cs="Arial"/>
          <w:noProof/>
        </w:rPr>
        <w:t xml:space="preserve">submitted an application to the Department of </w:t>
      </w:r>
      <w:r>
        <w:rPr>
          <w:rFonts w:cs="Arial"/>
          <w:noProof/>
        </w:rPr>
        <w:t xml:space="preserve">Agriculture, Water and </w:t>
      </w:r>
      <w:r w:rsidRPr="00D44562">
        <w:rPr>
          <w:rFonts w:cs="Arial"/>
          <w:noProof/>
        </w:rPr>
        <w:t xml:space="preserve">the Environment </w:t>
      </w:r>
      <w:r w:rsidR="000F2261">
        <w:rPr>
          <w:rFonts w:cs="Arial"/>
          <w:noProof/>
        </w:rPr>
        <w:t xml:space="preserve">(the Department) </w:t>
      </w:r>
      <w:r w:rsidRPr="00D44562">
        <w:rPr>
          <w:rFonts w:cs="Arial"/>
          <w:noProof/>
        </w:rPr>
        <w:t xml:space="preserve">for </w:t>
      </w:r>
      <w:r w:rsidR="000F2261">
        <w:rPr>
          <w:rFonts w:cs="Arial"/>
          <w:noProof/>
        </w:rPr>
        <w:t xml:space="preserve">the fishery to be approved as a Wildlife Trade Operation. </w:t>
      </w:r>
      <w:r w:rsidR="00630D30">
        <w:rPr>
          <w:rFonts w:cs="Arial"/>
          <w:noProof/>
        </w:rPr>
        <w:t xml:space="preserve">Public comments were sought on QDAF’s application, </w:t>
      </w:r>
      <w:r w:rsidR="00630D30" w:rsidRPr="00D44562">
        <w:rPr>
          <w:rFonts w:cs="Arial"/>
          <w:noProof/>
        </w:rPr>
        <w:t xml:space="preserve">from </w:t>
      </w:r>
      <w:r w:rsidR="00630D30">
        <w:rPr>
          <w:rFonts w:cs="Arial"/>
          <w:noProof/>
        </w:rPr>
        <w:t xml:space="preserve">22 July until </w:t>
      </w:r>
      <w:r w:rsidR="00630D30" w:rsidDel="000F2261">
        <w:rPr>
          <w:rFonts w:cs="Arial"/>
          <w:noProof/>
        </w:rPr>
        <w:t xml:space="preserve">21 </w:t>
      </w:r>
      <w:r w:rsidR="00630D30">
        <w:rPr>
          <w:rFonts w:cs="Arial"/>
          <w:noProof/>
        </w:rPr>
        <w:t>August 2020. Six public submissions were received</w:t>
      </w:r>
      <w:r w:rsidR="00630D30" w:rsidRPr="00630D30">
        <w:rPr>
          <w:rFonts w:cs="Arial"/>
          <w:noProof/>
        </w:rPr>
        <w:t xml:space="preserve"> </w:t>
      </w:r>
      <w:r w:rsidR="00630D30">
        <w:rPr>
          <w:rFonts w:cs="Arial"/>
          <w:noProof/>
        </w:rPr>
        <w:t xml:space="preserve">and QDAF provided advice in response to the issues raised in the public submissions. </w:t>
      </w:r>
    </w:p>
    <w:p w14:paraId="74A2F66C" w14:textId="1A16D45F" w:rsidR="00B331E5" w:rsidRDefault="00B331E5" w:rsidP="00EE6F23">
      <w:pPr>
        <w:tabs>
          <w:tab w:val="left" w:pos="360"/>
        </w:tabs>
        <w:spacing w:before="0"/>
        <w:rPr>
          <w:rFonts w:cs="Arial"/>
          <w:noProof/>
        </w:rPr>
      </w:pPr>
      <w:r>
        <w:rPr>
          <w:rFonts w:cs="Arial"/>
          <w:noProof/>
        </w:rPr>
        <w:t xml:space="preserve">The key </w:t>
      </w:r>
      <w:r w:rsidR="003C404A">
        <w:rPr>
          <w:rFonts w:cs="Arial"/>
          <w:noProof/>
        </w:rPr>
        <w:t xml:space="preserve">concerns </w:t>
      </w:r>
      <w:r>
        <w:rPr>
          <w:rFonts w:cs="Arial"/>
          <w:noProof/>
        </w:rPr>
        <w:t>raised in the public comments include</w:t>
      </w:r>
      <w:r w:rsidR="000F2261">
        <w:rPr>
          <w:rFonts w:cs="Arial"/>
          <w:noProof/>
        </w:rPr>
        <w:t>d</w:t>
      </w:r>
      <w:r>
        <w:rPr>
          <w:rFonts w:cs="Arial"/>
          <w:noProof/>
        </w:rPr>
        <w:t>:</w:t>
      </w:r>
    </w:p>
    <w:p w14:paraId="24CA73E6" w14:textId="5B809206" w:rsidR="000F2261" w:rsidRPr="000F2261" w:rsidRDefault="000F2261" w:rsidP="00EE6F23">
      <w:pPr>
        <w:pStyle w:val="ListParagraph"/>
        <w:numPr>
          <w:ilvl w:val="0"/>
          <w:numId w:val="21"/>
        </w:numPr>
        <w:tabs>
          <w:tab w:val="left" w:pos="360"/>
        </w:tabs>
        <w:spacing w:before="0" w:line="276" w:lineRule="auto"/>
        <w:rPr>
          <w:rFonts w:cs="Arial"/>
          <w:noProof/>
        </w:rPr>
      </w:pPr>
      <w:r w:rsidRPr="000F2261">
        <w:rPr>
          <w:rFonts w:cs="Arial"/>
          <w:noProof/>
        </w:rPr>
        <w:t>Global declines of teatfish species and associated IUCN listings</w:t>
      </w:r>
      <w:r w:rsidR="003C7146">
        <w:rPr>
          <w:rFonts w:cs="Arial"/>
          <w:noProof/>
        </w:rPr>
        <w:t xml:space="preserve"> which informed the CITES listing of the species</w:t>
      </w:r>
      <w:r w:rsidRPr="000F2261">
        <w:rPr>
          <w:rFonts w:cs="Arial"/>
          <w:noProof/>
        </w:rPr>
        <w:t>.</w:t>
      </w:r>
    </w:p>
    <w:p w14:paraId="05CD140D" w14:textId="62A506BD" w:rsidR="000F2261" w:rsidRPr="000F2261" w:rsidRDefault="000F2261" w:rsidP="00EE6F23">
      <w:pPr>
        <w:pStyle w:val="ListParagraph"/>
        <w:numPr>
          <w:ilvl w:val="0"/>
          <w:numId w:val="21"/>
        </w:numPr>
        <w:tabs>
          <w:tab w:val="left" w:pos="360"/>
        </w:tabs>
        <w:spacing w:before="0" w:line="276" w:lineRule="auto"/>
        <w:rPr>
          <w:rFonts w:cs="Arial"/>
          <w:noProof/>
        </w:rPr>
      </w:pPr>
      <w:r w:rsidRPr="000F2261">
        <w:rPr>
          <w:rFonts w:cs="Arial"/>
          <w:noProof/>
        </w:rPr>
        <w:t xml:space="preserve">Biology and life-history traits </w:t>
      </w:r>
      <w:r w:rsidR="003C7146">
        <w:rPr>
          <w:rFonts w:cs="Arial"/>
          <w:noProof/>
        </w:rPr>
        <w:t>of these species not being able to sustain commercial harvest</w:t>
      </w:r>
      <w:r w:rsidRPr="000F2261">
        <w:rPr>
          <w:rFonts w:cs="Arial"/>
          <w:noProof/>
        </w:rPr>
        <w:t>.</w:t>
      </w:r>
    </w:p>
    <w:p w14:paraId="2786F3DE" w14:textId="70006E94" w:rsidR="000F2261" w:rsidRPr="000F2261" w:rsidRDefault="000F2261" w:rsidP="00EE6F23">
      <w:pPr>
        <w:pStyle w:val="ListParagraph"/>
        <w:numPr>
          <w:ilvl w:val="0"/>
          <w:numId w:val="21"/>
        </w:numPr>
        <w:tabs>
          <w:tab w:val="left" w:pos="360"/>
        </w:tabs>
        <w:spacing w:before="0" w:line="276" w:lineRule="auto"/>
        <w:rPr>
          <w:rFonts w:cs="Arial"/>
          <w:noProof/>
        </w:rPr>
      </w:pPr>
      <w:r w:rsidRPr="000F2261">
        <w:rPr>
          <w:rFonts w:cs="Arial"/>
          <w:noProof/>
        </w:rPr>
        <w:t>Concerns regarding the survey design used to inform the reopening of fishing for Black Teatfish.</w:t>
      </w:r>
    </w:p>
    <w:p w14:paraId="7F464783" w14:textId="583037AF" w:rsidR="000F2261" w:rsidRPr="000F2261" w:rsidRDefault="000F2261" w:rsidP="00EE6F23">
      <w:pPr>
        <w:pStyle w:val="ListParagraph"/>
        <w:numPr>
          <w:ilvl w:val="0"/>
          <w:numId w:val="21"/>
        </w:numPr>
        <w:tabs>
          <w:tab w:val="left" w:pos="360"/>
        </w:tabs>
        <w:spacing w:before="0" w:line="276" w:lineRule="auto"/>
        <w:rPr>
          <w:rFonts w:cs="Arial"/>
          <w:noProof/>
        </w:rPr>
      </w:pPr>
      <w:r w:rsidRPr="000F2261">
        <w:rPr>
          <w:rFonts w:cs="Arial"/>
          <w:noProof/>
        </w:rPr>
        <w:t>The lack of information collected on numbers of individual animals harvested</w:t>
      </w:r>
      <w:r w:rsidR="00630D30">
        <w:rPr>
          <w:rFonts w:cs="Arial"/>
          <w:noProof/>
        </w:rPr>
        <w:t>.</w:t>
      </w:r>
    </w:p>
    <w:p w14:paraId="463271D0" w14:textId="5B9F0F83" w:rsidR="000F2261" w:rsidRPr="000F2261" w:rsidRDefault="003C7146" w:rsidP="00EE6F23">
      <w:pPr>
        <w:pStyle w:val="ListParagraph"/>
        <w:numPr>
          <w:ilvl w:val="0"/>
          <w:numId w:val="21"/>
        </w:numPr>
        <w:tabs>
          <w:tab w:val="left" w:pos="360"/>
        </w:tabs>
        <w:spacing w:before="0" w:line="276" w:lineRule="auto"/>
        <w:rPr>
          <w:rFonts w:cs="Arial"/>
          <w:noProof/>
        </w:rPr>
      </w:pPr>
      <w:r>
        <w:rPr>
          <w:rFonts w:cs="Arial"/>
          <w:noProof/>
        </w:rPr>
        <w:t>A lack of c</w:t>
      </w:r>
      <w:r w:rsidR="000F2261" w:rsidRPr="000F2261">
        <w:rPr>
          <w:rFonts w:cs="Arial"/>
          <w:noProof/>
        </w:rPr>
        <w:t>onsultation undertaken with regard to re-opening of fishing for Black Teatfish.</w:t>
      </w:r>
    </w:p>
    <w:p w14:paraId="184510E8" w14:textId="0022F63A" w:rsidR="000F2261" w:rsidRPr="000F2261" w:rsidRDefault="003C7146" w:rsidP="00EE6F23">
      <w:pPr>
        <w:pStyle w:val="ListParagraph"/>
        <w:numPr>
          <w:ilvl w:val="0"/>
          <w:numId w:val="21"/>
        </w:numPr>
        <w:tabs>
          <w:tab w:val="left" w:pos="360"/>
        </w:tabs>
        <w:spacing w:before="0" w:line="276" w:lineRule="auto"/>
        <w:rPr>
          <w:rFonts w:cs="Arial"/>
          <w:noProof/>
        </w:rPr>
      </w:pPr>
      <w:r>
        <w:rPr>
          <w:rFonts w:cs="Arial"/>
          <w:noProof/>
        </w:rPr>
        <w:t>Unclear s</w:t>
      </w:r>
      <w:r w:rsidR="000F2261" w:rsidRPr="000F2261">
        <w:rPr>
          <w:rFonts w:cs="Arial"/>
          <w:noProof/>
        </w:rPr>
        <w:t>patial management and the references to ‘zones’ in management arrangements.</w:t>
      </w:r>
    </w:p>
    <w:p w14:paraId="2CA64DAE" w14:textId="584CB62F" w:rsidR="000F2261" w:rsidRPr="000F2261" w:rsidRDefault="000F2261" w:rsidP="00EE6F23">
      <w:pPr>
        <w:pStyle w:val="ListParagraph"/>
        <w:numPr>
          <w:ilvl w:val="0"/>
          <w:numId w:val="21"/>
        </w:numPr>
        <w:tabs>
          <w:tab w:val="left" w:pos="360"/>
        </w:tabs>
        <w:spacing w:before="0" w:line="276" w:lineRule="auto"/>
        <w:rPr>
          <w:rFonts w:cs="Arial"/>
          <w:noProof/>
        </w:rPr>
      </w:pPr>
      <w:r w:rsidRPr="000F2261">
        <w:rPr>
          <w:rFonts w:cs="Arial"/>
          <w:noProof/>
        </w:rPr>
        <w:t>Logbook design and potential for fishers to report Black Teatfish as ‘other species’.</w:t>
      </w:r>
    </w:p>
    <w:p w14:paraId="02FEC4F0" w14:textId="11F5FBE0" w:rsidR="000F2261" w:rsidRPr="000F2261" w:rsidRDefault="000F2261" w:rsidP="00EE6F23">
      <w:pPr>
        <w:pStyle w:val="ListParagraph"/>
        <w:numPr>
          <w:ilvl w:val="0"/>
          <w:numId w:val="21"/>
        </w:numPr>
        <w:tabs>
          <w:tab w:val="left" w:pos="360"/>
        </w:tabs>
        <w:spacing w:before="0" w:line="276" w:lineRule="auto"/>
        <w:rPr>
          <w:rFonts w:cs="Arial"/>
          <w:noProof/>
        </w:rPr>
      </w:pPr>
      <w:r w:rsidRPr="000F2261">
        <w:rPr>
          <w:rFonts w:cs="Arial"/>
          <w:noProof/>
        </w:rPr>
        <w:t xml:space="preserve">Public availability of fishery </w:t>
      </w:r>
      <w:r w:rsidR="003C7146">
        <w:rPr>
          <w:rFonts w:cs="Arial"/>
          <w:noProof/>
        </w:rPr>
        <w:t>information</w:t>
      </w:r>
      <w:r w:rsidRPr="000F2261">
        <w:rPr>
          <w:rFonts w:cs="Arial"/>
          <w:noProof/>
        </w:rPr>
        <w:t>.</w:t>
      </w:r>
    </w:p>
    <w:p w14:paraId="02D5CB90" w14:textId="77777777" w:rsidR="000F2261" w:rsidRPr="000F2261" w:rsidRDefault="000F2261" w:rsidP="00EE6F23">
      <w:pPr>
        <w:pStyle w:val="ListParagraph"/>
        <w:numPr>
          <w:ilvl w:val="0"/>
          <w:numId w:val="21"/>
        </w:numPr>
        <w:tabs>
          <w:tab w:val="left" w:pos="360"/>
        </w:tabs>
        <w:spacing w:before="0" w:line="276" w:lineRule="auto"/>
        <w:rPr>
          <w:rFonts w:cs="Arial"/>
          <w:noProof/>
        </w:rPr>
      </w:pPr>
      <w:r w:rsidRPr="000F2261">
        <w:rPr>
          <w:rFonts w:cs="Arial"/>
          <w:noProof/>
        </w:rPr>
        <w:t>Recognition of Curryfish as a main target species and understanding of what species are caught and where.</w:t>
      </w:r>
    </w:p>
    <w:p w14:paraId="5EEEF269" w14:textId="77777777" w:rsidR="000F2261" w:rsidRPr="000F2261" w:rsidRDefault="000F2261" w:rsidP="00EE6F23">
      <w:pPr>
        <w:pStyle w:val="ListParagraph"/>
        <w:numPr>
          <w:ilvl w:val="0"/>
          <w:numId w:val="21"/>
        </w:numPr>
        <w:tabs>
          <w:tab w:val="left" w:pos="360"/>
        </w:tabs>
        <w:spacing w:before="0" w:line="276" w:lineRule="auto"/>
        <w:rPr>
          <w:rFonts w:cs="Arial"/>
          <w:noProof/>
        </w:rPr>
      </w:pPr>
      <w:r w:rsidRPr="000F2261">
        <w:rPr>
          <w:rFonts w:cs="Arial"/>
          <w:noProof/>
        </w:rPr>
        <w:t>The IUCN status of Prickly Redfish and need for specific management attention.</w:t>
      </w:r>
    </w:p>
    <w:p w14:paraId="0FD67F3C" w14:textId="77777777" w:rsidR="000F2261" w:rsidRPr="000F2261" w:rsidRDefault="000F2261" w:rsidP="00EE6F23">
      <w:pPr>
        <w:pStyle w:val="ListParagraph"/>
        <w:numPr>
          <w:ilvl w:val="0"/>
          <w:numId w:val="21"/>
        </w:numPr>
        <w:tabs>
          <w:tab w:val="left" w:pos="360"/>
        </w:tabs>
        <w:spacing w:before="0" w:line="276" w:lineRule="auto"/>
        <w:rPr>
          <w:rFonts w:cs="Arial"/>
          <w:noProof/>
        </w:rPr>
      </w:pPr>
      <w:r w:rsidRPr="000F2261">
        <w:rPr>
          <w:rFonts w:cs="Arial"/>
          <w:noProof/>
        </w:rPr>
        <w:t>The need for resource surveys for Burrowing Blackfish in the Burrowing Blackfish Zones.</w:t>
      </w:r>
    </w:p>
    <w:p w14:paraId="32DBCB82" w14:textId="77777777" w:rsidR="000F2261" w:rsidRPr="000F2261" w:rsidRDefault="000F2261" w:rsidP="00EE6F23">
      <w:pPr>
        <w:pStyle w:val="ListParagraph"/>
        <w:numPr>
          <w:ilvl w:val="0"/>
          <w:numId w:val="21"/>
        </w:numPr>
        <w:tabs>
          <w:tab w:val="left" w:pos="360"/>
        </w:tabs>
        <w:spacing w:before="0" w:line="276" w:lineRule="auto"/>
        <w:rPr>
          <w:rFonts w:cs="Arial"/>
          <w:noProof/>
        </w:rPr>
      </w:pPr>
      <w:r w:rsidRPr="000F2261">
        <w:rPr>
          <w:rFonts w:cs="Arial"/>
          <w:noProof/>
        </w:rPr>
        <w:t>The need for a harvest strategy for the fishery.</w:t>
      </w:r>
    </w:p>
    <w:p w14:paraId="351B023C" w14:textId="77777777" w:rsidR="000F2261" w:rsidRPr="000F2261" w:rsidRDefault="000F2261" w:rsidP="00EE6F23">
      <w:pPr>
        <w:pStyle w:val="ListParagraph"/>
        <w:numPr>
          <w:ilvl w:val="0"/>
          <w:numId w:val="21"/>
        </w:numPr>
        <w:tabs>
          <w:tab w:val="left" w:pos="360"/>
        </w:tabs>
        <w:spacing w:before="0" w:line="276" w:lineRule="auto"/>
        <w:rPr>
          <w:rFonts w:cs="Arial"/>
          <w:noProof/>
        </w:rPr>
      </w:pPr>
      <w:r w:rsidRPr="000F2261">
        <w:rPr>
          <w:rFonts w:cs="Arial"/>
          <w:noProof/>
        </w:rPr>
        <w:t>The need for current stock assessments for the fishery.</w:t>
      </w:r>
    </w:p>
    <w:p w14:paraId="683180A0" w14:textId="4CD50AD1" w:rsidR="000F2261" w:rsidRPr="000F2261" w:rsidRDefault="000F2261" w:rsidP="00EE6F23">
      <w:pPr>
        <w:pStyle w:val="ListParagraph"/>
        <w:numPr>
          <w:ilvl w:val="0"/>
          <w:numId w:val="21"/>
        </w:numPr>
        <w:tabs>
          <w:tab w:val="left" w:pos="360"/>
        </w:tabs>
        <w:spacing w:before="0" w:line="276" w:lineRule="auto"/>
        <w:rPr>
          <w:rFonts w:cs="Arial"/>
          <w:noProof/>
        </w:rPr>
      </w:pPr>
      <w:r w:rsidRPr="000F2261">
        <w:rPr>
          <w:rFonts w:cs="Arial"/>
          <w:noProof/>
        </w:rPr>
        <w:t>Prospecting arrangements for Burrowing Blackfish and Curryfish</w:t>
      </w:r>
      <w:r w:rsidR="00630D30">
        <w:rPr>
          <w:rFonts w:cs="Arial"/>
          <w:noProof/>
        </w:rPr>
        <w:t>.</w:t>
      </w:r>
      <w:r w:rsidRPr="000F2261">
        <w:rPr>
          <w:rFonts w:cs="Arial"/>
          <w:noProof/>
        </w:rPr>
        <w:t xml:space="preserve">  </w:t>
      </w:r>
    </w:p>
    <w:p w14:paraId="4E20693E" w14:textId="1C97D7EB" w:rsidR="000F2261" w:rsidRPr="000F2261" w:rsidRDefault="000F2261" w:rsidP="00EE6F23">
      <w:pPr>
        <w:pStyle w:val="ListParagraph"/>
        <w:numPr>
          <w:ilvl w:val="0"/>
          <w:numId w:val="21"/>
        </w:numPr>
        <w:tabs>
          <w:tab w:val="left" w:pos="360"/>
        </w:tabs>
        <w:spacing w:before="0" w:line="276" w:lineRule="auto"/>
        <w:rPr>
          <w:rFonts w:cs="Arial"/>
          <w:noProof/>
        </w:rPr>
      </w:pPr>
      <w:r w:rsidRPr="000F2261">
        <w:rPr>
          <w:rFonts w:cs="Arial"/>
          <w:noProof/>
        </w:rPr>
        <w:lastRenderedPageBreak/>
        <w:t>The important role Sea Cucumbers play in ecosystem health</w:t>
      </w:r>
      <w:r w:rsidR="003C7146">
        <w:rPr>
          <w:rFonts w:cs="Arial"/>
          <w:noProof/>
        </w:rPr>
        <w:t xml:space="preserve"> and the impacts that overfishing would have on reef health</w:t>
      </w:r>
      <w:r w:rsidRPr="000F2261">
        <w:rPr>
          <w:rFonts w:cs="Arial"/>
          <w:noProof/>
        </w:rPr>
        <w:t xml:space="preserve">. </w:t>
      </w:r>
    </w:p>
    <w:p w14:paraId="4C7257AC" w14:textId="77777777" w:rsidR="000F2261" w:rsidRPr="000F2261" w:rsidRDefault="000F2261" w:rsidP="00EE6F23">
      <w:pPr>
        <w:pStyle w:val="ListParagraph"/>
        <w:numPr>
          <w:ilvl w:val="0"/>
          <w:numId w:val="21"/>
        </w:numPr>
        <w:tabs>
          <w:tab w:val="left" w:pos="360"/>
        </w:tabs>
        <w:spacing w:before="0" w:line="276" w:lineRule="auto"/>
        <w:rPr>
          <w:rFonts w:cs="Arial"/>
          <w:noProof/>
        </w:rPr>
      </w:pPr>
      <w:r w:rsidRPr="000F2261">
        <w:rPr>
          <w:rFonts w:cs="Arial"/>
          <w:noProof/>
        </w:rPr>
        <w:t>Whether there has been an assessment under Section 303FO of the EPBC Act 1999 for White Teatfish and Black Teatfish.</w:t>
      </w:r>
    </w:p>
    <w:p w14:paraId="599A4DC1" w14:textId="6E3E1FB0" w:rsidR="000F2261" w:rsidRPr="000F2261" w:rsidRDefault="000F2261" w:rsidP="00EE6F23">
      <w:pPr>
        <w:pStyle w:val="ListParagraph"/>
        <w:numPr>
          <w:ilvl w:val="0"/>
          <w:numId w:val="21"/>
        </w:numPr>
        <w:tabs>
          <w:tab w:val="left" w:pos="360"/>
        </w:tabs>
        <w:spacing w:before="0" w:line="276" w:lineRule="auto"/>
        <w:rPr>
          <w:rFonts w:cs="Arial"/>
          <w:noProof/>
        </w:rPr>
      </w:pPr>
      <w:r w:rsidRPr="000F2261">
        <w:rPr>
          <w:rFonts w:cs="Arial"/>
          <w:noProof/>
        </w:rPr>
        <w:t>Whether rising average sea temperatures and associated effects on spawning are considered in managing the fishery.</w:t>
      </w:r>
    </w:p>
    <w:p w14:paraId="0FA5D103" w14:textId="77777777" w:rsidR="000F2261" w:rsidRPr="000F2261" w:rsidRDefault="000F2261" w:rsidP="00EE6F23">
      <w:pPr>
        <w:pStyle w:val="ListParagraph"/>
        <w:numPr>
          <w:ilvl w:val="0"/>
          <w:numId w:val="21"/>
        </w:numPr>
        <w:tabs>
          <w:tab w:val="left" w:pos="360"/>
        </w:tabs>
        <w:spacing w:before="0" w:line="276" w:lineRule="auto"/>
        <w:ind w:left="714" w:hanging="357"/>
        <w:rPr>
          <w:rFonts w:cs="Arial"/>
          <w:noProof/>
        </w:rPr>
      </w:pPr>
      <w:r w:rsidRPr="000F2261">
        <w:rPr>
          <w:rFonts w:cs="Arial"/>
          <w:noProof/>
        </w:rPr>
        <w:t>Whether commercial fishers harvest White Teatfish in the third year of the Burrowing Blackfish harvest cycle.</w:t>
      </w:r>
    </w:p>
    <w:p w14:paraId="67502925" w14:textId="05940CF7" w:rsidR="000F2261" w:rsidRDefault="000F2261" w:rsidP="00EE6F23">
      <w:pPr>
        <w:pStyle w:val="ListParagraph"/>
        <w:numPr>
          <w:ilvl w:val="0"/>
          <w:numId w:val="21"/>
        </w:numPr>
        <w:tabs>
          <w:tab w:val="left" w:pos="360"/>
        </w:tabs>
        <w:spacing w:before="0" w:line="276" w:lineRule="auto"/>
        <w:rPr>
          <w:rFonts w:cs="Arial"/>
          <w:noProof/>
        </w:rPr>
      </w:pPr>
      <w:r w:rsidRPr="000F2261">
        <w:rPr>
          <w:rFonts w:cs="Arial"/>
          <w:noProof/>
        </w:rPr>
        <w:t>The scientific basis for the minimum size for burrowing blackfish and apparent lack of regulated size limit for this species.</w:t>
      </w:r>
    </w:p>
    <w:p w14:paraId="3EAB62AF" w14:textId="77777777" w:rsidR="00FC3E88" w:rsidRPr="00FC3E88" w:rsidRDefault="00FC3E88" w:rsidP="00EE6F23">
      <w:pPr>
        <w:tabs>
          <w:tab w:val="left" w:pos="360"/>
        </w:tabs>
        <w:spacing w:before="0" w:line="276" w:lineRule="auto"/>
        <w:rPr>
          <w:rFonts w:cs="Arial"/>
          <w:noProof/>
        </w:rPr>
      </w:pPr>
      <w:r w:rsidRPr="00FC3E88">
        <w:rPr>
          <w:rFonts w:cs="Arial"/>
          <w:noProof/>
        </w:rPr>
        <w:t>The Department assessed the application under the EPBC Act and</w:t>
      </w:r>
      <w:r w:rsidRPr="00FC3E88" w:rsidDel="000F2261">
        <w:rPr>
          <w:rFonts w:cs="Arial"/>
          <w:noProof/>
        </w:rPr>
        <w:t xml:space="preserve"> </w:t>
      </w:r>
      <w:r w:rsidRPr="00FC3E88">
        <w:rPr>
          <w:rFonts w:cs="Arial"/>
          <w:noProof/>
        </w:rPr>
        <w:t>against the Australian Government ‘</w:t>
      </w:r>
      <w:r w:rsidRPr="00FC3E88">
        <w:rPr>
          <w:rFonts w:cs="Arial"/>
          <w:i/>
          <w:noProof/>
        </w:rPr>
        <w:t>Guidelines for the Ecologically Sustainable Management of Fisheries – 2nd Edition’</w:t>
      </w:r>
      <w:r w:rsidRPr="00FC3E88">
        <w:rPr>
          <w:rFonts w:cs="Arial"/>
          <w:noProof/>
        </w:rPr>
        <w:t xml:space="preserve">.  Both the public submissions and QDAF’s response were considered in the Department’s assessment. </w:t>
      </w:r>
    </w:p>
    <w:p w14:paraId="4244DC35" w14:textId="74BA152E" w:rsidR="00CC0367" w:rsidRPr="008B76BD" w:rsidRDefault="00CC0367" w:rsidP="00EE6F23">
      <w:pPr>
        <w:tabs>
          <w:tab w:val="left" w:pos="360"/>
        </w:tabs>
        <w:spacing w:before="0" w:line="276" w:lineRule="auto"/>
        <w:rPr>
          <w:noProof/>
        </w:rPr>
      </w:pPr>
      <w:r w:rsidRPr="005338FE">
        <w:rPr>
          <w:noProof/>
        </w:rPr>
        <w:t>Th</w:t>
      </w:r>
      <w:r>
        <w:rPr>
          <w:noProof/>
        </w:rPr>
        <w:t>e Department’s</w:t>
      </w:r>
      <w:r w:rsidRPr="005338FE">
        <w:rPr>
          <w:noProof/>
        </w:rPr>
        <w:t xml:space="preserve"> assessment </w:t>
      </w:r>
      <w:r>
        <w:rPr>
          <w:noProof/>
        </w:rPr>
        <w:t xml:space="preserve">forms the basis for approvals granted under Parts 13 and 13A of the EPBC Act, and </w:t>
      </w:r>
      <w:r w:rsidRPr="005338FE">
        <w:rPr>
          <w:noProof/>
        </w:rPr>
        <w:t>also forms the basis for the Australian CITES Scientific Authority’s Non-Detriment Finding for Black Teatfish and White Teatfish in th</w:t>
      </w:r>
      <w:r>
        <w:rPr>
          <w:noProof/>
        </w:rPr>
        <w:t>i</w:t>
      </w:r>
      <w:r w:rsidRPr="005338FE">
        <w:rPr>
          <w:noProof/>
        </w:rPr>
        <w:t>s fishery.</w:t>
      </w:r>
    </w:p>
    <w:p w14:paraId="33ADDC9E" w14:textId="0D47C234" w:rsidR="00B331E5" w:rsidRPr="002F5360" w:rsidRDefault="00B331E5" w:rsidP="00EE6F23">
      <w:pPr>
        <w:tabs>
          <w:tab w:val="left" w:pos="360"/>
        </w:tabs>
        <w:spacing w:before="0" w:line="276" w:lineRule="auto"/>
        <w:rPr>
          <w:rFonts w:cs="Arial"/>
          <w:b/>
          <w:iCs/>
          <w:noProof/>
        </w:rPr>
      </w:pPr>
      <w:r w:rsidRPr="002F5360">
        <w:rPr>
          <w:rFonts w:cs="Arial"/>
          <w:b/>
          <w:iCs/>
          <w:noProof/>
        </w:rPr>
        <w:t>The fishery</w:t>
      </w:r>
    </w:p>
    <w:p w14:paraId="2FF556B1" w14:textId="1D69B7CB" w:rsidR="00B331E5" w:rsidRDefault="00B331E5" w:rsidP="00EE6F23">
      <w:pPr>
        <w:tabs>
          <w:tab w:val="left" w:pos="360"/>
        </w:tabs>
        <w:spacing w:before="0" w:line="276" w:lineRule="auto"/>
        <w:rPr>
          <w:rFonts w:cs="Arial"/>
          <w:noProof/>
        </w:rPr>
      </w:pPr>
      <w:r w:rsidRPr="00FE0086">
        <w:rPr>
          <w:rFonts w:cs="Arial"/>
          <w:noProof/>
        </w:rPr>
        <w:t xml:space="preserve">The </w:t>
      </w:r>
      <w:r>
        <w:rPr>
          <w:rFonts w:cs="Arial"/>
          <w:noProof/>
        </w:rPr>
        <w:t xml:space="preserve">fishery is managed in accordance with the </w:t>
      </w:r>
      <w:r w:rsidDel="003C404A">
        <w:rPr>
          <w:rFonts w:cs="Arial"/>
          <w:noProof/>
        </w:rPr>
        <w:t xml:space="preserve">Queensland </w:t>
      </w:r>
      <w:r w:rsidRPr="00FE0086" w:rsidDel="003C404A">
        <w:rPr>
          <w:rFonts w:cs="Arial"/>
          <w:i/>
          <w:noProof/>
        </w:rPr>
        <w:t>Fisheries Act 1994</w:t>
      </w:r>
      <w:bookmarkStart w:id="2" w:name="_Hlk48910733"/>
      <w:bookmarkStart w:id="3" w:name="_Hlk48917765"/>
      <w:r w:rsidRPr="00E21AE7">
        <w:rPr>
          <w:rFonts w:cs="Arial"/>
        </w:rPr>
        <w:t>, Fisheries (General) Regulation 2019, Fisheries (Commercial Fisheries) Regulation 2019</w:t>
      </w:r>
      <w:r w:rsidR="00D97C51">
        <w:rPr>
          <w:rFonts w:cs="Arial"/>
        </w:rPr>
        <w:t xml:space="preserve"> and the </w:t>
      </w:r>
      <w:r w:rsidRPr="00E21AE7">
        <w:rPr>
          <w:rFonts w:cs="Arial"/>
        </w:rPr>
        <w:t>Fisheries Declaration 2019</w:t>
      </w:r>
      <w:bookmarkEnd w:id="2"/>
      <w:r w:rsidRPr="00E21AE7">
        <w:rPr>
          <w:rFonts w:cs="Arial"/>
        </w:rPr>
        <w:t>.</w:t>
      </w:r>
      <w:bookmarkEnd w:id="3"/>
      <w:r w:rsidRPr="006A3554">
        <w:rPr>
          <w:rFonts w:cs="Arial"/>
          <w:noProof/>
        </w:rPr>
        <w:t xml:space="preserve"> </w:t>
      </w:r>
    </w:p>
    <w:p w14:paraId="720B8E1A" w14:textId="6C4BC9CC" w:rsidR="00B331E5" w:rsidRDefault="00B331E5" w:rsidP="00EE6F23">
      <w:pPr>
        <w:tabs>
          <w:tab w:val="left" w:pos="360"/>
        </w:tabs>
        <w:spacing w:before="0" w:line="276" w:lineRule="auto"/>
        <w:rPr>
          <w:rFonts w:cs="Arial"/>
          <w:noProof/>
        </w:rPr>
      </w:pPr>
      <w:r w:rsidRPr="00D44562">
        <w:rPr>
          <w:rFonts w:cs="Arial"/>
          <w:iCs/>
          <w:noProof/>
        </w:rPr>
        <w:t xml:space="preserve">The </w:t>
      </w:r>
      <w:r w:rsidR="003C404A">
        <w:rPr>
          <w:rFonts w:cs="Arial"/>
          <w:iCs/>
          <w:noProof/>
        </w:rPr>
        <w:t>f</w:t>
      </w:r>
      <w:r>
        <w:rPr>
          <w:rFonts w:cs="Arial"/>
          <w:iCs/>
          <w:noProof/>
        </w:rPr>
        <w:t>ishery</w:t>
      </w:r>
      <w:r w:rsidRPr="00D44562">
        <w:rPr>
          <w:rFonts w:cs="Arial"/>
          <w:iCs/>
          <w:noProof/>
        </w:rPr>
        <w:t xml:space="preserve"> operates in </w:t>
      </w:r>
      <w:r>
        <w:rPr>
          <w:rFonts w:cs="Arial"/>
          <w:iCs/>
          <w:noProof/>
        </w:rPr>
        <w:t xml:space="preserve">Queensland and Commonwealth waters, </w:t>
      </w:r>
      <w:r w:rsidR="003C404A">
        <w:rPr>
          <w:rFonts w:cs="Arial"/>
          <w:iCs/>
          <w:noProof/>
        </w:rPr>
        <w:t xml:space="preserve">including parts of the Great Barrier Reef Marine Protected Area. The fishery </w:t>
      </w:r>
      <w:r w:rsidRPr="006A3554">
        <w:rPr>
          <w:rFonts w:cs="Arial"/>
          <w:iCs/>
          <w:noProof/>
        </w:rPr>
        <w:t>extend</w:t>
      </w:r>
      <w:r w:rsidR="003C404A">
        <w:rPr>
          <w:rFonts w:cs="Arial"/>
          <w:iCs/>
          <w:noProof/>
        </w:rPr>
        <w:t>s</w:t>
      </w:r>
      <w:r w:rsidRPr="006A3554">
        <w:rPr>
          <w:rFonts w:cs="Arial"/>
          <w:iCs/>
          <w:noProof/>
        </w:rPr>
        <w:t xml:space="preserve"> from Cape York to the southern limit of Tin Can Bay</w:t>
      </w:r>
      <w:r w:rsidR="003C404A">
        <w:rPr>
          <w:rFonts w:cs="Arial"/>
          <w:iCs/>
          <w:noProof/>
        </w:rPr>
        <w:t xml:space="preserve"> and harvest is managed with a range of input and output controls, including </w:t>
      </w:r>
      <w:r>
        <w:rPr>
          <w:rFonts w:cs="Arial"/>
          <w:noProof/>
        </w:rPr>
        <w:t xml:space="preserve">catch </w:t>
      </w:r>
      <w:r w:rsidR="003C404A">
        <w:rPr>
          <w:rFonts w:cs="Arial"/>
          <w:noProof/>
        </w:rPr>
        <w:t>limits and spatial management measures. A</w:t>
      </w:r>
      <w:r w:rsidDel="003C404A">
        <w:rPr>
          <w:rFonts w:cs="Arial"/>
          <w:noProof/>
        </w:rPr>
        <w:t xml:space="preserve"> </w:t>
      </w:r>
      <w:r w:rsidR="003C404A">
        <w:rPr>
          <w:rFonts w:cs="Arial"/>
          <w:noProof/>
        </w:rPr>
        <w:t xml:space="preserve">rotational harvest strategy is also </w:t>
      </w:r>
      <w:r>
        <w:rPr>
          <w:rFonts w:cs="Arial"/>
          <w:noProof/>
        </w:rPr>
        <w:t xml:space="preserve">used </w:t>
      </w:r>
      <w:r w:rsidR="007110A2">
        <w:rPr>
          <w:rFonts w:cs="Arial"/>
          <w:noProof/>
        </w:rPr>
        <w:t>in</w:t>
      </w:r>
      <w:r>
        <w:rPr>
          <w:rFonts w:cs="Arial"/>
          <w:noProof/>
        </w:rPr>
        <w:t xml:space="preserve"> the </w:t>
      </w:r>
      <w:r w:rsidR="007110A2">
        <w:rPr>
          <w:rFonts w:cs="Arial"/>
          <w:noProof/>
        </w:rPr>
        <w:t>fishery</w:t>
      </w:r>
      <w:r>
        <w:rPr>
          <w:rFonts w:cs="Arial"/>
          <w:noProof/>
        </w:rPr>
        <w:t xml:space="preserve">. </w:t>
      </w:r>
    </w:p>
    <w:p w14:paraId="69D466E9" w14:textId="378C6CB9" w:rsidR="00B331E5" w:rsidRDefault="00B331E5" w:rsidP="00EE6F23">
      <w:pPr>
        <w:tabs>
          <w:tab w:val="left" w:pos="360"/>
        </w:tabs>
        <w:spacing w:before="0" w:line="276" w:lineRule="auto"/>
        <w:rPr>
          <w:noProof/>
        </w:rPr>
      </w:pPr>
      <w:bookmarkStart w:id="4" w:name="_Hlk51751116"/>
      <w:r>
        <w:rPr>
          <w:noProof/>
        </w:rPr>
        <w:t xml:space="preserve">The main target species are </w:t>
      </w:r>
      <w:r w:rsidR="003C404A">
        <w:rPr>
          <w:noProof/>
        </w:rPr>
        <w:t>Burrowing Blackfish</w:t>
      </w:r>
      <w:r>
        <w:rPr>
          <w:noProof/>
        </w:rPr>
        <w:t xml:space="preserve">, </w:t>
      </w:r>
      <w:r w:rsidR="003C404A">
        <w:rPr>
          <w:noProof/>
        </w:rPr>
        <w:t>Black Teatfish</w:t>
      </w:r>
      <w:r>
        <w:rPr>
          <w:noProof/>
        </w:rPr>
        <w:t xml:space="preserve">, </w:t>
      </w:r>
      <w:r w:rsidR="003C404A">
        <w:rPr>
          <w:noProof/>
        </w:rPr>
        <w:t>White Teatfish</w:t>
      </w:r>
      <w:r>
        <w:rPr>
          <w:noProof/>
        </w:rPr>
        <w:t xml:space="preserve">, </w:t>
      </w:r>
      <w:r w:rsidR="003C404A">
        <w:rPr>
          <w:noProof/>
        </w:rPr>
        <w:t>Pricky Redfish</w:t>
      </w:r>
      <w:r>
        <w:rPr>
          <w:noProof/>
        </w:rPr>
        <w:t xml:space="preserve">, </w:t>
      </w:r>
      <w:r w:rsidR="003C404A">
        <w:rPr>
          <w:noProof/>
        </w:rPr>
        <w:t xml:space="preserve">Sandfish </w:t>
      </w:r>
      <w:r>
        <w:rPr>
          <w:noProof/>
        </w:rPr>
        <w:t xml:space="preserve">and </w:t>
      </w:r>
      <w:r w:rsidR="003C404A">
        <w:rPr>
          <w:noProof/>
        </w:rPr>
        <w:t>Blackfish</w:t>
      </w:r>
      <w:r>
        <w:rPr>
          <w:noProof/>
        </w:rPr>
        <w:t xml:space="preserve">. </w:t>
      </w:r>
      <w:r w:rsidRPr="000E4F44">
        <w:rPr>
          <w:noProof/>
        </w:rPr>
        <w:t>The</w:t>
      </w:r>
      <w:r w:rsidRPr="000E4F44" w:rsidDel="003C404A">
        <w:rPr>
          <w:noProof/>
        </w:rPr>
        <w:t xml:space="preserve"> </w:t>
      </w:r>
      <w:r w:rsidRPr="000E4F44">
        <w:rPr>
          <w:noProof/>
        </w:rPr>
        <w:t>hand collection method is high</w:t>
      </w:r>
      <w:r>
        <w:rPr>
          <w:noProof/>
        </w:rPr>
        <w:t>ly selective</w:t>
      </w:r>
      <w:r w:rsidR="005313C4">
        <w:rPr>
          <w:noProof/>
        </w:rPr>
        <w:t>, resulting in minimal risk to non-target species, including any protected species</w:t>
      </w:r>
      <w:r w:rsidRPr="000E4F44">
        <w:rPr>
          <w:noProof/>
        </w:rPr>
        <w:t xml:space="preserve">. </w:t>
      </w:r>
    </w:p>
    <w:bookmarkEnd w:id="4"/>
    <w:p w14:paraId="023B972F" w14:textId="68A32FA5" w:rsidR="00B331E5" w:rsidRPr="00D50A3A" w:rsidRDefault="00B331E5" w:rsidP="00EE6F23">
      <w:pPr>
        <w:tabs>
          <w:tab w:val="left" w:pos="360"/>
        </w:tabs>
        <w:spacing w:before="0" w:line="276" w:lineRule="auto"/>
        <w:rPr>
          <w:rFonts w:cs="Arial"/>
          <w:iCs/>
          <w:noProof/>
        </w:rPr>
      </w:pPr>
      <w:r w:rsidRPr="00D50A3A">
        <w:rPr>
          <w:rFonts w:cs="Arial"/>
          <w:iCs/>
          <w:noProof/>
        </w:rPr>
        <w:t xml:space="preserve">While an ecological risk assessment has not been conducted for the fishery, there are no concerns for byproduct, bycatch, protected species and the ecosystem due to the </w:t>
      </w:r>
      <w:r w:rsidR="00D80549" w:rsidRPr="00D50A3A">
        <w:rPr>
          <w:rFonts w:cs="Arial"/>
          <w:iCs/>
          <w:noProof/>
        </w:rPr>
        <w:t>nature</w:t>
      </w:r>
      <w:r w:rsidRPr="00D50A3A" w:rsidDel="00D80549">
        <w:rPr>
          <w:rFonts w:cs="Arial"/>
          <w:iCs/>
          <w:noProof/>
        </w:rPr>
        <w:t xml:space="preserve"> of the </w:t>
      </w:r>
      <w:r w:rsidRPr="00D50A3A">
        <w:rPr>
          <w:rFonts w:cs="Arial"/>
          <w:iCs/>
          <w:noProof/>
        </w:rPr>
        <w:t>fishing method</w:t>
      </w:r>
      <w:r w:rsidR="00D80549" w:rsidRPr="00D50A3A">
        <w:rPr>
          <w:rFonts w:cs="Arial"/>
          <w:iCs/>
          <w:noProof/>
        </w:rPr>
        <w:t>s used</w:t>
      </w:r>
      <w:r w:rsidRPr="00D50A3A">
        <w:rPr>
          <w:rFonts w:cs="Arial"/>
          <w:iCs/>
          <w:noProof/>
        </w:rPr>
        <w:t xml:space="preserve">. The potential impacts of fishing on target species </w:t>
      </w:r>
      <w:r w:rsidR="00D80549" w:rsidRPr="00D50A3A">
        <w:rPr>
          <w:rFonts w:cs="Arial"/>
          <w:iCs/>
          <w:noProof/>
        </w:rPr>
        <w:t>are managed through various input and output controls, including rotational harvest strategies, size and catch limits.</w:t>
      </w:r>
    </w:p>
    <w:p w14:paraId="43239C2C" w14:textId="77777777" w:rsidR="00B331E5" w:rsidRPr="008B76BD" w:rsidRDefault="00B331E5" w:rsidP="00EE6F23">
      <w:pPr>
        <w:adjustRightInd w:val="0"/>
        <w:spacing w:before="0" w:line="276" w:lineRule="auto"/>
        <w:rPr>
          <w:rFonts w:cs="Arial"/>
          <w:b/>
        </w:rPr>
      </w:pPr>
      <w:r w:rsidRPr="008B76BD">
        <w:rPr>
          <w:rFonts w:cs="Arial"/>
          <w:b/>
        </w:rPr>
        <w:t>Conclusion</w:t>
      </w:r>
    </w:p>
    <w:p w14:paraId="100922B5" w14:textId="18A68336" w:rsidR="00B331E5" w:rsidRPr="00920721" w:rsidRDefault="00CA6E91" w:rsidP="00EE6F23">
      <w:pPr>
        <w:spacing w:before="0" w:line="276" w:lineRule="auto"/>
      </w:pPr>
      <w:r>
        <w:t>T</w:t>
      </w:r>
      <w:r w:rsidR="00B331E5" w:rsidRPr="00920721">
        <w:t xml:space="preserve">he Department recommends that the fishery be granted export approval for </w:t>
      </w:r>
      <w:r w:rsidR="00F428C1" w:rsidRPr="00AE5829">
        <w:t>12 months</w:t>
      </w:r>
      <w:r w:rsidR="00B331E5" w:rsidRPr="00920721">
        <w:t xml:space="preserve">, until </w:t>
      </w:r>
      <w:r w:rsidR="002C31D6" w:rsidRPr="00AE5829">
        <w:t>30</w:t>
      </w:r>
      <w:r>
        <w:t> S</w:t>
      </w:r>
      <w:r w:rsidR="00F428C1">
        <w:t>eptember 2021</w:t>
      </w:r>
      <w:r w:rsidR="00B331E5" w:rsidRPr="00920721">
        <w:t xml:space="preserve">, by declaring the fishery an approved </w:t>
      </w:r>
      <w:r w:rsidR="008B76BD" w:rsidRPr="00920721">
        <w:t xml:space="preserve">Wildlife Trade Operation </w:t>
      </w:r>
      <w:r w:rsidR="00B331E5" w:rsidRPr="00920721">
        <w:t xml:space="preserve">under the EPBC Act. The fishery’s inclusion on the List of Exempt Native Specimens will </w:t>
      </w:r>
      <w:r w:rsidR="008B76BD" w:rsidRPr="00920721">
        <w:t xml:space="preserve">be amended to </w:t>
      </w:r>
      <w:r w:rsidR="00B331E5" w:rsidRPr="00920721">
        <w:t xml:space="preserve">remain valid while a valid </w:t>
      </w:r>
      <w:r w:rsidR="008B76BD" w:rsidRPr="00920721">
        <w:t>Wildlife</w:t>
      </w:r>
      <w:r w:rsidR="00B331E5" w:rsidRPr="00920721" w:rsidDel="008B76BD">
        <w:t xml:space="preserve"> </w:t>
      </w:r>
      <w:r w:rsidR="008B76BD" w:rsidRPr="00920721">
        <w:t xml:space="preserve">Trade Operation </w:t>
      </w:r>
      <w:r w:rsidR="00B331E5" w:rsidRPr="00920721">
        <w:t>is in place</w:t>
      </w:r>
      <w:r w:rsidR="00FC3E88">
        <w:t xml:space="preserve"> and allow the export of CITES listed Black </w:t>
      </w:r>
      <w:proofErr w:type="spellStart"/>
      <w:r w:rsidR="00FC3E88">
        <w:t>Teatfish</w:t>
      </w:r>
      <w:proofErr w:type="spellEnd"/>
      <w:r w:rsidR="00FC3E88">
        <w:t xml:space="preserve"> and White </w:t>
      </w:r>
      <w:proofErr w:type="spellStart"/>
      <w:r w:rsidR="00FC3E88">
        <w:t>Teatfish</w:t>
      </w:r>
      <w:proofErr w:type="spellEnd"/>
      <w:r w:rsidR="00B331E5" w:rsidRPr="00920721">
        <w:t xml:space="preserve">. </w:t>
      </w:r>
    </w:p>
    <w:p w14:paraId="31C3749E" w14:textId="6756AFB4" w:rsidR="007110A2" w:rsidRPr="00920721" w:rsidRDefault="007110A2" w:rsidP="00EE6F23">
      <w:pPr>
        <w:spacing w:before="0" w:line="276" w:lineRule="auto"/>
      </w:pPr>
      <w:r w:rsidRPr="00AE5829">
        <w:rPr>
          <w:rFonts w:cs="Arial"/>
        </w:rPr>
        <w:t xml:space="preserve">The relatively short duration of the proposed approval is to ensure proposed </w:t>
      </w:r>
      <w:r w:rsidR="00A74AAE" w:rsidRPr="00AE5829">
        <w:rPr>
          <w:rFonts w:cs="Arial"/>
        </w:rPr>
        <w:t xml:space="preserve">population </w:t>
      </w:r>
      <w:r w:rsidRPr="00AE5829">
        <w:rPr>
          <w:rFonts w:cs="Arial"/>
        </w:rPr>
        <w:t xml:space="preserve">surveys </w:t>
      </w:r>
      <w:r w:rsidR="00A74AAE" w:rsidRPr="00AE5829">
        <w:rPr>
          <w:rFonts w:cs="Arial"/>
        </w:rPr>
        <w:t xml:space="preserve">to determine biomass and density, </w:t>
      </w:r>
      <w:r w:rsidR="00D50A3A">
        <w:rPr>
          <w:rFonts w:cs="Arial"/>
        </w:rPr>
        <w:t>and</w:t>
      </w:r>
      <w:r w:rsidR="00A74AAE" w:rsidRPr="00AE5829">
        <w:rPr>
          <w:rFonts w:cs="Arial"/>
        </w:rPr>
        <w:t xml:space="preserve"> </w:t>
      </w:r>
      <w:r w:rsidRPr="00AE5829">
        <w:rPr>
          <w:rFonts w:cs="Arial"/>
        </w:rPr>
        <w:t xml:space="preserve">stock assessments </w:t>
      </w:r>
      <w:r w:rsidR="00A74AAE">
        <w:rPr>
          <w:rFonts w:cs="Arial"/>
        </w:rPr>
        <w:t xml:space="preserve">to determine appropriate level of fishing </w:t>
      </w:r>
      <w:r w:rsidRPr="00AE5829">
        <w:rPr>
          <w:rFonts w:cs="Arial"/>
        </w:rPr>
        <w:t xml:space="preserve">can be </w:t>
      </w:r>
      <w:r w:rsidR="00A74AAE" w:rsidRPr="00AE5829">
        <w:rPr>
          <w:rFonts w:cs="Arial"/>
        </w:rPr>
        <w:t xml:space="preserve">designed (for both species) and </w:t>
      </w:r>
      <w:r w:rsidRPr="00AE5829">
        <w:rPr>
          <w:rFonts w:cs="Arial"/>
        </w:rPr>
        <w:t>completed</w:t>
      </w:r>
      <w:r w:rsidR="00A74AAE" w:rsidRPr="00AE5829">
        <w:rPr>
          <w:rFonts w:cs="Arial"/>
        </w:rPr>
        <w:t xml:space="preserve"> (for Black </w:t>
      </w:r>
      <w:proofErr w:type="spellStart"/>
      <w:r w:rsidR="00A74AAE" w:rsidRPr="00AE5829">
        <w:rPr>
          <w:rFonts w:cs="Arial"/>
        </w:rPr>
        <w:t>Teatfish</w:t>
      </w:r>
      <w:proofErr w:type="spellEnd"/>
      <w:r w:rsidR="00A74AAE" w:rsidRPr="00AE5829">
        <w:rPr>
          <w:rFonts w:cs="Arial"/>
        </w:rPr>
        <w:t>)</w:t>
      </w:r>
      <w:r w:rsidR="00D50A3A">
        <w:rPr>
          <w:rFonts w:cs="Arial"/>
        </w:rPr>
        <w:t>. The short</w:t>
      </w:r>
      <w:r w:rsidR="00F65500">
        <w:rPr>
          <w:rFonts w:cs="Arial"/>
        </w:rPr>
        <w:t>-</w:t>
      </w:r>
      <w:r w:rsidR="00D50A3A">
        <w:rPr>
          <w:rFonts w:cs="Arial"/>
        </w:rPr>
        <w:t>term approval will ensure</w:t>
      </w:r>
      <w:r w:rsidRPr="00AE5829">
        <w:rPr>
          <w:rFonts w:cs="Arial"/>
        </w:rPr>
        <w:t xml:space="preserve"> more information on stocks and the ongoing sustainability of management arrangements can be considered before </w:t>
      </w:r>
      <w:r w:rsidR="00A74AAE" w:rsidRPr="00AE5829">
        <w:rPr>
          <w:rFonts w:cs="Arial"/>
        </w:rPr>
        <w:t>a longer</w:t>
      </w:r>
      <w:r w:rsidR="00F65500">
        <w:rPr>
          <w:rFonts w:cs="Arial"/>
        </w:rPr>
        <w:t>-</w:t>
      </w:r>
      <w:r w:rsidR="00A74AAE" w:rsidRPr="00AE5829">
        <w:rPr>
          <w:rFonts w:cs="Arial"/>
        </w:rPr>
        <w:t>term</w:t>
      </w:r>
      <w:r w:rsidRPr="00AE5829">
        <w:rPr>
          <w:rFonts w:cs="Arial"/>
        </w:rPr>
        <w:t xml:space="preserve"> approval is </w:t>
      </w:r>
      <w:r w:rsidR="00A74AAE" w:rsidRPr="00AE5829">
        <w:rPr>
          <w:rFonts w:cs="Arial"/>
        </w:rPr>
        <w:t>considered</w:t>
      </w:r>
      <w:r w:rsidRPr="00AE5829">
        <w:rPr>
          <w:rFonts w:cs="Arial"/>
        </w:rPr>
        <w:t>.</w:t>
      </w:r>
      <w:r w:rsidRPr="007110A2">
        <w:rPr>
          <w:rFonts w:cs="Arial"/>
        </w:rPr>
        <w:t xml:space="preserve"> </w:t>
      </w:r>
      <w:r w:rsidRPr="00AE5829">
        <w:rPr>
          <w:rFonts w:cs="Arial"/>
        </w:rPr>
        <w:t>These conditions are targeted at</w:t>
      </w:r>
      <w:r w:rsidR="00BA7A75" w:rsidRPr="00AE5829">
        <w:rPr>
          <w:rFonts w:cs="Arial"/>
        </w:rPr>
        <w:t xml:space="preserve"> </w:t>
      </w:r>
      <w:r w:rsidR="00BA7A75" w:rsidRPr="00AE5829">
        <w:rPr>
          <w:rFonts w:cs="Arial"/>
        </w:rPr>
        <w:lastRenderedPageBreak/>
        <w:t>obtaining outcomes for</w:t>
      </w:r>
      <w:r w:rsidRPr="00AE5829">
        <w:rPr>
          <w:rFonts w:cs="Arial"/>
        </w:rPr>
        <w:t xml:space="preserve"> CITES-listed Black and White </w:t>
      </w:r>
      <w:proofErr w:type="spellStart"/>
      <w:r w:rsidRPr="00AE5829">
        <w:rPr>
          <w:rFonts w:cs="Arial"/>
        </w:rPr>
        <w:t>Teatfish</w:t>
      </w:r>
      <w:proofErr w:type="spellEnd"/>
      <w:r w:rsidRPr="00AE5829">
        <w:rPr>
          <w:rFonts w:cs="Arial"/>
        </w:rPr>
        <w:t xml:space="preserve"> species </w:t>
      </w:r>
      <w:r w:rsidR="00BA7A75" w:rsidRPr="00AE5829">
        <w:rPr>
          <w:rFonts w:cs="Arial"/>
        </w:rPr>
        <w:t>in the 12</w:t>
      </w:r>
      <w:r w:rsidR="00A74AAE" w:rsidRPr="00AE5829">
        <w:rPr>
          <w:rFonts w:cs="Arial"/>
        </w:rPr>
        <w:t>-</w:t>
      </w:r>
      <w:r w:rsidR="00BA7A75" w:rsidRPr="00AE5829">
        <w:rPr>
          <w:rFonts w:cs="Arial"/>
        </w:rPr>
        <w:t xml:space="preserve">month approval period </w:t>
      </w:r>
      <w:r w:rsidRPr="00AE5829">
        <w:rPr>
          <w:rFonts w:cs="Arial"/>
        </w:rPr>
        <w:t xml:space="preserve">but </w:t>
      </w:r>
      <w:r w:rsidR="00153DF0" w:rsidRPr="00AE5829">
        <w:rPr>
          <w:rFonts w:cs="Arial"/>
        </w:rPr>
        <w:t xml:space="preserve">could </w:t>
      </w:r>
      <w:r w:rsidRPr="00AE5829">
        <w:rPr>
          <w:rFonts w:cs="Arial"/>
        </w:rPr>
        <w:t>be extended to remaining species in the fishery</w:t>
      </w:r>
      <w:r w:rsidR="00153DF0" w:rsidRPr="00AE5829">
        <w:rPr>
          <w:rFonts w:cs="Arial"/>
        </w:rPr>
        <w:t xml:space="preserve"> in future</w:t>
      </w:r>
      <w:r w:rsidRPr="00AE5829">
        <w:rPr>
          <w:rFonts w:cs="Arial"/>
        </w:rPr>
        <w:t>.</w:t>
      </w:r>
    </w:p>
    <w:p w14:paraId="4985298F" w14:textId="1AC2DD09" w:rsidR="00B331E5" w:rsidRDefault="00B331E5" w:rsidP="00EE6F23">
      <w:pPr>
        <w:tabs>
          <w:tab w:val="left" w:pos="360"/>
        </w:tabs>
        <w:spacing w:before="0" w:line="276" w:lineRule="auto"/>
      </w:pPr>
      <w:r w:rsidRPr="008B76BD">
        <w:t>The Department</w:t>
      </w:r>
      <w:r w:rsidR="002102B3">
        <w:t xml:space="preserve"> is satisfied that the management arrangements in this fishery require fishers to take all reasonable steps to minimise interactions with protected species, and that the fishery will not risk the survival of these protected species in the wild. The Department</w:t>
      </w:r>
      <w:r w:rsidRPr="008B76BD" w:rsidDel="002102B3">
        <w:t xml:space="preserve"> </w:t>
      </w:r>
      <w:r w:rsidRPr="008B76BD">
        <w:t>recommends reaccrediting the fishery’s management</w:t>
      </w:r>
      <w:r>
        <w:t xml:space="preserve"> regime under Part 13 of the EPBC Act.</w:t>
      </w:r>
    </w:p>
    <w:p w14:paraId="50784E99" w14:textId="77777777" w:rsidR="00584569" w:rsidRDefault="008B76BD">
      <w:pPr>
        <w:spacing w:before="0" w:after="0"/>
        <w:rPr>
          <w:noProof/>
          <w:highlight w:val="yellow"/>
        </w:rPr>
        <w:sectPr w:rsidR="00584569" w:rsidSect="00584569">
          <w:pgSz w:w="11906" w:h="16838"/>
          <w:pgMar w:top="1021" w:right="1021" w:bottom="1021" w:left="1021" w:header="709" w:footer="709" w:gutter="0"/>
          <w:cols w:space="708"/>
          <w:docGrid w:linePitch="360"/>
        </w:sectPr>
      </w:pPr>
      <w:r>
        <w:rPr>
          <w:noProof/>
          <w:highlight w:val="yellow"/>
        </w:rPr>
        <w:br w:type="page"/>
      </w:r>
    </w:p>
    <w:p w14:paraId="55D1D30C" w14:textId="4A4EEA1E" w:rsidR="008B76BD" w:rsidRDefault="008B76BD">
      <w:pPr>
        <w:spacing w:before="0" w:after="0"/>
        <w:rPr>
          <w:rFonts w:ascii="Times New Roman" w:hAnsi="Times New Roman" w:cs="Arial"/>
          <w:b/>
          <w:caps/>
          <w:noProof/>
          <w:sz w:val="24"/>
          <w:highlight w:val="yellow"/>
        </w:rPr>
      </w:pPr>
    </w:p>
    <w:p w14:paraId="048F6092" w14:textId="64F15D6E" w:rsidR="00AB194A" w:rsidRPr="00CE2F6E" w:rsidRDefault="00134108" w:rsidP="007F171B">
      <w:pPr>
        <w:pStyle w:val="Heading1"/>
        <w:spacing w:after="120"/>
      </w:pPr>
      <w:bookmarkStart w:id="5" w:name="_Toc51057516"/>
      <w:bookmarkStart w:id="6" w:name="_Toc316301050"/>
      <w:r w:rsidRPr="00CE2F6E">
        <w:rPr>
          <w:rFonts w:ascii="Arial" w:hAnsi="Arial"/>
        </w:rPr>
        <w:t>Section</w:t>
      </w:r>
      <w:r w:rsidR="00885298" w:rsidRPr="00CE2F6E">
        <w:rPr>
          <w:rFonts w:ascii="Arial" w:hAnsi="Arial"/>
        </w:rPr>
        <w:t xml:space="preserve"> </w:t>
      </w:r>
      <w:r w:rsidR="00BC5432" w:rsidRPr="00CE2F6E">
        <w:rPr>
          <w:rFonts w:ascii="Arial" w:hAnsi="Arial"/>
        </w:rPr>
        <w:t>1</w:t>
      </w:r>
      <w:r w:rsidR="00885298" w:rsidRPr="00CE2F6E">
        <w:rPr>
          <w:rFonts w:ascii="Arial" w:hAnsi="Arial"/>
        </w:rPr>
        <w:t xml:space="preserve">: </w:t>
      </w:r>
      <w:r w:rsidR="0080417B" w:rsidRPr="00CE2F6E">
        <w:rPr>
          <w:rFonts w:ascii="Arial" w:hAnsi="Arial"/>
        </w:rPr>
        <w:t>A</w:t>
      </w:r>
      <w:r w:rsidRPr="00CE2F6E">
        <w:rPr>
          <w:rFonts w:ascii="Arial" w:hAnsi="Arial"/>
        </w:rPr>
        <w:t>ssessment Summary</w:t>
      </w:r>
      <w:bookmarkEnd w:id="5"/>
    </w:p>
    <w:tbl>
      <w:tblPr>
        <w:tblStyle w:val="TableGrid"/>
        <w:tblW w:w="5000" w:type="pct"/>
        <w:tblLayout w:type="fixed"/>
        <w:tblLook w:val="04A0" w:firstRow="1" w:lastRow="0" w:firstColumn="1" w:lastColumn="0" w:noHBand="0" w:noVBand="1"/>
      </w:tblPr>
      <w:tblGrid>
        <w:gridCol w:w="1696"/>
        <w:gridCol w:w="994"/>
        <w:gridCol w:w="991"/>
        <w:gridCol w:w="1133"/>
        <w:gridCol w:w="9972"/>
      </w:tblGrid>
      <w:tr w:rsidR="007E6EBC" w:rsidRPr="00A94147" w14:paraId="5241E59E" w14:textId="77777777" w:rsidTr="0086723B">
        <w:trPr>
          <w:cnfStyle w:val="100000000000" w:firstRow="1" w:lastRow="0" w:firstColumn="0" w:lastColumn="0" w:oddVBand="0" w:evenVBand="0" w:oddHBand="0" w:evenHBand="0" w:firstRowFirstColumn="0" w:firstRowLastColumn="0" w:lastRowFirstColumn="0" w:lastRowLastColumn="0"/>
        </w:trPr>
        <w:tc>
          <w:tcPr>
            <w:tcW w:w="574" w:type="pct"/>
            <w:vAlign w:val="center"/>
          </w:tcPr>
          <w:p w14:paraId="0B78829B" w14:textId="32461734" w:rsidR="00AB194A" w:rsidRPr="00CE2F6E" w:rsidRDefault="00B97B40" w:rsidP="007F171B">
            <w:pPr>
              <w:spacing w:before="60" w:after="60" w:line="276" w:lineRule="auto"/>
              <w:jc w:val="center"/>
              <w:rPr>
                <w:rFonts w:cs="Arial"/>
                <w:b/>
              </w:rPr>
            </w:pPr>
            <w:r w:rsidRPr="00CE2F6E">
              <w:rPr>
                <w:rFonts w:cs="Arial"/>
                <w:b/>
              </w:rPr>
              <w:t>Guidelines</w:t>
            </w:r>
          </w:p>
        </w:tc>
        <w:tc>
          <w:tcPr>
            <w:tcW w:w="336" w:type="pct"/>
            <w:shd w:val="clear" w:color="auto" w:fill="92D050"/>
            <w:vAlign w:val="center"/>
          </w:tcPr>
          <w:p w14:paraId="29372550" w14:textId="77777777" w:rsidR="00AB194A" w:rsidRPr="00CE2F6E" w:rsidRDefault="00AB194A" w:rsidP="007F171B">
            <w:pPr>
              <w:spacing w:before="60" w:after="60" w:line="276" w:lineRule="auto"/>
              <w:jc w:val="center"/>
              <w:rPr>
                <w:rFonts w:cs="Arial"/>
                <w:b/>
              </w:rPr>
            </w:pPr>
            <w:r w:rsidRPr="00CE2F6E">
              <w:rPr>
                <w:rFonts w:cs="Arial"/>
                <w:b/>
              </w:rPr>
              <w:t>Meets</w:t>
            </w:r>
          </w:p>
        </w:tc>
        <w:tc>
          <w:tcPr>
            <w:tcW w:w="335" w:type="pct"/>
            <w:shd w:val="clear" w:color="auto" w:fill="FFC000"/>
            <w:vAlign w:val="center"/>
          </w:tcPr>
          <w:p w14:paraId="439F3FF6" w14:textId="586212C8" w:rsidR="00AB194A" w:rsidRPr="00CE2F6E" w:rsidRDefault="00AB194A" w:rsidP="007F171B">
            <w:pPr>
              <w:spacing w:before="60" w:after="60" w:line="276" w:lineRule="auto"/>
              <w:jc w:val="center"/>
              <w:rPr>
                <w:rFonts w:cs="Arial"/>
                <w:b/>
              </w:rPr>
            </w:pPr>
            <w:r w:rsidRPr="00CE2F6E">
              <w:rPr>
                <w:rFonts w:cs="Arial"/>
                <w:b/>
              </w:rPr>
              <w:t>Partly meets</w:t>
            </w:r>
          </w:p>
        </w:tc>
        <w:tc>
          <w:tcPr>
            <w:tcW w:w="383" w:type="pct"/>
            <w:shd w:val="clear" w:color="auto" w:fill="FF0000"/>
            <w:vAlign w:val="center"/>
          </w:tcPr>
          <w:p w14:paraId="4F65884C" w14:textId="77777777" w:rsidR="00AB194A" w:rsidRPr="00CE2F6E" w:rsidRDefault="00AB194A" w:rsidP="007F171B">
            <w:pPr>
              <w:spacing w:before="60" w:after="60" w:line="276" w:lineRule="auto"/>
              <w:jc w:val="center"/>
              <w:rPr>
                <w:rFonts w:cs="Arial"/>
                <w:b/>
              </w:rPr>
            </w:pPr>
            <w:r w:rsidRPr="00CE2F6E">
              <w:rPr>
                <w:rFonts w:cs="Arial"/>
                <w:b/>
              </w:rPr>
              <w:t>Does not meet</w:t>
            </w:r>
          </w:p>
        </w:tc>
        <w:tc>
          <w:tcPr>
            <w:tcW w:w="3372" w:type="pct"/>
            <w:vAlign w:val="center"/>
          </w:tcPr>
          <w:p w14:paraId="052AB3D7" w14:textId="45F500C7" w:rsidR="00AB194A" w:rsidRPr="00A94147" w:rsidRDefault="00BD120A" w:rsidP="007F171B">
            <w:pPr>
              <w:spacing w:before="60" w:after="60" w:line="276" w:lineRule="auto"/>
              <w:jc w:val="center"/>
              <w:rPr>
                <w:rFonts w:cs="Arial"/>
                <w:b/>
                <w:highlight w:val="yellow"/>
              </w:rPr>
            </w:pPr>
            <w:r w:rsidRPr="00CE2F6E">
              <w:rPr>
                <w:rFonts w:cs="Arial"/>
                <w:b/>
              </w:rPr>
              <w:t>Comments</w:t>
            </w:r>
          </w:p>
        </w:tc>
      </w:tr>
      <w:tr w:rsidR="007E6EBC" w:rsidRPr="00A94147" w14:paraId="1B656C43" w14:textId="77777777" w:rsidTr="0086723B">
        <w:trPr>
          <w:cnfStyle w:val="000000100000" w:firstRow="0" w:lastRow="0" w:firstColumn="0" w:lastColumn="0" w:oddVBand="0" w:evenVBand="0" w:oddHBand="1" w:evenHBand="0" w:firstRowFirstColumn="0" w:firstRowLastColumn="0" w:lastRowFirstColumn="0" w:lastRowLastColumn="0"/>
        </w:trPr>
        <w:tc>
          <w:tcPr>
            <w:tcW w:w="574" w:type="pct"/>
          </w:tcPr>
          <w:p w14:paraId="29382D6F" w14:textId="77777777" w:rsidR="00AB194A" w:rsidRPr="00CE2F6E" w:rsidRDefault="00AB194A" w:rsidP="007F171B">
            <w:pPr>
              <w:spacing w:before="60" w:after="60" w:line="276" w:lineRule="auto"/>
              <w:rPr>
                <w:rFonts w:cs="Arial"/>
              </w:rPr>
            </w:pPr>
            <w:r w:rsidRPr="00CE2F6E">
              <w:rPr>
                <w:rFonts w:cs="Arial"/>
              </w:rPr>
              <w:t>Management regime</w:t>
            </w:r>
          </w:p>
        </w:tc>
        <w:tc>
          <w:tcPr>
            <w:tcW w:w="336" w:type="pct"/>
            <w:shd w:val="clear" w:color="auto" w:fill="92D050"/>
          </w:tcPr>
          <w:p w14:paraId="6B33C294" w14:textId="4FCDFFDF" w:rsidR="00AB194A" w:rsidRPr="00CE2F6E" w:rsidRDefault="00234940" w:rsidP="007F171B">
            <w:pPr>
              <w:spacing w:before="60" w:after="60" w:line="276" w:lineRule="auto"/>
              <w:jc w:val="center"/>
              <w:rPr>
                <w:rFonts w:cs="Arial"/>
              </w:rPr>
            </w:pPr>
            <w:r>
              <w:rPr>
                <w:rFonts w:cs="Arial"/>
              </w:rPr>
              <w:t>5</w:t>
            </w:r>
            <w:r w:rsidR="00E9217E" w:rsidRPr="00CE2F6E">
              <w:rPr>
                <w:rFonts w:cs="Arial"/>
              </w:rPr>
              <w:t xml:space="preserve"> </w:t>
            </w:r>
            <w:r w:rsidR="008A7562" w:rsidRPr="00CE2F6E">
              <w:rPr>
                <w:rFonts w:cs="Arial"/>
              </w:rPr>
              <w:t>of 9</w:t>
            </w:r>
          </w:p>
        </w:tc>
        <w:tc>
          <w:tcPr>
            <w:tcW w:w="335" w:type="pct"/>
            <w:shd w:val="clear" w:color="auto" w:fill="auto"/>
          </w:tcPr>
          <w:p w14:paraId="3BBC9E01" w14:textId="1E7F3722" w:rsidR="00AB194A" w:rsidRPr="00CE2F6E" w:rsidRDefault="007C2810" w:rsidP="007F171B">
            <w:pPr>
              <w:spacing w:before="60" w:after="60" w:line="276" w:lineRule="auto"/>
              <w:jc w:val="center"/>
              <w:rPr>
                <w:rFonts w:cs="Arial"/>
              </w:rPr>
            </w:pPr>
            <w:r>
              <w:rPr>
                <w:rFonts w:cs="Arial"/>
              </w:rPr>
              <w:t>4</w:t>
            </w:r>
            <w:r w:rsidR="00E9217E" w:rsidRPr="00CE2F6E">
              <w:rPr>
                <w:rFonts w:cs="Arial"/>
              </w:rPr>
              <w:t xml:space="preserve"> </w:t>
            </w:r>
            <w:r w:rsidR="008A7562" w:rsidRPr="00CE2F6E">
              <w:rPr>
                <w:rFonts w:cs="Arial"/>
              </w:rPr>
              <w:t>of 9</w:t>
            </w:r>
          </w:p>
        </w:tc>
        <w:tc>
          <w:tcPr>
            <w:tcW w:w="383" w:type="pct"/>
            <w:shd w:val="clear" w:color="auto" w:fill="auto"/>
          </w:tcPr>
          <w:p w14:paraId="4E06581E" w14:textId="76538E18" w:rsidR="00AB194A" w:rsidRPr="00625387" w:rsidRDefault="00CE2F6E" w:rsidP="007F171B">
            <w:pPr>
              <w:spacing w:before="60" w:after="60" w:line="276" w:lineRule="auto"/>
              <w:jc w:val="center"/>
              <w:rPr>
                <w:rFonts w:cs="Arial"/>
              </w:rPr>
            </w:pPr>
            <w:r w:rsidRPr="00625387">
              <w:rPr>
                <w:rFonts w:cs="Arial"/>
              </w:rPr>
              <w:t>0</w:t>
            </w:r>
            <w:r w:rsidR="008A7562" w:rsidRPr="00625387">
              <w:rPr>
                <w:rFonts w:cs="Arial"/>
              </w:rPr>
              <w:t xml:space="preserve"> of 9</w:t>
            </w:r>
          </w:p>
        </w:tc>
        <w:tc>
          <w:tcPr>
            <w:tcW w:w="3372" w:type="pct"/>
          </w:tcPr>
          <w:p w14:paraId="0636C086" w14:textId="7C7EB675" w:rsidR="00D30488" w:rsidRPr="00625387" w:rsidRDefault="001B3C7C" w:rsidP="007F171B">
            <w:pPr>
              <w:spacing w:before="60" w:after="60" w:line="276" w:lineRule="auto"/>
              <w:rPr>
                <w:rFonts w:cs="Arial"/>
              </w:rPr>
            </w:pPr>
            <w:r w:rsidRPr="00625387">
              <w:rPr>
                <w:rFonts w:cs="Arial"/>
              </w:rPr>
              <w:t xml:space="preserve">Management arrangements are documented, </w:t>
            </w:r>
            <w:r w:rsidR="00A74AAE">
              <w:rPr>
                <w:rFonts w:cs="Arial"/>
              </w:rPr>
              <w:t xml:space="preserve">with most information being </w:t>
            </w:r>
            <w:r w:rsidRPr="00625387">
              <w:rPr>
                <w:rFonts w:cs="Arial"/>
              </w:rPr>
              <w:t>publicly available</w:t>
            </w:r>
            <w:r w:rsidR="00057934" w:rsidRPr="00625387">
              <w:rPr>
                <w:rFonts w:cs="Arial"/>
              </w:rPr>
              <w:t>,</w:t>
            </w:r>
            <w:r w:rsidRPr="00625387">
              <w:rPr>
                <w:rFonts w:cs="Arial"/>
              </w:rPr>
              <w:t xml:space="preserve"> </w:t>
            </w:r>
            <w:proofErr w:type="gramStart"/>
            <w:r w:rsidRPr="00625387">
              <w:rPr>
                <w:rFonts w:cs="Arial"/>
              </w:rPr>
              <w:t>transparent</w:t>
            </w:r>
            <w:proofErr w:type="gramEnd"/>
            <w:r w:rsidR="00CB4CCF" w:rsidRPr="00625387">
              <w:rPr>
                <w:rFonts w:cs="Arial"/>
              </w:rPr>
              <w:t xml:space="preserve"> and </w:t>
            </w:r>
            <w:r w:rsidR="00057934" w:rsidRPr="00625387">
              <w:rPr>
                <w:rFonts w:cs="Arial"/>
              </w:rPr>
              <w:t xml:space="preserve">developed in </w:t>
            </w:r>
            <w:r w:rsidR="006E7DD7" w:rsidRPr="00625387">
              <w:rPr>
                <w:rFonts w:cs="Arial"/>
              </w:rPr>
              <w:t>c</w:t>
            </w:r>
            <w:r w:rsidRPr="00625387">
              <w:rPr>
                <w:rFonts w:cs="Arial"/>
              </w:rPr>
              <w:t>onsult</w:t>
            </w:r>
            <w:r w:rsidR="00057934" w:rsidRPr="00625387">
              <w:rPr>
                <w:rFonts w:cs="Arial"/>
              </w:rPr>
              <w:t>ation</w:t>
            </w:r>
            <w:r w:rsidR="00CB4CCF" w:rsidRPr="00625387">
              <w:rPr>
                <w:rFonts w:cs="Arial"/>
              </w:rPr>
              <w:t xml:space="preserve"> </w:t>
            </w:r>
            <w:r w:rsidR="00057934" w:rsidRPr="00625387">
              <w:rPr>
                <w:rFonts w:cs="Arial"/>
              </w:rPr>
              <w:t>with</w:t>
            </w:r>
            <w:r w:rsidR="00CB4CCF" w:rsidRPr="00625387">
              <w:rPr>
                <w:rFonts w:cs="Arial"/>
              </w:rPr>
              <w:t xml:space="preserve"> a wide range of stakeholders. </w:t>
            </w:r>
            <w:r w:rsidR="001B6D14">
              <w:rPr>
                <w:rFonts w:cs="Arial"/>
              </w:rPr>
              <w:t>T</w:t>
            </w:r>
            <w:r w:rsidR="00625387">
              <w:rPr>
                <w:rFonts w:cs="Arial"/>
              </w:rPr>
              <w:t xml:space="preserve">here have been no </w:t>
            </w:r>
            <w:r w:rsidR="00057934" w:rsidRPr="00625387">
              <w:rPr>
                <w:rFonts w:cs="Arial"/>
              </w:rPr>
              <w:t xml:space="preserve">stock assessments, the management regime </w:t>
            </w:r>
            <w:r w:rsidR="009F62BE" w:rsidRPr="00625387">
              <w:rPr>
                <w:rFonts w:cs="Arial"/>
              </w:rPr>
              <w:t>is guided by a Performance Measurement System</w:t>
            </w:r>
            <w:r w:rsidR="00234169" w:rsidRPr="00625387">
              <w:rPr>
                <w:rFonts w:cs="Arial"/>
              </w:rPr>
              <w:t xml:space="preserve"> (PMS)</w:t>
            </w:r>
            <w:r w:rsidR="00D30488" w:rsidRPr="00625387">
              <w:rPr>
                <w:rFonts w:cs="Arial"/>
              </w:rPr>
              <w:t>.</w:t>
            </w:r>
          </w:p>
          <w:p w14:paraId="18A957E9" w14:textId="46A4F4C8" w:rsidR="00625387" w:rsidRPr="00625387" w:rsidRDefault="00625387" w:rsidP="00625387">
            <w:pPr>
              <w:spacing w:before="60" w:after="60" w:line="276" w:lineRule="auto"/>
              <w:rPr>
                <w:rFonts w:cs="Arial"/>
              </w:rPr>
            </w:pPr>
            <w:r>
              <w:rPr>
                <w:rFonts w:cs="Arial"/>
              </w:rPr>
              <w:t>T</w:t>
            </w:r>
            <w:r w:rsidRPr="00625387">
              <w:rPr>
                <w:rFonts w:cs="Arial"/>
              </w:rPr>
              <w:t xml:space="preserve">he PMS includes measures to monitor and respond to ecological risks, </w:t>
            </w:r>
            <w:r>
              <w:rPr>
                <w:rFonts w:cs="Arial"/>
              </w:rPr>
              <w:t xml:space="preserve">but </w:t>
            </w:r>
            <w:r w:rsidRPr="00625387">
              <w:rPr>
                <w:rFonts w:cs="Arial"/>
              </w:rPr>
              <w:t>there has been no formal ecological risk assessment to guide these actions in the fishery.</w:t>
            </w:r>
          </w:p>
          <w:p w14:paraId="11DE88AD" w14:textId="77777777" w:rsidR="00A74AAE" w:rsidRDefault="00D30488" w:rsidP="007F171B">
            <w:pPr>
              <w:spacing w:before="60" w:after="60" w:line="276" w:lineRule="auto"/>
              <w:rPr>
                <w:rFonts w:cs="Arial"/>
              </w:rPr>
            </w:pPr>
            <w:r w:rsidRPr="00625387">
              <w:rPr>
                <w:rFonts w:cs="Arial"/>
              </w:rPr>
              <w:t>Some of the management arrangements are implemented through a memorandum of understanding between QDAF and the Queensland Sea Cucumber Industry Association.</w:t>
            </w:r>
            <w:r w:rsidR="00A74AAE">
              <w:rPr>
                <w:rFonts w:cs="Arial"/>
              </w:rPr>
              <w:t xml:space="preserve"> The MoU was made available to the Department for assessment, but it is not publicly available.</w:t>
            </w:r>
            <w:r w:rsidR="00A74AAE" w:rsidRPr="00625387">
              <w:rPr>
                <w:rFonts w:cs="Arial"/>
              </w:rPr>
              <w:t xml:space="preserve"> </w:t>
            </w:r>
          </w:p>
          <w:p w14:paraId="579329B3" w14:textId="08F487E0" w:rsidR="00234169" w:rsidRPr="00625387" w:rsidRDefault="00A74AAE" w:rsidP="007F171B">
            <w:pPr>
              <w:spacing w:before="60" w:after="60" w:line="276" w:lineRule="auto"/>
              <w:rPr>
                <w:rFonts w:cs="Arial"/>
              </w:rPr>
            </w:pPr>
            <w:r>
              <w:rPr>
                <w:rFonts w:cs="Arial"/>
              </w:rPr>
              <w:t xml:space="preserve">In 2014 QDAF </w:t>
            </w:r>
            <w:r>
              <w:t>used a management strategy evaluation (MSE) approach to evaluate the benefits of a rotational harvest strategy (the Rotational Zoning S</w:t>
            </w:r>
            <w:r w:rsidR="00CE7D9E">
              <w:t>trategy</w:t>
            </w:r>
            <w:r>
              <w:t>) utilised in this Fishery. The MSE found that, in general, the current management arrangements result in a low risk to most fishery species and reduce the risk of localised depletion. However, there are still risks to some highly targeted species, and there are important information gaps that could reduce uncertainty.</w:t>
            </w:r>
          </w:p>
          <w:p w14:paraId="646F42E0" w14:textId="79AEC2A8" w:rsidR="00221E97" w:rsidRPr="00625387" w:rsidRDefault="00221E97" w:rsidP="007F171B">
            <w:pPr>
              <w:spacing w:before="60" w:after="60" w:line="276" w:lineRule="auto"/>
              <w:rPr>
                <w:rFonts w:cs="Arial"/>
              </w:rPr>
            </w:pPr>
            <w:r w:rsidRPr="00625387">
              <w:rPr>
                <w:rFonts w:cs="Arial"/>
              </w:rPr>
              <w:t xml:space="preserve">The Department has proposed conditions </w:t>
            </w:r>
            <w:r w:rsidR="003F23DA" w:rsidRPr="00625387">
              <w:rPr>
                <w:rFonts w:cs="Arial"/>
              </w:rPr>
              <w:t>4-7</w:t>
            </w:r>
            <w:r w:rsidR="00AA1E16" w:rsidRPr="00625387">
              <w:rPr>
                <w:rFonts w:cs="Arial"/>
              </w:rPr>
              <w:t xml:space="preserve"> </w:t>
            </w:r>
            <w:r w:rsidRPr="00625387">
              <w:rPr>
                <w:rFonts w:cs="Arial"/>
              </w:rPr>
              <w:t xml:space="preserve">on </w:t>
            </w:r>
            <w:r w:rsidR="007D043E" w:rsidRPr="00625387">
              <w:rPr>
                <w:rFonts w:cs="Arial"/>
              </w:rPr>
              <w:t xml:space="preserve">the </w:t>
            </w:r>
            <w:r w:rsidRPr="00625387">
              <w:rPr>
                <w:rFonts w:cs="Arial"/>
              </w:rPr>
              <w:t>Part 13A approval to address the identified issues.</w:t>
            </w:r>
            <w:r w:rsidR="007F0195" w:rsidRPr="00625387">
              <w:rPr>
                <w:rFonts w:cs="Arial"/>
              </w:rPr>
              <w:t xml:space="preserve"> All proposed conditions are </w:t>
            </w:r>
            <w:r w:rsidR="00CF4293" w:rsidRPr="00625387">
              <w:rPr>
                <w:rFonts w:cs="Arial"/>
              </w:rPr>
              <w:t xml:space="preserve">detailed </w:t>
            </w:r>
            <w:r w:rsidR="007F0195" w:rsidRPr="00625387">
              <w:rPr>
                <w:rFonts w:cs="Arial"/>
              </w:rPr>
              <w:t xml:space="preserve">in </w:t>
            </w:r>
            <w:r w:rsidR="00057934" w:rsidRPr="00625387">
              <w:rPr>
                <w:rFonts w:cs="Arial"/>
              </w:rPr>
              <w:t>Section</w:t>
            </w:r>
            <w:r w:rsidR="007F0195" w:rsidRPr="00625387">
              <w:rPr>
                <w:rFonts w:cs="Arial"/>
              </w:rPr>
              <w:t xml:space="preserve"> </w:t>
            </w:r>
            <w:r w:rsidR="00057934" w:rsidRPr="00625387">
              <w:rPr>
                <w:rFonts w:cs="Arial"/>
              </w:rPr>
              <w:t>2</w:t>
            </w:r>
            <w:r w:rsidR="007F0195" w:rsidRPr="00625387">
              <w:rPr>
                <w:rFonts w:cs="Arial"/>
              </w:rPr>
              <w:t xml:space="preserve"> of this report.</w:t>
            </w:r>
          </w:p>
        </w:tc>
      </w:tr>
      <w:tr w:rsidR="007E6EBC" w:rsidRPr="00A94147" w14:paraId="56282922" w14:textId="77777777" w:rsidTr="0086723B">
        <w:trPr>
          <w:cnfStyle w:val="000000010000" w:firstRow="0" w:lastRow="0" w:firstColumn="0" w:lastColumn="0" w:oddVBand="0" w:evenVBand="0" w:oddHBand="0" w:evenHBand="1" w:firstRowFirstColumn="0" w:firstRowLastColumn="0" w:lastRowFirstColumn="0" w:lastRowLastColumn="0"/>
        </w:trPr>
        <w:tc>
          <w:tcPr>
            <w:tcW w:w="574" w:type="pct"/>
          </w:tcPr>
          <w:p w14:paraId="582702E7" w14:textId="04BBD469" w:rsidR="007E6EBC" w:rsidRPr="00CE2F6E" w:rsidRDefault="00AB194A" w:rsidP="007F171B">
            <w:pPr>
              <w:spacing w:before="60" w:after="60" w:line="276" w:lineRule="auto"/>
              <w:rPr>
                <w:rFonts w:cs="Arial"/>
              </w:rPr>
            </w:pPr>
            <w:r w:rsidRPr="00CE2F6E">
              <w:rPr>
                <w:rFonts w:cs="Arial"/>
              </w:rPr>
              <w:t xml:space="preserve">Principle </w:t>
            </w:r>
            <w:r w:rsidRPr="00CE2F6E" w:rsidDel="00BD120A">
              <w:rPr>
                <w:rFonts w:cs="Arial"/>
              </w:rPr>
              <w:t>1</w:t>
            </w:r>
          </w:p>
          <w:p w14:paraId="2914D359" w14:textId="19C9D6C6" w:rsidR="00BD120A" w:rsidRPr="00CE2F6E" w:rsidRDefault="00BD120A" w:rsidP="007B43C2">
            <w:pPr>
              <w:spacing w:before="60" w:line="276" w:lineRule="auto"/>
              <w:rPr>
                <w:rFonts w:cs="Arial"/>
              </w:rPr>
            </w:pPr>
            <w:r w:rsidRPr="00CE2F6E">
              <w:rPr>
                <w:rFonts w:cs="Arial"/>
              </w:rPr>
              <w:t>T</w:t>
            </w:r>
            <w:r w:rsidR="00AB194A" w:rsidRPr="00CE2F6E">
              <w:rPr>
                <w:rFonts w:cs="Arial"/>
              </w:rPr>
              <w:t>arget stocks</w:t>
            </w:r>
          </w:p>
          <w:p w14:paraId="1CF6F480" w14:textId="60F9D7CE" w:rsidR="00AB194A" w:rsidRPr="007B43C2" w:rsidRDefault="00BD120A" w:rsidP="007F171B">
            <w:pPr>
              <w:spacing w:before="60" w:after="60" w:line="276" w:lineRule="auto"/>
              <w:rPr>
                <w:rFonts w:cs="Arial"/>
                <w:sz w:val="20"/>
                <w:szCs w:val="20"/>
              </w:rPr>
            </w:pPr>
            <w:r w:rsidRPr="007B43C2">
              <w:rPr>
                <w:rFonts w:cs="Arial"/>
                <w:sz w:val="20"/>
                <w:szCs w:val="20"/>
              </w:rPr>
              <w:t xml:space="preserve">* </w:t>
            </w:r>
            <w:r w:rsidR="00234940">
              <w:rPr>
                <w:rFonts w:cs="Arial"/>
                <w:sz w:val="20"/>
                <w:szCs w:val="20"/>
              </w:rPr>
              <w:t>Three</w:t>
            </w:r>
            <w:r w:rsidRPr="007B43C2">
              <w:rPr>
                <w:rFonts w:cs="Arial"/>
                <w:sz w:val="20"/>
                <w:szCs w:val="20"/>
              </w:rPr>
              <w:t xml:space="preserve"> of the 11 </w:t>
            </w:r>
            <w:r w:rsidR="00C01137" w:rsidRPr="007B43C2">
              <w:rPr>
                <w:rFonts w:cs="Arial"/>
                <w:sz w:val="20"/>
                <w:szCs w:val="20"/>
              </w:rPr>
              <w:t xml:space="preserve">assessment </w:t>
            </w:r>
            <w:r w:rsidRPr="007B43C2">
              <w:rPr>
                <w:rFonts w:cs="Arial"/>
                <w:sz w:val="20"/>
                <w:szCs w:val="20"/>
              </w:rPr>
              <w:t>criteria are not applicable.</w:t>
            </w:r>
          </w:p>
        </w:tc>
        <w:tc>
          <w:tcPr>
            <w:tcW w:w="336" w:type="pct"/>
            <w:shd w:val="clear" w:color="auto" w:fill="auto"/>
          </w:tcPr>
          <w:p w14:paraId="490E81C8" w14:textId="21528D22" w:rsidR="00AB194A" w:rsidRPr="00CE2F6E" w:rsidRDefault="00913281" w:rsidP="007F171B">
            <w:pPr>
              <w:spacing w:before="60" w:after="60" w:line="276" w:lineRule="auto"/>
              <w:jc w:val="center"/>
              <w:rPr>
                <w:rFonts w:cs="Arial"/>
              </w:rPr>
            </w:pPr>
            <w:r w:rsidRPr="00CE2F6E">
              <w:rPr>
                <w:rFonts w:cs="Arial"/>
              </w:rPr>
              <w:t xml:space="preserve">2 </w:t>
            </w:r>
            <w:r w:rsidR="008A7562" w:rsidRPr="00CE2F6E">
              <w:rPr>
                <w:rFonts w:cs="Arial"/>
              </w:rPr>
              <w:t xml:space="preserve">of </w:t>
            </w:r>
            <w:r w:rsidR="00234940">
              <w:rPr>
                <w:rFonts w:cs="Arial"/>
              </w:rPr>
              <w:t>11</w:t>
            </w:r>
            <w:r w:rsidR="00BD120A" w:rsidRPr="00CE2F6E">
              <w:rPr>
                <w:rFonts w:cs="Arial"/>
              </w:rPr>
              <w:t>*</w:t>
            </w:r>
          </w:p>
        </w:tc>
        <w:tc>
          <w:tcPr>
            <w:tcW w:w="335" w:type="pct"/>
            <w:shd w:val="clear" w:color="auto" w:fill="FFC000"/>
          </w:tcPr>
          <w:p w14:paraId="4C95A0BC" w14:textId="1B9CA6FE" w:rsidR="00AB194A" w:rsidRPr="00CE2F6E" w:rsidRDefault="00CE2F6E" w:rsidP="007F171B">
            <w:pPr>
              <w:spacing w:before="60" w:after="60" w:line="276" w:lineRule="auto"/>
              <w:jc w:val="center"/>
              <w:rPr>
                <w:rFonts w:cs="Arial"/>
              </w:rPr>
            </w:pPr>
            <w:r w:rsidRPr="00CE2F6E">
              <w:rPr>
                <w:rFonts w:cs="Arial"/>
              </w:rPr>
              <w:t>3</w:t>
            </w:r>
            <w:r w:rsidR="00913281" w:rsidRPr="00CE2F6E">
              <w:rPr>
                <w:rFonts w:cs="Arial"/>
              </w:rPr>
              <w:t xml:space="preserve"> </w:t>
            </w:r>
            <w:r w:rsidR="008A7562" w:rsidRPr="00CE2F6E">
              <w:rPr>
                <w:rFonts w:cs="Arial"/>
              </w:rPr>
              <w:t xml:space="preserve">of </w:t>
            </w:r>
            <w:r w:rsidR="00234940">
              <w:rPr>
                <w:rFonts w:cs="Arial"/>
              </w:rPr>
              <w:t>11</w:t>
            </w:r>
            <w:r w:rsidR="00BD120A" w:rsidRPr="00CE2F6E">
              <w:rPr>
                <w:rFonts w:cs="Arial"/>
              </w:rPr>
              <w:t>*</w:t>
            </w:r>
          </w:p>
        </w:tc>
        <w:tc>
          <w:tcPr>
            <w:tcW w:w="383" w:type="pct"/>
            <w:shd w:val="clear" w:color="auto" w:fill="FF0000"/>
          </w:tcPr>
          <w:p w14:paraId="2344264A" w14:textId="6E6D014A" w:rsidR="00AB194A" w:rsidRPr="00CE2F6E" w:rsidRDefault="008A7562" w:rsidP="007F171B">
            <w:pPr>
              <w:spacing w:before="60" w:after="60" w:line="276" w:lineRule="auto"/>
              <w:jc w:val="center"/>
              <w:rPr>
                <w:rFonts w:cs="Arial"/>
              </w:rPr>
            </w:pPr>
            <w:r w:rsidRPr="00CE2F6E">
              <w:rPr>
                <w:rFonts w:cs="Arial"/>
              </w:rPr>
              <w:t xml:space="preserve">3 of </w:t>
            </w:r>
            <w:r w:rsidR="00234940">
              <w:rPr>
                <w:rFonts w:cs="Arial"/>
              </w:rPr>
              <w:t>11</w:t>
            </w:r>
            <w:r w:rsidR="00BD120A" w:rsidRPr="00CE2F6E">
              <w:rPr>
                <w:rFonts w:cs="Arial"/>
              </w:rPr>
              <w:t>*</w:t>
            </w:r>
          </w:p>
        </w:tc>
        <w:tc>
          <w:tcPr>
            <w:tcW w:w="3372" w:type="pct"/>
          </w:tcPr>
          <w:p w14:paraId="0FA51336" w14:textId="1EB3F7C7" w:rsidR="001C624E" w:rsidRPr="007B43C2" w:rsidRDefault="001C624E" w:rsidP="007F171B">
            <w:pPr>
              <w:spacing w:before="60" w:after="60" w:line="276" w:lineRule="auto"/>
              <w:rPr>
                <w:rFonts w:cs="Arial"/>
              </w:rPr>
            </w:pPr>
            <w:r w:rsidRPr="007B43C2">
              <w:rPr>
                <w:rFonts w:cs="Arial"/>
              </w:rPr>
              <w:t>Data is collected by fishery-dependent, and fishery-independent means</w:t>
            </w:r>
            <w:r w:rsidR="00A74AAE">
              <w:rPr>
                <w:rFonts w:cs="Arial"/>
              </w:rPr>
              <w:t xml:space="preserve"> </w:t>
            </w:r>
            <w:r w:rsidR="00C44E2A">
              <w:rPr>
                <w:rFonts w:cs="Arial"/>
              </w:rPr>
              <w:t>(</w:t>
            </w:r>
            <w:r w:rsidR="00A74AAE">
              <w:rPr>
                <w:rFonts w:cs="Arial"/>
              </w:rPr>
              <w:t>for</w:t>
            </w:r>
            <w:r w:rsidR="00C44E2A">
              <w:rPr>
                <w:rFonts w:cs="Arial"/>
              </w:rPr>
              <w:t xml:space="preserve"> some</w:t>
            </w:r>
            <w:r w:rsidR="00A74AAE">
              <w:rPr>
                <w:rFonts w:cs="Arial"/>
              </w:rPr>
              <w:t xml:space="preserve"> species</w:t>
            </w:r>
            <w:r w:rsidR="00C44E2A">
              <w:rPr>
                <w:rFonts w:cs="Arial"/>
              </w:rPr>
              <w:t>)</w:t>
            </w:r>
            <w:r w:rsidRPr="007B43C2">
              <w:rPr>
                <w:rFonts w:cs="Arial"/>
              </w:rPr>
              <w:t>, but information on stocks is limited</w:t>
            </w:r>
            <w:r w:rsidR="007E764F">
              <w:rPr>
                <w:rFonts w:cs="Arial"/>
              </w:rPr>
              <w:t xml:space="preserve"> as </w:t>
            </w:r>
            <w:r w:rsidR="00265709" w:rsidRPr="007B43C2">
              <w:rPr>
                <w:rFonts w:cs="Arial"/>
              </w:rPr>
              <w:t>there have been no stock assessments,</w:t>
            </w:r>
            <w:r w:rsidRPr="007B43C2">
              <w:rPr>
                <w:rFonts w:cs="Arial"/>
              </w:rPr>
              <w:t xml:space="preserve"> and </w:t>
            </w:r>
            <w:r w:rsidR="00265709" w:rsidRPr="007B43C2">
              <w:rPr>
                <w:rFonts w:cs="Arial"/>
              </w:rPr>
              <w:t>not all species are reported to species-level.</w:t>
            </w:r>
          </w:p>
          <w:p w14:paraId="087D9E22" w14:textId="7084F6BF" w:rsidR="00221E97" w:rsidRPr="00A94147" w:rsidRDefault="00221E97" w:rsidP="007F171B">
            <w:pPr>
              <w:spacing w:before="60" w:after="60" w:line="276" w:lineRule="auto"/>
              <w:rPr>
                <w:rFonts w:cs="Arial"/>
                <w:highlight w:val="yellow"/>
              </w:rPr>
            </w:pPr>
            <w:r w:rsidRPr="007B43C2">
              <w:rPr>
                <w:rFonts w:cs="Arial"/>
              </w:rPr>
              <w:t>The Department has proposed conditions 4-</w:t>
            </w:r>
            <w:r w:rsidR="002E7801" w:rsidRPr="007B43C2">
              <w:rPr>
                <w:rFonts w:cs="Arial"/>
              </w:rPr>
              <w:t>7</w:t>
            </w:r>
            <w:r w:rsidR="00AA1E16" w:rsidRPr="007B43C2">
              <w:rPr>
                <w:rFonts w:cs="Arial"/>
              </w:rPr>
              <w:t xml:space="preserve"> </w:t>
            </w:r>
            <w:r w:rsidRPr="007B43C2">
              <w:rPr>
                <w:rFonts w:cs="Arial"/>
              </w:rPr>
              <w:t xml:space="preserve">on </w:t>
            </w:r>
            <w:r w:rsidR="007D043E" w:rsidRPr="007B43C2">
              <w:rPr>
                <w:rFonts w:cs="Arial"/>
              </w:rPr>
              <w:t xml:space="preserve">the </w:t>
            </w:r>
            <w:r w:rsidRPr="007B43C2">
              <w:rPr>
                <w:rFonts w:cs="Arial"/>
              </w:rPr>
              <w:t xml:space="preserve">Part 13A approval to </w:t>
            </w:r>
            <w:r w:rsidR="007B43C2">
              <w:rPr>
                <w:rFonts w:cs="Arial"/>
              </w:rPr>
              <w:t>ensure there is better information to</w:t>
            </w:r>
            <w:r w:rsidR="007E764F">
              <w:rPr>
                <w:rFonts w:cs="Arial"/>
              </w:rPr>
              <w:t xml:space="preserve"> inform</w:t>
            </w:r>
            <w:r w:rsidR="007B43C2">
              <w:rPr>
                <w:rFonts w:cs="Arial"/>
              </w:rPr>
              <w:t xml:space="preserve"> manage</w:t>
            </w:r>
            <w:r w:rsidR="007E764F">
              <w:rPr>
                <w:rFonts w:cs="Arial"/>
              </w:rPr>
              <w:t>ment of</w:t>
            </w:r>
            <w:r w:rsidR="007B43C2">
              <w:rPr>
                <w:rFonts w:cs="Arial"/>
              </w:rPr>
              <w:t xml:space="preserve"> the stocks.</w:t>
            </w:r>
          </w:p>
        </w:tc>
      </w:tr>
      <w:tr w:rsidR="007E6EBC" w:rsidRPr="00A94147" w14:paraId="4DB69FFC" w14:textId="77777777" w:rsidTr="0086723B">
        <w:trPr>
          <w:cnfStyle w:val="000000100000" w:firstRow="0" w:lastRow="0" w:firstColumn="0" w:lastColumn="0" w:oddVBand="0" w:evenVBand="0" w:oddHBand="1" w:evenHBand="0" w:firstRowFirstColumn="0" w:firstRowLastColumn="0" w:lastRowFirstColumn="0" w:lastRowLastColumn="0"/>
        </w:trPr>
        <w:tc>
          <w:tcPr>
            <w:tcW w:w="574" w:type="pct"/>
          </w:tcPr>
          <w:p w14:paraId="45513337" w14:textId="7A5D87D2" w:rsidR="007E6EBC" w:rsidRPr="00CE2F6E" w:rsidRDefault="00AB194A" w:rsidP="007F171B">
            <w:pPr>
              <w:spacing w:before="60" w:after="60" w:line="276" w:lineRule="auto"/>
              <w:rPr>
                <w:rFonts w:cs="Arial"/>
              </w:rPr>
            </w:pPr>
            <w:r w:rsidRPr="00CE2F6E">
              <w:rPr>
                <w:rFonts w:cs="Arial"/>
              </w:rPr>
              <w:t xml:space="preserve">Principle </w:t>
            </w:r>
            <w:r w:rsidRPr="00CE2F6E" w:rsidDel="00BD120A">
              <w:rPr>
                <w:rFonts w:cs="Arial"/>
              </w:rPr>
              <w:t>2</w:t>
            </w:r>
          </w:p>
          <w:p w14:paraId="4076D6F7" w14:textId="77777777" w:rsidR="00AB194A" w:rsidRDefault="00BD120A" w:rsidP="007F171B">
            <w:pPr>
              <w:spacing w:before="60" w:after="60" w:line="276" w:lineRule="auto"/>
              <w:rPr>
                <w:rFonts w:cs="Arial"/>
              </w:rPr>
            </w:pPr>
            <w:r w:rsidRPr="00CE2F6E">
              <w:rPr>
                <w:rFonts w:cs="Arial"/>
              </w:rPr>
              <w:t>B</w:t>
            </w:r>
            <w:r w:rsidR="00AB194A" w:rsidRPr="00CE2F6E">
              <w:rPr>
                <w:rFonts w:cs="Arial"/>
              </w:rPr>
              <w:t>ycatch</w:t>
            </w:r>
            <w:r w:rsidR="00C01137" w:rsidRPr="00CE2F6E">
              <w:rPr>
                <w:rFonts w:cs="Arial"/>
              </w:rPr>
              <w:t>,</w:t>
            </w:r>
            <w:r w:rsidR="00AB194A" w:rsidRPr="00CE2F6E">
              <w:rPr>
                <w:rFonts w:cs="Arial"/>
              </w:rPr>
              <w:t xml:space="preserve"> </w:t>
            </w:r>
            <w:r w:rsidRPr="00CE2F6E">
              <w:rPr>
                <w:rFonts w:cs="Arial"/>
              </w:rPr>
              <w:t xml:space="preserve">protected </w:t>
            </w:r>
            <w:proofErr w:type="gramStart"/>
            <w:r w:rsidRPr="00CE2F6E">
              <w:rPr>
                <w:rFonts w:cs="Arial"/>
              </w:rPr>
              <w:t>species</w:t>
            </w:r>
            <w:proofErr w:type="gramEnd"/>
            <w:r w:rsidRPr="00CE2F6E">
              <w:rPr>
                <w:rFonts w:cs="Arial"/>
              </w:rPr>
              <w:t xml:space="preserve"> and </w:t>
            </w:r>
            <w:r w:rsidRPr="00CE2F6E">
              <w:rPr>
                <w:rFonts w:cs="Arial"/>
              </w:rPr>
              <w:lastRenderedPageBreak/>
              <w:t>ecological communities</w:t>
            </w:r>
          </w:p>
          <w:p w14:paraId="5DBEF2B0" w14:textId="15ED02B2" w:rsidR="00234940" w:rsidRPr="00CE2F6E" w:rsidRDefault="00234940" w:rsidP="007F171B">
            <w:pPr>
              <w:spacing w:before="60" w:after="60" w:line="276" w:lineRule="auto"/>
              <w:rPr>
                <w:rFonts w:cs="Arial"/>
              </w:rPr>
            </w:pPr>
            <w:r w:rsidRPr="007B43C2">
              <w:rPr>
                <w:rFonts w:cs="Arial"/>
                <w:sz w:val="20"/>
                <w:szCs w:val="20"/>
              </w:rPr>
              <w:t xml:space="preserve">* </w:t>
            </w:r>
            <w:r>
              <w:rPr>
                <w:rFonts w:cs="Arial"/>
                <w:sz w:val="20"/>
                <w:szCs w:val="20"/>
              </w:rPr>
              <w:t>Eight</w:t>
            </w:r>
            <w:r w:rsidRPr="007B43C2">
              <w:rPr>
                <w:rFonts w:cs="Arial"/>
                <w:sz w:val="20"/>
                <w:szCs w:val="20"/>
              </w:rPr>
              <w:t xml:space="preserve"> of the 1</w:t>
            </w:r>
            <w:r>
              <w:rPr>
                <w:rFonts w:cs="Arial"/>
                <w:sz w:val="20"/>
                <w:szCs w:val="20"/>
              </w:rPr>
              <w:t>2</w:t>
            </w:r>
            <w:r w:rsidRPr="007B43C2">
              <w:rPr>
                <w:rFonts w:cs="Arial"/>
                <w:sz w:val="20"/>
                <w:szCs w:val="20"/>
              </w:rPr>
              <w:t xml:space="preserve"> assessment criteria are not applicable.</w:t>
            </w:r>
          </w:p>
        </w:tc>
        <w:tc>
          <w:tcPr>
            <w:tcW w:w="336" w:type="pct"/>
            <w:shd w:val="clear" w:color="auto" w:fill="auto"/>
          </w:tcPr>
          <w:p w14:paraId="01713504" w14:textId="2AF34203" w:rsidR="00AB194A" w:rsidRPr="00CE2F6E" w:rsidRDefault="00CE2F6E" w:rsidP="007F171B">
            <w:pPr>
              <w:spacing w:before="60" w:after="60" w:line="276" w:lineRule="auto"/>
              <w:jc w:val="center"/>
              <w:rPr>
                <w:rFonts w:cs="Arial"/>
              </w:rPr>
            </w:pPr>
            <w:r w:rsidRPr="00CE2F6E">
              <w:rPr>
                <w:rFonts w:cs="Arial"/>
              </w:rPr>
              <w:lastRenderedPageBreak/>
              <w:t>1</w:t>
            </w:r>
            <w:r w:rsidR="003471E3" w:rsidRPr="00CE2F6E">
              <w:rPr>
                <w:rFonts w:cs="Arial"/>
              </w:rPr>
              <w:t xml:space="preserve"> </w:t>
            </w:r>
            <w:r w:rsidR="008A7562" w:rsidRPr="00CE2F6E">
              <w:rPr>
                <w:rFonts w:cs="Arial"/>
              </w:rPr>
              <w:t>of 12</w:t>
            </w:r>
            <w:r w:rsidR="009464CA">
              <w:rPr>
                <w:rFonts w:cs="Arial"/>
              </w:rPr>
              <w:t>*</w:t>
            </w:r>
          </w:p>
        </w:tc>
        <w:tc>
          <w:tcPr>
            <w:tcW w:w="335" w:type="pct"/>
            <w:shd w:val="clear" w:color="auto" w:fill="FFC000"/>
          </w:tcPr>
          <w:p w14:paraId="6F0B7D38" w14:textId="51383CBD" w:rsidR="00AB194A" w:rsidRPr="00CE2F6E" w:rsidRDefault="00CE2F6E" w:rsidP="007F171B">
            <w:pPr>
              <w:spacing w:before="60" w:after="60" w:line="276" w:lineRule="auto"/>
              <w:jc w:val="center"/>
              <w:rPr>
                <w:rFonts w:cs="Arial"/>
              </w:rPr>
            </w:pPr>
            <w:r w:rsidRPr="00CE2F6E">
              <w:rPr>
                <w:rFonts w:cs="Arial"/>
              </w:rPr>
              <w:t>3</w:t>
            </w:r>
            <w:r w:rsidR="003471E3" w:rsidRPr="00CE2F6E">
              <w:rPr>
                <w:rFonts w:cs="Arial"/>
              </w:rPr>
              <w:t xml:space="preserve"> </w:t>
            </w:r>
            <w:r w:rsidR="008A7562" w:rsidRPr="00CE2F6E">
              <w:rPr>
                <w:rFonts w:cs="Arial"/>
              </w:rPr>
              <w:t>of 12</w:t>
            </w:r>
            <w:r w:rsidR="009464CA">
              <w:rPr>
                <w:rFonts w:cs="Arial"/>
              </w:rPr>
              <w:t>*</w:t>
            </w:r>
          </w:p>
        </w:tc>
        <w:tc>
          <w:tcPr>
            <w:tcW w:w="383" w:type="pct"/>
            <w:shd w:val="clear" w:color="auto" w:fill="auto"/>
          </w:tcPr>
          <w:p w14:paraId="26CFB1FA" w14:textId="757EFBB8" w:rsidR="00AB194A" w:rsidRPr="00CE2F6E" w:rsidRDefault="00CE2F6E" w:rsidP="007F171B">
            <w:pPr>
              <w:spacing w:before="60" w:after="60" w:line="276" w:lineRule="auto"/>
              <w:jc w:val="center"/>
              <w:rPr>
                <w:rFonts w:cs="Arial"/>
              </w:rPr>
            </w:pPr>
            <w:r w:rsidRPr="00CE2F6E">
              <w:rPr>
                <w:rFonts w:cs="Arial"/>
              </w:rPr>
              <w:t>0</w:t>
            </w:r>
            <w:r w:rsidR="003471E3" w:rsidRPr="00CE2F6E">
              <w:rPr>
                <w:rFonts w:cs="Arial"/>
              </w:rPr>
              <w:t xml:space="preserve"> </w:t>
            </w:r>
            <w:r w:rsidR="008A7562" w:rsidRPr="00CE2F6E">
              <w:rPr>
                <w:rFonts w:cs="Arial"/>
              </w:rPr>
              <w:t>of 12</w:t>
            </w:r>
            <w:r w:rsidR="009464CA">
              <w:rPr>
                <w:rFonts w:cs="Arial"/>
              </w:rPr>
              <w:t>*</w:t>
            </w:r>
          </w:p>
        </w:tc>
        <w:tc>
          <w:tcPr>
            <w:tcW w:w="3372" w:type="pct"/>
          </w:tcPr>
          <w:p w14:paraId="6EAA33A9" w14:textId="37FAF725" w:rsidR="00543FA1" w:rsidRPr="00543FA1" w:rsidRDefault="00543FA1" w:rsidP="007F171B">
            <w:pPr>
              <w:spacing w:before="60" w:after="60" w:line="276" w:lineRule="auto"/>
              <w:rPr>
                <w:rFonts w:cs="Arial"/>
              </w:rPr>
            </w:pPr>
            <w:r w:rsidRPr="00543FA1">
              <w:rPr>
                <w:rFonts w:cs="Arial"/>
              </w:rPr>
              <w:t>Although there has been no formal ecological risk assessment for the fishery</w:t>
            </w:r>
            <w:r w:rsidR="007E764F">
              <w:rPr>
                <w:rFonts w:cs="Arial"/>
              </w:rPr>
              <w:t>,</w:t>
            </w:r>
            <w:r w:rsidRPr="00543FA1">
              <w:rPr>
                <w:rFonts w:cs="Arial"/>
              </w:rPr>
              <w:t xml:space="preserve"> risks to non-target species are likely to be very low</w:t>
            </w:r>
            <w:r w:rsidR="00875446">
              <w:rPr>
                <w:rFonts w:cs="Arial"/>
              </w:rPr>
              <w:t xml:space="preserve"> and the fishery’s Performance Measurement System contains some measures to monitor and manage impacts.</w:t>
            </w:r>
          </w:p>
          <w:p w14:paraId="2C89E909" w14:textId="2D83FF1B" w:rsidR="00543FA1" w:rsidRPr="00543FA1" w:rsidRDefault="00543FA1" w:rsidP="007F171B">
            <w:pPr>
              <w:spacing w:before="60" w:after="60" w:line="276" w:lineRule="auto"/>
              <w:rPr>
                <w:rFonts w:cs="Arial"/>
              </w:rPr>
            </w:pPr>
            <w:r w:rsidRPr="00543FA1">
              <w:rPr>
                <w:rFonts w:cs="Arial"/>
              </w:rPr>
              <w:lastRenderedPageBreak/>
              <w:t xml:space="preserve">The fishery is highly targeted with no bycatch or discarding and there are no threatened ecological communities </w:t>
            </w:r>
            <w:proofErr w:type="gramStart"/>
            <w:r w:rsidRPr="00543FA1">
              <w:rPr>
                <w:rFonts w:cs="Arial"/>
              </w:rPr>
              <w:t>in the area of</w:t>
            </w:r>
            <w:proofErr w:type="gramEnd"/>
            <w:r w:rsidRPr="00543FA1">
              <w:rPr>
                <w:rFonts w:cs="Arial"/>
              </w:rPr>
              <w:t xml:space="preserve"> the fishery. </w:t>
            </w:r>
          </w:p>
          <w:p w14:paraId="08EB80BE" w14:textId="35C3F34B" w:rsidR="00221E97" w:rsidRPr="00543FA1" w:rsidRDefault="00543FA1" w:rsidP="007F171B">
            <w:pPr>
              <w:spacing w:before="60" w:after="60" w:line="276" w:lineRule="auto"/>
              <w:rPr>
                <w:rFonts w:cs="Arial"/>
              </w:rPr>
            </w:pPr>
            <w:r w:rsidRPr="00543FA1">
              <w:rPr>
                <w:rFonts w:cs="Arial"/>
              </w:rPr>
              <w:t xml:space="preserve">Given the important role that sea cucumbers play in ecosystem health, avoiding overfishing and localised depletion are particularly important. </w:t>
            </w:r>
            <w:r w:rsidRPr="00875446">
              <w:rPr>
                <w:rFonts w:cs="Arial"/>
              </w:rPr>
              <w:t xml:space="preserve">The Department </w:t>
            </w:r>
            <w:r w:rsidR="00221E97" w:rsidRPr="00875446">
              <w:rPr>
                <w:rFonts w:cs="Arial"/>
              </w:rPr>
              <w:t>has proposed conditions 4-</w:t>
            </w:r>
            <w:r w:rsidR="002E7801" w:rsidRPr="00875446">
              <w:rPr>
                <w:rFonts w:cs="Arial"/>
              </w:rPr>
              <w:t>7</w:t>
            </w:r>
            <w:r w:rsidR="00AA1E16" w:rsidRPr="00875446">
              <w:rPr>
                <w:rFonts w:cs="Arial"/>
              </w:rPr>
              <w:t xml:space="preserve"> </w:t>
            </w:r>
            <w:r w:rsidR="00221E97" w:rsidRPr="00875446">
              <w:rPr>
                <w:rFonts w:cs="Arial"/>
              </w:rPr>
              <w:t xml:space="preserve">on </w:t>
            </w:r>
            <w:r w:rsidR="007D043E" w:rsidRPr="00875446">
              <w:rPr>
                <w:rFonts w:cs="Arial"/>
              </w:rPr>
              <w:t xml:space="preserve">the </w:t>
            </w:r>
            <w:r w:rsidR="00221E97" w:rsidRPr="00875446">
              <w:rPr>
                <w:rFonts w:cs="Arial"/>
              </w:rPr>
              <w:t>Part</w:t>
            </w:r>
            <w:r w:rsidR="007C488D" w:rsidRPr="00875446">
              <w:rPr>
                <w:rFonts w:cs="Arial"/>
              </w:rPr>
              <w:t> </w:t>
            </w:r>
            <w:r w:rsidR="00221E97" w:rsidRPr="00875446">
              <w:rPr>
                <w:rFonts w:cs="Arial"/>
              </w:rPr>
              <w:t xml:space="preserve">13A approval to </w:t>
            </w:r>
            <w:r w:rsidR="006332CC" w:rsidRPr="00875446">
              <w:rPr>
                <w:rFonts w:cs="Arial"/>
              </w:rPr>
              <w:t xml:space="preserve">ensure </w:t>
            </w:r>
            <w:r w:rsidRPr="00875446">
              <w:rPr>
                <w:rFonts w:cs="Arial"/>
              </w:rPr>
              <w:t>there is better information on stocks to manage these risks.</w:t>
            </w:r>
          </w:p>
        </w:tc>
      </w:tr>
      <w:tr w:rsidR="007E6EBC" w:rsidRPr="00A94147" w14:paraId="77A7913F" w14:textId="77777777" w:rsidTr="0086723B">
        <w:trPr>
          <w:cnfStyle w:val="000000010000" w:firstRow="0" w:lastRow="0" w:firstColumn="0" w:lastColumn="0" w:oddVBand="0" w:evenVBand="0" w:oddHBand="0" w:evenHBand="1" w:firstRowFirstColumn="0" w:firstRowLastColumn="0" w:lastRowFirstColumn="0" w:lastRowLastColumn="0"/>
        </w:trPr>
        <w:tc>
          <w:tcPr>
            <w:tcW w:w="574" w:type="pct"/>
          </w:tcPr>
          <w:p w14:paraId="3AF61146" w14:textId="139A30BD" w:rsidR="007E6EBC" w:rsidRPr="00CE2F6E" w:rsidRDefault="00AB194A" w:rsidP="007F171B">
            <w:pPr>
              <w:spacing w:before="60" w:after="60" w:line="276" w:lineRule="auto"/>
              <w:rPr>
                <w:rFonts w:cs="Arial"/>
              </w:rPr>
            </w:pPr>
            <w:r w:rsidRPr="00CE2F6E">
              <w:rPr>
                <w:rFonts w:cs="Arial"/>
              </w:rPr>
              <w:lastRenderedPageBreak/>
              <w:t xml:space="preserve">Principle </w:t>
            </w:r>
            <w:r w:rsidRPr="00CE2F6E" w:rsidDel="00BD120A">
              <w:rPr>
                <w:rFonts w:cs="Arial"/>
              </w:rPr>
              <w:t>2</w:t>
            </w:r>
          </w:p>
          <w:p w14:paraId="722471C4" w14:textId="5583C3A9" w:rsidR="00AB194A" w:rsidRPr="00CE2F6E" w:rsidRDefault="00BD120A" w:rsidP="007F171B">
            <w:pPr>
              <w:spacing w:before="60" w:after="60" w:line="276" w:lineRule="auto"/>
              <w:rPr>
                <w:rFonts w:cs="Arial"/>
              </w:rPr>
            </w:pPr>
            <w:r w:rsidRPr="00CE2F6E">
              <w:rPr>
                <w:rFonts w:cs="Arial"/>
              </w:rPr>
              <w:t>E</w:t>
            </w:r>
            <w:r w:rsidR="00AB194A" w:rsidRPr="00CE2F6E">
              <w:rPr>
                <w:rFonts w:cs="Arial"/>
              </w:rPr>
              <w:t>cosystem impacts</w:t>
            </w:r>
          </w:p>
        </w:tc>
        <w:tc>
          <w:tcPr>
            <w:tcW w:w="336" w:type="pct"/>
            <w:shd w:val="clear" w:color="auto" w:fill="auto"/>
          </w:tcPr>
          <w:p w14:paraId="7B2D69A1" w14:textId="1551255C" w:rsidR="00AB194A" w:rsidRPr="00CE2F6E" w:rsidRDefault="00F9657A" w:rsidP="007F171B">
            <w:pPr>
              <w:spacing w:before="60" w:after="60" w:line="276" w:lineRule="auto"/>
              <w:jc w:val="center"/>
              <w:rPr>
                <w:rFonts w:cs="Arial"/>
              </w:rPr>
            </w:pPr>
            <w:r>
              <w:rPr>
                <w:rFonts w:cs="Arial"/>
              </w:rPr>
              <w:t>1</w:t>
            </w:r>
            <w:r w:rsidR="001E2F75" w:rsidRPr="00CE2F6E">
              <w:rPr>
                <w:rFonts w:cs="Arial"/>
              </w:rPr>
              <w:t xml:space="preserve"> of 5</w:t>
            </w:r>
          </w:p>
        </w:tc>
        <w:tc>
          <w:tcPr>
            <w:tcW w:w="335" w:type="pct"/>
            <w:shd w:val="clear" w:color="auto" w:fill="FFC000"/>
          </w:tcPr>
          <w:p w14:paraId="183A4864" w14:textId="7D494D23" w:rsidR="00AB194A" w:rsidRPr="00CE2F6E" w:rsidRDefault="00F9657A" w:rsidP="007F171B">
            <w:pPr>
              <w:spacing w:before="60" w:after="60" w:line="276" w:lineRule="auto"/>
              <w:jc w:val="center"/>
              <w:rPr>
                <w:rFonts w:cs="Arial"/>
              </w:rPr>
            </w:pPr>
            <w:r>
              <w:rPr>
                <w:rFonts w:cs="Arial"/>
              </w:rPr>
              <w:t>3</w:t>
            </w:r>
            <w:r w:rsidR="001E2F75" w:rsidRPr="00CE2F6E">
              <w:rPr>
                <w:rFonts w:cs="Arial"/>
              </w:rPr>
              <w:t xml:space="preserve"> of 5</w:t>
            </w:r>
          </w:p>
        </w:tc>
        <w:tc>
          <w:tcPr>
            <w:tcW w:w="383" w:type="pct"/>
            <w:shd w:val="clear" w:color="auto" w:fill="FFFFFF" w:themeFill="background1"/>
          </w:tcPr>
          <w:p w14:paraId="0EF7E465" w14:textId="441E33B1" w:rsidR="00AB194A" w:rsidRPr="00CE2F6E" w:rsidRDefault="00CE2F6E" w:rsidP="007F171B">
            <w:pPr>
              <w:spacing w:before="60" w:after="60" w:line="276" w:lineRule="auto"/>
              <w:jc w:val="center"/>
              <w:rPr>
                <w:rFonts w:cs="Arial"/>
              </w:rPr>
            </w:pPr>
            <w:r w:rsidRPr="00CE2F6E">
              <w:rPr>
                <w:rFonts w:cs="Arial"/>
              </w:rPr>
              <w:t>1</w:t>
            </w:r>
            <w:r w:rsidR="001E2F75" w:rsidRPr="00CE2F6E">
              <w:rPr>
                <w:rFonts w:cs="Arial"/>
              </w:rPr>
              <w:t xml:space="preserve"> of 5</w:t>
            </w:r>
          </w:p>
        </w:tc>
        <w:tc>
          <w:tcPr>
            <w:tcW w:w="3372" w:type="pct"/>
          </w:tcPr>
          <w:p w14:paraId="3526B9F6" w14:textId="19A25812" w:rsidR="00875446" w:rsidRPr="00543FA1" w:rsidRDefault="00875446" w:rsidP="00875446">
            <w:pPr>
              <w:spacing w:before="60" w:after="60" w:line="276" w:lineRule="auto"/>
              <w:rPr>
                <w:rFonts w:cs="Arial"/>
              </w:rPr>
            </w:pPr>
            <w:r w:rsidRPr="00543FA1">
              <w:rPr>
                <w:rFonts w:cs="Arial"/>
              </w:rPr>
              <w:t>Although there has been no formal ecological risk assessment for the fishery</w:t>
            </w:r>
            <w:r>
              <w:rPr>
                <w:rFonts w:cs="Arial"/>
              </w:rPr>
              <w:t xml:space="preserve"> the fishery’s Performance Measurement System contains some measures to monitor and manage impacts.</w:t>
            </w:r>
          </w:p>
          <w:p w14:paraId="5701B5C8" w14:textId="6F9ED4FE" w:rsidR="00221E97" w:rsidRPr="00875446" w:rsidRDefault="00875446" w:rsidP="007F171B">
            <w:pPr>
              <w:spacing w:before="60" w:after="60" w:line="276" w:lineRule="auto"/>
              <w:rPr>
                <w:rFonts w:cs="Arial"/>
              </w:rPr>
            </w:pPr>
            <w:r w:rsidRPr="00543FA1">
              <w:rPr>
                <w:rFonts w:cs="Arial"/>
              </w:rPr>
              <w:t xml:space="preserve">Given the important role that sea cucumbers play in ecosystem health, avoiding overfishing and localised depletion are particularly important. </w:t>
            </w:r>
            <w:r w:rsidRPr="00875446">
              <w:rPr>
                <w:rFonts w:cs="Arial"/>
              </w:rPr>
              <w:t>The Department has proposed conditions 4-7 on the Part 13A approval to ensure there is better information on stocks to manage these risks.</w:t>
            </w:r>
          </w:p>
        </w:tc>
      </w:tr>
      <w:tr w:rsidR="007B61E7" w:rsidRPr="00A94147" w14:paraId="14FFCC4D" w14:textId="77777777" w:rsidTr="007B61E7">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52515391" w14:textId="2C9DB196" w:rsidR="007B61E7" w:rsidRPr="00F419E7" w:rsidRDefault="007B61E7" w:rsidP="007F171B">
            <w:pPr>
              <w:spacing w:before="60" w:after="60" w:line="276" w:lineRule="auto"/>
              <w:rPr>
                <w:rFonts w:cs="Arial"/>
                <w:b/>
              </w:rPr>
            </w:pPr>
            <w:r w:rsidRPr="00F419E7">
              <w:rPr>
                <w:rFonts w:cs="Arial"/>
                <w:b/>
              </w:rPr>
              <w:t>EPBC requirements</w:t>
            </w:r>
          </w:p>
        </w:tc>
      </w:tr>
      <w:tr w:rsidR="003703E8" w:rsidRPr="00A94147" w14:paraId="288C0458" w14:textId="77777777" w:rsidTr="0086723B">
        <w:trPr>
          <w:cnfStyle w:val="000000010000" w:firstRow="0" w:lastRow="0" w:firstColumn="0" w:lastColumn="0" w:oddVBand="0" w:evenVBand="0" w:oddHBand="0" w:evenHBand="1" w:firstRowFirstColumn="0" w:firstRowLastColumn="0" w:lastRowFirstColumn="0" w:lastRowLastColumn="0"/>
        </w:trPr>
        <w:tc>
          <w:tcPr>
            <w:tcW w:w="1628" w:type="pct"/>
            <w:gridSpan w:val="4"/>
            <w:shd w:val="clear" w:color="auto" w:fill="92D050"/>
          </w:tcPr>
          <w:p w14:paraId="3A69EF13" w14:textId="7F5B5175" w:rsidR="003703E8" w:rsidRPr="00F419E7" w:rsidRDefault="003703E8" w:rsidP="007F171B">
            <w:pPr>
              <w:spacing w:before="60" w:after="60" w:line="276" w:lineRule="auto"/>
              <w:rPr>
                <w:rFonts w:cs="Arial"/>
              </w:rPr>
            </w:pPr>
            <w:r w:rsidRPr="00F419E7">
              <w:rPr>
                <w:rFonts w:cs="Arial"/>
              </w:rPr>
              <w:t>Part 12</w:t>
            </w:r>
            <w:r w:rsidR="00FE7982" w:rsidRPr="00F419E7">
              <w:rPr>
                <w:rFonts w:cs="Arial"/>
              </w:rPr>
              <w:t xml:space="preserve"> – Bioregional plans</w:t>
            </w:r>
          </w:p>
        </w:tc>
        <w:tc>
          <w:tcPr>
            <w:tcW w:w="3372" w:type="pct"/>
            <w:shd w:val="clear" w:color="auto" w:fill="auto"/>
          </w:tcPr>
          <w:p w14:paraId="327E0B80" w14:textId="09DF2160" w:rsidR="003703E8" w:rsidRPr="00F419E7" w:rsidRDefault="003703E8" w:rsidP="007F171B">
            <w:pPr>
              <w:spacing w:before="60" w:after="60" w:line="276" w:lineRule="auto"/>
              <w:rPr>
                <w:rFonts w:cs="Arial"/>
              </w:rPr>
            </w:pPr>
            <w:r w:rsidRPr="00F419E7">
              <w:rPr>
                <w:rFonts w:cs="Arial"/>
              </w:rPr>
              <w:t>Meets requirements</w:t>
            </w:r>
            <w:r w:rsidR="00CE2F6E" w:rsidRPr="00F419E7">
              <w:rPr>
                <w:rFonts w:cs="Arial"/>
              </w:rPr>
              <w:t>.</w:t>
            </w:r>
          </w:p>
        </w:tc>
      </w:tr>
      <w:tr w:rsidR="003703E8" w:rsidRPr="00A94147" w14:paraId="506B6990" w14:textId="77777777" w:rsidTr="0086723B">
        <w:trPr>
          <w:cnfStyle w:val="000000100000" w:firstRow="0" w:lastRow="0" w:firstColumn="0" w:lastColumn="0" w:oddVBand="0" w:evenVBand="0" w:oddHBand="1" w:evenHBand="0" w:firstRowFirstColumn="0" w:firstRowLastColumn="0" w:lastRowFirstColumn="0" w:lastRowLastColumn="0"/>
        </w:trPr>
        <w:tc>
          <w:tcPr>
            <w:tcW w:w="1628" w:type="pct"/>
            <w:gridSpan w:val="4"/>
            <w:shd w:val="clear" w:color="auto" w:fill="92D050"/>
          </w:tcPr>
          <w:p w14:paraId="1E8F6B74" w14:textId="34B0B26C" w:rsidR="003703E8" w:rsidRPr="00F419E7" w:rsidRDefault="003703E8" w:rsidP="007F171B">
            <w:pPr>
              <w:spacing w:before="60" w:after="60" w:line="276" w:lineRule="auto"/>
              <w:rPr>
                <w:rFonts w:cs="Arial"/>
              </w:rPr>
            </w:pPr>
            <w:r w:rsidRPr="00F419E7">
              <w:rPr>
                <w:rFonts w:cs="Arial"/>
              </w:rPr>
              <w:t>Part 13</w:t>
            </w:r>
            <w:r w:rsidR="00FE7982" w:rsidRPr="00F419E7">
              <w:rPr>
                <w:rFonts w:cs="Arial"/>
              </w:rPr>
              <w:t xml:space="preserve"> – Protected species and communities</w:t>
            </w:r>
          </w:p>
        </w:tc>
        <w:tc>
          <w:tcPr>
            <w:tcW w:w="3372" w:type="pct"/>
            <w:shd w:val="clear" w:color="auto" w:fill="auto"/>
          </w:tcPr>
          <w:p w14:paraId="008A304B" w14:textId="40BE680D" w:rsidR="003703E8" w:rsidRPr="00F419E7" w:rsidRDefault="003703E8" w:rsidP="007F171B">
            <w:pPr>
              <w:spacing w:before="60" w:after="60" w:line="276" w:lineRule="auto"/>
              <w:rPr>
                <w:rFonts w:cs="Arial"/>
              </w:rPr>
            </w:pPr>
            <w:r w:rsidRPr="00F419E7">
              <w:rPr>
                <w:rFonts w:cs="Arial"/>
              </w:rPr>
              <w:t>Meets requirements</w:t>
            </w:r>
            <w:r w:rsidR="00244C9D" w:rsidRPr="00F419E7">
              <w:rPr>
                <w:rFonts w:cs="Arial"/>
              </w:rPr>
              <w:t>.</w:t>
            </w:r>
          </w:p>
        </w:tc>
      </w:tr>
      <w:tr w:rsidR="003703E8" w:rsidRPr="00A94147" w14:paraId="22B413FF" w14:textId="77777777" w:rsidTr="0086723B">
        <w:trPr>
          <w:cnfStyle w:val="000000010000" w:firstRow="0" w:lastRow="0" w:firstColumn="0" w:lastColumn="0" w:oddVBand="0" w:evenVBand="0" w:oddHBand="0" w:evenHBand="1" w:firstRowFirstColumn="0" w:firstRowLastColumn="0" w:lastRowFirstColumn="0" w:lastRowLastColumn="0"/>
        </w:trPr>
        <w:tc>
          <w:tcPr>
            <w:tcW w:w="1628" w:type="pct"/>
            <w:gridSpan w:val="4"/>
            <w:shd w:val="clear" w:color="auto" w:fill="92D050"/>
          </w:tcPr>
          <w:p w14:paraId="43BD9B9F" w14:textId="171B1755" w:rsidR="003703E8" w:rsidRPr="00F419E7" w:rsidRDefault="003703E8" w:rsidP="007F171B">
            <w:pPr>
              <w:spacing w:before="60" w:after="60" w:line="276" w:lineRule="auto"/>
              <w:rPr>
                <w:rFonts w:cs="Arial"/>
              </w:rPr>
            </w:pPr>
            <w:r w:rsidRPr="00F419E7">
              <w:rPr>
                <w:rFonts w:cs="Arial"/>
              </w:rPr>
              <w:t>Part 13A</w:t>
            </w:r>
            <w:r w:rsidR="00FE7982" w:rsidRPr="00F419E7">
              <w:rPr>
                <w:rFonts w:cs="Arial"/>
              </w:rPr>
              <w:t xml:space="preserve"> – International trade of wildlife</w:t>
            </w:r>
          </w:p>
        </w:tc>
        <w:tc>
          <w:tcPr>
            <w:tcW w:w="3372" w:type="pct"/>
            <w:shd w:val="clear" w:color="auto" w:fill="auto"/>
          </w:tcPr>
          <w:p w14:paraId="3A492242" w14:textId="69199AEB" w:rsidR="003703E8" w:rsidRPr="00F419E7" w:rsidRDefault="003703E8" w:rsidP="007F171B">
            <w:pPr>
              <w:spacing w:before="60" w:after="60" w:line="276" w:lineRule="auto"/>
              <w:rPr>
                <w:rFonts w:cs="Arial"/>
              </w:rPr>
            </w:pPr>
            <w:r w:rsidRPr="00F419E7">
              <w:rPr>
                <w:rFonts w:cs="Arial"/>
              </w:rPr>
              <w:t xml:space="preserve">Meets requirements subject to </w:t>
            </w:r>
            <w:r w:rsidR="00244C9D" w:rsidRPr="00F419E7">
              <w:rPr>
                <w:rFonts w:cs="Arial"/>
              </w:rPr>
              <w:t xml:space="preserve">conditions </w:t>
            </w:r>
            <w:r w:rsidR="00FA2235" w:rsidRPr="00F419E7">
              <w:rPr>
                <w:rFonts w:cs="Arial"/>
              </w:rPr>
              <w:t>4-7</w:t>
            </w:r>
            <w:r w:rsidR="00AA1E16" w:rsidRPr="00F419E7">
              <w:rPr>
                <w:rFonts w:cs="Arial"/>
              </w:rPr>
              <w:t xml:space="preserve"> </w:t>
            </w:r>
            <w:r w:rsidR="00244C9D" w:rsidRPr="00F419E7">
              <w:rPr>
                <w:rFonts w:cs="Arial"/>
              </w:rPr>
              <w:t xml:space="preserve">on </w:t>
            </w:r>
            <w:r w:rsidR="007D043E" w:rsidRPr="00F419E7">
              <w:rPr>
                <w:rFonts w:cs="Arial"/>
              </w:rPr>
              <w:t xml:space="preserve">the </w:t>
            </w:r>
            <w:r w:rsidR="00244C9D" w:rsidRPr="00F419E7">
              <w:rPr>
                <w:rFonts w:cs="Arial"/>
              </w:rPr>
              <w:t>Part 13A approval.</w:t>
            </w:r>
          </w:p>
        </w:tc>
      </w:tr>
      <w:tr w:rsidR="003703E8" w:rsidRPr="00A94147" w14:paraId="3E17CDF2" w14:textId="77777777" w:rsidTr="0086723B">
        <w:trPr>
          <w:cnfStyle w:val="000000100000" w:firstRow="0" w:lastRow="0" w:firstColumn="0" w:lastColumn="0" w:oddVBand="0" w:evenVBand="0" w:oddHBand="1" w:evenHBand="0" w:firstRowFirstColumn="0" w:firstRowLastColumn="0" w:lastRowFirstColumn="0" w:lastRowLastColumn="0"/>
        </w:trPr>
        <w:tc>
          <w:tcPr>
            <w:tcW w:w="1628" w:type="pct"/>
            <w:gridSpan w:val="4"/>
            <w:shd w:val="clear" w:color="auto" w:fill="92D050"/>
          </w:tcPr>
          <w:p w14:paraId="716FE531" w14:textId="5D81FF55" w:rsidR="003703E8" w:rsidRPr="00F419E7" w:rsidRDefault="003703E8" w:rsidP="007F171B">
            <w:pPr>
              <w:spacing w:before="60" w:after="60" w:line="276" w:lineRule="auto"/>
              <w:rPr>
                <w:rFonts w:cs="Arial"/>
              </w:rPr>
            </w:pPr>
            <w:r w:rsidRPr="00F419E7">
              <w:rPr>
                <w:rFonts w:cs="Arial"/>
              </w:rPr>
              <w:t>Part 16</w:t>
            </w:r>
            <w:r w:rsidR="00FE7982" w:rsidRPr="00F419E7">
              <w:rPr>
                <w:rFonts w:cs="Arial"/>
              </w:rPr>
              <w:t xml:space="preserve"> – Precautionary principle </w:t>
            </w:r>
          </w:p>
        </w:tc>
        <w:tc>
          <w:tcPr>
            <w:tcW w:w="3372" w:type="pct"/>
            <w:shd w:val="clear" w:color="auto" w:fill="auto"/>
          </w:tcPr>
          <w:p w14:paraId="70D1DCFD" w14:textId="28A355A1" w:rsidR="003703E8" w:rsidRPr="00F419E7" w:rsidRDefault="003703E8" w:rsidP="007F171B">
            <w:pPr>
              <w:spacing w:before="60" w:after="60" w:line="276" w:lineRule="auto"/>
              <w:rPr>
                <w:rFonts w:cs="Arial"/>
              </w:rPr>
            </w:pPr>
            <w:r w:rsidRPr="00F419E7">
              <w:rPr>
                <w:rFonts w:cs="Arial"/>
              </w:rPr>
              <w:t xml:space="preserve">Meets requirements subject to conditions </w:t>
            </w:r>
            <w:r w:rsidR="00FA2235" w:rsidRPr="00F419E7">
              <w:rPr>
                <w:rFonts w:cs="Arial"/>
              </w:rPr>
              <w:t>4-7</w:t>
            </w:r>
            <w:r w:rsidR="00AA1E16" w:rsidRPr="00F419E7">
              <w:rPr>
                <w:rFonts w:cs="Arial"/>
              </w:rPr>
              <w:t xml:space="preserve"> </w:t>
            </w:r>
            <w:r w:rsidR="00244C9D" w:rsidRPr="00F419E7">
              <w:rPr>
                <w:rFonts w:cs="Arial"/>
              </w:rPr>
              <w:t xml:space="preserve">on </w:t>
            </w:r>
            <w:r w:rsidR="007D043E" w:rsidRPr="00F419E7">
              <w:rPr>
                <w:rFonts w:cs="Arial"/>
              </w:rPr>
              <w:t xml:space="preserve">the </w:t>
            </w:r>
            <w:r w:rsidR="00244C9D" w:rsidRPr="00F419E7">
              <w:rPr>
                <w:rFonts w:cs="Arial"/>
              </w:rPr>
              <w:t>Part 13A approval.</w:t>
            </w:r>
          </w:p>
        </w:tc>
      </w:tr>
    </w:tbl>
    <w:p w14:paraId="06B7AF8A" w14:textId="06942217" w:rsidR="00CF4293" w:rsidRPr="000C7574" w:rsidRDefault="00CF4293" w:rsidP="0086723B">
      <w:pPr>
        <w:pStyle w:val="Heading1"/>
        <w:spacing w:before="240" w:after="120"/>
        <w:rPr>
          <w:rFonts w:ascii="Arial" w:hAnsi="Arial"/>
        </w:rPr>
      </w:pPr>
      <w:bookmarkStart w:id="7" w:name="_Toc51057517"/>
      <w:r w:rsidRPr="000C7574">
        <w:rPr>
          <w:rFonts w:ascii="Arial" w:hAnsi="Arial"/>
        </w:rPr>
        <w:t>Assessment history</w:t>
      </w:r>
      <w:bookmarkEnd w:id="7"/>
    </w:p>
    <w:p w14:paraId="4FD5EE8A" w14:textId="7F3A39B2" w:rsidR="00CF4293" w:rsidRPr="003034FF" w:rsidRDefault="00CF4293" w:rsidP="0086723B">
      <w:pPr>
        <w:spacing w:before="0" w:line="276" w:lineRule="auto"/>
        <w:rPr>
          <w:rFonts w:cs="Arial"/>
        </w:rPr>
      </w:pPr>
      <w:r w:rsidRPr="003034FF">
        <w:rPr>
          <w:rFonts w:cs="Arial"/>
        </w:rPr>
        <w:t xml:space="preserve">Information on previous assessments for the </w:t>
      </w:r>
      <w:bookmarkStart w:id="8" w:name="_Hlk49448780"/>
      <w:r w:rsidRPr="003034FF">
        <w:rPr>
          <w:rFonts w:cs="Arial"/>
        </w:rPr>
        <w:t xml:space="preserve">Queensland </w:t>
      </w:r>
      <w:r w:rsidR="003034FF" w:rsidRPr="003034FF">
        <w:rPr>
          <w:rFonts w:cs="Arial"/>
        </w:rPr>
        <w:t xml:space="preserve">Sea Cucumber </w:t>
      </w:r>
      <w:r w:rsidR="008C1E4B" w:rsidRPr="003034FF">
        <w:rPr>
          <w:rFonts w:cs="Arial"/>
        </w:rPr>
        <w:t xml:space="preserve">Fishery </w:t>
      </w:r>
      <w:r w:rsidR="00BF3D43" w:rsidRPr="003034FF">
        <w:rPr>
          <w:rFonts w:cs="Arial"/>
        </w:rPr>
        <w:t xml:space="preserve">(East Coast) </w:t>
      </w:r>
      <w:r w:rsidR="003034FF">
        <w:rPr>
          <w:rFonts w:cs="Arial"/>
        </w:rPr>
        <w:t xml:space="preserve">(formerly the Queensland </w:t>
      </w:r>
      <w:r w:rsidR="003034FF" w:rsidRPr="003034FF">
        <w:rPr>
          <w:rFonts w:cs="Arial"/>
          <w:lang w:val="en"/>
        </w:rPr>
        <w:t xml:space="preserve">East Coast </w:t>
      </w:r>
      <w:proofErr w:type="spellStart"/>
      <w:r w:rsidR="003034FF" w:rsidRPr="003034FF">
        <w:rPr>
          <w:rFonts w:cs="Arial"/>
          <w:lang w:val="en"/>
        </w:rPr>
        <w:t>Bêche</w:t>
      </w:r>
      <w:proofErr w:type="spellEnd"/>
      <w:r w:rsidR="003034FF" w:rsidRPr="003034FF">
        <w:rPr>
          <w:rFonts w:cs="Arial"/>
          <w:lang w:val="en"/>
        </w:rPr>
        <w:t>-de-</w:t>
      </w:r>
      <w:proofErr w:type="spellStart"/>
      <w:r w:rsidR="003034FF" w:rsidRPr="003034FF">
        <w:rPr>
          <w:rFonts w:cs="Arial"/>
          <w:lang w:val="en"/>
        </w:rPr>
        <w:t>mer</w:t>
      </w:r>
      <w:proofErr w:type="spellEnd"/>
      <w:r w:rsidR="003034FF" w:rsidRPr="003034FF">
        <w:rPr>
          <w:rFonts w:cs="Arial"/>
          <w:lang w:val="en"/>
        </w:rPr>
        <w:t xml:space="preserve"> Fishery</w:t>
      </w:r>
      <w:r w:rsidR="003034FF">
        <w:rPr>
          <w:rFonts w:cs="Arial"/>
          <w:lang w:val="en"/>
        </w:rPr>
        <w:t xml:space="preserve">) </w:t>
      </w:r>
      <w:bookmarkEnd w:id="8"/>
      <w:r w:rsidRPr="003034FF">
        <w:rPr>
          <w:rFonts w:cs="Arial"/>
        </w:rPr>
        <w:t xml:space="preserve">is available on the Department’s website at </w:t>
      </w:r>
      <w:hyperlink r:id="rId14" w:history="1">
        <w:r w:rsidR="003034FF" w:rsidRPr="003034FF">
          <w:rPr>
            <w:rStyle w:val="Hyperlink"/>
          </w:rPr>
          <w:t>http://www.environment.gov.au/marine/fisheries/qld/sea-cucumber</w:t>
        </w:r>
      </w:hyperlink>
      <w:r w:rsidR="003034FF" w:rsidRPr="003034FF">
        <w:t xml:space="preserve">. </w:t>
      </w:r>
    </w:p>
    <w:p w14:paraId="5D2D00D1" w14:textId="63653FC6" w:rsidR="00CF4293" w:rsidRPr="003034FF" w:rsidRDefault="00CF4293" w:rsidP="007F171B">
      <w:pPr>
        <w:spacing w:line="276" w:lineRule="auto"/>
        <w:rPr>
          <w:rFonts w:cs="Arial"/>
        </w:rPr>
      </w:pPr>
      <w:r w:rsidRPr="003034FF">
        <w:rPr>
          <w:rFonts w:cs="Arial"/>
          <w:b/>
        </w:rPr>
        <w:t>1st assessment</w:t>
      </w:r>
      <w:r w:rsidRPr="003034FF">
        <w:rPr>
          <w:rFonts w:cs="Arial"/>
        </w:rPr>
        <w:t xml:space="preserve">: Wildlife Trade Operation (WTO) approval granted for </w:t>
      </w:r>
      <w:r w:rsidR="008C1E4B" w:rsidRPr="003034FF">
        <w:rPr>
          <w:rFonts w:cs="Arial"/>
        </w:rPr>
        <w:t xml:space="preserve">6 </w:t>
      </w:r>
      <w:r w:rsidR="00A94147" w:rsidRPr="003034FF">
        <w:rPr>
          <w:rFonts w:cs="Arial"/>
        </w:rPr>
        <w:t>Dec</w:t>
      </w:r>
      <w:r w:rsidR="008C1E4B" w:rsidRPr="003034FF">
        <w:rPr>
          <w:rFonts w:cs="Arial"/>
        </w:rPr>
        <w:t>ember 200</w:t>
      </w:r>
      <w:r w:rsidR="00A94147" w:rsidRPr="003034FF">
        <w:rPr>
          <w:rFonts w:cs="Arial"/>
        </w:rPr>
        <w:t>4</w:t>
      </w:r>
      <w:r w:rsidR="008C1E4B" w:rsidRPr="003034FF">
        <w:rPr>
          <w:rFonts w:cs="Arial"/>
        </w:rPr>
        <w:t xml:space="preserve"> - </w:t>
      </w:r>
      <w:r w:rsidR="00A94147" w:rsidRPr="003034FF">
        <w:rPr>
          <w:rFonts w:cs="Arial"/>
        </w:rPr>
        <w:t>21</w:t>
      </w:r>
      <w:r w:rsidRPr="003034FF">
        <w:rPr>
          <w:rFonts w:cs="Arial"/>
        </w:rPr>
        <w:t> </w:t>
      </w:r>
      <w:r w:rsidR="00A94147" w:rsidRPr="003034FF">
        <w:rPr>
          <w:rFonts w:cs="Arial"/>
        </w:rPr>
        <w:t>Dec</w:t>
      </w:r>
      <w:r w:rsidRPr="003034FF">
        <w:rPr>
          <w:rFonts w:cs="Arial"/>
        </w:rPr>
        <w:t>ember 200</w:t>
      </w:r>
      <w:r w:rsidR="00A94147" w:rsidRPr="003034FF">
        <w:rPr>
          <w:rFonts w:cs="Arial"/>
        </w:rPr>
        <w:t>7</w:t>
      </w:r>
      <w:r w:rsidRPr="003034FF">
        <w:rPr>
          <w:rFonts w:cs="Arial"/>
        </w:rPr>
        <w:t>, subject to three conditions.</w:t>
      </w:r>
    </w:p>
    <w:p w14:paraId="22854637" w14:textId="6E070E48" w:rsidR="00CF4293" w:rsidRPr="003034FF" w:rsidRDefault="00CF4293" w:rsidP="007F171B">
      <w:pPr>
        <w:spacing w:line="276" w:lineRule="auto"/>
        <w:rPr>
          <w:rFonts w:cs="Arial"/>
        </w:rPr>
      </w:pPr>
      <w:r w:rsidRPr="003034FF">
        <w:rPr>
          <w:rFonts w:cs="Arial"/>
          <w:b/>
        </w:rPr>
        <w:t>2</w:t>
      </w:r>
      <w:r w:rsidRPr="003034FF">
        <w:rPr>
          <w:rFonts w:cs="Arial"/>
          <w:b/>
          <w:vertAlign w:val="superscript"/>
        </w:rPr>
        <w:t>nd</w:t>
      </w:r>
      <w:r w:rsidRPr="003034FF">
        <w:rPr>
          <w:rFonts w:cs="Arial"/>
          <w:b/>
        </w:rPr>
        <w:t xml:space="preserve"> assessment</w:t>
      </w:r>
      <w:r w:rsidRPr="003034FF">
        <w:rPr>
          <w:rFonts w:cs="Arial"/>
        </w:rPr>
        <w:t xml:space="preserve">: Wildlife Trade Operation (WTO) approval granted for </w:t>
      </w:r>
      <w:r w:rsidR="00A94147" w:rsidRPr="003034FF">
        <w:rPr>
          <w:rFonts w:cs="Arial"/>
        </w:rPr>
        <w:t>19</w:t>
      </w:r>
      <w:r w:rsidRPr="003034FF">
        <w:rPr>
          <w:rFonts w:cs="Arial"/>
        </w:rPr>
        <w:t xml:space="preserve"> </w:t>
      </w:r>
      <w:r w:rsidR="00A94147" w:rsidRPr="003034FF">
        <w:rPr>
          <w:rFonts w:cs="Arial"/>
        </w:rPr>
        <w:t>Decem</w:t>
      </w:r>
      <w:r w:rsidRPr="003034FF">
        <w:rPr>
          <w:rFonts w:cs="Arial"/>
        </w:rPr>
        <w:t>ber 200</w:t>
      </w:r>
      <w:r w:rsidR="00A94147" w:rsidRPr="003034FF">
        <w:rPr>
          <w:rFonts w:cs="Arial"/>
        </w:rPr>
        <w:t>7</w:t>
      </w:r>
      <w:r w:rsidRPr="003034FF">
        <w:rPr>
          <w:rFonts w:cs="Arial"/>
        </w:rPr>
        <w:t xml:space="preserve"> – </w:t>
      </w:r>
      <w:r w:rsidR="00A94147" w:rsidRPr="003034FF">
        <w:rPr>
          <w:rFonts w:cs="Arial"/>
        </w:rPr>
        <w:t>21</w:t>
      </w:r>
      <w:r w:rsidRPr="003034FF">
        <w:rPr>
          <w:rFonts w:cs="Arial"/>
        </w:rPr>
        <w:t> </w:t>
      </w:r>
      <w:r w:rsidR="00A94147" w:rsidRPr="003034FF">
        <w:rPr>
          <w:rFonts w:cs="Arial"/>
        </w:rPr>
        <w:t>Dec</w:t>
      </w:r>
      <w:r w:rsidRPr="003034FF">
        <w:rPr>
          <w:rFonts w:cs="Arial"/>
        </w:rPr>
        <w:t>ember 201</w:t>
      </w:r>
      <w:r w:rsidR="00A94147" w:rsidRPr="003034FF">
        <w:rPr>
          <w:rFonts w:cs="Arial"/>
        </w:rPr>
        <w:t>0</w:t>
      </w:r>
      <w:r w:rsidRPr="003034FF">
        <w:rPr>
          <w:rFonts w:cs="Arial"/>
        </w:rPr>
        <w:t>, subject to three conditions.</w:t>
      </w:r>
      <w:r w:rsidR="006B198F" w:rsidRPr="003034FF">
        <w:rPr>
          <w:rFonts w:cs="Arial"/>
        </w:rPr>
        <w:t xml:space="preserve"> </w:t>
      </w:r>
      <w:r w:rsidR="00A94147" w:rsidRPr="003034FF">
        <w:rPr>
          <w:rFonts w:cs="Arial"/>
        </w:rPr>
        <w:t>The WTO a</w:t>
      </w:r>
      <w:r w:rsidR="006B198F" w:rsidRPr="003034FF">
        <w:rPr>
          <w:rFonts w:cs="Arial"/>
        </w:rPr>
        <w:t xml:space="preserve">pproval was </w:t>
      </w:r>
      <w:r w:rsidR="00A94147" w:rsidRPr="003034FF">
        <w:rPr>
          <w:rFonts w:cs="Arial"/>
        </w:rPr>
        <w:t xml:space="preserve">amended on 10 April 2008 to account for a change in legislation. Conditions and WTO duration were unamended. </w:t>
      </w:r>
      <w:r w:rsidR="003034FF" w:rsidRPr="003034FF">
        <w:rPr>
          <w:rFonts w:cs="Arial"/>
        </w:rPr>
        <w:t xml:space="preserve">The approval was subsequently extended twice via the </w:t>
      </w:r>
      <w:r w:rsidR="00A94147" w:rsidRPr="003034FF">
        <w:rPr>
          <w:rFonts w:cs="Arial"/>
        </w:rPr>
        <w:t xml:space="preserve">List of Exempt Native Specimens until </w:t>
      </w:r>
      <w:r w:rsidR="003034FF" w:rsidRPr="003034FF">
        <w:rPr>
          <w:rFonts w:cs="Arial"/>
        </w:rPr>
        <w:t>10 June</w:t>
      </w:r>
      <w:r w:rsidR="00A94147" w:rsidRPr="003034FF">
        <w:rPr>
          <w:rFonts w:cs="Arial"/>
        </w:rPr>
        <w:t xml:space="preserve"> 2011.</w:t>
      </w:r>
    </w:p>
    <w:p w14:paraId="7A7B39CC" w14:textId="51958254" w:rsidR="00C237BD" w:rsidRPr="00A94147" w:rsidRDefault="00CF4293" w:rsidP="00C237BD">
      <w:pPr>
        <w:spacing w:line="276" w:lineRule="auto"/>
        <w:rPr>
          <w:rFonts w:cs="Arial"/>
          <w:highlight w:val="yellow"/>
        </w:rPr>
      </w:pPr>
      <w:r w:rsidRPr="003034FF">
        <w:rPr>
          <w:rFonts w:cs="Arial"/>
          <w:b/>
        </w:rPr>
        <w:t>3</w:t>
      </w:r>
      <w:r w:rsidRPr="003034FF">
        <w:rPr>
          <w:rFonts w:cs="Arial"/>
          <w:b/>
          <w:vertAlign w:val="superscript"/>
        </w:rPr>
        <w:t>rd</w:t>
      </w:r>
      <w:r w:rsidRPr="003034FF">
        <w:rPr>
          <w:rFonts w:cs="Arial"/>
          <w:b/>
        </w:rPr>
        <w:t xml:space="preserve"> assessment</w:t>
      </w:r>
      <w:r w:rsidRPr="003034FF">
        <w:rPr>
          <w:rFonts w:cs="Arial"/>
        </w:rPr>
        <w:t xml:space="preserve">: Wildlife Trade Operation (WTO) approval granted for </w:t>
      </w:r>
      <w:r w:rsidR="006B198F" w:rsidRPr="003034FF">
        <w:rPr>
          <w:rFonts w:cs="Arial"/>
        </w:rPr>
        <w:t>1</w:t>
      </w:r>
      <w:r w:rsidR="003034FF" w:rsidRPr="003034FF">
        <w:rPr>
          <w:rFonts w:cs="Arial"/>
        </w:rPr>
        <w:t>8</w:t>
      </w:r>
      <w:r w:rsidRPr="003034FF">
        <w:rPr>
          <w:rFonts w:cs="Arial"/>
        </w:rPr>
        <w:t xml:space="preserve"> </w:t>
      </w:r>
      <w:r w:rsidR="006B198F" w:rsidRPr="003034FF">
        <w:rPr>
          <w:rFonts w:cs="Arial"/>
        </w:rPr>
        <w:t>Ju</w:t>
      </w:r>
      <w:r w:rsidR="003034FF" w:rsidRPr="003034FF">
        <w:rPr>
          <w:rFonts w:cs="Arial"/>
        </w:rPr>
        <w:t>ly</w:t>
      </w:r>
      <w:r w:rsidRPr="003034FF">
        <w:rPr>
          <w:rFonts w:cs="Arial"/>
        </w:rPr>
        <w:t xml:space="preserve"> 201</w:t>
      </w:r>
      <w:r w:rsidR="003034FF" w:rsidRPr="003034FF">
        <w:rPr>
          <w:rFonts w:cs="Arial"/>
        </w:rPr>
        <w:t>1</w:t>
      </w:r>
      <w:r w:rsidRPr="003034FF">
        <w:rPr>
          <w:rFonts w:cs="Arial"/>
        </w:rPr>
        <w:t xml:space="preserve"> – 1</w:t>
      </w:r>
      <w:r w:rsidR="003034FF" w:rsidRPr="003034FF">
        <w:rPr>
          <w:rFonts w:cs="Arial"/>
        </w:rPr>
        <w:t>7</w:t>
      </w:r>
      <w:r w:rsidRPr="003034FF">
        <w:rPr>
          <w:rFonts w:cs="Arial"/>
        </w:rPr>
        <w:t xml:space="preserve"> </w:t>
      </w:r>
      <w:r w:rsidR="003034FF" w:rsidRPr="003034FF">
        <w:rPr>
          <w:rFonts w:cs="Arial"/>
        </w:rPr>
        <w:t>July</w:t>
      </w:r>
      <w:r w:rsidRPr="003034FF">
        <w:rPr>
          <w:rFonts w:cs="Arial"/>
        </w:rPr>
        <w:t xml:space="preserve"> 201</w:t>
      </w:r>
      <w:r w:rsidR="003034FF" w:rsidRPr="003034FF">
        <w:rPr>
          <w:rFonts w:cs="Arial"/>
        </w:rPr>
        <w:t>4</w:t>
      </w:r>
      <w:r w:rsidRPr="003034FF">
        <w:rPr>
          <w:rFonts w:cs="Arial"/>
        </w:rPr>
        <w:t xml:space="preserve">, subject to </w:t>
      </w:r>
      <w:r w:rsidR="003034FF" w:rsidRPr="003034FF">
        <w:rPr>
          <w:rFonts w:cs="Arial"/>
        </w:rPr>
        <w:t>four</w:t>
      </w:r>
      <w:r w:rsidRPr="003034FF">
        <w:rPr>
          <w:rFonts w:cs="Arial"/>
        </w:rPr>
        <w:t xml:space="preserve"> conditions.</w:t>
      </w:r>
    </w:p>
    <w:p w14:paraId="4C07A12B" w14:textId="5B23BEDB" w:rsidR="00CF4293" w:rsidRDefault="00CF4293" w:rsidP="007F171B">
      <w:pPr>
        <w:spacing w:line="276" w:lineRule="auto"/>
        <w:rPr>
          <w:rFonts w:cs="Arial"/>
        </w:rPr>
      </w:pPr>
      <w:r w:rsidRPr="003034FF">
        <w:rPr>
          <w:rFonts w:cs="Arial"/>
          <w:b/>
        </w:rPr>
        <w:t>4</w:t>
      </w:r>
      <w:r w:rsidRPr="003034FF">
        <w:rPr>
          <w:rFonts w:cs="Arial"/>
          <w:b/>
          <w:vertAlign w:val="superscript"/>
        </w:rPr>
        <w:t>th</w:t>
      </w:r>
      <w:r w:rsidRPr="003034FF">
        <w:rPr>
          <w:rFonts w:cs="Arial"/>
          <w:b/>
        </w:rPr>
        <w:t xml:space="preserve"> assessment</w:t>
      </w:r>
      <w:r w:rsidRPr="003034FF">
        <w:rPr>
          <w:rFonts w:cs="Arial"/>
        </w:rPr>
        <w:t xml:space="preserve">: Wildlife Trade Operation (WTO) approval granted for </w:t>
      </w:r>
      <w:r w:rsidR="003034FF" w:rsidRPr="003034FF">
        <w:rPr>
          <w:rFonts w:cs="Arial"/>
        </w:rPr>
        <w:t>16</w:t>
      </w:r>
      <w:r w:rsidRPr="003034FF">
        <w:rPr>
          <w:rFonts w:cs="Arial"/>
        </w:rPr>
        <w:t xml:space="preserve"> </w:t>
      </w:r>
      <w:r w:rsidR="003034FF" w:rsidRPr="003034FF">
        <w:rPr>
          <w:rFonts w:cs="Arial"/>
        </w:rPr>
        <w:t>July</w:t>
      </w:r>
      <w:r w:rsidRPr="003034FF">
        <w:rPr>
          <w:rFonts w:cs="Arial"/>
        </w:rPr>
        <w:t xml:space="preserve"> 201</w:t>
      </w:r>
      <w:r w:rsidR="003034FF" w:rsidRPr="003034FF">
        <w:rPr>
          <w:rFonts w:cs="Arial"/>
        </w:rPr>
        <w:t>4</w:t>
      </w:r>
      <w:r w:rsidRPr="003034FF">
        <w:rPr>
          <w:rFonts w:cs="Arial"/>
        </w:rPr>
        <w:t xml:space="preserve"> – </w:t>
      </w:r>
      <w:r w:rsidR="003034FF" w:rsidRPr="003034FF">
        <w:rPr>
          <w:rFonts w:cs="Arial"/>
        </w:rPr>
        <w:t>13</w:t>
      </w:r>
      <w:r w:rsidR="00DB5AFC" w:rsidRPr="003034FF">
        <w:rPr>
          <w:rFonts w:cs="Arial"/>
        </w:rPr>
        <w:t xml:space="preserve"> </w:t>
      </w:r>
      <w:r w:rsidR="003034FF" w:rsidRPr="003034FF">
        <w:rPr>
          <w:rFonts w:cs="Arial"/>
        </w:rPr>
        <w:t>July</w:t>
      </w:r>
      <w:r w:rsidRPr="003034FF">
        <w:rPr>
          <w:rFonts w:cs="Arial"/>
        </w:rPr>
        <w:t xml:space="preserve"> 20</w:t>
      </w:r>
      <w:r w:rsidR="003034FF" w:rsidRPr="003034FF">
        <w:rPr>
          <w:rFonts w:cs="Arial"/>
        </w:rPr>
        <w:t>17</w:t>
      </w:r>
      <w:r w:rsidRPr="003034FF">
        <w:rPr>
          <w:rFonts w:cs="Arial"/>
        </w:rPr>
        <w:t xml:space="preserve">, subject to </w:t>
      </w:r>
      <w:r w:rsidR="003034FF" w:rsidRPr="003034FF">
        <w:rPr>
          <w:rFonts w:cs="Arial"/>
        </w:rPr>
        <w:t xml:space="preserve">three </w:t>
      </w:r>
      <w:r w:rsidRPr="003034FF">
        <w:rPr>
          <w:rFonts w:cs="Arial"/>
        </w:rPr>
        <w:t xml:space="preserve">conditions. Approval was subsequently extended </w:t>
      </w:r>
      <w:r w:rsidR="003034FF" w:rsidRPr="003034FF">
        <w:rPr>
          <w:rFonts w:cs="Arial"/>
        </w:rPr>
        <w:t xml:space="preserve">twice </w:t>
      </w:r>
      <w:r w:rsidRPr="003034FF">
        <w:rPr>
          <w:rFonts w:cs="Arial"/>
        </w:rPr>
        <w:t>via the List of Exempt Native Specimens</w:t>
      </w:r>
      <w:r w:rsidR="00DB5AFC" w:rsidRPr="003034FF">
        <w:rPr>
          <w:rFonts w:cs="Arial"/>
        </w:rPr>
        <w:t xml:space="preserve"> </w:t>
      </w:r>
      <w:r w:rsidRPr="003034FF">
        <w:rPr>
          <w:rFonts w:cs="Arial"/>
        </w:rPr>
        <w:t xml:space="preserve">until </w:t>
      </w:r>
      <w:r w:rsidR="003034FF" w:rsidRPr="003034FF">
        <w:rPr>
          <w:rFonts w:cs="Arial"/>
        </w:rPr>
        <w:t>30</w:t>
      </w:r>
      <w:r w:rsidR="00584456" w:rsidRPr="003034FF">
        <w:rPr>
          <w:rFonts w:cs="Arial"/>
        </w:rPr>
        <w:t xml:space="preserve"> </w:t>
      </w:r>
      <w:r w:rsidR="003034FF" w:rsidRPr="003034FF">
        <w:rPr>
          <w:rFonts w:cs="Arial"/>
        </w:rPr>
        <w:t>March</w:t>
      </w:r>
      <w:r w:rsidR="00584456" w:rsidRPr="003034FF">
        <w:rPr>
          <w:rFonts w:cs="Arial"/>
        </w:rPr>
        <w:t xml:space="preserve"> 20</w:t>
      </w:r>
      <w:r w:rsidR="003034FF" w:rsidRPr="003034FF">
        <w:rPr>
          <w:rFonts w:cs="Arial"/>
        </w:rPr>
        <w:t>18</w:t>
      </w:r>
      <w:r w:rsidRPr="003034FF">
        <w:rPr>
          <w:rFonts w:cs="Arial"/>
        </w:rPr>
        <w:t>.</w:t>
      </w:r>
    </w:p>
    <w:p w14:paraId="055DBDEA" w14:textId="415A95F9" w:rsidR="003034FF" w:rsidRPr="003034FF" w:rsidRDefault="003034FF" w:rsidP="007F171B">
      <w:pPr>
        <w:spacing w:line="276" w:lineRule="auto"/>
        <w:rPr>
          <w:rFonts w:cs="Arial"/>
        </w:rPr>
      </w:pPr>
      <w:r>
        <w:rPr>
          <w:rFonts w:cs="Arial"/>
          <w:b/>
        </w:rPr>
        <w:t>5</w:t>
      </w:r>
      <w:r w:rsidRPr="003034FF">
        <w:rPr>
          <w:rFonts w:cs="Arial"/>
          <w:b/>
          <w:vertAlign w:val="superscript"/>
        </w:rPr>
        <w:t>th</w:t>
      </w:r>
      <w:r w:rsidRPr="003034FF">
        <w:rPr>
          <w:rFonts w:cs="Arial"/>
          <w:b/>
        </w:rPr>
        <w:t xml:space="preserve"> assessment</w:t>
      </w:r>
      <w:r w:rsidRPr="003034FF">
        <w:rPr>
          <w:rFonts w:cs="Arial"/>
        </w:rPr>
        <w:t xml:space="preserve">: </w:t>
      </w:r>
      <w:r>
        <w:rPr>
          <w:rFonts w:cs="Arial"/>
        </w:rPr>
        <w:t xml:space="preserve">The fishery was granted export approval via the List of Exempt Native Specimens </w:t>
      </w:r>
      <w:r w:rsidRPr="003034FF">
        <w:rPr>
          <w:rFonts w:cs="Arial"/>
        </w:rPr>
        <w:t xml:space="preserve">for </w:t>
      </w:r>
      <w:r>
        <w:rPr>
          <w:rFonts w:cs="Arial"/>
        </w:rPr>
        <w:t>23</w:t>
      </w:r>
      <w:r w:rsidRPr="003034FF">
        <w:rPr>
          <w:rFonts w:cs="Arial"/>
        </w:rPr>
        <w:t xml:space="preserve"> </w:t>
      </w:r>
      <w:r>
        <w:rPr>
          <w:rFonts w:cs="Arial"/>
        </w:rPr>
        <w:t>March</w:t>
      </w:r>
      <w:r w:rsidRPr="003034FF">
        <w:rPr>
          <w:rFonts w:cs="Arial"/>
        </w:rPr>
        <w:t xml:space="preserve"> 201</w:t>
      </w:r>
      <w:r>
        <w:rPr>
          <w:rFonts w:cs="Arial"/>
        </w:rPr>
        <w:t>8</w:t>
      </w:r>
      <w:r w:rsidRPr="003034FF">
        <w:rPr>
          <w:rFonts w:cs="Arial"/>
        </w:rPr>
        <w:t xml:space="preserve"> – </w:t>
      </w:r>
      <w:r>
        <w:rPr>
          <w:rFonts w:cs="Arial"/>
        </w:rPr>
        <w:t>28</w:t>
      </w:r>
      <w:r w:rsidRPr="003034FF">
        <w:rPr>
          <w:rFonts w:cs="Arial"/>
        </w:rPr>
        <w:t xml:space="preserve"> </w:t>
      </w:r>
      <w:r>
        <w:rPr>
          <w:rFonts w:cs="Arial"/>
        </w:rPr>
        <w:t>August</w:t>
      </w:r>
      <w:r w:rsidRPr="003034FF">
        <w:rPr>
          <w:rFonts w:cs="Arial"/>
        </w:rPr>
        <w:t xml:space="preserve"> 20</w:t>
      </w:r>
      <w:r>
        <w:rPr>
          <w:rFonts w:cs="Arial"/>
        </w:rPr>
        <w:t>25</w:t>
      </w:r>
      <w:r w:rsidRPr="003034FF">
        <w:rPr>
          <w:rFonts w:cs="Arial"/>
        </w:rPr>
        <w:t>.</w:t>
      </w:r>
    </w:p>
    <w:p w14:paraId="058987D4" w14:textId="77777777" w:rsidR="00227603" w:rsidRPr="00A94147" w:rsidRDefault="00227603" w:rsidP="007F171B">
      <w:pPr>
        <w:spacing w:before="0" w:after="0" w:line="276" w:lineRule="auto"/>
        <w:rPr>
          <w:rFonts w:cs="Arial"/>
          <w:highlight w:val="yellow"/>
        </w:rPr>
        <w:sectPr w:rsidR="00227603" w:rsidRPr="00A94147" w:rsidSect="00584569">
          <w:pgSz w:w="16838" w:h="11906" w:orient="landscape"/>
          <w:pgMar w:top="1021" w:right="1021" w:bottom="1021" w:left="1021" w:header="709" w:footer="709" w:gutter="0"/>
          <w:cols w:space="708"/>
          <w:docGrid w:linePitch="360"/>
        </w:sectPr>
      </w:pPr>
    </w:p>
    <w:p w14:paraId="7AEF3A3D" w14:textId="1446F15C" w:rsidR="00983B2B" w:rsidRPr="000C7574" w:rsidRDefault="00983B2B" w:rsidP="00983B2B">
      <w:pPr>
        <w:pStyle w:val="Heading1"/>
        <w:spacing w:after="120"/>
        <w:rPr>
          <w:rFonts w:ascii="Arial" w:hAnsi="Arial"/>
        </w:rPr>
      </w:pPr>
      <w:bookmarkStart w:id="9" w:name="_Toc51057518"/>
      <w:r w:rsidRPr="000C7574">
        <w:rPr>
          <w:rFonts w:ascii="Arial" w:hAnsi="Arial"/>
        </w:rPr>
        <w:lastRenderedPageBreak/>
        <w:t>Section 2: Summary of issues</w:t>
      </w:r>
      <w:r w:rsidRPr="000C7574" w:rsidDel="000F625F">
        <w:rPr>
          <w:rFonts w:ascii="Arial" w:hAnsi="Arial"/>
        </w:rPr>
        <w:t xml:space="preserve"> </w:t>
      </w:r>
      <w:r w:rsidRPr="000C7574">
        <w:rPr>
          <w:rFonts w:ascii="Arial" w:hAnsi="Arial"/>
        </w:rPr>
        <w:t>and conditions</w:t>
      </w:r>
      <w:bookmarkEnd w:id="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144"/>
      </w:tblGrid>
      <w:tr w:rsidR="00983B2B" w:rsidRPr="00A94147" w14:paraId="6E1585F9" w14:textId="77777777" w:rsidTr="00545433">
        <w:trPr>
          <w:jc w:val="center"/>
        </w:trPr>
        <w:tc>
          <w:tcPr>
            <w:tcW w:w="8642" w:type="dxa"/>
            <w:shd w:val="clear" w:color="auto" w:fill="D9D9D9"/>
            <w:vAlign w:val="center"/>
          </w:tcPr>
          <w:p w14:paraId="469A27D4" w14:textId="77777777" w:rsidR="00983B2B" w:rsidRPr="000C7574" w:rsidRDefault="00983B2B" w:rsidP="000572BF">
            <w:pPr>
              <w:spacing w:before="80" w:after="80" w:line="276" w:lineRule="auto"/>
              <w:jc w:val="center"/>
              <w:rPr>
                <w:rFonts w:cs="Arial"/>
                <w:b/>
              </w:rPr>
            </w:pPr>
            <w:r w:rsidRPr="000C7574">
              <w:rPr>
                <w:rFonts w:cs="Arial"/>
                <w:b/>
              </w:rPr>
              <w:t>Part 13A – Issue</w:t>
            </w:r>
          </w:p>
        </w:tc>
        <w:tc>
          <w:tcPr>
            <w:tcW w:w="6144" w:type="dxa"/>
            <w:shd w:val="clear" w:color="auto" w:fill="D9D9D9"/>
            <w:vAlign w:val="center"/>
          </w:tcPr>
          <w:p w14:paraId="22F6B8A0" w14:textId="77777777" w:rsidR="00983B2B" w:rsidRPr="000C7574" w:rsidRDefault="00983B2B" w:rsidP="000572BF">
            <w:pPr>
              <w:spacing w:before="80" w:after="80" w:line="276" w:lineRule="auto"/>
              <w:jc w:val="center"/>
              <w:rPr>
                <w:rFonts w:cs="Arial"/>
                <w:b/>
              </w:rPr>
            </w:pPr>
            <w:r w:rsidRPr="000C7574">
              <w:rPr>
                <w:rFonts w:cs="Arial"/>
                <w:b/>
              </w:rPr>
              <w:t>Proposed Part 13A Conditions</w:t>
            </w:r>
          </w:p>
        </w:tc>
      </w:tr>
      <w:tr w:rsidR="00983B2B" w:rsidRPr="00A94147" w14:paraId="433BED0B" w14:textId="77777777" w:rsidTr="00545433">
        <w:trPr>
          <w:jc w:val="center"/>
        </w:trPr>
        <w:tc>
          <w:tcPr>
            <w:tcW w:w="8642" w:type="dxa"/>
          </w:tcPr>
          <w:p w14:paraId="4AC195F8" w14:textId="77777777" w:rsidR="00983B2B" w:rsidRPr="000C7574" w:rsidRDefault="00983B2B" w:rsidP="000572BF">
            <w:pPr>
              <w:spacing w:before="80" w:after="80" w:line="276" w:lineRule="auto"/>
              <w:rPr>
                <w:rFonts w:cs="Arial"/>
                <w:b/>
                <w:u w:val="single"/>
              </w:rPr>
            </w:pPr>
            <w:bookmarkStart w:id="10" w:name="_Hlk40861679"/>
            <w:r w:rsidRPr="000C7574">
              <w:rPr>
                <w:rFonts w:cs="Arial"/>
                <w:b/>
                <w:u w:val="single"/>
              </w:rPr>
              <w:t>General Management</w:t>
            </w:r>
          </w:p>
          <w:p w14:paraId="7FA33650" w14:textId="77777777" w:rsidR="00983B2B" w:rsidRPr="000C7574" w:rsidRDefault="00983B2B" w:rsidP="000572BF">
            <w:pPr>
              <w:spacing w:before="80" w:after="80" w:line="276" w:lineRule="auto"/>
              <w:rPr>
                <w:rFonts w:cs="Arial"/>
              </w:rPr>
            </w:pPr>
            <w:r w:rsidRPr="000C7574">
              <w:rPr>
                <w:rFonts w:cs="Arial"/>
              </w:rPr>
              <w:t>Export decisions relate to the management arrangements in force at the time of any decision(s) made under the EPBC Act. To ensure that the decision(s) remain valid and export approval continues uninterrupted, the Department of Agriculture, Water and the Environment (the Department) needs to be advised of any changes that are made to the management regime and make an assessment that the new arrangements are equivalent or better, in terms of ecological sustainability, than those in place at the time of the original decision(s). This includes operational and legislated amendments that may affect the sustainability of the target species or negatively impact on by-product, bycatch, EPBC Act protected species or the ecosystem.</w:t>
            </w:r>
          </w:p>
        </w:tc>
        <w:tc>
          <w:tcPr>
            <w:tcW w:w="6144" w:type="dxa"/>
          </w:tcPr>
          <w:p w14:paraId="3367987E" w14:textId="77777777" w:rsidR="00983B2B" w:rsidRPr="000C7574" w:rsidRDefault="00983B2B" w:rsidP="000572BF">
            <w:pPr>
              <w:spacing w:before="80" w:after="80" w:line="276" w:lineRule="auto"/>
              <w:rPr>
                <w:rFonts w:cs="Arial"/>
                <w:b/>
              </w:rPr>
            </w:pPr>
            <w:bookmarkStart w:id="11" w:name="_Hlk39561130"/>
            <w:r w:rsidRPr="000C7574">
              <w:rPr>
                <w:rFonts w:cs="Arial"/>
                <w:b/>
              </w:rPr>
              <w:t>Condition 1</w:t>
            </w:r>
          </w:p>
          <w:p w14:paraId="2851F650" w14:textId="438F5789" w:rsidR="00983B2B" w:rsidRPr="000C7574" w:rsidRDefault="00983B2B" w:rsidP="000572BF">
            <w:pPr>
              <w:spacing w:before="80" w:after="80" w:line="276" w:lineRule="auto"/>
              <w:rPr>
                <w:rFonts w:cs="Arial"/>
              </w:rPr>
            </w:pPr>
            <w:r w:rsidRPr="000C7574">
              <w:rPr>
                <w:rFonts w:cs="Arial"/>
              </w:rPr>
              <w:t>The Queensland Department of Agriculture and Fisheries must ensure the operation of the Queensland Sea Cucumber Fishery</w:t>
            </w:r>
            <w:r w:rsidR="00BF3D43">
              <w:rPr>
                <w:rFonts w:cs="Arial"/>
              </w:rPr>
              <w:t xml:space="preserve"> </w:t>
            </w:r>
            <w:r w:rsidR="00BF3D43" w:rsidRPr="000C7574">
              <w:rPr>
                <w:rFonts w:cs="Arial"/>
              </w:rPr>
              <w:t xml:space="preserve">(East Coast) </w:t>
            </w:r>
            <w:r w:rsidRPr="000C7574">
              <w:rPr>
                <w:rFonts w:cs="Arial"/>
              </w:rPr>
              <w:t xml:space="preserve">is carried out in accordance with the management arrangements specified in the Queensland </w:t>
            </w:r>
            <w:r w:rsidRPr="000C7574">
              <w:rPr>
                <w:rFonts w:cs="Arial"/>
                <w:i/>
              </w:rPr>
              <w:t>Fisheries Act 1994</w:t>
            </w:r>
            <w:r w:rsidRPr="000C7574">
              <w:rPr>
                <w:rFonts w:cs="Arial"/>
              </w:rPr>
              <w:t>, Fisheries (General) Regulation 2019, Fisheries (Commercial Fisheries) Regulation 2019</w:t>
            </w:r>
            <w:r w:rsidR="00503B72" w:rsidRPr="000C7574">
              <w:rPr>
                <w:rFonts w:cs="Arial"/>
              </w:rPr>
              <w:t xml:space="preserve"> and the</w:t>
            </w:r>
            <w:r w:rsidRPr="000C7574">
              <w:rPr>
                <w:rFonts w:cs="Arial"/>
              </w:rPr>
              <w:t xml:space="preserve"> Fisheries Declaration 2019</w:t>
            </w:r>
            <w:r w:rsidR="00503B72" w:rsidRPr="000C7574">
              <w:rPr>
                <w:rFonts w:cs="Arial"/>
              </w:rPr>
              <w:t>.</w:t>
            </w:r>
          </w:p>
          <w:p w14:paraId="6B631B0D" w14:textId="77777777" w:rsidR="00983B2B" w:rsidRPr="000C7574" w:rsidRDefault="00983B2B" w:rsidP="000572BF">
            <w:pPr>
              <w:spacing w:before="80" w:after="80" w:line="276" w:lineRule="auto"/>
              <w:rPr>
                <w:rFonts w:cs="Arial"/>
              </w:rPr>
            </w:pPr>
            <w:r w:rsidRPr="000C7574">
              <w:rPr>
                <w:rFonts w:cs="Arial"/>
                <w:b/>
              </w:rPr>
              <w:t>Condition 2</w:t>
            </w:r>
          </w:p>
          <w:p w14:paraId="5411A035" w14:textId="3031D836" w:rsidR="00983B2B" w:rsidRPr="000C7574" w:rsidRDefault="00983B2B" w:rsidP="000572BF">
            <w:pPr>
              <w:spacing w:before="80" w:after="80" w:line="276" w:lineRule="auto"/>
              <w:rPr>
                <w:rFonts w:cs="Arial"/>
                <w:b/>
                <w:color w:val="3366FF"/>
              </w:rPr>
            </w:pPr>
            <w:r w:rsidRPr="000C7574">
              <w:rPr>
                <w:rFonts w:cs="Arial"/>
              </w:rPr>
              <w:t>The Queensland Department of Agriculture and Fisheries must inform the Department of Agriculture, Water and the Environment of any intended material changes to the Queensland Sea Cucumber Fishery</w:t>
            </w:r>
            <w:r w:rsidR="00BF3D43">
              <w:rPr>
                <w:rFonts w:cs="Arial"/>
              </w:rPr>
              <w:t xml:space="preserve"> </w:t>
            </w:r>
            <w:r w:rsidR="00BF3D43" w:rsidRPr="000C7574">
              <w:rPr>
                <w:rFonts w:cs="Arial"/>
              </w:rPr>
              <w:t xml:space="preserve">(East Coast) </w:t>
            </w:r>
            <w:r w:rsidRPr="000C7574">
              <w:rPr>
                <w:rFonts w:cs="Arial"/>
              </w:rPr>
              <w:t xml:space="preserve">management arrangements, so the Department of Agriculture, Water and the Environment can determine if these changes affect the assessment against which </w:t>
            </w:r>
            <w:r w:rsidRPr="000C7574">
              <w:rPr>
                <w:rFonts w:cs="Arial"/>
                <w:i/>
              </w:rPr>
              <w:t>Environment Protection and Biodiversity Conservation Act 1999</w:t>
            </w:r>
            <w:r w:rsidRPr="000C7574">
              <w:rPr>
                <w:rFonts w:cs="Arial"/>
              </w:rPr>
              <w:t xml:space="preserve"> decisions are made.</w:t>
            </w:r>
            <w:bookmarkEnd w:id="11"/>
          </w:p>
        </w:tc>
      </w:tr>
      <w:tr w:rsidR="00983B2B" w:rsidRPr="00A94147" w14:paraId="47764F8D" w14:textId="77777777" w:rsidTr="00545433">
        <w:trPr>
          <w:jc w:val="center"/>
        </w:trPr>
        <w:tc>
          <w:tcPr>
            <w:tcW w:w="8642" w:type="dxa"/>
          </w:tcPr>
          <w:p w14:paraId="6D018607" w14:textId="77777777" w:rsidR="00983B2B" w:rsidRPr="000C7574" w:rsidRDefault="00983B2B" w:rsidP="000572BF">
            <w:pPr>
              <w:spacing w:before="80" w:after="80" w:line="276" w:lineRule="auto"/>
              <w:rPr>
                <w:rFonts w:cs="Arial"/>
                <w:b/>
              </w:rPr>
            </w:pPr>
            <w:r w:rsidRPr="000C7574">
              <w:rPr>
                <w:rFonts w:cs="Arial"/>
                <w:b/>
                <w:u w:val="single"/>
              </w:rPr>
              <w:t>Annual Reporting</w:t>
            </w:r>
          </w:p>
          <w:p w14:paraId="6E7F9BDF" w14:textId="364F86D7" w:rsidR="00983B2B" w:rsidRPr="000C7574" w:rsidRDefault="00983B2B" w:rsidP="000572BF">
            <w:pPr>
              <w:spacing w:before="80" w:after="80" w:line="276" w:lineRule="auto"/>
              <w:rPr>
                <w:rFonts w:cs="Arial"/>
              </w:rPr>
            </w:pPr>
            <w:r w:rsidRPr="000C7574">
              <w:rPr>
                <w:rFonts w:cs="Arial"/>
              </w:rPr>
              <w:t>It is important that the Queensland Department of Agriculture and Fisheries produce and present reports to the Department annually</w:t>
            </w:r>
            <w:r w:rsidR="00277762">
              <w:rPr>
                <w:rFonts w:cs="Arial"/>
              </w:rPr>
              <w:t>. Annual reports enable</w:t>
            </w:r>
            <w:r w:rsidRPr="000C7574">
              <w:rPr>
                <w:rFonts w:cs="Arial"/>
              </w:rPr>
              <w:t xml:space="preserve"> the performance of the fishery and progress in implementing the conditions and other managerial commitments to be monitored and assessed throughout the life of the export approval. Annual reports should</w:t>
            </w:r>
            <w:r w:rsidRPr="000C7574" w:rsidDel="00277762">
              <w:rPr>
                <w:rFonts w:cs="Arial"/>
              </w:rPr>
              <w:t xml:space="preserve"> </w:t>
            </w:r>
            <w:r w:rsidR="00277762">
              <w:rPr>
                <w:rFonts w:cs="Arial"/>
              </w:rPr>
              <w:t>be in accordance with</w:t>
            </w:r>
            <w:r w:rsidR="00277762" w:rsidRPr="000C7574">
              <w:rPr>
                <w:rFonts w:cs="Arial"/>
              </w:rPr>
              <w:t xml:space="preserve"> </w:t>
            </w:r>
            <w:r w:rsidRPr="000C7574">
              <w:rPr>
                <w:rFonts w:cs="Arial"/>
              </w:rPr>
              <w:t>Appendix B to the ‘Guidelines for the Ecologically Sustainable Management of Fisheries – 2</w:t>
            </w:r>
            <w:r w:rsidRPr="000C7574">
              <w:rPr>
                <w:rFonts w:cs="Arial"/>
                <w:vertAlign w:val="superscript"/>
              </w:rPr>
              <w:t>nd</w:t>
            </w:r>
            <w:r w:rsidRPr="000C7574">
              <w:rPr>
                <w:rFonts w:cs="Arial"/>
              </w:rPr>
              <w:t xml:space="preserve"> Edition’ and include a description of the fishery, management arrangements in place, research and monitoring outcomes, recent catch data for all sectors of the fishery, status of target stock, interactions with EPBC Act protected species, impacts of the fishery on </w:t>
            </w:r>
            <w:r w:rsidRPr="000C7574">
              <w:rPr>
                <w:rFonts w:cs="Arial"/>
              </w:rPr>
              <w:lastRenderedPageBreak/>
              <w:t xml:space="preserve">the ecosystem in which it operates and progress in implementing the Department’s conditions described in the previous assessment for the fishery. Electronic copies of the guidelines are available from the Department’s website at </w:t>
            </w:r>
            <w:hyperlink r:id="rId15" w:history="1">
              <w:r w:rsidRPr="000C7574">
                <w:rPr>
                  <w:rStyle w:val="Hyperlink"/>
                  <w:rFonts w:cs="Arial"/>
                </w:rPr>
                <w:t>http://www.environment.gov.au/resource/guidelines-ecologically-sustainable-management-fisheries</w:t>
              </w:r>
            </w:hyperlink>
            <w:r w:rsidRPr="000C7574">
              <w:rPr>
                <w:rFonts w:cs="Arial"/>
              </w:rPr>
              <w:t>.</w:t>
            </w:r>
          </w:p>
        </w:tc>
        <w:tc>
          <w:tcPr>
            <w:tcW w:w="6144" w:type="dxa"/>
          </w:tcPr>
          <w:p w14:paraId="308BB86B" w14:textId="77777777" w:rsidR="00983B2B" w:rsidRPr="000C7574" w:rsidRDefault="00983B2B" w:rsidP="000572BF">
            <w:pPr>
              <w:spacing w:before="80" w:after="80" w:line="276" w:lineRule="auto"/>
              <w:rPr>
                <w:rFonts w:cs="Arial"/>
                <w:b/>
              </w:rPr>
            </w:pPr>
            <w:bookmarkStart w:id="12" w:name="_Hlk39561140"/>
            <w:r w:rsidRPr="000C7574">
              <w:rPr>
                <w:rFonts w:cs="Arial"/>
                <w:b/>
              </w:rPr>
              <w:lastRenderedPageBreak/>
              <w:t>Condition 3</w:t>
            </w:r>
          </w:p>
          <w:p w14:paraId="7B2EA4D4" w14:textId="03405561" w:rsidR="00983B2B" w:rsidRPr="000C7574" w:rsidRDefault="00983B2B" w:rsidP="000572BF">
            <w:pPr>
              <w:spacing w:before="80" w:after="80" w:line="276" w:lineRule="auto"/>
              <w:rPr>
                <w:rFonts w:cs="Arial"/>
              </w:rPr>
            </w:pPr>
            <w:r w:rsidRPr="000C7574">
              <w:rPr>
                <w:rFonts w:cs="Arial"/>
              </w:rPr>
              <w:t xml:space="preserve">The Queensland Department of Agriculture and Fisheries must provide annual reports on the Queensland </w:t>
            </w:r>
            <w:r w:rsidR="00BF3D43">
              <w:rPr>
                <w:rFonts w:cs="Arial"/>
              </w:rPr>
              <w:t>Sea Cucumber Fishery (East Coast)</w:t>
            </w:r>
            <w:r w:rsidRPr="000C7574">
              <w:rPr>
                <w:rFonts w:cs="Arial"/>
              </w:rPr>
              <w:t xml:space="preserve"> to the Department of Agriculture, </w:t>
            </w:r>
            <w:proofErr w:type="gramStart"/>
            <w:r w:rsidRPr="000C7574">
              <w:rPr>
                <w:rFonts w:cs="Arial"/>
              </w:rPr>
              <w:t>Water</w:t>
            </w:r>
            <w:proofErr w:type="gramEnd"/>
            <w:r w:rsidRPr="000C7574">
              <w:rPr>
                <w:rFonts w:cs="Arial"/>
              </w:rPr>
              <w:t xml:space="preserve"> and the Environment every 12 months, from the date of the approval of the wildlife trade operation. These reports must be consistent with Appendix B of the </w:t>
            </w:r>
            <w:r w:rsidRPr="000C7574">
              <w:rPr>
                <w:rFonts w:cs="Arial"/>
                <w:i/>
              </w:rPr>
              <w:t>Guidelines for the Ecologically Sustainable Management of Fisheries – 2</w:t>
            </w:r>
            <w:r w:rsidRPr="000C7574">
              <w:rPr>
                <w:rFonts w:cs="Arial"/>
                <w:i/>
                <w:vertAlign w:val="superscript"/>
              </w:rPr>
              <w:t>nd</w:t>
            </w:r>
            <w:r w:rsidRPr="000C7574">
              <w:rPr>
                <w:rFonts w:cs="Arial"/>
                <w:i/>
              </w:rPr>
              <w:t xml:space="preserve"> Edition.</w:t>
            </w:r>
            <w:bookmarkEnd w:id="12"/>
          </w:p>
        </w:tc>
      </w:tr>
      <w:tr w:rsidR="00983B2B" w:rsidRPr="00A94147" w14:paraId="1EE633CF" w14:textId="77777777" w:rsidTr="00545433">
        <w:trPr>
          <w:jc w:val="center"/>
        </w:trPr>
        <w:tc>
          <w:tcPr>
            <w:tcW w:w="8642" w:type="dxa"/>
          </w:tcPr>
          <w:p w14:paraId="41630F5C" w14:textId="734CDFAF" w:rsidR="003C602A" w:rsidRPr="00092A77" w:rsidRDefault="003C602A" w:rsidP="003C602A">
            <w:pPr>
              <w:spacing w:before="80" w:after="80" w:line="276" w:lineRule="auto"/>
              <w:rPr>
                <w:rFonts w:cs="Arial"/>
                <w:b/>
                <w:u w:val="single"/>
              </w:rPr>
            </w:pPr>
            <w:bookmarkStart w:id="13" w:name="_Hlk41377726"/>
            <w:r w:rsidRPr="00092A77">
              <w:rPr>
                <w:rFonts w:cs="Arial"/>
                <w:b/>
                <w:u w:val="single"/>
              </w:rPr>
              <w:t>Stock assessments</w:t>
            </w:r>
            <w:r w:rsidR="006A5E3B" w:rsidRPr="00092A77">
              <w:rPr>
                <w:rFonts w:cs="Arial"/>
                <w:b/>
                <w:u w:val="single"/>
              </w:rPr>
              <w:t xml:space="preserve"> and population surveys</w:t>
            </w:r>
          </w:p>
          <w:p w14:paraId="0EE19BC5" w14:textId="76D6E00A" w:rsidR="003C602A" w:rsidRPr="00092A77" w:rsidRDefault="003C602A">
            <w:pPr>
              <w:tabs>
                <w:tab w:val="left" w:pos="360"/>
              </w:tabs>
              <w:spacing w:before="80" w:after="80" w:line="276" w:lineRule="auto"/>
              <w:rPr>
                <w:rFonts w:cs="Arial"/>
              </w:rPr>
            </w:pPr>
            <w:r w:rsidRPr="00092A77">
              <w:rPr>
                <w:rFonts w:cs="Arial"/>
              </w:rPr>
              <w:t xml:space="preserve">It is important that all stocks are managed in a precautionary way. Stock assessments can </w:t>
            </w:r>
            <w:r w:rsidRPr="00092A77">
              <w:rPr>
                <w:rFonts w:cs="Arial"/>
                <w:bCs/>
                <w:iCs/>
                <w:noProof/>
              </w:rPr>
              <w:t>help understand</w:t>
            </w:r>
            <w:r w:rsidRPr="00092A77" w:rsidDel="0002308E">
              <w:rPr>
                <w:rFonts w:cs="Arial"/>
              </w:rPr>
              <w:t xml:space="preserve"> </w:t>
            </w:r>
            <w:r w:rsidRPr="00092A77">
              <w:rPr>
                <w:rFonts w:cs="Arial"/>
              </w:rPr>
              <w:t xml:space="preserve">the extent to which stocks can sustain impacts from </w:t>
            </w:r>
            <w:r w:rsidR="003C7146">
              <w:rPr>
                <w:rFonts w:cs="Arial"/>
              </w:rPr>
              <w:t>activities</w:t>
            </w:r>
            <w:r w:rsidR="003C7146" w:rsidRPr="00092A77">
              <w:rPr>
                <w:rFonts w:cs="Arial"/>
              </w:rPr>
              <w:t xml:space="preserve"> </w:t>
            </w:r>
            <w:r w:rsidRPr="00092A77">
              <w:rPr>
                <w:rFonts w:cs="Arial"/>
              </w:rPr>
              <w:t xml:space="preserve">such as </w:t>
            </w:r>
            <w:r w:rsidR="002B2133">
              <w:rPr>
                <w:rFonts w:cs="Arial"/>
              </w:rPr>
              <w:t xml:space="preserve">commercial </w:t>
            </w:r>
            <w:r w:rsidRPr="00092A77">
              <w:rPr>
                <w:rFonts w:cs="Arial"/>
              </w:rPr>
              <w:t>fishing.</w:t>
            </w:r>
          </w:p>
          <w:p w14:paraId="00218905" w14:textId="7E4ABE00" w:rsidR="003C602A" w:rsidRPr="00092A77" w:rsidRDefault="003C602A" w:rsidP="003C602A">
            <w:pPr>
              <w:spacing w:before="80" w:after="80" w:line="276" w:lineRule="auto"/>
              <w:rPr>
                <w:rFonts w:cs="Arial"/>
              </w:rPr>
            </w:pPr>
            <w:r w:rsidRPr="00092A77">
              <w:rPr>
                <w:rFonts w:cs="Arial"/>
              </w:rPr>
              <w:t xml:space="preserve">Assessments should be completed regularly and consider the full extent of the impacts on stocks, including </w:t>
            </w:r>
            <w:r w:rsidR="004936BB" w:rsidRPr="00092A77">
              <w:rPr>
                <w:rFonts w:cs="Arial"/>
              </w:rPr>
              <w:t xml:space="preserve">impacts from </w:t>
            </w:r>
            <w:r w:rsidRPr="00092A77">
              <w:rPr>
                <w:rFonts w:cs="Arial"/>
              </w:rPr>
              <w:t xml:space="preserve">other fisheries, to ensure the stocks remain sustainable. Assessments should account for changes to fishing capacity (technological, </w:t>
            </w:r>
            <w:proofErr w:type="gramStart"/>
            <w:r w:rsidRPr="00092A77">
              <w:rPr>
                <w:rFonts w:cs="Arial"/>
              </w:rPr>
              <w:t>spatial</w:t>
            </w:r>
            <w:proofErr w:type="gramEnd"/>
            <w:r w:rsidRPr="00092A77">
              <w:rPr>
                <w:rFonts w:cs="Arial"/>
              </w:rPr>
              <w:t xml:space="preserve"> and temporal) that may affect their findings.</w:t>
            </w:r>
          </w:p>
          <w:p w14:paraId="21923DFD" w14:textId="1F22A3C7" w:rsidR="003C602A" w:rsidRPr="00092A77" w:rsidRDefault="003C602A" w:rsidP="003C602A">
            <w:pPr>
              <w:spacing w:before="80" w:after="80" w:line="276" w:lineRule="auto"/>
              <w:rPr>
                <w:rFonts w:cs="Arial"/>
              </w:rPr>
            </w:pPr>
            <w:r w:rsidRPr="00092A77">
              <w:rPr>
                <w:rFonts w:cs="Arial"/>
              </w:rPr>
              <w:t xml:space="preserve">The Department notes that QDAF established a </w:t>
            </w:r>
            <w:hyperlink r:id="rId16" w:history="1">
              <w:r w:rsidRPr="00092A77">
                <w:rPr>
                  <w:rStyle w:val="Hyperlink"/>
                  <w:rFonts w:cs="Arial"/>
                </w:rPr>
                <w:t>Sustainable Fisheries Expert Panel</w:t>
              </w:r>
            </w:hyperlink>
            <w:r w:rsidRPr="00092A77">
              <w:rPr>
                <w:rFonts w:cs="Arial"/>
              </w:rPr>
              <w:t xml:space="preserve"> in 2017 which includes members with expertise in stock assessment, fish biology and fisheries management. The panel provides </w:t>
            </w:r>
            <w:r w:rsidRPr="00092A77">
              <w:rPr>
                <w:rFonts w:cs="Arial"/>
                <w:lang w:val="en"/>
              </w:rPr>
              <w:t xml:space="preserve">independent expert advice to QDAF on best practice fisheries management, </w:t>
            </w:r>
            <w:r w:rsidRPr="00092A77">
              <w:rPr>
                <w:rFonts w:cs="Arial"/>
              </w:rPr>
              <w:t xml:space="preserve">sustainable limits and reference points for individual fisheries and species, the adequacy of proposed fishery harvest strategies, and data, </w:t>
            </w:r>
            <w:proofErr w:type="gramStart"/>
            <w:r w:rsidRPr="00092A77">
              <w:rPr>
                <w:rFonts w:cs="Arial"/>
              </w:rPr>
              <w:t>research</w:t>
            </w:r>
            <w:proofErr w:type="gramEnd"/>
            <w:r w:rsidRPr="00092A77">
              <w:rPr>
                <w:rFonts w:cs="Arial"/>
              </w:rPr>
              <w:t xml:space="preserve"> and monitoring needs.</w:t>
            </w:r>
          </w:p>
          <w:p w14:paraId="0260DD18" w14:textId="0EF1D679" w:rsidR="003C602A" w:rsidRPr="00092A77" w:rsidRDefault="003C602A" w:rsidP="003C602A">
            <w:pPr>
              <w:spacing w:before="80" w:after="80" w:line="276" w:lineRule="auto"/>
              <w:rPr>
                <w:rFonts w:cs="Arial"/>
              </w:rPr>
            </w:pPr>
            <w:r w:rsidRPr="00092A77">
              <w:rPr>
                <w:rFonts w:cs="Arial"/>
              </w:rPr>
              <w:t>The Department also notes that QDAF plans to determine minimum data standards for all commercial fisheries under the Sustainable Fisheries Strategy. This includes developing guidelines for how sustainable catch limits should be set as part of a harvest strategy, determining how to divide fisheries into smaller units to apply management arrangements at the appropriate scale, setting catch limits and defining the minimum data requirements to set catch limits, using improved data to undertake regular stock assessments (at least every two years according to the Queensland Government’s Sustainable Fisheries Strategy).</w:t>
            </w:r>
          </w:p>
          <w:p w14:paraId="0DE6F541" w14:textId="088DA36D" w:rsidR="00912684" w:rsidRPr="00912684" w:rsidRDefault="00912684" w:rsidP="00054A98">
            <w:pPr>
              <w:spacing w:line="276" w:lineRule="auto"/>
              <w:rPr>
                <w:rFonts w:cs="Arial"/>
              </w:rPr>
            </w:pPr>
            <w:r>
              <w:rPr>
                <w:rFonts w:cs="Arial"/>
              </w:rPr>
              <w:t>The Department’s</w:t>
            </w:r>
            <w:r w:rsidRPr="00912684">
              <w:rPr>
                <w:rFonts w:cs="Arial"/>
              </w:rPr>
              <w:t xml:space="preserve"> role as Australia’s </w:t>
            </w:r>
            <w:r>
              <w:rPr>
                <w:rFonts w:cs="Arial"/>
              </w:rPr>
              <w:t xml:space="preserve">CITES </w:t>
            </w:r>
            <w:r w:rsidRPr="00912684">
              <w:rPr>
                <w:rFonts w:cs="Arial"/>
              </w:rPr>
              <w:t>Scientific Authority is to provide advice on whether export will</w:t>
            </w:r>
            <w:r>
              <w:rPr>
                <w:rFonts w:cs="Arial"/>
              </w:rPr>
              <w:t xml:space="preserve"> or will </w:t>
            </w:r>
            <w:r w:rsidRPr="00912684">
              <w:rPr>
                <w:rFonts w:cs="Arial"/>
              </w:rPr>
              <w:t>not be detrimental to the survival of the species (following a determination known as a 'non-detriment finding')</w:t>
            </w:r>
            <w:r>
              <w:rPr>
                <w:rFonts w:cs="Arial"/>
              </w:rPr>
              <w:t>. The Scientific Authority a</w:t>
            </w:r>
            <w:r w:rsidRPr="00912684">
              <w:rPr>
                <w:rFonts w:cs="Arial"/>
              </w:rPr>
              <w:t>dvise</w:t>
            </w:r>
            <w:r>
              <w:rPr>
                <w:rFonts w:cs="Arial"/>
              </w:rPr>
              <w:t>s</w:t>
            </w:r>
            <w:r w:rsidRPr="00912684">
              <w:rPr>
                <w:rFonts w:cs="Arial"/>
              </w:rPr>
              <w:t xml:space="preserve"> the </w:t>
            </w:r>
            <w:r w:rsidRPr="00912684">
              <w:rPr>
                <w:rFonts w:cs="Arial"/>
              </w:rPr>
              <w:lastRenderedPageBreak/>
              <w:t xml:space="preserve">Management Authority of measures to be taken to limit exports </w:t>
            </w:r>
            <w:proofErr w:type="gramStart"/>
            <w:r w:rsidRPr="00912684">
              <w:rPr>
                <w:rFonts w:cs="Arial"/>
              </w:rPr>
              <w:t>in order to</w:t>
            </w:r>
            <w:proofErr w:type="gramEnd"/>
            <w:r w:rsidRPr="00912684">
              <w:rPr>
                <w:rFonts w:cs="Arial"/>
              </w:rPr>
              <w:t xml:space="preserve"> maintain the species throughout their range at a level consistent with their role in the ecosystems</w:t>
            </w:r>
          </w:p>
          <w:p w14:paraId="06126B7F" w14:textId="75315A8F" w:rsidR="00912684" w:rsidRDefault="00912684" w:rsidP="00054A98">
            <w:pPr>
              <w:spacing w:line="276" w:lineRule="auto"/>
              <w:rPr>
                <w:lang w:val="en"/>
              </w:rPr>
            </w:pPr>
            <w:r w:rsidRPr="00912684">
              <w:rPr>
                <w:rFonts w:cs="Arial"/>
              </w:rPr>
              <w:t xml:space="preserve">CITES Parties have adopted that the best available scientific information </w:t>
            </w:r>
            <w:r w:rsidR="00170E85">
              <w:rPr>
                <w:rFonts w:cs="Arial"/>
              </w:rPr>
              <w:t>be</w:t>
            </w:r>
            <w:r w:rsidRPr="00912684">
              <w:rPr>
                <w:rFonts w:cs="Arial"/>
              </w:rPr>
              <w:t xml:space="preserve"> the basis for non-detriment findings</w:t>
            </w:r>
            <w:r>
              <w:rPr>
                <w:rFonts w:cs="Arial"/>
              </w:rPr>
              <w:t xml:space="preserve"> and that w</w:t>
            </w:r>
            <w:r w:rsidRPr="00912684">
              <w:rPr>
                <w:rFonts w:cs="Arial"/>
              </w:rPr>
              <w:t xml:space="preserve">hen </w:t>
            </w:r>
            <w:r>
              <w:rPr>
                <w:rFonts w:cs="Arial"/>
              </w:rPr>
              <w:t xml:space="preserve">CITES </w:t>
            </w:r>
            <w:r w:rsidRPr="00912684">
              <w:rPr>
                <w:rFonts w:cs="Arial"/>
              </w:rPr>
              <w:t xml:space="preserve">Parties establish national export quotas, they are asked to do so </w:t>
            </w:r>
            <w:r w:rsidR="004936BB">
              <w:rPr>
                <w:rFonts w:cs="Arial"/>
              </w:rPr>
              <w:t>based on</w:t>
            </w:r>
            <w:r w:rsidRPr="00912684">
              <w:rPr>
                <w:rFonts w:cs="Arial"/>
              </w:rPr>
              <w:t xml:space="preserve"> a non-detriment finding made by their Scientific Authority</w:t>
            </w:r>
            <w:r>
              <w:rPr>
                <w:rFonts w:cs="Arial"/>
              </w:rPr>
              <w:t xml:space="preserve">. </w:t>
            </w:r>
            <w:r w:rsidRPr="003C2A6C">
              <w:t xml:space="preserve">Black </w:t>
            </w:r>
            <w:proofErr w:type="spellStart"/>
            <w:r w:rsidRPr="003C2A6C">
              <w:t>Teatfish</w:t>
            </w:r>
            <w:proofErr w:type="spellEnd"/>
            <w:r w:rsidRPr="003C2A6C">
              <w:t xml:space="preserve"> (</w:t>
            </w:r>
            <w:proofErr w:type="spellStart"/>
            <w:r w:rsidRPr="003C2A6C">
              <w:rPr>
                <w:i/>
              </w:rPr>
              <w:t>Holothuria</w:t>
            </w:r>
            <w:proofErr w:type="spellEnd"/>
            <w:r w:rsidR="004936BB">
              <w:rPr>
                <w:i/>
              </w:rPr>
              <w:t> </w:t>
            </w:r>
            <w:proofErr w:type="spellStart"/>
            <w:r w:rsidRPr="003C2A6C">
              <w:rPr>
                <w:i/>
              </w:rPr>
              <w:t>whitmaei</w:t>
            </w:r>
            <w:proofErr w:type="spellEnd"/>
            <w:r w:rsidRPr="003C2A6C">
              <w:t>)</w:t>
            </w:r>
            <w:r w:rsidRPr="00912684">
              <w:t xml:space="preserve"> and </w:t>
            </w:r>
            <w:r w:rsidRPr="003C2A6C">
              <w:t xml:space="preserve">White </w:t>
            </w:r>
            <w:proofErr w:type="spellStart"/>
            <w:r w:rsidRPr="003C2A6C">
              <w:t>Teatfish</w:t>
            </w:r>
            <w:proofErr w:type="spellEnd"/>
            <w:r w:rsidRPr="003C2A6C">
              <w:t xml:space="preserve"> (</w:t>
            </w:r>
            <w:r w:rsidRPr="003C2A6C">
              <w:rPr>
                <w:i/>
              </w:rPr>
              <w:t>H</w:t>
            </w:r>
            <w:r w:rsidR="004936BB">
              <w:rPr>
                <w:i/>
                <w:iCs/>
              </w:rPr>
              <w:t>.</w:t>
            </w:r>
            <w:r w:rsidR="004936BB">
              <w:rPr>
                <w:i/>
                <w:iCs/>
                <w:lang w:val="en"/>
              </w:rPr>
              <w:t> </w:t>
            </w:r>
            <w:proofErr w:type="spellStart"/>
            <w:r w:rsidRPr="003C2A6C">
              <w:rPr>
                <w:i/>
                <w:iCs/>
                <w:lang w:val="en"/>
              </w:rPr>
              <w:t>fuscogilva</w:t>
            </w:r>
            <w:proofErr w:type="spellEnd"/>
            <w:r w:rsidRPr="003C2A6C">
              <w:rPr>
                <w:lang w:val="en"/>
              </w:rPr>
              <w:t>)</w:t>
            </w:r>
            <w:r>
              <w:rPr>
                <w:lang w:val="en"/>
              </w:rPr>
              <w:t xml:space="preserve"> have been listed under CITES </w:t>
            </w:r>
            <w:r w:rsidR="00170E85">
              <w:rPr>
                <w:lang w:val="en"/>
              </w:rPr>
              <w:t>Appendix II, with implementation taking effect on</w:t>
            </w:r>
            <w:r w:rsidR="005515E6">
              <w:rPr>
                <w:lang w:val="en"/>
              </w:rPr>
              <w:t xml:space="preserve"> 28 August 2020. </w:t>
            </w:r>
          </w:p>
          <w:p w14:paraId="45EFE27B" w14:textId="2204821B" w:rsidR="003B6A7F" w:rsidRPr="003C2A6C" w:rsidRDefault="003B6A7F" w:rsidP="00054A98">
            <w:pPr>
              <w:spacing w:line="276" w:lineRule="auto"/>
              <w:rPr>
                <w:u w:val="single"/>
                <w:lang w:val="en"/>
              </w:rPr>
            </w:pPr>
            <w:r w:rsidRPr="003C2A6C">
              <w:rPr>
                <w:u w:val="single"/>
              </w:rPr>
              <w:t xml:space="preserve">White </w:t>
            </w:r>
            <w:proofErr w:type="spellStart"/>
            <w:r w:rsidRPr="003C2A6C">
              <w:rPr>
                <w:u w:val="single"/>
              </w:rPr>
              <w:t>Teatfish</w:t>
            </w:r>
            <w:proofErr w:type="spellEnd"/>
            <w:r w:rsidRPr="003C2A6C">
              <w:rPr>
                <w:u w:val="single"/>
                <w:lang w:val="en"/>
              </w:rPr>
              <w:t xml:space="preserve"> </w:t>
            </w:r>
          </w:p>
          <w:p w14:paraId="1381A82C" w14:textId="05DB764B" w:rsidR="004936BB" w:rsidRDefault="000213A1" w:rsidP="00054A98">
            <w:pPr>
              <w:spacing w:line="276" w:lineRule="auto"/>
              <w:rPr>
                <w:lang w:val="en"/>
              </w:rPr>
            </w:pPr>
            <w:r w:rsidRPr="00092A77">
              <w:rPr>
                <w:lang w:val="en"/>
              </w:rPr>
              <w:t xml:space="preserve">Koopman and Knuckey </w:t>
            </w:r>
            <w:r w:rsidR="00AE07B4" w:rsidRPr="00092A77">
              <w:rPr>
                <w:lang w:val="en"/>
              </w:rPr>
              <w:t>(</w:t>
            </w:r>
            <w:r w:rsidR="008A1BE9">
              <w:rPr>
                <w:lang w:val="en"/>
              </w:rPr>
              <w:t>unpublished, 2020 - enclosed</w:t>
            </w:r>
            <w:r w:rsidR="00AE07B4" w:rsidRPr="00092A77">
              <w:rPr>
                <w:lang w:val="en"/>
              </w:rPr>
              <w:t>)</w:t>
            </w:r>
            <w:r w:rsidRPr="00092A77">
              <w:rPr>
                <w:lang w:val="en"/>
              </w:rPr>
              <w:t xml:space="preserve"> </w:t>
            </w:r>
            <w:r>
              <w:rPr>
                <w:lang w:val="en"/>
              </w:rPr>
              <w:t>reported that t</w:t>
            </w:r>
            <w:r w:rsidR="007358D7" w:rsidRPr="007358D7">
              <w:rPr>
                <w:lang w:val="en"/>
              </w:rPr>
              <w:t xml:space="preserve">here is little information on the stock structure of White </w:t>
            </w:r>
            <w:proofErr w:type="spellStart"/>
            <w:r w:rsidR="007358D7" w:rsidRPr="007358D7">
              <w:rPr>
                <w:lang w:val="en"/>
              </w:rPr>
              <w:t>Teatfish</w:t>
            </w:r>
            <w:proofErr w:type="spellEnd"/>
            <w:r w:rsidR="007358D7" w:rsidRPr="007358D7">
              <w:rPr>
                <w:lang w:val="en"/>
              </w:rPr>
              <w:t xml:space="preserve"> in northern Australia</w:t>
            </w:r>
            <w:r>
              <w:rPr>
                <w:lang w:val="en"/>
              </w:rPr>
              <w:t xml:space="preserve"> and indications of</w:t>
            </w:r>
            <w:r w:rsidR="007358D7" w:rsidRPr="007358D7">
              <w:rPr>
                <w:lang w:val="en"/>
              </w:rPr>
              <w:t xml:space="preserve"> potential for presence of several cryptic species in a White </w:t>
            </w:r>
            <w:proofErr w:type="spellStart"/>
            <w:r w:rsidR="007358D7" w:rsidRPr="007358D7">
              <w:rPr>
                <w:lang w:val="en"/>
              </w:rPr>
              <w:t>Teatfish</w:t>
            </w:r>
            <w:proofErr w:type="spellEnd"/>
            <w:r w:rsidR="007358D7" w:rsidRPr="007358D7">
              <w:rPr>
                <w:lang w:val="en"/>
              </w:rPr>
              <w:t xml:space="preserve"> complex. The Status of Australian Fish Stocks Report</w:t>
            </w:r>
            <w:r w:rsidR="00B70A1B">
              <w:rPr>
                <w:lang w:val="en"/>
              </w:rPr>
              <w:t xml:space="preserve"> for White </w:t>
            </w:r>
            <w:proofErr w:type="spellStart"/>
            <w:r w:rsidR="00B70A1B">
              <w:rPr>
                <w:lang w:val="en"/>
              </w:rPr>
              <w:t>Teatfish</w:t>
            </w:r>
            <w:proofErr w:type="spellEnd"/>
            <w:r w:rsidR="00B70A1B">
              <w:rPr>
                <w:lang w:val="en"/>
              </w:rPr>
              <w:t xml:space="preserve"> </w:t>
            </w:r>
            <w:r w:rsidR="00B70A1B" w:rsidRPr="00913B36">
              <w:rPr>
                <w:rFonts w:cs="Arial"/>
              </w:rPr>
              <w:t>(</w:t>
            </w:r>
            <w:proofErr w:type="spellStart"/>
            <w:r w:rsidR="00CA6E91">
              <w:fldChar w:fldCharType="begin"/>
            </w:r>
            <w:r w:rsidR="00CA6E91">
              <w:instrText xml:space="preserve"> HYPERLINK "https://www.fish.gov.au/report/169-White-Teatfish-(Sea-Cucumber)-2018" </w:instrText>
            </w:r>
            <w:r w:rsidR="00CA6E91">
              <w:fldChar w:fldCharType="separate"/>
            </w:r>
            <w:r w:rsidR="00B70A1B" w:rsidRPr="00913B36">
              <w:rPr>
                <w:rStyle w:val="Hyperlink"/>
                <w:rFonts w:cs="Arial"/>
              </w:rPr>
              <w:t>Roelofs</w:t>
            </w:r>
            <w:proofErr w:type="spellEnd"/>
            <w:r w:rsidR="00B70A1B" w:rsidRPr="00913B36">
              <w:rPr>
                <w:rStyle w:val="Hyperlink"/>
                <w:rFonts w:cs="Arial"/>
              </w:rPr>
              <w:t xml:space="preserve"> et al. 2018</w:t>
            </w:r>
            <w:r w:rsidR="00CA6E91">
              <w:rPr>
                <w:rStyle w:val="Hyperlink"/>
                <w:rFonts w:cs="Arial"/>
              </w:rPr>
              <w:fldChar w:fldCharType="end"/>
            </w:r>
            <w:r w:rsidR="00B70A1B" w:rsidRPr="00913B36">
              <w:rPr>
                <w:rFonts w:cs="Arial"/>
              </w:rPr>
              <w:t>)</w:t>
            </w:r>
            <w:r w:rsidR="00B70A1B">
              <w:rPr>
                <w:rFonts w:cs="Arial"/>
              </w:rPr>
              <w:t xml:space="preserve"> </w:t>
            </w:r>
            <w:r w:rsidR="007358D7" w:rsidRPr="007358D7">
              <w:rPr>
                <w:lang w:val="en"/>
              </w:rPr>
              <w:t>lists this species at four management unit levels:</w:t>
            </w:r>
          </w:p>
          <w:p w14:paraId="3D85ECCE" w14:textId="3D7E6143" w:rsidR="004936BB" w:rsidRPr="00AE5829" w:rsidRDefault="007358D7" w:rsidP="00054A98">
            <w:pPr>
              <w:pStyle w:val="ListParagraph"/>
              <w:numPr>
                <w:ilvl w:val="0"/>
                <w:numId w:val="30"/>
              </w:numPr>
              <w:spacing w:line="276" w:lineRule="auto"/>
              <w:rPr>
                <w:lang w:val="en"/>
              </w:rPr>
            </w:pPr>
            <w:r w:rsidRPr="007358D7">
              <w:rPr>
                <w:lang w:val="en"/>
              </w:rPr>
              <w:t xml:space="preserve">Torres Strait </w:t>
            </w:r>
            <w:proofErr w:type="spellStart"/>
            <w:r w:rsidR="007308AD">
              <w:rPr>
                <w:lang w:val="en"/>
              </w:rPr>
              <w:t>B</w:t>
            </w:r>
            <w:r w:rsidRPr="007358D7">
              <w:rPr>
                <w:lang w:val="en"/>
              </w:rPr>
              <w:t>êche</w:t>
            </w:r>
            <w:proofErr w:type="spellEnd"/>
            <w:r w:rsidRPr="007358D7">
              <w:rPr>
                <w:lang w:val="en"/>
              </w:rPr>
              <w:t>-de-</w:t>
            </w:r>
            <w:proofErr w:type="spellStart"/>
            <w:r w:rsidRPr="007358D7">
              <w:rPr>
                <w:lang w:val="en"/>
              </w:rPr>
              <w:t>mer</w:t>
            </w:r>
            <w:proofErr w:type="spellEnd"/>
            <w:r w:rsidRPr="007358D7">
              <w:rPr>
                <w:lang w:val="en"/>
              </w:rPr>
              <w:t xml:space="preserve"> Fishery (Commonwealth</w:t>
            </w:r>
            <w:proofErr w:type="gramStart"/>
            <w:r w:rsidRPr="007358D7">
              <w:rPr>
                <w:lang w:val="en"/>
              </w:rPr>
              <w:t>);</w:t>
            </w:r>
            <w:proofErr w:type="gramEnd"/>
            <w:r w:rsidRPr="007358D7">
              <w:rPr>
                <w:lang w:val="en"/>
              </w:rPr>
              <w:t xml:space="preserve"> </w:t>
            </w:r>
          </w:p>
          <w:p w14:paraId="787DC6F0" w14:textId="2363D5CF" w:rsidR="004936BB" w:rsidRPr="00AE5829" w:rsidRDefault="007358D7" w:rsidP="00054A98">
            <w:pPr>
              <w:pStyle w:val="ListParagraph"/>
              <w:numPr>
                <w:ilvl w:val="0"/>
                <w:numId w:val="30"/>
              </w:numPr>
              <w:spacing w:line="276" w:lineRule="auto"/>
              <w:rPr>
                <w:lang w:val="en"/>
              </w:rPr>
            </w:pPr>
            <w:r w:rsidRPr="007358D7">
              <w:rPr>
                <w:lang w:val="en"/>
              </w:rPr>
              <w:t>Coral Sea Fishery (Commonwealth</w:t>
            </w:r>
            <w:proofErr w:type="gramStart"/>
            <w:r w:rsidRPr="007358D7">
              <w:rPr>
                <w:lang w:val="en"/>
              </w:rPr>
              <w:t>);</w:t>
            </w:r>
            <w:proofErr w:type="gramEnd"/>
            <w:r w:rsidRPr="007358D7">
              <w:rPr>
                <w:lang w:val="en"/>
              </w:rPr>
              <w:t xml:space="preserve"> </w:t>
            </w:r>
          </w:p>
          <w:p w14:paraId="7BADB961" w14:textId="480E3240" w:rsidR="004936BB" w:rsidRPr="00AE5829" w:rsidRDefault="007358D7" w:rsidP="00054A98">
            <w:pPr>
              <w:pStyle w:val="ListParagraph"/>
              <w:numPr>
                <w:ilvl w:val="0"/>
                <w:numId w:val="30"/>
              </w:numPr>
              <w:spacing w:line="276" w:lineRule="auto"/>
              <w:rPr>
                <w:lang w:val="en"/>
              </w:rPr>
            </w:pPr>
            <w:r w:rsidRPr="007358D7">
              <w:rPr>
                <w:lang w:val="en"/>
              </w:rPr>
              <w:t xml:space="preserve">Trepang Fishery (Northern Territory); and </w:t>
            </w:r>
          </w:p>
          <w:p w14:paraId="51E653EC" w14:textId="6F250E97" w:rsidR="007358D7" w:rsidRDefault="007358D7" w:rsidP="00054A98">
            <w:pPr>
              <w:pStyle w:val="ListParagraph"/>
              <w:numPr>
                <w:ilvl w:val="0"/>
                <w:numId w:val="30"/>
              </w:numPr>
              <w:spacing w:line="276" w:lineRule="auto"/>
              <w:rPr>
                <w:lang w:val="en"/>
              </w:rPr>
            </w:pPr>
            <w:r w:rsidRPr="007358D7">
              <w:rPr>
                <w:lang w:val="en"/>
              </w:rPr>
              <w:t>East Coast Sea Cucumber Fishery (Queensland)</w:t>
            </w:r>
            <w:r w:rsidR="000213A1">
              <w:rPr>
                <w:lang w:val="en"/>
              </w:rPr>
              <w:t>.</w:t>
            </w:r>
            <w:r>
              <w:rPr>
                <w:lang w:val="en"/>
              </w:rPr>
              <w:t xml:space="preserve"> </w:t>
            </w:r>
          </w:p>
          <w:p w14:paraId="14B59E22" w14:textId="4CB426A3" w:rsidR="00D9229B" w:rsidRDefault="00A41265" w:rsidP="00054A98">
            <w:pPr>
              <w:spacing w:line="276" w:lineRule="auto"/>
              <w:rPr>
                <w:rFonts w:cs="Arial"/>
              </w:rPr>
            </w:pPr>
            <w:bookmarkStart w:id="14" w:name="_Hlk51754502"/>
            <w:r>
              <w:rPr>
                <w:rFonts w:cs="Arial"/>
              </w:rPr>
              <w:t>T</w:t>
            </w:r>
            <w:r w:rsidR="007358D7">
              <w:rPr>
                <w:rFonts w:cs="Arial"/>
              </w:rPr>
              <w:t xml:space="preserve">he </w:t>
            </w:r>
            <w:r w:rsidR="007358D7" w:rsidRPr="007358D7">
              <w:rPr>
                <w:rFonts w:cs="Arial"/>
              </w:rPr>
              <w:t xml:space="preserve">Queensland </w:t>
            </w:r>
            <w:r w:rsidR="00BF3D43">
              <w:rPr>
                <w:rFonts w:cs="Arial"/>
              </w:rPr>
              <w:t>Sea Cucumber Fishery (East Coast)</w:t>
            </w:r>
            <w:r w:rsidR="007358D7" w:rsidRPr="007358D7">
              <w:rPr>
                <w:rFonts w:cs="Arial"/>
              </w:rPr>
              <w:t xml:space="preserve"> </w:t>
            </w:r>
            <w:r w:rsidR="00D9229B">
              <w:rPr>
                <w:rFonts w:cs="Arial"/>
              </w:rPr>
              <w:t xml:space="preserve">started as a Sandfish fishery, moving on to Black </w:t>
            </w:r>
            <w:proofErr w:type="spellStart"/>
            <w:r w:rsidR="00D9229B">
              <w:rPr>
                <w:rFonts w:cs="Arial"/>
              </w:rPr>
              <w:t>Teatfish</w:t>
            </w:r>
            <w:proofErr w:type="spellEnd"/>
            <w:r w:rsidR="00D9229B">
              <w:rPr>
                <w:rFonts w:cs="Arial"/>
              </w:rPr>
              <w:t xml:space="preserve"> </w:t>
            </w:r>
            <w:r w:rsidR="00842277">
              <w:rPr>
                <w:rFonts w:cs="Arial"/>
              </w:rPr>
              <w:t xml:space="preserve">as the stocks of Sandfish declined. </w:t>
            </w:r>
            <w:r>
              <w:rPr>
                <w:rFonts w:cs="Arial"/>
              </w:rPr>
              <w:t xml:space="preserve">Declining </w:t>
            </w:r>
            <w:r w:rsidR="00D9229B" w:rsidRPr="00AE5829">
              <w:rPr>
                <w:rFonts w:cs="Arial"/>
              </w:rPr>
              <w:t xml:space="preserve">catch rates of Black </w:t>
            </w:r>
            <w:proofErr w:type="spellStart"/>
            <w:r w:rsidR="00D9229B" w:rsidRPr="00AE5829">
              <w:rPr>
                <w:rFonts w:cs="Arial"/>
              </w:rPr>
              <w:t>Teatfish</w:t>
            </w:r>
            <w:proofErr w:type="spellEnd"/>
            <w:r w:rsidR="00D9229B" w:rsidRPr="00AE5829">
              <w:rPr>
                <w:rFonts w:cs="Arial"/>
              </w:rPr>
              <w:t xml:space="preserve"> and concerns over the status of the population led to the closure of that species in October 1999. Effort in the fishery </w:t>
            </w:r>
            <w:r>
              <w:rPr>
                <w:rFonts w:cs="Arial"/>
              </w:rPr>
              <w:t xml:space="preserve">then </w:t>
            </w:r>
            <w:r w:rsidR="00D9229B" w:rsidRPr="00AE5829">
              <w:rPr>
                <w:rFonts w:cs="Arial"/>
              </w:rPr>
              <w:t xml:space="preserve">switched to White </w:t>
            </w:r>
            <w:proofErr w:type="spellStart"/>
            <w:r w:rsidR="00D9229B" w:rsidRPr="00AE5829">
              <w:rPr>
                <w:rFonts w:cs="Arial"/>
              </w:rPr>
              <w:t>Teatfish</w:t>
            </w:r>
            <w:proofErr w:type="spellEnd"/>
            <w:r w:rsidR="00D9229B" w:rsidRPr="00AE5829">
              <w:rPr>
                <w:rFonts w:cs="Arial"/>
              </w:rPr>
              <w:t xml:space="preserve"> and a TAC of 127 tonnes (increased to 158 tonnes for </w:t>
            </w:r>
            <w:r w:rsidR="00F65500">
              <w:rPr>
                <w:rFonts w:cs="Arial"/>
              </w:rPr>
              <w:t>one</w:t>
            </w:r>
            <w:r w:rsidR="00D9229B" w:rsidRPr="00AE5829">
              <w:rPr>
                <w:rFonts w:cs="Arial"/>
              </w:rPr>
              <w:t xml:space="preserve"> season) was introduced in 1999. </w:t>
            </w:r>
            <w:bookmarkStart w:id="15" w:name="_Hlk51751358"/>
            <w:r w:rsidR="00D9229B" w:rsidRPr="00AE5829">
              <w:rPr>
                <w:rFonts w:cs="Arial"/>
              </w:rPr>
              <w:t>This quota has been reduced over the years</w:t>
            </w:r>
            <w:r>
              <w:rPr>
                <w:rFonts w:cs="Arial"/>
              </w:rPr>
              <w:t xml:space="preserve"> in response to </w:t>
            </w:r>
            <w:r w:rsidR="00D9229B" w:rsidRPr="00AE5829">
              <w:rPr>
                <w:rFonts w:cs="Arial"/>
              </w:rPr>
              <w:t xml:space="preserve">concerns about the sustainability of the </w:t>
            </w:r>
            <w:r>
              <w:rPr>
                <w:rFonts w:cs="Arial"/>
              </w:rPr>
              <w:t xml:space="preserve">stock and as parts of the fishery have been protected from fishing through </w:t>
            </w:r>
            <w:r w:rsidR="00CE7D9E">
              <w:rPr>
                <w:rFonts w:cs="Arial"/>
              </w:rPr>
              <w:t>Great Barrier Reef Marine Park</w:t>
            </w:r>
            <w:r w:rsidR="00D9229B" w:rsidRPr="00AE5829">
              <w:rPr>
                <w:rFonts w:cs="Arial"/>
              </w:rPr>
              <w:t xml:space="preserve"> zoning</w:t>
            </w:r>
            <w:r w:rsidR="00341454">
              <w:rPr>
                <w:rFonts w:cs="Arial"/>
              </w:rPr>
              <w:t xml:space="preserve"> (</w:t>
            </w:r>
            <w:hyperlink r:id="rId17" w:history="1">
              <w:r w:rsidR="00341454" w:rsidRPr="00092A77">
                <w:rPr>
                  <w:rStyle w:val="Hyperlink"/>
                  <w:rFonts w:cs="Arial"/>
                </w:rPr>
                <w:t>Skewes et al., 2014</w:t>
              </w:r>
            </w:hyperlink>
            <w:r w:rsidR="00341454">
              <w:rPr>
                <w:rFonts w:cs="Arial"/>
              </w:rPr>
              <w:t>)</w:t>
            </w:r>
            <w:r w:rsidR="00341454" w:rsidRPr="00AE5829">
              <w:rPr>
                <w:rFonts w:cs="Arial"/>
              </w:rPr>
              <w:t>.</w:t>
            </w:r>
            <w:r>
              <w:rPr>
                <w:rFonts w:cs="Arial"/>
              </w:rPr>
              <w:t xml:space="preserve"> T</w:t>
            </w:r>
            <w:r w:rsidR="002B2133">
              <w:t xml:space="preserve">he TAC </w:t>
            </w:r>
            <w:r>
              <w:t xml:space="preserve">for White </w:t>
            </w:r>
            <w:proofErr w:type="spellStart"/>
            <w:r>
              <w:t>Teatfish</w:t>
            </w:r>
            <w:proofErr w:type="spellEnd"/>
            <w:r>
              <w:t xml:space="preserve"> </w:t>
            </w:r>
            <w:r w:rsidR="002B2133">
              <w:t xml:space="preserve">is </w:t>
            </w:r>
            <w:r>
              <w:t xml:space="preserve">now </w:t>
            </w:r>
            <w:r w:rsidR="002B2133">
              <w:t>53 tonnes</w:t>
            </w:r>
            <w:r>
              <w:t xml:space="preserve">, </w:t>
            </w:r>
            <w:bookmarkEnd w:id="15"/>
            <w:r w:rsidR="00D9229B" w:rsidRPr="00AE5829">
              <w:rPr>
                <w:rFonts w:cs="Arial"/>
              </w:rPr>
              <w:t xml:space="preserve">split </w:t>
            </w:r>
            <w:r>
              <w:rPr>
                <w:rFonts w:cs="Arial"/>
              </w:rPr>
              <w:t xml:space="preserve">between </w:t>
            </w:r>
            <w:r w:rsidR="00D9229B" w:rsidRPr="00AE5829">
              <w:rPr>
                <w:rFonts w:cs="Arial"/>
              </w:rPr>
              <w:t>north</w:t>
            </w:r>
            <w:r>
              <w:rPr>
                <w:rFonts w:cs="Arial"/>
              </w:rPr>
              <w:t>ern</w:t>
            </w:r>
            <w:r w:rsidR="00D9229B" w:rsidRPr="00AE5829">
              <w:rPr>
                <w:rFonts w:cs="Arial"/>
              </w:rPr>
              <w:t xml:space="preserve"> and south</w:t>
            </w:r>
            <w:r>
              <w:rPr>
                <w:rFonts w:cs="Arial"/>
              </w:rPr>
              <w:t>ern</w:t>
            </w:r>
            <w:r w:rsidR="00D9229B" w:rsidRPr="00AE5829">
              <w:rPr>
                <w:rFonts w:cs="Arial"/>
              </w:rPr>
              <w:t xml:space="preserve"> </w:t>
            </w:r>
            <w:r>
              <w:rPr>
                <w:rFonts w:cs="Arial"/>
              </w:rPr>
              <w:t>parts of the fishery</w:t>
            </w:r>
            <w:r w:rsidR="00341454">
              <w:rPr>
                <w:rFonts w:cs="Arial"/>
              </w:rPr>
              <w:t>.</w:t>
            </w:r>
          </w:p>
          <w:bookmarkEnd w:id="14"/>
          <w:p w14:paraId="52286C45" w14:textId="416F16E4" w:rsidR="00842277" w:rsidRDefault="005515E6" w:rsidP="00054A98">
            <w:pPr>
              <w:spacing w:line="276" w:lineRule="auto"/>
              <w:rPr>
                <w:rFonts w:cs="Arial"/>
              </w:rPr>
            </w:pPr>
            <w:r>
              <w:rPr>
                <w:rFonts w:cs="Arial"/>
              </w:rPr>
              <w:lastRenderedPageBreak/>
              <w:t xml:space="preserve">In 2014 QDAF </w:t>
            </w:r>
            <w:r w:rsidRPr="00842277">
              <w:rPr>
                <w:rFonts w:cs="Arial"/>
              </w:rPr>
              <w:t xml:space="preserve">used a management strategy evaluation (MSE) approach to evaluate the benefits of </w:t>
            </w:r>
            <w:r w:rsidR="00D9229B" w:rsidRPr="00842277">
              <w:rPr>
                <w:rFonts w:cs="Arial"/>
              </w:rPr>
              <w:t>the</w:t>
            </w:r>
            <w:r w:rsidRPr="00842277">
              <w:rPr>
                <w:rFonts w:cs="Arial"/>
              </w:rPr>
              <w:t xml:space="preserve"> rotational harvest strategy (the Rotational Zoning S</w:t>
            </w:r>
            <w:r w:rsidR="00CE7D9E">
              <w:rPr>
                <w:rFonts w:cs="Arial"/>
              </w:rPr>
              <w:t xml:space="preserve">trategy </w:t>
            </w:r>
            <w:r w:rsidRPr="00842277">
              <w:rPr>
                <w:rFonts w:cs="Arial"/>
              </w:rPr>
              <w:t>- RZS) utilised</w:t>
            </w:r>
            <w:r w:rsidR="00536409">
              <w:rPr>
                <w:rFonts w:cs="Arial"/>
              </w:rPr>
              <w:t xml:space="preserve"> to manage effort in this fishery though </w:t>
            </w:r>
            <w:r w:rsidR="00842277">
              <w:rPr>
                <w:rFonts w:cs="Arial"/>
              </w:rPr>
              <w:t>a Memorandum of Understanding with the industry</w:t>
            </w:r>
            <w:r w:rsidRPr="00842277">
              <w:rPr>
                <w:rFonts w:cs="Arial"/>
              </w:rPr>
              <w:t>.</w:t>
            </w:r>
            <w:r w:rsidR="00842277">
              <w:rPr>
                <w:rFonts w:cs="Arial"/>
              </w:rPr>
              <w:t xml:space="preserve"> </w:t>
            </w:r>
            <w:r w:rsidR="00842277" w:rsidRPr="00842277">
              <w:rPr>
                <w:rFonts w:cs="Arial"/>
              </w:rPr>
              <w:t xml:space="preserve">The primary aim of the </w:t>
            </w:r>
            <w:r w:rsidR="00842277">
              <w:rPr>
                <w:rFonts w:cs="Arial"/>
              </w:rPr>
              <w:t>MSE</w:t>
            </w:r>
            <w:r w:rsidR="00842277" w:rsidRPr="00842277">
              <w:rPr>
                <w:rFonts w:cs="Arial"/>
              </w:rPr>
              <w:t xml:space="preserve"> was to test the RZS for mitigating localised depletion, reducing risks to overall sustainability and maximising efficiency and profits of the </w:t>
            </w:r>
            <w:r w:rsidR="00CE7D9E">
              <w:rPr>
                <w:rFonts w:cs="Arial"/>
              </w:rPr>
              <w:t>f</w:t>
            </w:r>
            <w:r w:rsidR="00CE7D9E" w:rsidRPr="007358D7">
              <w:rPr>
                <w:rFonts w:cs="Arial"/>
              </w:rPr>
              <w:t>ishery</w:t>
            </w:r>
            <w:r w:rsidR="00842277" w:rsidRPr="00842277">
              <w:rPr>
                <w:rFonts w:cs="Arial"/>
              </w:rPr>
              <w:t>.</w:t>
            </w:r>
          </w:p>
          <w:p w14:paraId="525CE4A2" w14:textId="62ECDEDD" w:rsidR="00842277" w:rsidRDefault="00842277" w:rsidP="00054A98">
            <w:pPr>
              <w:spacing w:line="276" w:lineRule="auto"/>
              <w:rPr>
                <w:rFonts w:cs="Arial"/>
              </w:rPr>
            </w:pPr>
            <w:r>
              <w:rPr>
                <w:rFonts w:cs="Arial"/>
              </w:rPr>
              <w:t xml:space="preserve">While </w:t>
            </w:r>
            <w:r w:rsidR="00483B2E">
              <w:rPr>
                <w:rFonts w:cs="Arial"/>
              </w:rPr>
              <w:t>e</w:t>
            </w:r>
            <w:r w:rsidRPr="00842277">
              <w:rPr>
                <w:rFonts w:cs="Arial"/>
              </w:rPr>
              <w:t xml:space="preserve">mpirical validation of the results of </w:t>
            </w:r>
            <w:r w:rsidR="00637E24">
              <w:rPr>
                <w:rFonts w:cs="Arial"/>
              </w:rPr>
              <w:t xml:space="preserve">the </w:t>
            </w:r>
            <w:r w:rsidRPr="00842277">
              <w:rPr>
                <w:rFonts w:cs="Arial"/>
              </w:rPr>
              <w:t>mode</w:t>
            </w:r>
            <w:r w:rsidR="004936BB">
              <w:rPr>
                <w:rFonts w:cs="Arial"/>
              </w:rPr>
              <w:t>l</w:t>
            </w:r>
            <w:r w:rsidRPr="00842277">
              <w:rPr>
                <w:rFonts w:cs="Arial"/>
              </w:rPr>
              <w:t xml:space="preserve">ling study </w:t>
            </w:r>
            <w:r w:rsidR="000213A1">
              <w:rPr>
                <w:rFonts w:cs="Arial"/>
              </w:rPr>
              <w:t>was</w:t>
            </w:r>
            <w:r>
              <w:rPr>
                <w:rFonts w:cs="Arial"/>
              </w:rPr>
              <w:t xml:space="preserve"> </w:t>
            </w:r>
            <w:r w:rsidRPr="00842277">
              <w:rPr>
                <w:rFonts w:cs="Arial"/>
              </w:rPr>
              <w:t xml:space="preserve">complicated </w:t>
            </w:r>
            <w:r w:rsidR="00483B2E">
              <w:rPr>
                <w:rFonts w:cs="Arial"/>
              </w:rPr>
              <w:t xml:space="preserve">for this fishery </w:t>
            </w:r>
            <w:r w:rsidRPr="00842277">
              <w:rPr>
                <w:rFonts w:cs="Arial"/>
              </w:rPr>
              <w:t>because of a number of factors, including changes in</w:t>
            </w:r>
            <w:r>
              <w:rPr>
                <w:rFonts w:cs="Arial"/>
              </w:rPr>
              <w:t xml:space="preserve"> </w:t>
            </w:r>
            <w:r w:rsidRPr="00842277">
              <w:rPr>
                <w:rFonts w:cs="Arial"/>
              </w:rPr>
              <w:t>fisheries legislation and target species</w:t>
            </w:r>
            <w:r w:rsidR="00483B2E">
              <w:rPr>
                <w:rFonts w:cs="Arial"/>
              </w:rPr>
              <w:t>, t</w:t>
            </w:r>
            <w:r w:rsidR="00637E24">
              <w:rPr>
                <w:rFonts w:cs="Arial"/>
              </w:rPr>
              <w:t>h</w:t>
            </w:r>
            <w:r>
              <w:rPr>
                <w:rFonts w:cs="Arial"/>
              </w:rPr>
              <w:t>e MSE found that p</w:t>
            </w:r>
            <w:r w:rsidRPr="00842277">
              <w:rPr>
                <w:rFonts w:cs="Arial"/>
              </w:rPr>
              <w:t xml:space="preserve">opulations were generally stable across all simulations in the closed areas, except in the case of the Black </w:t>
            </w:r>
            <w:proofErr w:type="spellStart"/>
            <w:r w:rsidRPr="00842277">
              <w:rPr>
                <w:rFonts w:cs="Arial"/>
              </w:rPr>
              <w:t>Teatfish</w:t>
            </w:r>
            <w:proofErr w:type="spellEnd"/>
            <w:r w:rsidRPr="00842277">
              <w:rPr>
                <w:rFonts w:cs="Arial"/>
              </w:rPr>
              <w:t xml:space="preserve"> and White </w:t>
            </w:r>
            <w:proofErr w:type="spellStart"/>
            <w:r w:rsidRPr="00842277">
              <w:rPr>
                <w:rFonts w:cs="Arial"/>
              </w:rPr>
              <w:t>Teatfish</w:t>
            </w:r>
            <w:proofErr w:type="spellEnd"/>
            <w:r w:rsidRPr="00842277">
              <w:rPr>
                <w:rFonts w:cs="Arial"/>
              </w:rPr>
              <w:t xml:space="preserve"> which were subject to heavy historic fishing.</w:t>
            </w:r>
            <w:r>
              <w:rPr>
                <w:rFonts w:cs="Arial"/>
              </w:rPr>
              <w:t xml:space="preserve"> </w:t>
            </w:r>
            <w:r w:rsidR="00483B2E">
              <w:rPr>
                <w:rFonts w:cs="Arial"/>
              </w:rPr>
              <w:t>The MSE</w:t>
            </w:r>
            <w:r>
              <w:rPr>
                <w:rFonts w:cs="Arial"/>
              </w:rPr>
              <w:t xml:space="preserve"> concluded that t</w:t>
            </w:r>
            <w:r w:rsidRPr="00842277">
              <w:rPr>
                <w:rFonts w:cs="Arial"/>
              </w:rPr>
              <w:t>he risk of depletion for most reef associated species under most scenarios</w:t>
            </w:r>
            <w:r>
              <w:rPr>
                <w:rFonts w:cs="Arial"/>
              </w:rPr>
              <w:t xml:space="preserve"> tested in the MSE was</w:t>
            </w:r>
            <w:r w:rsidRPr="00842277">
              <w:rPr>
                <w:rFonts w:cs="Arial"/>
              </w:rPr>
              <w:t xml:space="preserve"> low. However,</w:t>
            </w:r>
            <w:r w:rsidR="00483B2E">
              <w:rPr>
                <w:rFonts w:cs="Arial"/>
              </w:rPr>
              <w:t xml:space="preserve"> the study recommended that </w:t>
            </w:r>
            <w:r w:rsidR="002B2133" w:rsidRPr="00842277">
              <w:rPr>
                <w:rFonts w:cs="Arial"/>
              </w:rPr>
              <w:t xml:space="preserve">highly targeted species such as Black </w:t>
            </w:r>
            <w:proofErr w:type="spellStart"/>
            <w:r w:rsidR="002B2133" w:rsidRPr="00842277">
              <w:rPr>
                <w:rFonts w:cs="Arial"/>
              </w:rPr>
              <w:t>Teatfish</w:t>
            </w:r>
            <w:proofErr w:type="spellEnd"/>
            <w:r w:rsidR="002B2133" w:rsidRPr="00842277">
              <w:rPr>
                <w:rFonts w:cs="Arial"/>
              </w:rPr>
              <w:t xml:space="preserve"> and White </w:t>
            </w:r>
            <w:proofErr w:type="spellStart"/>
            <w:r w:rsidR="002B2133" w:rsidRPr="00842277">
              <w:rPr>
                <w:rFonts w:cs="Arial"/>
              </w:rPr>
              <w:t>Teatfish</w:t>
            </w:r>
            <w:proofErr w:type="spellEnd"/>
            <w:r w:rsidR="002B2133">
              <w:rPr>
                <w:rFonts w:cs="Arial"/>
              </w:rPr>
              <w:t xml:space="preserve"> </w:t>
            </w:r>
            <w:r w:rsidRPr="00842277">
              <w:rPr>
                <w:rFonts w:cs="Arial"/>
              </w:rPr>
              <w:t xml:space="preserve">be managed with caution and more data gathered. </w:t>
            </w:r>
            <w:r w:rsidR="00637E24">
              <w:rPr>
                <w:rFonts w:cs="Arial"/>
              </w:rPr>
              <w:t>In particular, the MSE recommended a</w:t>
            </w:r>
            <w:r w:rsidR="00637E24" w:rsidRPr="00637E24">
              <w:rPr>
                <w:rFonts w:cs="Arial"/>
              </w:rPr>
              <w:t>ddress</w:t>
            </w:r>
            <w:r w:rsidR="00637E24">
              <w:rPr>
                <w:rFonts w:cs="Arial"/>
              </w:rPr>
              <w:t>ing</w:t>
            </w:r>
            <w:r w:rsidR="00637E24" w:rsidRPr="00637E24">
              <w:rPr>
                <w:rFonts w:cs="Arial"/>
              </w:rPr>
              <w:t xml:space="preserve"> important information gaps for higher risk species such as Burrowing Blackfish and White </w:t>
            </w:r>
            <w:proofErr w:type="spellStart"/>
            <w:r w:rsidR="00637E24" w:rsidRPr="00637E24">
              <w:rPr>
                <w:rFonts w:cs="Arial"/>
              </w:rPr>
              <w:t>Teatfish</w:t>
            </w:r>
            <w:proofErr w:type="spellEnd"/>
            <w:r w:rsidR="00637E24">
              <w:rPr>
                <w:rFonts w:cs="Arial"/>
              </w:rPr>
              <w:t xml:space="preserve"> </w:t>
            </w:r>
            <w:r w:rsidR="00637E24" w:rsidRPr="00637E24">
              <w:rPr>
                <w:rFonts w:cs="Arial"/>
              </w:rPr>
              <w:t xml:space="preserve">(Black </w:t>
            </w:r>
            <w:proofErr w:type="spellStart"/>
            <w:r w:rsidR="00637E24">
              <w:rPr>
                <w:rFonts w:cs="Arial"/>
              </w:rPr>
              <w:t>T</w:t>
            </w:r>
            <w:r w:rsidR="00637E24" w:rsidRPr="00637E24">
              <w:rPr>
                <w:rFonts w:cs="Arial"/>
              </w:rPr>
              <w:t>eat</w:t>
            </w:r>
            <w:r w:rsidR="00637E24">
              <w:rPr>
                <w:rFonts w:cs="Arial"/>
              </w:rPr>
              <w:t>fish</w:t>
            </w:r>
            <w:proofErr w:type="spellEnd"/>
            <w:r w:rsidR="00637E24" w:rsidRPr="00637E24">
              <w:rPr>
                <w:rFonts w:cs="Arial"/>
              </w:rPr>
              <w:t xml:space="preserve"> was closed</w:t>
            </w:r>
            <w:r w:rsidR="002B2133">
              <w:rPr>
                <w:rFonts w:cs="Arial"/>
              </w:rPr>
              <w:t xml:space="preserve"> at the time of the study</w:t>
            </w:r>
            <w:proofErr w:type="gramStart"/>
            <w:r w:rsidR="00637E24" w:rsidRPr="00637E24">
              <w:rPr>
                <w:rFonts w:cs="Arial"/>
              </w:rPr>
              <w:t>);</w:t>
            </w:r>
            <w:proofErr w:type="gramEnd"/>
            <w:r w:rsidR="00637E24" w:rsidRPr="00637E24">
              <w:rPr>
                <w:rFonts w:cs="Arial"/>
              </w:rPr>
              <w:t xml:space="preserve"> including the density of White </w:t>
            </w:r>
            <w:proofErr w:type="spellStart"/>
            <w:r w:rsidR="00637E24" w:rsidRPr="00637E24">
              <w:rPr>
                <w:rFonts w:cs="Arial"/>
              </w:rPr>
              <w:t>Teatfish</w:t>
            </w:r>
            <w:proofErr w:type="spellEnd"/>
            <w:r w:rsidR="00637E24" w:rsidRPr="00637E24">
              <w:rPr>
                <w:rFonts w:cs="Arial"/>
              </w:rPr>
              <w:t xml:space="preserve"> throughout the fishery.</w:t>
            </w:r>
          </w:p>
          <w:p w14:paraId="4A505069" w14:textId="77C86C1F" w:rsidR="003C2A6C" w:rsidRPr="003C2A6C" w:rsidRDefault="003C2A6C" w:rsidP="00054A98">
            <w:pPr>
              <w:spacing w:line="276" w:lineRule="auto"/>
              <w:rPr>
                <w:u w:val="single"/>
              </w:rPr>
            </w:pPr>
            <w:r w:rsidRPr="003C2A6C">
              <w:rPr>
                <w:u w:val="single"/>
              </w:rPr>
              <w:t xml:space="preserve">Black </w:t>
            </w:r>
            <w:proofErr w:type="spellStart"/>
            <w:r w:rsidRPr="003C2A6C">
              <w:rPr>
                <w:u w:val="single"/>
              </w:rPr>
              <w:t>Teatfish</w:t>
            </w:r>
            <w:proofErr w:type="spellEnd"/>
          </w:p>
          <w:p w14:paraId="4F694CAA" w14:textId="50AC879D" w:rsidR="007358D7" w:rsidRDefault="002B2133" w:rsidP="00054A98">
            <w:pPr>
              <w:spacing w:line="276" w:lineRule="auto"/>
              <w:rPr>
                <w:lang w:val="en"/>
              </w:rPr>
            </w:pPr>
            <w:r>
              <w:rPr>
                <w:lang w:val="en"/>
              </w:rPr>
              <w:t xml:space="preserve">As reported in </w:t>
            </w:r>
            <w:r w:rsidR="00BA26E8">
              <w:rPr>
                <w:lang w:val="en"/>
              </w:rPr>
              <w:t xml:space="preserve">Koopman and Knuckey </w:t>
            </w:r>
            <w:r w:rsidRPr="00092A77">
              <w:rPr>
                <w:lang w:val="en"/>
              </w:rPr>
              <w:t>(unpublished</w:t>
            </w:r>
            <w:r w:rsidR="008A1BE9">
              <w:rPr>
                <w:lang w:val="en"/>
              </w:rPr>
              <w:t>,</w:t>
            </w:r>
            <w:r w:rsidRPr="00092A77">
              <w:rPr>
                <w:lang w:val="en"/>
              </w:rPr>
              <w:t xml:space="preserve"> 2020</w:t>
            </w:r>
            <w:r w:rsidR="008A1BE9">
              <w:rPr>
                <w:lang w:val="en"/>
              </w:rPr>
              <w:t xml:space="preserve"> - enclosed</w:t>
            </w:r>
            <w:r w:rsidRPr="00092A77">
              <w:rPr>
                <w:lang w:val="en"/>
              </w:rPr>
              <w:t>)</w:t>
            </w:r>
            <w:r>
              <w:rPr>
                <w:lang w:val="en"/>
              </w:rPr>
              <w:t>,</w:t>
            </w:r>
            <w:r w:rsidRPr="00092A77">
              <w:rPr>
                <w:lang w:val="en"/>
              </w:rPr>
              <w:t xml:space="preserve"> </w:t>
            </w:r>
            <w:r w:rsidR="00BA26E8">
              <w:rPr>
                <w:lang w:val="en"/>
              </w:rPr>
              <w:t xml:space="preserve">current literature suggests that </w:t>
            </w:r>
            <w:r w:rsidR="007358D7" w:rsidRPr="007358D7">
              <w:rPr>
                <w:lang w:val="en"/>
              </w:rPr>
              <w:t xml:space="preserve">Black </w:t>
            </w:r>
            <w:proofErr w:type="spellStart"/>
            <w:r w:rsidR="007358D7" w:rsidRPr="007358D7">
              <w:rPr>
                <w:lang w:val="en"/>
              </w:rPr>
              <w:t>Teatfish</w:t>
            </w:r>
            <w:proofErr w:type="spellEnd"/>
            <w:r w:rsidR="007358D7" w:rsidRPr="007358D7">
              <w:rPr>
                <w:lang w:val="en"/>
              </w:rPr>
              <w:t xml:space="preserve"> populations on the Great Barrier Reef (GBR) are highly connected</w:t>
            </w:r>
            <w:r w:rsidR="00BA26E8">
              <w:rPr>
                <w:lang w:val="en"/>
              </w:rPr>
              <w:t xml:space="preserve"> </w:t>
            </w:r>
            <w:r w:rsidR="007358D7" w:rsidRPr="007358D7">
              <w:rPr>
                <w:lang w:val="en"/>
              </w:rPr>
              <w:t xml:space="preserve">along the entire length of the GBR </w:t>
            </w:r>
            <w:r w:rsidR="00BA26E8">
              <w:rPr>
                <w:lang w:val="en"/>
              </w:rPr>
              <w:t>and</w:t>
            </w:r>
            <w:r w:rsidR="007358D7" w:rsidRPr="007358D7">
              <w:rPr>
                <w:lang w:val="en"/>
              </w:rPr>
              <w:t xml:space="preserve"> that there is high to medium confidence that there is a strong connectivity between Black </w:t>
            </w:r>
            <w:proofErr w:type="spellStart"/>
            <w:r w:rsidR="007358D7" w:rsidRPr="007358D7">
              <w:rPr>
                <w:lang w:val="en"/>
              </w:rPr>
              <w:t>Teatfish</w:t>
            </w:r>
            <w:proofErr w:type="spellEnd"/>
            <w:r w:rsidR="007358D7" w:rsidRPr="007358D7">
              <w:rPr>
                <w:lang w:val="en"/>
              </w:rPr>
              <w:t xml:space="preserve"> populations between the GBR, the Coral Sea and Torres Strait through passive dispersal.</w:t>
            </w:r>
          </w:p>
          <w:p w14:paraId="11BACF15" w14:textId="7456FB01" w:rsidR="002B2133" w:rsidRPr="008A1BE9" w:rsidRDefault="00BA26E8" w:rsidP="003C2A6C">
            <w:pPr>
              <w:spacing w:before="80" w:after="80" w:line="276" w:lineRule="auto"/>
            </w:pPr>
            <w:r w:rsidRPr="008A1BE9">
              <w:t>Knuckey and Koopman</w:t>
            </w:r>
            <w:r w:rsidR="00092A77" w:rsidRPr="008A1BE9">
              <w:t xml:space="preserve"> (unpublished, 2016)</w:t>
            </w:r>
            <w:r w:rsidR="007358D7" w:rsidRPr="008A1BE9">
              <w:t xml:space="preserve"> </w:t>
            </w:r>
            <w:r w:rsidRPr="008A1BE9">
              <w:t>conducted a survey</w:t>
            </w:r>
            <w:r w:rsidR="007358D7" w:rsidRPr="008A1BE9">
              <w:t xml:space="preserve"> </w:t>
            </w:r>
            <w:r w:rsidRPr="008A1BE9">
              <w:t xml:space="preserve">in </w:t>
            </w:r>
            <w:r w:rsidR="00264263" w:rsidRPr="008A1BE9">
              <w:t>‘</w:t>
            </w:r>
            <w:r w:rsidRPr="008A1BE9">
              <w:t>Zone 1</w:t>
            </w:r>
            <w:r w:rsidR="00264263" w:rsidRPr="008A1BE9">
              <w:t>’</w:t>
            </w:r>
            <w:r w:rsidRPr="008A1BE9">
              <w:t xml:space="preserve"> of the Queensland </w:t>
            </w:r>
            <w:r w:rsidR="00BF3D43" w:rsidRPr="008A1BE9">
              <w:t>Sea Cucumber Fishery (East Coast)</w:t>
            </w:r>
            <w:r w:rsidRPr="008A1BE9">
              <w:t xml:space="preserve"> during 2015 </w:t>
            </w:r>
            <w:r w:rsidR="007358D7" w:rsidRPr="008A1BE9">
              <w:t xml:space="preserve">to estimate relative (available) biomass and density of Black </w:t>
            </w:r>
            <w:proofErr w:type="spellStart"/>
            <w:r w:rsidR="007358D7" w:rsidRPr="008A1BE9">
              <w:t>Teatfish</w:t>
            </w:r>
            <w:proofErr w:type="spellEnd"/>
            <w:r w:rsidRPr="008A1BE9">
              <w:t xml:space="preserve">. </w:t>
            </w:r>
            <w:r w:rsidR="007358D7" w:rsidRPr="008A1BE9">
              <w:t xml:space="preserve">The survey was commissioned by industry and designed in collaboration with QDAF and </w:t>
            </w:r>
            <w:r w:rsidR="00CE7D9E" w:rsidRPr="008A1BE9">
              <w:t xml:space="preserve">the Great Barrier Reef Marine Park Authority </w:t>
            </w:r>
            <w:r w:rsidR="007358D7" w:rsidRPr="008A1BE9">
              <w:t xml:space="preserve">with independent peer review by CSIRO experts. </w:t>
            </w:r>
          </w:p>
          <w:p w14:paraId="3E5C5D30" w14:textId="289CF773" w:rsidR="0095124D" w:rsidRDefault="00BA26E8" w:rsidP="003C2A6C">
            <w:pPr>
              <w:spacing w:before="80" w:after="80" w:line="276" w:lineRule="auto"/>
            </w:pPr>
            <w:r w:rsidRPr="008A1BE9">
              <w:lastRenderedPageBreak/>
              <w:t>T</w:t>
            </w:r>
            <w:r w:rsidR="007358D7" w:rsidRPr="008A1BE9">
              <w:t xml:space="preserve">he results </w:t>
            </w:r>
            <w:r w:rsidRPr="008A1BE9">
              <w:t xml:space="preserve">of this survey </w:t>
            </w:r>
            <w:r w:rsidR="007358D7" w:rsidRPr="008A1BE9">
              <w:t xml:space="preserve">showed that populations on fished reefs were not significantly different from </w:t>
            </w:r>
            <w:r w:rsidRPr="008A1BE9">
              <w:t xml:space="preserve">the population on </w:t>
            </w:r>
            <w:r w:rsidR="007358D7" w:rsidRPr="008A1BE9">
              <w:t>closed reefs</w:t>
            </w:r>
            <w:r w:rsidRPr="008A1BE9">
              <w:t xml:space="preserve"> and this allowed the reopening of the fishery in accordance with QDAF’s PMS management system for the fishery</w:t>
            </w:r>
            <w:r w:rsidR="007358D7" w:rsidRPr="008A1BE9">
              <w:t xml:space="preserve">. </w:t>
            </w:r>
            <w:r w:rsidRPr="008A1BE9">
              <w:t xml:space="preserve">The opening of the fishery resulted in </w:t>
            </w:r>
            <w:r w:rsidR="007358D7" w:rsidRPr="008A1BE9">
              <w:t xml:space="preserve">little commercial fishing </w:t>
            </w:r>
            <w:r w:rsidRPr="008A1BE9">
              <w:t xml:space="preserve">taking place </w:t>
            </w:r>
            <w:r w:rsidR="007358D7" w:rsidRPr="008A1BE9">
              <w:t xml:space="preserve">in </w:t>
            </w:r>
            <w:r w:rsidR="00264263" w:rsidRPr="008A1BE9">
              <w:t>‘</w:t>
            </w:r>
            <w:r w:rsidR="007358D7" w:rsidRPr="008A1BE9">
              <w:t>Zone 1</w:t>
            </w:r>
            <w:r w:rsidR="00264263" w:rsidRPr="008A1BE9">
              <w:t>’</w:t>
            </w:r>
            <w:r w:rsidR="007358D7" w:rsidRPr="008A1BE9">
              <w:t xml:space="preserve"> </w:t>
            </w:r>
            <w:r w:rsidR="00705B77" w:rsidRPr="008A1BE9">
              <w:t>after</w:t>
            </w:r>
            <w:r w:rsidR="007358D7" w:rsidRPr="008A1BE9">
              <w:t xml:space="preserve"> the survey. </w:t>
            </w:r>
            <w:r w:rsidR="00705B77" w:rsidRPr="008A1BE9">
              <w:t>A</w:t>
            </w:r>
            <w:r w:rsidR="007358D7" w:rsidRPr="008A1BE9">
              <w:t xml:space="preserve"> fishery-independent design approach </w:t>
            </w:r>
            <w:r w:rsidR="00705B77" w:rsidRPr="008A1BE9">
              <w:t xml:space="preserve">now </w:t>
            </w:r>
            <w:r w:rsidR="007358D7" w:rsidRPr="008A1BE9">
              <w:t xml:space="preserve">needs to be developed for a </w:t>
            </w:r>
            <w:r w:rsidR="00264263" w:rsidRPr="008A1BE9">
              <w:t>‘</w:t>
            </w:r>
            <w:r w:rsidR="007358D7" w:rsidRPr="008A1BE9">
              <w:rPr>
                <w:bCs/>
                <w:iCs/>
              </w:rPr>
              <w:t>Zone 2</w:t>
            </w:r>
            <w:r w:rsidR="00264263" w:rsidRPr="008A1BE9">
              <w:rPr>
                <w:bCs/>
                <w:iCs/>
              </w:rPr>
              <w:t>’</w:t>
            </w:r>
            <w:r w:rsidR="008A1BE9" w:rsidRPr="008A1BE9">
              <w:rPr>
                <w:bCs/>
                <w:iCs/>
              </w:rPr>
              <w:t>(area of the fishery south of 19 degrees south)</w:t>
            </w:r>
            <w:r w:rsidR="007358D7" w:rsidRPr="008A1BE9">
              <w:rPr>
                <w:bCs/>
                <w:i/>
              </w:rPr>
              <w:t xml:space="preserve"> </w:t>
            </w:r>
            <w:r w:rsidR="007358D7" w:rsidRPr="008A1BE9">
              <w:rPr>
                <w:bCs/>
                <w:iCs/>
              </w:rPr>
              <w:t>survey</w:t>
            </w:r>
            <w:r w:rsidR="007358D7" w:rsidRPr="008A1BE9">
              <w:rPr>
                <w:iCs/>
              </w:rPr>
              <w:t xml:space="preserve"> </w:t>
            </w:r>
            <w:r w:rsidR="007358D7" w:rsidRPr="008A1BE9">
              <w:t>(and peer-reviewed) with a population survey undertaken in the short-term as fishing effort is concentrating in this Zone</w:t>
            </w:r>
            <w:r w:rsidR="007358D7" w:rsidRPr="008A1BE9">
              <w:rPr>
                <w:b/>
                <w:bCs/>
              </w:rPr>
              <w:t xml:space="preserve">. </w:t>
            </w:r>
            <w:r w:rsidR="007358D7" w:rsidRPr="008A1BE9">
              <w:t>QDAF will then need to</w:t>
            </w:r>
            <w:r w:rsidR="002B2133" w:rsidRPr="008A1BE9">
              <w:t xml:space="preserve"> undertake</w:t>
            </w:r>
            <w:r w:rsidR="002B2133">
              <w:t xml:space="preserve"> a stock assessment and it will be important to</w:t>
            </w:r>
            <w:r w:rsidR="007358D7" w:rsidRPr="007358D7">
              <w:t xml:space="preserve"> design a fishery-independent </w:t>
            </w:r>
            <w:r w:rsidR="00705B77">
              <w:t>program to monitor</w:t>
            </w:r>
            <w:r w:rsidR="007358D7" w:rsidRPr="007358D7">
              <w:t xml:space="preserve"> population trend </w:t>
            </w:r>
            <w:r w:rsidR="007358D7">
              <w:t>for</w:t>
            </w:r>
            <w:r w:rsidR="007358D7" w:rsidRPr="007358D7">
              <w:t xml:space="preserve"> both Zones of the fishery. </w:t>
            </w:r>
          </w:p>
          <w:p w14:paraId="369F9CBA" w14:textId="01E6F6EE" w:rsidR="0095124D" w:rsidRDefault="003C2A6C" w:rsidP="002B2133">
            <w:pPr>
              <w:spacing w:before="80" w:after="80" w:line="276" w:lineRule="auto"/>
              <w:rPr>
                <w:rFonts w:cs="Arial"/>
              </w:rPr>
            </w:pPr>
            <w:r w:rsidRPr="00483B2E">
              <w:rPr>
                <w:rFonts w:cs="Arial"/>
              </w:rPr>
              <w:t>While monitor</w:t>
            </w:r>
            <w:r>
              <w:rPr>
                <w:rFonts w:cs="Arial"/>
              </w:rPr>
              <w:t>ing</w:t>
            </w:r>
            <w:r w:rsidRPr="00483B2E">
              <w:rPr>
                <w:rFonts w:cs="Arial"/>
              </w:rPr>
              <w:t xml:space="preserve"> fishing through catch data </w:t>
            </w:r>
            <w:r>
              <w:rPr>
                <w:rFonts w:cs="Arial"/>
              </w:rPr>
              <w:t>is generally accepted as adequate, particularly in instances where there are no concerns with the species vulnerability or stock status</w:t>
            </w:r>
            <w:r w:rsidR="0079034C">
              <w:rPr>
                <w:rFonts w:cs="Arial"/>
              </w:rPr>
              <w:t xml:space="preserve">, </w:t>
            </w:r>
            <w:r w:rsidRPr="00483B2E">
              <w:rPr>
                <w:rFonts w:cs="Arial"/>
              </w:rPr>
              <w:t>this is insufficient for</w:t>
            </w:r>
            <w:r>
              <w:rPr>
                <w:rFonts w:cs="Arial"/>
              </w:rPr>
              <w:t xml:space="preserve"> </w:t>
            </w:r>
            <w:r w:rsidRPr="00483B2E">
              <w:rPr>
                <w:rFonts w:cs="Arial"/>
              </w:rPr>
              <w:t xml:space="preserve">assessing the stocks of the two </w:t>
            </w:r>
            <w:proofErr w:type="spellStart"/>
            <w:r w:rsidR="0095124D">
              <w:rPr>
                <w:rFonts w:cs="Arial"/>
              </w:rPr>
              <w:t>Teatfish</w:t>
            </w:r>
            <w:proofErr w:type="spellEnd"/>
            <w:r w:rsidR="0095124D">
              <w:rPr>
                <w:rFonts w:cs="Arial"/>
              </w:rPr>
              <w:t xml:space="preserve"> species listed under </w:t>
            </w:r>
            <w:r w:rsidRPr="00483B2E">
              <w:rPr>
                <w:rFonts w:cs="Arial"/>
              </w:rPr>
              <w:t xml:space="preserve">CITES and </w:t>
            </w:r>
            <w:r>
              <w:rPr>
                <w:rFonts w:cs="Arial"/>
              </w:rPr>
              <w:t>to monitor,</w:t>
            </w:r>
            <w:r w:rsidRPr="00483B2E">
              <w:rPr>
                <w:rFonts w:cs="Arial"/>
              </w:rPr>
              <w:t xml:space="preserve"> </w:t>
            </w:r>
            <w:r>
              <w:rPr>
                <w:rFonts w:cs="Arial"/>
              </w:rPr>
              <w:t xml:space="preserve">longer term, whether fishing will not </w:t>
            </w:r>
            <w:r w:rsidRPr="00483B2E">
              <w:rPr>
                <w:rFonts w:cs="Arial"/>
              </w:rPr>
              <w:t>be detrimental to the survival of a taxon to which the operation</w:t>
            </w:r>
            <w:r>
              <w:rPr>
                <w:rFonts w:cs="Arial"/>
              </w:rPr>
              <w:t xml:space="preserve"> </w:t>
            </w:r>
            <w:r w:rsidRPr="00483B2E">
              <w:rPr>
                <w:rFonts w:cs="Arial"/>
              </w:rPr>
              <w:t>relates; or the conservation status of a taxon to which the operation relates</w:t>
            </w:r>
            <w:r>
              <w:rPr>
                <w:rFonts w:cs="Arial"/>
              </w:rPr>
              <w:t xml:space="preserve"> as required by the EPBC Act</w:t>
            </w:r>
            <w:r w:rsidRPr="00483B2E">
              <w:rPr>
                <w:rFonts w:cs="Arial"/>
              </w:rPr>
              <w:t>.</w:t>
            </w:r>
            <w:r w:rsidR="0095124D">
              <w:rPr>
                <w:rFonts w:cs="Arial"/>
              </w:rPr>
              <w:t xml:space="preserve"> </w:t>
            </w:r>
          </w:p>
          <w:p w14:paraId="4C5D7527" w14:textId="63F4E33F" w:rsidR="0079034C" w:rsidRDefault="0095124D" w:rsidP="007308AD">
            <w:pPr>
              <w:spacing w:before="80" w:after="80" w:line="276" w:lineRule="auto"/>
              <w:rPr>
                <w:rFonts w:cs="Arial"/>
              </w:rPr>
            </w:pPr>
            <w:r>
              <w:rPr>
                <w:rFonts w:cs="Arial"/>
              </w:rPr>
              <w:t xml:space="preserve">Caution should be exercised when using </w:t>
            </w:r>
            <w:r w:rsidR="00CE7D9E">
              <w:rPr>
                <w:rFonts w:cs="Arial"/>
              </w:rPr>
              <w:t>catch-per-unit-effort</w:t>
            </w:r>
            <w:r>
              <w:rPr>
                <w:rFonts w:cs="Arial"/>
              </w:rPr>
              <w:t xml:space="preserve"> as a measure </w:t>
            </w:r>
            <w:r w:rsidR="008863CC">
              <w:rPr>
                <w:rFonts w:cs="Arial"/>
              </w:rPr>
              <w:t>o</w:t>
            </w:r>
            <w:r>
              <w:rPr>
                <w:rFonts w:cs="Arial"/>
              </w:rPr>
              <w:t xml:space="preserve">f stock health for </w:t>
            </w:r>
            <w:r w:rsidR="00A927AD">
              <w:rPr>
                <w:rFonts w:cs="Arial"/>
              </w:rPr>
              <w:t>s</w:t>
            </w:r>
            <w:r>
              <w:rPr>
                <w:rFonts w:cs="Arial"/>
              </w:rPr>
              <w:t>ea cucumber species</w:t>
            </w:r>
            <w:r w:rsidR="00A927AD">
              <w:rPr>
                <w:rFonts w:cs="Arial"/>
              </w:rPr>
              <w:t xml:space="preserve"> as </w:t>
            </w:r>
            <w:r w:rsidR="00A927AD">
              <w:t>the targeting of sedentary stocks in a multi-</w:t>
            </w:r>
            <w:r w:rsidR="00A927AD" w:rsidRPr="00007B80">
              <w:t>species</w:t>
            </w:r>
            <w:r w:rsidR="00CC0A81" w:rsidRPr="00007B80">
              <w:t>-</w:t>
            </w:r>
            <w:r w:rsidR="00A927AD" w:rsidRPr="00007B80">
              <w:t xml:space="preserve">fisheries can result in </w:t>
            </w:r>
            <w:r w:rsidR="00CE7D9E" w:rsidRPr="00007B80">
              <w:rPr>
                <w:rFonts w:cs="Arial"/>
              </w:rPr>
              <w:t>catch-per-unit-effort</w:t>
            </w:r>
            <w:r w:rsidR="00A927AD" w:rsidRPr="00007B80">
              <w:t xml:space="preserve"> being affected by factors other than abundance</w:t>
            </w:r>
            <w:r w:rsidR="0088234A" w:rsidRPr="00007B80">
              <w:t xml:space="preserve"> </w:t>
            </w:r>
            <w:hyperlink r:id="rId18" w:history="1">
              <w:r w:rsidR="0088234A" w:rsidRPr="00007B80">
                <w:rPr>
                  <w:rStyle w:val="Hyperlink"/>
                </w:rPr>
                <w:t>(Purcell</w:t>
              </w:r>
              <w:r w:rsidR="00092A77" w:rsidRPr="00007B80">
                <w:rPr>
                  <w:rStyle w:val="Hyperlink"/>
                </w:rPr>
                <w:t>,</w:t>
              </w:r>
              <w:r w:rsidR="0088234A" w:rsidRPr="00007B80">
                <w:rPr>
                  <w:rStyle w:val="Hyperlink"/>
                </w:rPr>
                <w:t xml:space="preserve"> 2010</w:t>
              </w:r>
            </w:hyperlink>
            <w:r w:rsidR="0088234A" w:rsidRPr="00007B80">
              <w:t>)</w:t>
            </w:r>
            <w:r w:rsidR="00A927AD" w:rsidRPr="00007B80">
              <w:t xml:space="preserve">. </w:t>
            </w:r>
            <w:r w:rsidR="003C2A6C" w:rsidRPr="00007B80">
              <w:rPr>
                <w:rFonts w:cs="Arial"/>
              </w:rPr>
              <w:t xml:space="preserve">Further, while the RZS can provide the benefits outlined above, it also decreases the usefulness of catch data as an indicator of stock health as it may mask signs of serial depletion because fishing moves to new grounds within fishing zones. </w:t>
            </w:r>
          </w:p>
          <w:p w14:paraId="1251D888" w14:textId="60AC4845" w:rsidR="00912684" w:rsidRPr="007308AD" w:rsidRDefault="003C2A6C" w:rsidP="007308AD">
            <w:pPr>
              <w:spacing w:before="80" w:after="80" w:line="276" w:lineRule="auto"/>
              <w:rPr>
                <w:rFonts w:cs="Arial"/>
              </w:rPr>
            </w:pPr>
            <w:r w:rsidRPr="00007B80">
              <w:rPr>
                <w:rFonts w:cs="Arial"/>
              </w:rPr>
              <w:t>Therefore, the Department recommends that conditions be applied to the short-term Part 13A approval to ensure these important undertakings are completed as soon as possible, that there are regular and robust assessment of stocks in the fishery, based on fishery-independent data and that all species are managed in a precautionary way.</w:t>
            </w:r>
            <w:r w:rsidRPr="00BA26E8">
              <w:rPr>
                <w:rFonts w:cs="Arial"/>
              </w:rPr>
              <w:t xml:space="preserve"> </w:t>
            </w:r>
          </w:p>
        </w:tc>
        <w:tc>
          <w:tcPr>
            <w:tcW w:w="6144" w:type="dxa"/>
          </w:tcPr>
          <w:p w14:paraId="68EC9E0A" w14:textId="77777777" w:rsidR="00983B2B" w:rsidRPr="00AE5829" w:rsidRDefault="00983B2B" w:rsidP="000572BF">
            <w:pPr>
              <w:spacing w:before="80" w:after="80" w:line="276" w:lineRule="auto"/>
              <w:rPr>
                <w:rFonts w:cs="Arial"/>
                <w:b/>
              </w:rPr>
            </w:pPr>
            <w:bookmarkStart w:id="16" w:name="_Hlk39561157"/>
            <w:r w:rsidRPr="00AE5829">
              <w:rPr>
                <w:rFonts w:cs="Arial"/>
                <w:b/>
              </w:rPr>
              <w:lastRenderedPageBreak/>
              <w:t>Condition 4</w:t>
            </w:r>
          </w:p>
          <w:p w14:paraId="0B910DF5" w14:textId="77777777" w:rsidR="00264263" w:rsidRDefault="000361C1" w:rsidP="00A40581">
            <w:pPr>
              <w:spacing w:line="276" w:lineRule="auto"/>
              <w:rPr>
                <w:rFonts w:cs="Arial"/>
              </w:rPr>
            </w:pPr>
            <w:r>
              <w:rPr>
                <w:rFonts w:cs="Arial"/>
              </w:rPr>
              <w:t>T</w:t>
            </w:r>
            <w:r w:rsidRPr="000361C1">
              <w:rPr>
                <w:rFonts w:cs="Arial"/>
              </w:rPr>
              <w:t>he Queensland Department of Agriculture</w:t>
            </w:r>
            <w:r w:rsidR="004936BB" w:rsidRPr="00A40581">
              <w:rPr>
                <w:rFonts w:cs="Arial"/>
              </w:rPr>
              <w:t xml:space="preserve"> must design a survey to estimate population biomass and density of Black </w:t>
            </w:r>
            <w:proofErr w:type="spellStart"/>
            <w:r w:rsidR="004936BB" w:rsidRPr="00A40581">
              <w:rPr>
                <w:rFonts w:cs="Arial"/>
              </w:rPr>
              <w:t>Teatfish</w:t>
            </w:r>
            <w:proofErr w:type="spellEnd"/>
            <w:r w:rsidR="004936BB" w:rsidRPr="00A40581">
              <w:rPr>
                <w:rFonts w:cs="Arial"/>
              </w:rPr>
              <w:t xml:space="preserve"> </w:t>
            </w:r>
            <w:r w:rsidR="002C31D6" w:rsidRPr="00A40581">
              <w:rPr>
                <w:rFonts w:cs="Arial"/>
              </w:rPr>
              <w:t>(</w:t>
            </w:r>
            <w:proofErr w:type="spellStart"/>
            <w:r w:rsidR="002C31D6" w:rsidRPr="00A40581">
              <w:rPr>
                <w:rFonts w:cs="Arial"/>
                <w:i/>
              </w:rPr>
              <w:t>Holothuria</w:t>
            </w:r>
            <w:proofErr w:type="spellEnd"/>
            <w:r w:rsidR="002C31D6" w:rsidRPr="00A40581">
              <w:rPr>
                <w:rFonts w:cs="Arial"/>
                <w:i/>
              </w:rPr>
              <w:t> </w:t>
            </w:r>
            <w:proofErr w:type="spellStart"/>
            <w:r w:rsidR="002C31D6" w:rsidRPr="00A40581">
              <w:rPr>
                <w:rFonts w:cs="Arial"/>
                <w:i/>
              </w:rPr>
              <w:t>whitmaei</w:t>
            </w:r>
            <w:proofErr w:type="spellEnd"/>
            <w:r w:rsidR="002C31D6" w:rsidRPr="00A40581">
              <w:rPr>
                <w:rFonts w:cs="Arial"/>
              </w:rPr>
              <w:t xml:space="preserve">) </w:t>
            </w:r>
            <w:r w:rsidR="004936BB" w:rsidRPr="00A40581">
              <w:rPr>
                <w:rFonts w:cs="Arial"/>
              </w:rPr>
              <w:t xml:space="preserve">in </w:t>
            </w:r>
            <w:r w:rsidR="00264263" w:rsidRPr="00264263">
              <w:rPr>
                <w:rFonts w:cs="Arial"/>
              </w:rPr>
              <w:t xml:space="preserve">waters within </w:t>
            </w:r>
            <w:r w:rsidR="00264263">
              <w:rPr>
                <w:rFonts w:cs="Arial"/>
              </w:rPr>
              <w:t xml:space="preserve">the </w:t>
            </w:r>
            <w:r w:rsidR="00264263" w:rsidRPr="00AE5829">
              <w:t xml:space="preserve">area of Queensland </w:t>
            </w:r>
            <w:r w:rsidR="00264263">
              <w:t>Sea Cucumber Fishery (East Coast)</w:t>
            </w:r>
            <w:r w:rsidR="00264263" w:rsidRPr="00AE5829">
              <w:t xml:space="preserve"> </w:t>
            </w:r>
            <w:r w:rsidR="00264263" w:rsidRPr="00264263">
              <w:rPr>
                <w:rFonts w:cs="Arial"/>
              </w:rPr>
              <w:t>south of 19 degrees south</w:t>
            </w:r>
            <w:r w:rsidR="00264263">
              <w:rPr>
                <w:rFonts w:cs="Arial"/>
              </w:rPr>
              <w:t>. T</w:t>
            </w:r>
            <w:r w:rsidR="00264263" w:rsidRPr="00264263">
              <w:rPr>
                <w:rFonts w:cs="Arial"/>
              </w:rPr>
              <w:t>he proposed transect locations will be detailed in the survey design</w:t>
            </w:r>
            <w:r w:rsidR="004936BB" w:rsidRPr="00A40581">
              <w:rPr>
                <w:rFonts w:cs="Arial"/>
              </w:rPr>
              <w:t>.</w:t>
            </w:r>
          </w:p>
          <w:p w14:paraId="113F469F" w14:textId="082842A3" w:rsidR="004936BB" w:rsidRDefault="004936BB" w:rsidP="00A40581">
            <w:pPr>
              <w:spacing w:line="276" w:lineRule="auto"/>
              <w:rPr>
                <w:rFonts w:cs="Arial"/>
              </w:rPr>
            </w:pPr>
            <w:r w:rsidRPr="00A40581">
              <w:rPr>
                <w:rFonts w:cs="Arial"/>
              </w:rPr>
              <w:t xml:space="preserve">This fishery-independent design approach must be peer-reviewed by </w:t>
            </w:r>
            <w:r w:rsidRPr="00A40581">
              <w:rPr>
                <w:rFonts w:cs="Arial"/>
                <w:b/>
                <w:bCs/>
              </w:rPr>
              <w:t>31 January 2021</w:t>
            </w:r>
            <w:r w:rsidRPr="00A40581">
              <w:rPr>
                <w:rFonts w:cs="Arial"/>
              </w:rPr>
              <w:t xml:space="preserve">. The Zone 2 survey must be </w:t>
            </w:r>
            <w:proofErr w:type="gramStart"/>
            <w:r w:rsidRPr="00A40581">
              <w:rPr>
                <w:rFonts w:cs="Arial"/>
              </w:rPr>
              <w:t>completed</w:t>
            </w:r>
            <w:proofErr w:type="gramEnd"/>
            <w:r w:rsidRPr="00A40581">
              <w:rPr>
                <w:rFonts w:cs="Arial"/>
              </w:rPr>
              <w:t xml:space="preserve"> and results published by </w:t>
            </w:r>
            <w:r w:rsidRPr="00A40581">
              <w:rPr>
                <w:rFonts w:cs="Arial"/>
                <w:b/>
                <w:bCs/>
              </w:rPr>
              <w:t>31 July 2021</w:t>
            </w:r>
            <w:r w:rsidRPr="00A40581">
              <w:rPr>
                <w:rFonts w:cs="Arial"/>
              </w:rPr>
              <w:t>.</w:t>
            </w:r>
          </w:p>
          <w:p w14:paraId="5DAD033F" w14:textId="77777777" w:rsidR="004936BB" w:rsidRPr="00AE5829" w:rsidRDefault="004936BB" w:rsidP="003C602A"/>
          <w:p w14:paraId="673CD7C5" w14:textId="00FC12EF" w:rsidR="003C602A" w:rsidRPr="00AE5829" w:rsidRDefault="003C602A" w:rsidP="000C7574">
            <w:pPr>
              <w:spacing w:before="80" w:after="80" w:line="276" w:lineRule="auto"/>
              <w:rPr>
                <w:rFonts w:cs="Arial"/>
                <w:b/>
              </w:rPr>
            </w:pPr>
            <w:r w:rsidRPr="00AE5829">
              <w:rPr>
                <w:rFonts w:cs="Arial"/>
                <w:b/>
              </w:rPr>
              <w:t>Condition 5</w:t>
            </w:r>
          </w:p>
          <w:p w14:paraId="0CEF0371" w14:textId="2C5DD38C" w:rsidR="004936BB" w:rsidRPr="00AE5829" w:rsidRDefault="004936BB" w:rsidP="004936BB">
            <w:pPr>
              <w:spacing w:before="80" w:after="80" w:line="276" w:lineRule="auto"/>
            </w:pPr>
            <w:r w:rsidRPr="00AE5829">
              <w:t>By</w:t>
            </w:r>
            <w:r w:rsidRPr="00AE5829">
              <w:rPr>
                <w:b/>
                <w:bCs/>
              </w:rPr>
              <w:t xml:space="preserve"> 30 April 2021, </w:t>
            </w:r>
            <w:r w:rsidRPr="00AE5829">
              <w:t xml:space="preserve">the Queensland Department of Agriculture and Fisheries must conduct a feasibility study for divers and/or remotely operated vehicles to conduct a fishery-independent survey of the </w:t>
            </w:r>
            <w:r w:rsidR="002C31D6" w:rsidRPr="00FD0667">
              <w:t xml:space="preserve">White </w:t>
            </w:r>
            <w:proofErr w:type="spellStart"/>
            <w:r w:rsidR="002C31D6" w:rsidRPr="00FD0667">
              <w:t>Teatfish</w:t>
            </w:r>
            <w:proofErr w:type="spellEnd"/>
            <w:r w:rsidR="002C31D6" w:rsidRPr="00FD0667">
              <w:t xml:space="preserve"> (</w:t>
            </w:r>
            <w:proofErr w:type="spellStart"/>
            <w:r w:rsidR="002C31D6" w:rsidRPr="00FD0667">
              <w:rPr>
                <w:i/>
              </w:rPr>
              <w:t>Holothuria</w:t>
            </w:r>
            <w:proofErr w:type="spellEnd"/>
            <w:r w:rsidR="002C31D6">
              <w:rPr>
                <w:i/>
              </w:rPr>
              <w:t> </w:t>
            </w:r>
            <w:proofErr w:type="spellStart"/>
            <w:r w:rsidR="002C31D6" w:rsidRPr="00FD0667">
              <w:rPr>
                <w:i/>
                <w:iCs/>
                <w:lang w:val="en"/>
              </w:rPr>
              <w:t>fuscogilva</w:t>
            </w:r>
            <w:proofErr w:type="spellEnd"/>
            <w:r w:rsidR="002C31D6" w:rsidRPr="00FD0667">
              <w:rPr>
                <w:lang w:val="en"/>
              </w:rPr>
              <w:t>)</w:t>
            </w:r>
            <w:r w:rsidRPr="00AE5829">
              <w:t xml:space="preserve"> population in the area of Queensland </w:t>
            </w:r>
            <w:r w:rsidR="00BF3D43">
              <w:t>Sea Cucumber Fishery (East Coast)</w:t>
            </w:r>
            <w:r w:rsidRPr="00AE5829">
              <w:t xml:space="preserve"> that will:</w:t>
            </w:r>
          </w:p>
          <w:p w14:paraId="4863B2DC" w14:textId="77777777" w:rsidR="004936BB" w:rsidRPr="00AE5829" w:rsidRDefault="004936BB" w:rsidP="004936BB">
            <w:pPr>
              <w:numPr>
                <w:ilvl w:val="0"/>
                <w:numId w:val="29"/>
              </w:numPr>
              <w:spacing w:before="80" w:after="80" w:line="276" w:lineRule="auto"/>
            </w:pPr>
            <w:r w:rsidRPr="00AE5829">
              <w:t xml:space="preserve">Be suitable to estimate population biomass and density for the </w:t>
            </w:r>
            <w:proofErr w:type="gramStart"/>
            <w:r w:rsidRPr="00AE5829">
              <w:t>species;</w:t>
            </w:r>
            <w:proofErr w:type="gramEnd"/>
          </w:p>
          <w:p w14:paraId="33D16D3A" w14:textId="77777777" w:rsidR="004936BB" w:rsidRPr="00AE5829" w:rsidRDefault="004936BB" w:rsidP="004936BB">
            <w:pPr>
              <w:numPr>
                <w:ilvl w:val="0"/>
                <w:numId w:val="29"/>
              </w:numPr>
              <w:spacing w:before="80" w:after="80" w:line="276" w:lineRule="auto"/>
            </w:pPr>
            <w:r w:rsidRPr="00AE5829">
              <w:t xml:space="preserve">Be peer </w:t>
            </w:r>
            <w:proofErr w:type="gramStart"/>
            <w:r w:rsidRPr="00AE5829">
              <w:t>reviewed;</w:t>
            </w:r>
            <w:proofErr w:type="gramEnd"/>
          </w:p>
          <w:p w14:paraId="0458129B" w14:textId="77777777" w:rsidR="004936BB" w:rsidRPr="00AE5829" w:rsidRDefault="004936BB" w:rsidP="004936BB">
            <w:pPr>
              <w:numPr>
                <w:ilvl w:val="0"/>
                <w:numId w:val="29"/>
              </w:numPr>
              <w:spacing w:before="80" w:after="80" w:line="276" w:lineRule="auto"/>
            </w:pPr>
            <w:r w:rsidRPr="00AE5829">
              <w:t>Provide information to evaluate the use of survey data in a stock assessment; and</w:t>
            </w:r>
          </w:p>
          <w:p w14:paraId="27D93713" w14:textId="106BA75B" w:rsidR="004936BB" w:rsidRPr="00AE5829" w:rsidRDefault="004936BB" w:rsidP="00AE5829">
            <w:pPr>
              <w:numPr>
                <w:ilvl w:val="0"/>
                <w:numId w:val="29"/>
              </w:numPr>
              <w:spacing w:before="80" w:after="80" w:line="276" w:lineRule="auto"/>
            </w:pPr>
            <w:r w:rsidRPr="00AE5829">
              <w:lastRenderedPageBreak/>
              <w:t>If feasible, include a proposed date for completion and publication of survey results.</w:t>
            </w:r>
          </w:p>
          <w:p w14:paraId="61DD9176" w14:textId="4FA7619D" w:rsidR="004936BB" w:rsidRPr="00AE5829" w:rsidRDefault="004936BB" w:rsidP="004936BB">
            <w:r w:rsidRPr="00AE5829">
              <w:t xml:space="preserve">The results of the White </w:t>
            </w:r>
            <w:proofErr w:type="spellStart"/>
            <w:r w:rsidRPr="00AE5829">
              <w:t>Teatfish</w:t>
            </w:r>
            <w:proofErr w:type="spellEnd"/>
            <w:r w:rsidRPr="00AE5829">
              <w:t xml:space="preserve"> survey feasibility study must be made publicly available by </w:t>
            </w:r>
            <w:r w:rsidRPr="00AE5829">
              <w:rPr>
                <w:b/>
                <w:bCs/>
              </w:rPr>
              <w:t>31 July 2021.</w:t>
            </w:r>
          </w:p>
          <w:p w14:paraId="36DE17F9" w14:textId="345CEF62" w:rsidR="00EC3652" w:rsidRPr="00AE5829" w:rsidRDefault="00EC3652" w:rsidP="00341D32"/>
          <w:p w14:paraId="0CEE6A1B" w14:textId="2EE334B8" w:rsidR="00EC3652" w:rsidRPr="00AE5829" w:rsidRDefault="00EC3652" w:rsidP="00EC3652">
            <w:pPr>
              <w:spacing w:before="80" w:after="80" w:line="276" w:lineRule="auto"/>
              <w:rPr>
                <w:rFonts w:cs="Arial"/>
                <w:b/>
              </w:rPr>
            </w:pPr>
            <w:r w:rsidRPr="00AE5829">
              <w:rPr>
                <w:rFonts w:cs="Arial"/>
                <w:b/>
              </w:rPr>
              <w:t>Condition 6</w:t>
            </w:r>
          </w:p>
          <w:p w14:paraId="2806F845" w14:textId="26897BB3" w:rsidR="003C602A" w:rsidRPr="00AE5829" w:rsidRDefault="003C602A" w:rsidP="00054A98">
            <w:pPr>
              <w:spacing w:line="276" w:lineRule="auto"/>
            </w:pPr>
            <w:r w:rsidRPr="00AE5829">
              <w:t xml:space="preserve">By </w:t>
            </w:r>
            <w:r w:rsidRPr="00AE5829">
              <w:rPr>
                <w:b/>
              </w:rPr>
              <w:t>3</w:t>
            </w:r>
            <w:r w:rsidR="00EC3652" w:rsidRPr="00AE5829">
              <w:rPr>
                <w:b/>
              </w:rPr>
              <w:t>0</w:t>
            </w:r>
            <w:r w:rsidRPr="00AE5829">
              <w:rPr>
                <w:b/>
              </w:rPr>
              <w:t xml:space="preserve"> </w:t>
            </w:r>
            <w:r w:rsidR="00EC3652" w:rsidRPr="00AE5829">
              <w:rPr>
                <w:b/>
              </w:rPr>
              <w:t>September</w:t>
            </w:r>
            <w:r w:rsidRPr="00AE5829">
              <w:rPr>
                <w:b/>
              </w:rPr>
              <w:t xml:space="preserve"> 2021</w:t>
            </w:r>
            <w:r w:rsidRPr="00AE5829">
              <w:t xml:space="preserve">, the Queensland Department of Agriculture and Fisheries must complete and publish stock assessment(s) for the </w:t>
            </w:r>
            <w:r w:rsidR="004936BB" w:rsidRPr="00AE5829">
              <w:t xml:space="preserve">Black </w:t>
            </w:r>
            <w:proofErr w:type="spellStart"/>
            <w:r w:rsidR="004936BB" w:rsidRPr="00AE5829">
              <w:t>Teatfish</w:t>
            </w:r>
            <w:proofErr w:type="spellEnd"/>
            <w:r w:rsidR="004936BB" w:rsidRPr="00AE5829">
              <w:t xml:space="preserve"> </w:t>
            </w:r>
            <w:r w:rsidR="002C31D6" w:rsidRPr="00FD0667">
              <w:t>(</w:t>
            </w:r>
            <w:proofErr w:type="spellStart"/>
            <w:r w:rsidR="002C31D6" w:rsidRPr="00FD0667">
              <w:rPr>
                <w:i/>
              </w:rPr>
              <w:t>Holothuria</w:t>
            </w:r>
            <w:proofErr w:type="spellEnd"/>
            <w:r w:rsidR="002C31D6">
              <w:rPr>
                <w:i/>
              </w:rPr>
              <w:t> </w:t>
            </w:r>
            <w:proofErr w:type="spellStart"/>
            <w:r w:rsidR="002C31D6" w:rsidRPr="00FD0667">
              <w:rPr>
                <w:i/>
              </w:rPr>
              <w:t>whitmaei</w:t>
            </w:r>
            <w:proofErr w:type="spellEnd"/>
            <w:r w:rsidR="002C31D6" w:rsidRPr="00FD0667">
              <w:t>)</w:t>
            </w:r>
            <w:r w:rsidR="002C31D6" w:rsidRPr="00912684">
              <w:t xml:space="preserve"> and </w:t>
            </w:r>
            <w:r w:rsidR="002C31D6" w:rsidRPr="00FD0667">
              <w:t xml:space="preserve">White </w:t>
            </w:r>
            <w:proofErr w:type="spellStart"/>
            <w:r w:rsidR="002C31D6" w:rsidRPr="00FD0667">
              <w:t>Teatfish</w:t>
            </w:r>
            <w:proofErr w:type="spellEnd"/>
            <w:r w:rsidR="002C31D6" w:rsidRPr="00FD0667">
              <w:t xml:space="preserve"> (</w:t>
            </w:r>
            <w:r w:rsidR="002C31D6" w:rsidRPr="00FD0667">
              <w:rPr>
                <w:i/>
                <w:iCs/>
              </w:rPr>
              <w:t>H</w:t>
            </w:r>
            <w:r w:rsidR="002C31D6">
              <w:rPr>
                <w:i/>
                <w:iCs/>
              </w:rPr>
              <w:t>.</w:t>
            </w:r>
            <w:r w:rsidR="002C31D6">
              <w:rPr>
                <w:i/>
                <w:iCs/>
                <w:lang w:val="en"/>
              </w:rPr>
              <w:t> </w:t>
            </w:r>
            <w:proofErr w:type="spellStart"/>
            <w:r w:rsidR="002C31D6" w:rsidRPr="00FD0667">
              <w:rPr>
                <w:i/>
                <w:iCs/>
                <w:lang w:val="en"/>
              </w:rPr>
              <w:t>fuscogilva</w:t>
            </w:r>
            <w:proofErr w:type="spellEnd"/>
            <w:r w:rsidR="002C31D6" w:rsidRPr="00FD0667">
              <w:rPr>
                <w:lang w:val="en"/>
              </w:rPr>
              <w:t>)</w:t>
            </w:r>
            <w:r w:rsidR="002C31D6">
              <w:rPr>
                <w:lang w:val="en"/>
              </w:rPr>
              <w:t xml:space="preserve"> </w:t>
            </w:r>
            <w:r w:rsidR="004936BB" w:rsidRPr="00AE5829">
              <w:t xml:space="preserve">in the </w:t>
            </w:r>
            <w:r w:rsidRPr="00AE5829">
              <w:t xml:space="preserve">Queensland </w:t>
            </w:r>
            <w:r w:rsidR="00BF3D43">
              <w:t>Sea Cucumber Fishery (East Coast)</w:t>
            </w:r>
            <w:r w:rsidR="004936BB" w:rsidRPr="00AE5829">
              <w:t>. The stock</w:t>
            </w:r>
            <w:r w:rsidRPr="00AE5829">
              <w:t xml:space="preserve"> assessment </w:t>
            </w:r>
            <w:r w:rsidR="004936BB" w:rsidRPr="00AE5829">
              <w:t xml:space="preserve">for Black </w:t>
            </w:r>
            <w:proofErr w:type="spellStart"/>
            <w:r w:rsidR="004936BB" w:rsidRPr="00AE5829">
              <w:t>Teatfish</w:t>
            </w:r>
            <w:proofErr w:type="spellEnd"/>
            <w:r w:rsidR="004936BB" w:rsidRPr="00AE5829">
              <w:t xml:space="preserve"> must be based on the results </w:t>
            </w:r>
            <w:r w:rsidRPr="00AE5829">
              <w:t xml:space="preserve">of the </w:t>
            </w:r>
            <w:r w:rsidR="004936BB" w:rsidRPr="00AE5829">
              <w:t>survey undertaken as part of Condition 4</w:t>
            </w:r>
            <w:r w:rsidRPr="00AE5829">
              <w:t>.</w:t>
            </w:r>
          </w:p>
          <w:p w14:paraId="402FAE67" w14:textId="77777777" w:rsidR="004936BB" w:rsidRPr="00AE5829" w:rsidRDefault="004936BB" w:rsidP="00054A98">
            <w:pPr>
              <w:spacing w:line="276" w:lineRule="auto"/>
            </w:pPr>
          </w:p>
          <w:p w14:paraId="281A626F" w14:textId="790C848F" w:rsidR="003C602A" w:rsidRPr="00AE5829" w:rsidRDefault="003C602A" w:rsidP="000C7574">
            <w:pPr>
              <w:spacing w:before="80" w:after="80" w:line="276" w:lineRule="auto"/>
              <w:rPr>
                <w:rFonts w:cs="Arial"/>
                <w:b/>
              </w:rPr>
            </w:pPr>
            <w:r w:rsidRPr="00AE5829">
              <w:rPr>
                <w:rFonts w:cs="Arial"/>
                <w:b/>
              </w:rPr>
              <w:t xml:space="preserve">Condition </w:t>
            </w:r>
            <w:r w:rsidR="00A2242D" w:rsidRPr="00AE5829">
              <w:rPr>
                <w:rFonts w:cs="Arial"/>
                <w:b/>
              </w:rPr>
              <w:t>7</w:t>
            </w:r>
          </w:p>
          <w:p w14:paraId="10F6DEC1" w14:textId="3F24FB20" w:rsidR="004936BB" w:rsidRPr="00AE5829" w:rsidRDefault="004936BB" w:rsidP="00054A98">
            <w:pPr>
              <w:spacing w:before="80" w:after="80" w:line="276" w:lineRule="auto"/>
            </w:pPr>
            <w:r w:rsidRPr="00AE5829">
              <w:t xml:space="preserve">By </w:t>
            </w:r>
            <w:r w:rsidRPr="00AE5829">
              <w:rPr>
                <w:b/>
                <w:bCs/>
              </w:rPr>
              <w:t>30 September 2021</w:t>
            </w:r>
            <w:r w:rsidRPr="00AE5829">
              <w:t>, the Queensland Department of Agriculture and Fisheries are to:</w:t>
            </w:r>
          </w:p>
          <w:p w14:paraId="69CC4D01" w14:textId="786F6F18" w:rsidR="003C602A" w:rsidRPr="00AE5829" w:rsidRDefault="003C602A" w:rsidP="00054A98">
            <w:pPr>
              <w:numPr>
                <w:ilvl w:val="0"/>
                <w:numId w:val="26"/>
              </w:numPr>
              <w:spacing w:before="80" w:after="80" w:line="276" w:lineRule="auto"/>
            </w:pPr>
            <w:r w:rsidRPr="00AE5829">
              <w:t xml:space="preserve">maintain the Total Allowable Catch for White </w:t>
            </w:r>
            <w:proofErr w:type="spellStart"/>
            <w:r w:rsidRPr="00AE5829">
              <w:t>Teatfish</w:t>
            </w:r>
            <w:proofErr w:type="spellEnd"/>
            <w:r w:rsidRPr="00AE5829">
              <w:t xml:space="preserve"> (</w:t>
            </w:r>
            <w:proofErr w:type="spellStart"/>
            <w:r w:rsidR="004936BB" w:rsidRPr="00FD0667">
              <w:rPr>
                <w:i/>
              </w:rPr>
              <w:t>Holothuria</w:t>
            </w:r>
            <w:proofErr w:type="spellEnd"/>
            <w:r w:rsidRPr="00AE5829">
              <w:rPr>
                <w:i/>
              </w:rPr>
              <w:t xml:space="preserve"> </w:t>
            </w:r>
            <w:proofErr w:type="spellStart"/>
            <w:r w:rsidRPr="00AE5829">
              <w:rPr>
                <w:i/>
              </w:rPr>
              <w:t>fuscogilva</w:t>
            </w:r>
            <w:proofErr w:type="spellEnd"/>
            <w:r w:rsidRPr="00AE5829">
              <w:t xml:space="preserve">) in the Queensland </w:t>
            </w:r>
            <w:r w:rsidR="00BF3D43">
              <w:t>Sea Cucumber Fishery (East Coast)</w:t>
            </w:r>
            <w:r w:rsidRPr="00AE5829">
              <w:t xml:space="preserve"> at no more than 53 </w:t>
            </w:r>
            <w:proofErr w:type="gramStart"/>
            <w:r w:rsidRPr="00AE5829">
              <w:t>tonnes</w:t>
            </w:r>
            <w:r w:rsidR="004936BB" w:rsidRPr="00AE5829">
              <w:t>;</w:t>
            </w:r>
            <w:proofErr w:type="gramEnd"/>
            <w:r w:rsidRPr="00AE5829">
              <w:t xml:space="preserve"> </w:t>
            </w:r>
          </w:p>
          <w:p w14:paraId="48287C42" w14:textId="6605F01D" w:rsidR="005A1480" w:rsidRDefault="003C602A" w:rsidP="00054A98">
            <w:pPr>
              <w:numPr>
                <w:ilvl w:val="0"/>
                <w:numId w:val="26"/>
              </w:numPr>
              <w:spacing w:before="80" w:after="80" w:line="276" w:lineRule="auto"/>
            </w:pPr>
            <w:r w:rsidRPr="00AE5829">
              <w:t xml:space="preserve">maintain the Total Allowable Catch for Black </w:t>
            </w:r>
            <w:proofErr w:type="spellStart"/>
            <w:r w:rsidRPr="00AE5829">
              <w:t>Teatfish</w:t>
            </w:r>
            <w:proofErr w:type="spellEnd"/>
            <w:r w:rsidRPr="00AE5829">
              <w:t xml:space="preserve"> (</w:t>
            </w:r>
            <w:proofErr w:type="spellStart"/>
            <w:r w:rsidR="002C31D6" w:rsidRPr="00FD0667">
              <w:rPr>
                <w:i/>
              </w:rPr>
              <w:t>Holothuria</w:t>
            </w:r>
            <w:proofErr w:type="spellEnd"/>
            <w:r w:rsidR="004936BB" w:rsidRPr="00AE5829">
              <w:rPr>
                <w:i/>
                <w:iCs/>
              </w:rPr>
              <w:t xml:space="preserve"> </w:t>
            </w:r>
            <w:proofErr w:type="spellStart"/>
            <w:r w:rsidR="004936BB" w:rsidRPr="00AE5829">
              <w:rPr>
                <w:i/>
                <w:iCs/>
              </w:rPr>
              <w:t>whitmaei</w:t>
            </w:r>
            <w:proofErr w:type="spellEnd"/>
            <w:r w:rsidR="004936BB" w:rsidRPr="00AE5829">
              <w:t xml:space="preserve">) in the Queensland </w:t>
            </w:r>
            <w:r w:rsidR="00BF3D43">
              <w:t>Sea Cucumber Fishery (East Coast)</w:t>
            </w:r>
            <w:r w:rsidR="004936BB" w:rsidRPr="00AE5829">
              <w:t xml:space="preserve"> at no more than 30 </w:t>
            </w:r>
            <w:proofErr w:type="gramStart"/>
            <w:r w:rsidR="004936BB" w:rsidRPr="00AE5829">
              <w:t>tonnes;</w:t>
            </w:r>
            <w:proofErr w:type="gramEnd"/>
            <w:r w:rsidR="004936BB" w:rsidRPr="00AE5829">
              <w:t xml:space="preserve"> and, </w:t>
            </w:r>
          </w:p>
          <w:p w14:paraId="2142E8B5" w14:textId="0CD9873E" w:rsidR="003F6F7F" w:rsidRPr="00AE5829" w:rsidRDefault="005A1480" w:rsidP="00054A98">
            <w:pPr>
              <w:numPr>
                <w:ilvl w:val="0"/>
                <w:numId w:val="26"/>
              </w:numPr>
              <w:spacing w:before="80" w:after="80" w:line="276" w:lineRule="auto"/>
            </w:pPr>
            <w:r>
              <w:t>p</w:t>
            </w:r>
            <w:r w:rsidR="004936BB" w:rsidRPr="00AE5829">
              <w:t xml:space="preserve">rovide a </w:t>
            </w:r>
            <w:r w:rsidR="003C602A" w:rsidRPr="00AE5829">
              <w:t xml:space="preserve">report to the CITES Scientific Authority of Australia, as part of the annual reporting referred to in Condition 3, </w:t>
            </w:r>
            <w:r w:rsidR="004936BB" w:rsidRPr="00AE5829">
              <w:t xml:space="preserve">on </w:t>
            </w:r>
            <w:r w:rsidR="003C602A" w:rsidRPr="00AE5829">
              <w:t xml:space="preserve">the amount of Black </w:t>
            </w:r>
            <w:proofErr w:type="spellStart"/>
            <w:r w:rsidR="003C602A" w:rsidRPr="00AE5829">
              <w:t>Teatfish</w:t>
            </w:r>
            <w:proofErr w:type="spellEnd"/>
            <w:r w:rsidR="003C602A" w:rsidRPr="00AE5829">
              <w:t xml:space="preserve"> and White </w:t>
            </w:r>
            <w:proofErr w:type="spellStart"/>
            <w:r w:rsidR="003C602A" w:rsidRPr="00AE5829">
              <w:t>Teatfish</w:t>
            </w:r>
            <w:proofErr w:type="spellEnd"/>
            <w:r w:rsidR="003C602A" w:rsidRPr="00AE5829">
              <w:t xml:space="preserve"> harvested in </w:t>
            </w:r>
            <w:r w:rsidR="000361C1">
              <w:t xml:space="preserve">the Queensland </w:t>
            </w:r>
            <w:r w:rsidR="000361C1" w:rsidRPr="000361C1">
              <w:t xml:space="preserve">Sea </w:t>
            </w:r>
            <w:r w:rsidR="000361C1" w:rsidRPr="000361C1">
              <w:lastRenderedPageBreak/>
              <w:t xml:space="preserve">Cucumber Fishery (East Coast). </w:t>
            </w:r>
            <w:r w:rsidR="003C602A" w:rsidRPr="00AE5829">
              <w:t>by weight, the number of individuals and locations of harvest.</w:t>
            </w:r>
            <w:bookmarkEnd w:id="16"/>
          </w:p>
        </w:tc>
      </w:tr>
      <w:bookmarkEnd w:id="13"/>
      <w:bookmarkEnd w:id="10"/>
    </w:tbl>
    <w:p w14:paraId="7D21E1FC" w14:textId="77777777" w:rsidR="00983B2B" w:rsidRDefault="00983B2B">
      <w:pPr>
        <w:spacing w:before="0" w:after="0"/>
        <w:rPr>
          <w:rFonts w:cs="Arial"/>
          <w:b/>
          <w:caps/>
          <w:sz w:val="24"/>
          <w:highlight w:val="yellow"/>
        </w:rPr>
      </w:pPr>
      <w:r>
        <w:rPr>
          <w:highlight w:val="yellow"/>
        </w:rPr>
        <w:lastRenderedPageBreak/>
        <w:br w:type="page"/>
      </w:r>
    </w:p>
    <w:p w14:paraId="104F2B01" w14:textId="6F35C70B" w:rsidR="00885298" w:rsidRPr="004056C7" w:rsidRDefault="0027415B" w:rsidP="007F171B">
      <w:pPr>
        <w:pStyle w:val="Heading1"/>
        <w:rPr>
          <w:rFonts w:ascii="Arial" w:hAnsi="Arial"/>
          <w:u w:val="single"/>
        </w:rPr>
      </w:pPr>
      <w:bookmarkStart w:id="17" w:name="_Toc51057519"/>
      <w:r w:rsidRPr="004056C7">
        <w:rPr>
          <w:rFonts w:ascii="Arial" w:hAnsi="Arial"/>
        </w:rPr>
        <w:lastRenderedPageBreak/>
        <w:t>Section</w:t>
      </w:r>
      <w:r w:rsidR="0027138D" w:rsidRPr="004056C7">
        <w:rPr>
          <w:rFonts w:ascii="Arial" w:hAnsi="Arial"/>
        </w:rPr>
        <w:t xml:space="preserve"> </w:t>
      </w:r>
      <w:r w:rsidR="00983B2B" w:rsidRPr="004056C7">
        <w:rPr>
          <w:rFonts w:ascii="Arial" w:hAnsi="Arial"/>
        </w:rPr>
        <w:t>3</w:t>
      </w:r>
      <w:r w:rsidR="0027138D" w:rsidRPr="004056C7">
        <w:rPr>
          <w:rFonts w:ascii="Arial" w:hAnsi="Arial"/>
        </w:rPr>
        <w:t xml:space="preserve">: </w:t>
      </w:r>
      <w:r w:rsidRPr="004056C7">
        <w:rPr>
          <w:rFonts w:ascii="Arial" w:hAnsi="Arial"/>
        </w:rPr>
        <w:t xml:space="preserve">Detailed </w:t>
      </w:r>
      <w:r w:rsidR="00534237" w:rsidRPr="004056C7">
        <w:rPr>
          <w:rFonts w:ascii="Arial" w:hAnsi="Arial"/>
        </w:rPr>
        <w:t xml:space="preserve">analysis </w:t>
      </w:r>
      <w:r w:rsidR="00DA3A36" w:rsidRPr="004056C7">
        <w:rPr>
          <w:rFonts w:ascii="Arial" w:hAnsi="Arial"/>
        </w:rPr>
        <w:t xml:space="preserve">against </w:t>
      </w:r>
      <w:r w:rsidRPr="004056C7">
        <w:rPr>
          <w:rFonts w:ascii="Arial" w:hAnsi="Arial"/>
        </w:rPr>
        <w:t>the Guidelines</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10256"/>
      </w:tblGrid>
      <w:tr w:rsidR="00885298" w:rsidRPr="004056C7" w14:paraId="48EAFFFA" w14:textId="77777777" w:rsidTr="00740F71">
        <w:trPr>
          <w:cantSplit/>
        </w:trPr>
        <w:tc>
          <w:tcPr>
            <w:tcW w:w="1532" w:type="pct"/>
            <w:shd w:val="clear" w:color="auto" w:fill="auto"/>
            <w:vAlign w:val="center"/>
          </w:tcPr>
          <w:p w14:paraId="48317278" w14:textId="165C73C2" w:rsidR="00885298" w:rsidRPr="004056C7" w:rsidRDefault="00885298" w:rsidP="007F171B">
            <w:pPr>
              <w:spacing w:before="80" w:after="80" w:line="276" w:lineRule="auto"/>
              <w:jc w:val="center"/>
              <w:rPr>
                <w:rFonts w:cs="Arial"/>
              </w:rPr>
            </w:pPr>
            <w:r w:rsidRPr="004056C7">
              <w:rPr>
                <w:rFonts w:cs="Arial"/>
                <w:lang w:eastAsia="en-AU"/>
              </w:rPr>
              <w:br w:type="page"/>
            </w:r>
            <w:r w:rsidRPr="004056C7">
              <w:rPr>
                <w:rFonts w:cs="Arial"/>
                <w:b/>
              </w:rPr>
              <w:t>Guidelines</w:t>
            </w:r>
            <w:r w:rsidR="0027415B" w:rsidRPr="004056C7">
              <w:rPr>
                <w:rFonts w:cs="Arial"/>
                <w:b/>
              </w:rPr>
              <w:t xml:space="preserve"> criteria</w:t>
            </w:r>
          </w:p>
        </w:tc>
        <w:tc>
          <w:tcPr>
            <w:tcW w:w="3468" w:type="pct"/>
            <w:shd w:val="clear" w:color="auto" w:fill="FFFFFF"/>
            <w:vAlign w:val="center"/>
          </w:tcPr>
          <w:p w14:paraId="2C014CC6" w14:textId="77777777" w:rsidR="00885298" w:rsidRPr="004056C7" w:rsidRDefault="00885298" w:rsidP="007F171B">
            <w:pPr>
              <w:spacing w:before="80" w:after="80" w:line="276" w:lineRule="auto"/>
              <w:jc w:val="center"/>
              <w:rPr>
                <w:rFonts w:cs="Arial"/>
                <w:b/>
              </w:rPr>
            </w:pPr>
            <w:r w:rsidRPr="004056C7">
              <w:rPr>
                <w:rFonts w:cs="Arial"/>
                <w:b/>
              </w:rPr>
              <w:t>Comment</w:t>
            </w:r>
          </w:p>
        </w:tc>
      </w:tr>
      <w:tr w:rsidR="00885298" w:rsidRPr="004056C7" w14:paraId="734EF4DC" w14:textId="77777777" w:rsidTr="002F0C8B">
        <w:trPr>
          <w:cantSplit/>
        </w:trPr>
        <w:tc>
          <w:tcPr>
            <w:tcW w:w="5000" w:type="pct"/>
            <w:gridSpan w:val="2"/>
            <w:shd w:val="clear" w:color="auto" w:fill="FFFF66"/>
          </w:tcPr>
          <w:p w14:paraId="7A6AEE90" w14:textId="77777777" w:rsidR="00885298" w:rsidRPr="004056C7" w:rsidRDefault="00885298" w:rsidP="007F171B">
            <w:pPr>
              <w:spacing w:before="80" w:after="80" w:line="276" w:lineRule="auto"/>
              <w:rPr>
                <w:rFonts w:cs="Arial"/>
                <w:b/>
              </w:rPr>
            </w:pPr>
            <w:r w:rsidRPr="004056C7">
              <w:rPr>
                <w:rFonts w:cs="Arial"/>
                <w:b/>
              </w:rPr>
              <w:t>THE MANAGEMENT REGIME</w:t>
            </w:r>
          </w:p>
        </w:tc>
      </w:tr>
      <w:tr w:rsidR="00885298" w:rsidRPr="004056C7" w14:paraId="28AB77EE" w14:textId="77777777" w:rsidTr="002F0C8B">
        <w:trPr>
          <w:cantSplit/>
        </w:trPr>
        <w:tc>
          <w:tcPr>
            <w:tcW w:w="5000" w:type="pct"/>
            <w:gridSpan w:val="2"/>
            <w:shd w:val="clear" w:color="auto" w:fill="FFFF99"/>
          </w:tcPr>
          <w:p w14:paraId="37148127" w14:textId="52B97022" w:rsidR="00885298" w:rsidRPr="004056C7" w:rsidRDefault="00885298" w:rsidP="007F171B">
            <w:pPr>
              <w:spacing w:before="80" w:after="80" w:line="276" w:lineRule="auto"/>
              <w:rPr>
                <w:rFonts w:cs="Arial"/>
                <w:b/>
              </w:rPr>
            </w:pPr>
            <w:r w:rsidRPr="004056C7">
              <w:rPr>
                <w:rFonts w:cs="Arial"/>
              </w:rPr>
              <w:t xml:space="preserve">The management regime </w:t>
            </w:r>
            <w:r w:rsidR="008A365C" w:rsidRPr="004056C7">
              <w:rPr>
                <w:rFonts w:cs="Arial"/>
              </w:rPr>
              <w:t xml:space="preserve">may include a </w:t>
            </w:r>
            <w:r w:rsidRPr="004056C7">
              <w:rPr>
                <w:rFonts w:cs="Arial"/>
              </w:rPr>
              <w:t xml:space="preserve">statutory </w:t>
            </w:r>
            <w:r w:rsidR="008A365C" w:rsidRPr="004056C7">
              <w:rPr>
                <w:rFonts w:cs="Arial"/>
              </w:rPr>
              <w:t>or</w:t>
            </w:r>
            <w:r w:rsidRPr="004056C7">
              <w:rPr>
                <w:rFonts w:cs="Arial"/>
              </w:rPr>
              <w:t xml:space="preserve"> non-statutory management arrangements</w:t>
            </w:r>
            <w:r w:rsidR="008D2B65" w:rsidRPr="004056C7">
              <w:rPr>
                <w:rFonts w:cs="Arial"/>
              </w:rPr>
              <w:t>,</w:t>
            </w:r>
            <w:r w:rsidRPr="004056C7">
              <w:rPr>
                <w:rFonts w:cs="Arial"/>
              </w:rPr>
              <w:t xml:space="preserve"> </w:t>
            </w:r>
            <w:proofErr w:type="gramStart"/>
            <w:r w:rsidRPr="004056C7">
              <w:rPr>
                <w:rFonts w:cs="Arial"/>
              </w:rPr>
              <w:t>policies</w:t>
            </w:r>
            <w:proofErr w:type="gramEnd"/>
            <w:r w:rsidRPr="004056C7">
              <w:rPr>
                <w:rFonts w:cs="Arial"/>
              </w:rPr>
              <w:t xml:space="preserve"> and programs. The regime should:</w:t>
            </w:r>
          </w:p>
        </w:tc>
      </w:tr>
      <w:tr w:rsidR="00885298" w:rsidRPr="00983B2B" w14:paraId="72AABFAD" w14:textId="77777777" w:rsidTr="007308AD">
        <w:trPr>
          <w:cantSplit/>
        </w:trPr>
        <w:tc>
          <w:tcPr>
            <w:tcW w:w="1532" w:type="pct"/>
            <w:shd w:val="clear" w:color="auto" w:fill="FFC000"/>
          </w:tcPr>
          <w:p w14:paraId="5524B93B" w14:textId="5006AF27" w:rsidR="004649FA" w:rsidRPr="00983B2B" w:rsidRDefault="00885298" w:rsidP="007F171B">
            <w:pPr>
              <w:spacing w:before="80" w:after="80" w:line="276" w:lineRule="auto"/>
              <w:rPr>
                <w:rFonts w:cs="Arial"/>
              </w:rPr>
            </w:pPr>
            <w:r w:rsidRPr="00983B2B">
              <w:rPr>
                <w:rFonts w:cs="Arial"/>
              </w:rPr>
              <w:t>Be documented, publicly available and transparent</w:t>
            </w:r>
            <w:r w:rsidR="006B6EF9" w:rsidRPr="00983B2B">
              <w:rPr>
                <w:rFonts w:cs="Arial"/>
              </w:rPr>
              <w:t>.</w:t>
            </w:r>
          </w:p>
        </w:tc>
        <w:tc>
          <w:tcPr>
            <w:tcW w:w="3468" w:type="pct"/>
            <w:shd w:val="clear" w:color="auto" w:fill="auto"/>
          </w:tcPr>
          <w:p w14:paraId="4091F23E" w14:textId="3A0B71DD" w:rsidR="00A20C8E" w:rsidRPr="00983B2B" w:rsidRDefault="007C2810" w:rsidP="007F171B">
            <w:pPr>
              <w:spacing w:before="80" w:after="80" w:line="276" w:lineRule="auto"/>
              <w:rPr>
                <w:rFonts w:cs="Arial"/>
                <w:b/>
              </w:rPr>
            </w:pPr>
            <w:r>
              <w:rPr>
                <w:rFonts w:cs="Arial"/>
                <w:b/>
              </w:rPr>
              <w:t>Partly m</w:t>
            </w:r>
            <w:r w:rsidRPr="00983B2B">
              <w:rPr>
                <w:rFonts w:cs="Arial"/>
                <w:b/>
              </w:rPr>
              <w:t xml:space="preserve">eets </w:t>
            </w:r>
            <w:r w:rsidR="00A20C8E" w:rsidRPr="00983B2B">
              <w:rPr>
                <w:rFonts w:cs="Arial"/>
                <w:b/>
              </w:rPr>
              <w:t>–</w:t>
            </w:r>
            <w:r w:rsidR="003F5989" w:rsidRPr="00983B2B">
              <w:rPr>
                <w:rFonts w:cs="Arial"/>
                <w:b/>
              </w:rPr>
              <w:t xml:space="preserve"> </w:t>
            </w:r>
            <w:r w:rsidR="001B427F" w:rsidRPr="00983B2B">
              <w:rPr>
                <w:rFonts w:cs="Arial"/>
                <w:b/>
              </w:rPr>
              <w:t xml:space="preserve">Arrangements </w:t>
            </w:r>
            <w:r w:rsidR="00A20C8E" w:rsidRPr="00983B2B">
              <w:rPr>
                <w:rFonts w:cs="Arial"/>
                <w:b/>
              </w:rPr>
              <w:t>a</w:t>
            </w:r>
            <w:bookmarkStart w:id="18" w:name="_Hlk38981159"/>
            <w:r w:rsidR="00A20C8E" w:rsidRPr="00983B2B">
              <w:rPr>
                <w:rFonts w:cs="Arial"/>
                <w:b/>
              </w:rPr>
              <w:t xml:space="preserve">re </w:t>
            </w:r>
            <w:proofErr w:type="gramStart"/>
            <w:r w:rsidR="00A20C8E" w:rsidRPr="00983B2B">
              <w:rPr>
                <w:rFonts w:cs="Arial"/>
                <w:b/>
              </w:rPr>
              <w:t>documented</w:t>
            </w:r>
            <w:proofErr w:type="gramEnd"/>
            <w:r>
              <w:rPr>
                <w:rFonts w:cs="Arial"/>
                <w:b/>
              </w:rPr>
              <w:t xml:space="preserve"> and most are</w:t>
            </w:r>
            <w:r w:rsidR="00A20C8E" w:rsidRPr="00983B2B">
              <w:rPr>
                <w:rFonts w:cs="Arial"/>
                <w:b/>
              </w:rPr>
              <w:t xml:space="preserve"> publicly available and transparent</w:t>
            </w:r>
          </w:p>
          <w:p w14:paraId="6A1AB867" w14:textId="1FDBBB90" w:rsidR="006B31A6" w:rsidRPr="00983B2B" w:rsidRDefault="002B6310" w:rsidP="007F171B">
            <w:pPr>
              <w:spacing w:before="80" w:after="80" w:line="276" w:lineRule="auto"/>
              <w:rPr>
                <w:rFonts w:cs="Arial"/>
              </w:rPr>
            </w:pPr>
            <w:r w:rsidRPr="00983B2B">
              <w:rPr>
                <w:rFonts w:cs="Arial"/>
              </w:rPr>
              <w:t>T</w:t>
            </w:r>
            <w:r w:rsidR="00490EF0" w:rsidRPr="00983B2B">
              <w:rPr>
                <w:rFonts w:cs="Arial"/>
              </w:rPr>
              <w:t>he m</w:t>
            </w:r>
            <w:r w:rsidR="005163D7" w:rsidRPr="00983B2B">
              <w:rPr>
                <w:rFonts w:cs="Arial"/>
              </w:rPr>
              <w:t xml:space="preserve">anagement arrangements for the </w:t>
            </w:r>
            <w:r w:rsidR="000930C1" w:rsidRPr="00983B2B">
              <w:rPr>
                <w:rFonts w:cs="Arial"/>
              </w:rPr>
              <w:t xml:space="preserve">Queensland </w:t>
            </w:r>
            <w:r w:rsidR="00BF3D43">
              <w:rPr>
                <w:rFonts w:cs="Arial"/>
              </w:rPr>
              <w:t>Sea Cucumber Fishery (East Coast)</w:t>
            </w:r>
            <w:r w:rsidR="00711469" w:rsidRPr="00983B2B">
              <w:rPr>
                <w:rFonts w:cs="Arial"/>
              </w:rPr>
              <w:t xml:space="preserve"> </w:t>
            </w:r>
            <w:r w:rsidR="005163D7" w:rsidRPr="00983B2B">
              <w:rPr>
                <w:rFonts w:cs="Arial"/>
              </w:rPr>
              <w:t xml:space="preserve">are </w:t>
            </w:r>
            <w:r w:rsidR="006B31A6" w:rsidRPr="00983B2B">
              <w:rPr>
                <w:rFonts w:cs="Arial"/>
              </w:rPr>
              <w:t xml:space="preserve">outlined on the QDAF website at </w:t>
            </w:r>
            <w:hyperlink r:id="rId19" w:history="1">
              <w:r w:rsidR="000930C1" w:rsidRPr="00983B2B">
                <w:rPr>
                  <w:rStyle w:val="Hyperlink"/>
                </w:rPr>
                <w:t>https://www.business.qld.gov.au/industries/farms-fishing-forestry/fisheries/fisheries-profiles/commercial-harvest-fisheries/sea-cucumber</w:t>
              </w:r>
            </w:hyperlink>
            <w:r w:rsidR="000930C1" w:rsidRPr="00983B2B">
              <w:t xml:space="preserve">. </w:t>
            </w:r>
          </w:p>
          <w:p w14:paraId="2360E5B7" w14:textId="77777777" w:rsidR="00F945BC" w:rsidRDefault="006B31A6" w:rsidP="007F171B">
            <w:pPr>
              <w:spacing w:before="80" w:after="80" w:line="276" w:lineRule="auto"/>
              <w:rPr>
                <w:rFonts w:cs="Arial"/>
              </w:rPr>
            </w:pPr>
            <w:r w:rsidRPr="00983B2B">
              <w:rPr>
                <w:rFonts w:cs="Arial"/>
              </w:rPr>
              <w:t>Further detail is also c</w:t>
            </w:r>
            <w:r w:rsidR="007D406F" w:rsidRPr="00983B2B">
              <w:rPr>
                <w:rFonts w:cs="Arial"/>
              </w:rPr>
              <w:t xml:space="preserve">ontained </w:t>
            </w:r>
            <w:r w:rsidR="005163D7" w:rsidRPr="00983B2B">
              <w:rPr>
                <w:rFonts w:cs="Arial"/>
              </w:rPr>
              <w:t xml:space="preserve">in </w:t>
            </w:r>
            <w:r w:rsidR="00E04B56" w:rsidRPr="00983B2B">
              <w:rPr>
                <w:rFonts w:cs="Arial"/>
              </w:rPr>
              <w:t>publicly</w:t>
            </w:r>
            <w:r w:rsidR="005163D7" w:rsidRPr="00983B2B">
              <w:rPr>
                <w:rFonts w:cs="Arial"/>
              </w:rPr>
              <w:t xml:space="preserve"> available legislation: the Queensland </w:t>
            </w:r>
            <w:r w:rsidR="005163D7" w:rsidRPr="00983B2B">
              <w:rPr>
                <w:rFonts w:cs="Arial"/>
                <w:i/>
              </w:rPr>
              <w:t>Fisheries Act 1994</w:t>
            </w:r>
            <w:r w:rsidR="005163D7" w:rsidRPr="00983B2B">
              <w:rPr>
                <w:rFonts w:cs="Arial"/>
              </w:rPr>
              <w:t>, Fisheries (General) Regulation 2019, Fisheries (Commercial Fisheries) Regulation 2019</w:t>
            </w:r>
            <w:r w:rsidR="00503B72">
              <w:rPr>
                <w:rFonts w:cs="Arial"/>
              </w:rPr>
              <w:t xml:space="preserve"> and the </w:t>
            </w:r>
            <w:r w:rsidR="005163D7" w:rsidRPr="00983B2B">
              <w:rPr>
                <w:rFonts w:cs="Arial"/>
              </w:rPr>
              <w:t>Fisheries Declaration 2019</w:t>
            </w:r>
            <w:bookmarkEnd w:id="18"/>
            <w:r w:rsidR="000930C1" w:rsidRPr="00983B2B">
              <w:rPr>
                <w:rFonts w:cs="Arial"/>
              </w:rPr>
              <w:t>.</w:t>
            </w:r>
            <w:r w:rsidR="00B331E5">
              <w:rPr>
                <w:rFonts w:cs="Arial"/>
              </w:rPr>
              <w:t xml:space="preserve"> Permits issued by QDAF, and the Great Barrier Reef Marine Park Authority afford access to fish in the fishery.</w:t>
            </w:r>
          </w:p>
          <w:p w14:paraId="28161830" w14:textId="13F5E211" w:rsidR="00F945BC" w:rsidRPr="00983B2B" w:rsidRDefault="007C2810" w:rsidP="00AE5829">
            <w:pPr>
              <w:spacing w:before="60" w:after="60" w:line="276" w:lineRule="auto"/>
              <w:rPr>
                <w:rFonts w:cs="Arial"/>
              </w:rPr>
            </w:pPr>
            <w:r w:rsidRPr="00625387">
              <w:rPr>
                <w:rFonts w:cs="Arial"/>
              </w:rPr>
              <w:t>Some of the management arrangements are implemented through a memorandum of understanding between QDAF and the Queensland Sea Cucumber Industry Association.</w:t>
            </w:r>
            <w:r>
              <w:rPr>
                <w:rFonts w:cs="Arial"/>
              </w:rPr>
              <w:t xml:space="preserve"> The MoU was made available to the Department for assessment, but it is not publicly available.</w:t>
            </w:r>
            <w:r w:rsidRPr="00625387">
              <w:rPr>
                <w:rFonts w:cs="Arial"/>
              </w:rPr>
              <w:t xml:space="preserve"> </w:t>
            </w:r>
          </w:p>
        </w:tc>
      </w:tr>
      <w:tr w:rsidR="00885298" w:rsidRPr="00A94147" w14:paraId="4513BEBB" w14:textId="77777777" w:rsidTr="00740F71">
        <w:trPr>
          <w:cantSplit/>
        </w:trPr>
        <w:tc>
          <w:tcPr>
            <w:tcW w:w="1532" w:type="pct"/>
            <w:shd w:val="clear" w:color="auto" w:fill="92D050"/>
          </w:tcPr>
          <w:p w14:paraId="1B8852AD" w14:textId="42977189" w:rsidR="004649FA" w:rsidRPr="00A94147" w:rsidRDefault="00885298" w:rsidP="007F171B">
            <w:pPr>
              <w:spacing w:before="80" w:after="80" w:line="276" w:lineRule="auto"/>
              <w:rPr>
                <w:rFonts w:cs="Arial"/>
                <w:highlight w:val="yellow"/>
              </w:rPr>
            </w:pPr>
            <w:r w:rsidRPr="004056C7">
              <w:rPr>
                <w:rFonts w:cs="Arial"/>
              </w:rPr>
              <w:lastRenderedPageBreak/>
              <w:t xml:space="preserve">Be developed through a consultative process providing opportunity to all interested and affected parties, including the </w:t>
            </w:r>
            <w:proofErr w:type="gramStart"/>
            <w:r w:rsidRPr="004056C7">
              <w:rPr>
                <w:rFonts w:cs="Arial"/>
              </w:rPr>
              <w:t>general public</w:t>
            </w:r>
            <w:proofErr w:type="gramEnd"/>
            <w:r w:rsidR="006B6EF9" w:rsidRPr="004056C7">
              <w:rPr>
                <w:rFonts w:cs="Arial"/>
              </w:rPr>
              <w:t>.</w:t>
            </w:r>
          </w:p>
        </w:tc>
        <w:tc>
          <w:tcPr>
            <w:tcW w:w="3468" w:type="pct"/>
            <w:shd w:val="clear" w:color="auto" w:fill="auto"/>
          </w:tcPr>
          <w:p w14:paraId="2CB0D6EA" w14:textId="71417325" w:rsidR="00636969" w:rsidRPr="00983B2B" w:rsidRDefault="000C5B26" w:rsidP="007F171B">
            <w:pPr>
              <w:spacing w:before="80" w:after="80" w:line="276" w:lineRule="auto"/>
              <w:rPr>
                <w:rFonts w:cs="Arial"/>
                <w:b/>
              </w:rPr>
            </w:pPr>
            <w:r w:rsidRPr="00983B2B">
              <w:rPr>
                <w:rFonts w:cs="Arial"/>
                <w:b/>
              </w:rPr>
              <w:t>M</w:t>
            </w:r>
            <w:r w:rsidR="003316AE" w:rsidRPr="00983B2B">
              <w:rPr>
                <w:rFonts w:cs="Arial"/>
                <w:b/>
              </w:rPr>
              <w:t xml:space="preserve">eets </w:t>
            </w:r>
            <w:r w:rsidR="00636969" w:rsidRPr="00983B2B">
              <w:rPr>
                <w:rFonts w:cs="Arial"/>
                <w:b/>
              </w:rPr>
              <w:t xml:space="preserve">– </w:t>
            </w:r>
            <w:r w:rsidR="00C571D8" w:rsidRPr="00983B2B">
              <w:rPr>
                <w:rFonts w:cs="Arial"/>
                <w:b/>
              </w:rPr>
              <w:t>C</w:t>
            </w:r>
            <w:r w:rsidR="003316AE" w:rsidRPr="00983B2B">
              <w:rPr>
                <w:rFonts w:cs="Arial"/>
                <w:b/>
              </w:rPr>
              <w:t xml:space="preserve">onsultative processes </w:t>
            </w:r>
            <w:r w:rsidR="00E9217E" w:rsidRPr="00983B2B">
              <w:rPr>
                <w:rFonts w:cs="Arial"/>
                <w:b/>
              </w:rPr>
              <w:t xml:space="preserve">involve a wide range of stakeholders and the </w:t>
            </w:r>
            <w:proofErr w:type="gramStart"/>
            <w:r w:rsidR="00E9217E" w:rsidRPr="00983B2B">
              <w:rPr>
                <w:rFonts w:cs="Arial"/>
                <w:b/>
              </w:rPr>
              <w:t>general public</w:t>
            </w:r>
            <w:proofErr w:type="gramEnd"/>
          </w:p>
          <w:p w14:paraId="5790B54C" w14:textId="6882F708" w:rsidR="0007405B" w:rsidRPr="004056C7" w:rsidRDefault="0007405B" w:rsidP="007F171B">
            <w:pPr>
              <w:spacing w:before="80" w:after="80" w:line="276" w:lineRule="auto"/>
              <w:rPr>
                <w:rFonts w:cs="Arial"/>
              </w:rPr>
            </w:pPr>
            <w:r w:rsidRPr="00983B2B">
              <w:rPr>
                <w:rFonts w:cs="Arial"/>
              </w:rPr>
              <w:t xml:space="preserve">The management arrangements for the </w:t>
            </w:r>
            <w:r w:rsidR="00C845BD" w:rsidRPr="00983B2B">
              <w:rPr>
                <w:rFonts w:cs="Arial"/>
              </w:rPr>
              <w:t>fishery</w:t>
            </w:r>
            <w:r w:rsidRPr="00983B2B">
              <w:rPr>
                <w:rFonts w:cs="Arial"/>
              </w:rPr>
              <w:t xml:space="preserve"> </w:t>
            </w:r>
            <w:r w:rsidR="00485522" w:rsidRPr="00983B2B">
              <w:rPr>
                <w:rFonts w:cs="Arial"/>
              </w:rPr>
              <w:t xml:space="preserve">have been </w:t>
            </w:r>
            <w:r w:rsidRPr="00983B2B">
              <w:rPr>
                <w:rFonts w:cs="Arial"/>
              </w:rPr>
              <w:t>developed in consultation with industry and other stakeholders</w:t>
            </w:r>
            <w:r w:rsidR="003316AE" w:rsidRPr="00983B2B">
              <w:rPr>
                <w:rFonts w:cs="Arial"/>
              </w:rPr>
              <w:t xml:space="preserve">, and where </w:t>
            </w:r>
            <w:r w:rsidRPr="00983B2B">
              <w:rPr>
                <w:rFonts w:cs="Arial"/>
              </w:rPr>
              <w:t>substantive management change</w:t>
            </w:r>
            <w:r w:rsidR="00485522" w:rsidRPr="00983B2B">
              <w:rPr>
                <w:rFonts w:cs="Arial"/>
              </w:rPr>
              <w:t>s</w:t>
            </w:r>
            <w:r w:rsidRPr="00983B2B">
              <w:rPr>
                <w:rFonts w:cs="Arial"/>
              </w:rPr>
              <w:t xml:space="preserve"> </w:t>
            </w:r>
            <w:r w:rsidR="00485522" w:rsidRPr="00983B2B">
              <w:rPr>
                <w:rFonts w:cs="Arial"/>
              </w:rPr>
              <w:t>are</w:t>
            </w:r>
            <w:r w:rsidRPr="00983B2B">
              <w:rPr>
                <w:rFonts w:cs="Arial"/>
              </w:rPr>
              <w:t xml:space="preserve"> proposed</w:t>
            </w:r>
            <w:r w:rsidR="003316AE" w:rsidRPr="00983B2B">
              <w:rPr>
                <w:rFonts w:cs="Arial"/>
              </w:rPr>
              <w:t>,</w:t>
            </w:r>
            <w:r w:rsidRPr="00983B2B">
              <w:rPr>
                <w:rFonts w:cs="Arial"/>
              </w:rPr>
              <w:t xml:space="preserve"> Regulatory Impact Statement</w:t>
            </w:r>
            <w:r w:rsidR="003316AE" w:rsidRPr="00983B2B">
              <w:rPr>
                <w:rFonts w:cs="Arial"/>
              </w:rPr>
              <w:t xml:space="preserve">s </w:t>
            </w:r>
            <w:r w:rsidR="003316AE" w:rsidRPr="004056C7">
              <w:rPr>
                <w:rFonts w:cs="Arial"/>
              </w:rPr>
              <w:t xml:space="preserve">are </w:t>
            </w:r>
            <w:r w:rsidRPr="004056C7">
              <w:rPr>
                <w:rFonts w:cs="Arial"/>
              </w:rPr>
              <w:t>released for public comment</w:t>
            </w:r>
            <w:r w:rsidR="003316AE" w:rsidRPr="004056C7">
              <w:rPr>
                <w:rFonts w:cs="Arial"/>
              </w:rPr>
              <w:t>. These statements set</w:t>
            </w:r>
            <w:r w:rsidRPr="004056C7" w:rsidDel="003316AE">
              <w:rPr>
                <w:rFonts w:cs="Arial"/>
              </w:rPr>
              <w:t xml:space="preserve"> out</w:t>
            </w:r>
            <w:r w:rsidRPr="004056C7">
              <w:rPr>
                <w:rFonts w:cs="Arial"/>
              </w:rPr>
              <w:t xml:space="preserve"> proposed changes, their </w:t>
            </w:r>
            <w:proofErr w:type="gramStart"/>
            <w:r w:rsidRPr="004056C7">
              <w:rPr>
                <w:rFonts w:cs="Arial"/>
              </w:rPr>
              <w:t>justification</w:t>
            </w:r>
            <w:proofErr w:type="gramEnd"/>
            <w:r w:rsidRPr="004056C7">
              <w:rPr>
                <w:rFonts w:cs="Arial"/>
              </w:rPr>
              <w:t xml:space="preserve"> and alternative options.</w:t>
            </w:r>
          </w:p>
          <w:p w14:paraId="2B76D68F" w14:textId="77777777" w:rsidR="001A793D" w:rsidRDefault="00FD6AD8" w:rsidP="007F171B">
            <w:pPr>
              <w:spacing w:before="80" w:after="80" w:line="276" w:lineRule="auto"/>
            </w:pPr>
            <w:r w:rsidRPr="004056C7">
              <w:rPr>
                <w:rFonts w:cs="Arial"/>
              </w:rPr>
              <w:t xml:space="preserve">A stakeholder advisory body, the </w:t>
            </w:r>
            <w:r w:rsidR="00983B2B" w:rsidRPr="004056C7">
              <w:rPr>
                <w:rFonts w:cs="Arial"/>
                <w:i/>
              </w:rPr>
              <w:t>Sea Cucumber</w:t>
            </w:r>
            <w:r w:rsidRPr="004056C7">
              <w:rPr>
                <w:rFonts w:cs="Arial"/>
                <w:i/>
              </w:rPr>
              <w:t xml:space="preserve"> Working Group</w:t>
            </w:r>
            <w:r w:rsidRPr="004056C7">
              <w:rPr>
                <w:rFonts w:cs="Arial"/>
              </w:rPr>
              <w:t xml:space="preserve"> includes members representing the </w:t>
            </w:r>
            <w:r w:rsidR="000572BF" w:rsidRPr="004056C7">
              <w:rPr>
                <w:rFonts w:cs="Arial"/>
              </w:rPr>
              <w:t xml:space="preserve">commercial fishing industry, </w:t>
            </w:r>
            <w:r w:rsidRPr="004056C7">
              <w:rPr>
                <w:rFonts w:cs="Arial"/>
              </w:rPr>
              <w:t xml:space="preserve">scientific </w:t>
            </w:r>
            <w:proofErr w:type="gramStart"/>
            <w:r w:rsidRPr="004056C7">
              <w:rPr>
                <w:rFonts w:cs="Arial"/>
              </w:rPr>
              <w:t>community</w:t>
            </w:r>
            <w:proofErr w:type="gramEnd"/>
            <w:r w:rsidR="000572BF" w:rsidRPr="004056C7">
              <w:rPr>
                <w:rFonts w:cs="Arial"/>
              </w:rPr>
              <w:t xml:space="preserve"> and</w:t>
            </w:r>
            <w:r w:rsidRPr="004056C7">
              <w:rPr>
                <w:rFonts w:cs="Arial"/>
              </w:rPr>
              <w:t xml:space="preserve"> management agencies</w:t>
            </w:r>
            <w:r w:rsidR="000572BF" w:rsidRPr="004056C7">
              <w:rPr>
                <w:rFonts w:cs="Arial"/>
              </w:rPr>
              <w:t>, including a member from the Great Barrier Reef Marine Park Authority. The terms of reference and c</w:t>
            </w:r>
            <w:r w:rsidRPr="004056C7">
              <w:rPr>
                <w:rFonts w:cs="Arial"/>
              </w:rPr>
              <w:t xml:space="preserve">ommuniques from working group meetings are available at </w:t>
            </w:r>
            <w:hyperlink r:id="rId20" w:history="1">
              <w:r w:rsidR="000572BF" w:rsidRPr="004056C7">
                <w:rPr>
                  <w:rStyle w:val="Hyperlink"/>
                </w:rPr>
                <w:t>https://www.daf.qld.gov.au/business-priorities/fisheries/sustainable/fishery-working-groups/sea-cucumber-working-group</w:t>
              </w:r>
            </w:hyperlink>
            <w:r w:rsidR="000572BF" w:rsidRPr="004056C7">
              <w:t>.</w:t>
            </w:r>
          </w:p>
          <w:p w14:paraId="254E39FF" w14:textId="4186CD6F" w:rsidR="004056C7" w:rsidRPr="004056C7" w:rsidRDefault="004056C7" w:rsidP="007F171B">
            <w:pPr>
              <w:spacing w:before="80" w:after="80" w:line="276" w:lineRule="auto"/>
              <w:rPr>
                <w:rFonts w:cs="Arial"/>
                <w:highlight w:val="yellow"/>
                <w:lang w:val="en"/>
              </w:rPr>
            </w:pPr>
            <w:r w:rsidRPr="004056C7">
              <w:rPr>
                <w:rFonts w:cs="Arial"/>
                <w:lang w:val="en"/>
              </w:rPr>
              <w:t>The working group provides operational advice to QDAF</w:t>
            </w:r>
            <w:r w:rsidR="00654D61">
              <w:rPr>
                <w:rFonts w:cs="Arial"/>
                <w:lang w:val="en"/>
              </w:rPr>
              <w:t>.</w:t>
            </w:r>
            <w:r w:rsidRPr="004056C7">
              <w:rPr>
                <w:rFonts w:cs="Arial"/>
                <w:lang w:val="en"/>
              </w:rPr>
              <w:t xml:space="preserve"> </w:t>
            </w:r>
            <w:r w:rsidR="00654D61">
              <w:rPr>
                <w:rFonts w:cs="Arial"/>
                <w:lang w:val="en"/>
              </w:rPr>
              <w:t xml:space="preserve">This includes </w:t>
            </w:r>
            <w:r w:rsidRPr="004056C7">
              <w:rPr>
                <w:rFonts w:cs="Arial"/>
                <w:lang w:val="en"/>
              </w:rPr>
              <w:t>assist</w:t>
            </w:r>
            <w:r w:rsidR="00654D61">
              <w:rPr>
                <w:rFonts w:cs="Arial"/>
                <w:lang w:val="en"/>
              </w:rPr>
              <w:t>ing</w:t>
            </w:r>
            <w:r w:rsidRPr="004056C7">
              <w:rPr>
                <w:rFonts w:cs="Arial"/>
                <w:lang w:val="en"/>
              </w:rPr>
              <w:t xml:space="preserve"> with the development and implementation of harvest strategies, consider</w:t>
            </w:r>
            <w:r w:rsidR="00654D61">
              <w:rPr>
                <w:rFonts w:cs="Arial"/>
                <w:lang w:val="en"/>
              </w:rPr>
              <w:t>ing</w:t>
            </w:r>
            <w:r w:rsidRPr="004056C7">
              <w:rPr>
                <w:rFonts w:cs="Arial"/>
                <w:lang w:val="en"/>
              </w:rPr>
              <w:t xml:space="preserve"> information and provid</w:t>
            </w:r>
            <w:r w:rsidR="00654D61">
              <w:rPr>
                <w:rFonts w:cs="Arial"/>
                <w:lang w:val="en"/>
              </w:rPr>
              <w:t>ing</w:t>
            </w:r>
            <w:r w:rsidRPr="004056C7">
              <w:rPr>
                <w:rFonts w:cs="Arial"/>
                <w:lang w:val="en"/>
              </w:rPr>
              <w:t xml:space="preserve"> advice on fishery performance and management actions</w:t>
            </w:r>
            <w:r w:rsidR="00654D61">
              <w:rPr>
                <w:rFonts w:cs="Arial"/>
                <w:lang w:val="en"/>
              </w:rPr>
              <w:t>. The working group also provides advice on</w:t>
            </w:r>
            <w:r w:rsidRPr="004056C7" w:rsidDel="00654D61">
              <w:rPr>
                <w:rFonts w:cs="Arial"/>
                <w:lang w:val="en"/>
              </w:rPr>
              <w:t xml:space="preserve"> </w:t>
            </w:r>
            <w:r w:rsidRPr="004056C7">
              <w:rPr>
                <w:rFonts w:cs="Arial"/>
                <w:lang w:val="en"/>
              </w:rPr>
              <w:t>reforms needed to achieve the established management objectives for the fishery</w:t>
            </w:r>
            <w:r w:rsidR="00654D61">
              <w:rPr>
                <w:rFonts w:cs="Arial"/>
                <w:lang w:val="en"/>
              </w:rPr>
              <w:t xml:space="preserve"> and</w:t>
            </w:r>
            <w:r w:rsidRPr="004056C7">
              <w:rPr>
                <w:rFonts w:cs="Arial"/>
                <w:lang w:val="en"/>
              </w:rPr>
              <w:t xml:space="preserve"> assists with identifying ways to best manage broader ecosystem impacts of fishing</w:t>
            </w:r>
            <w:r w:rsidR="00654D61">
              <w:rPr>
                <w:rFonts w:cs="Arial"/>
                <w:lang w:val="en"/>
              </w:rPr>
              <w:t>. The working group</w:t>
            </w:r>
            <w:r w:rsidRPr="004056C7">
              <w:rPr>
                <w:rFonts w:cs="Arial"/>
                <w:lang w:val="en"/>
              </w:rPr>
              <w:t xml:space="preserve"> provides advice on emerging issues (e.g. compliance, data, legislation, research), and assists with disseminating </w:t>
            </w:r>
            <w:proofErr w:type="gramStart"/>
            <w:r w:rsidRPr="004056C7">
              <w:rPr>
                <w:rFonts w:cs="Arial"/>
                <w:lang w:val="en"/>
              </w:rPr>
              <w:t>factual information</w:t>
            </w:r>
            <w:proofErr w:type="gramEnd"/>
            <w:r w:rsidRPr="004056C7">
              <w:rPr>
                <w:rFonts w:cs="Arial"/>
                <w:lang w:val="en"/>
              </w:rPr>
              <w:t xml:space="preserve"> back to other stakeholders in the fishery.</w:t>
            </w:r>
          </w:p>
        </w:tc>
      </w:tr>
      <w:tr w:rsidR="00885298" w:rsidRPr="00A94147" w14:paraId="064DC322" w14:textId="77777777" w:rsidTr="003F24A2">
        <w:trPr>
          <w:cantSplit/>
        </w:trPr>
        <w:tc>
          <w:tcPr>
            <w:tcW w:w="1532" w:type="pct"/>
            <w:shd w:val="clear" w:color="auto" w:fill="FFC000"/>
          </w:tcPr>
          <w:p w14:paraId="2188F6A2" w14:textId="736ED5D8" w:rsidR="004649FA" w:rsidRPr="00A94147" w:rsidRDefault="00885298" w:rsidP="007F171B">
            <w:pPr>
              <w:spacing w:before="80" w:after="80" w:line="276" w:lineRule="auto"/>
              <w:rPr>
                <w:rFonts w:cs="Arial"/>
                <w:highlight w:val="yellow"/>
              </w:rPr>
            </w:pPr>
            <w:r w:rsidRPr="00196684">
              <w:rPr>
                <w:rFonts w:cs="Arial"/>
              </w:rPr>
              <w:lastRenderedPageBreak/>
              <w:t>Ensure that a range of expertise and community interests are involved in individual fishery management committees and during the stock assessment process</w:t>
            </w:r>
            <w:r w:rsidR="006B6EF9" w:rsidRPr="00196684">
              <w:rPr>
                <w:rFonts w:cs="Arial"/>
              </w:rPr>
              <w:t>.</w:t>
            </w:r>
          </w:p>
        </w:tc>
        <w:tc>
          <w:tcPr>
            <w:tcW w:w="3468" w:type="pct"/>
            <w:shd w:val="clear" w:color="auto" w:fill="auto"/>
          </w:tcPr>
          <w:p w14:paraId="2775BFB6" w14:textId="035E2359" w:rsidR="00636969" w:rsidRPr="00697E81" w:rsidRDefault="00393B75" w:rsidP="007F171B">
            <w:pPr>
              <w:spacing w:before="80" w:after="80" w:line="276" w:lineRule="auto"/>
              <w:rPr>
                <w:rFonts w:cs="Arial"/>
                <w:b/>
              </w:rPr>
            </w:pPr>
            <w:r>
              <w:rPr>
                <w:rFonts w:cs="Arial"/>
                <w:b/>
              </w:rPr>
              <w:t>Partly</w:t>
            </w:r>
            <w:r w:rsidR="009128B5" w:rsidRPr="00697E81">
              <w:rPr>
                <w:rFonts w:cs="Arial"/>
                <w:b/>
              </w:rPr>
              <w:t xml:space="preserve"> </w:t>
            </w:r>
            <w:r>
              <w:rPr>
                <w:rFonts w:cs="Arial"/>
                <w:b/>
              </w:rPr>
              <w:t>m</w:t>
            </w:r>
            <w:r w:rsidRPr="00697E81">
              <w:rPr>
                <w:rFonts w:cs="Arial"/>
                <w:b/>
              </w:rPr>
              <w:t xml:space="preserve">eets </w:t>
            </w:r>
            <w:r w:rsidR="00636969" w:rsidRPr="00697E81">
              <w:rPr>
                <w:rFonts w:cs="Arial"/>
                <w:b/>
              </w:rPr>
              <w:t xml:space="preserve">– </w:t>
            </w:r>
            <w:r>
              <w:rPr>
                <w:rFonts w:cs="Arial"/>
                <w:b/>
              </w:rPr>
              <w:t xml:space="preserve">A range of expertise and interests are involved but very few stock </w:t>
            </w:r>
            <w:r w:rsidR="003316AE">
              <w:rPr>
                <w:rFonts w:cs="Arial"/>
                <w:b/>
              </w:rPr>
              <w:t>assessments</w:t>
            </w:r>
            <w:r w:rsidR="00217C49">
              <w:rPr>
                <w:rFonts w:cs="Arial"/>
                <w:b/>
              </w:rPr>
              <w:t xml:space="preserve"> have been undertaken</w:t>
            </w:r>
          </w:p>
          <w:p w14:paraId="38E125DA" w14:textId="77777777" w:rsidR="00375CE6" w:rsidRPr="001C48F1" w:rsidRDefault="00375CE6" w:rsidP="000C7574">
            <w:pPr>
              <w:spacing w:before="0" w:line="276" w:lineRule="auto"/>
              <w:rPr>
                <w:rFonts w:cs="Arial"/>
              </w:rPr>
            </w:pPr>
            <w:r w:rsidRPr="00654D61">
              <w:rPr>
                <w:rFonts w:cs="Arial"/>
              </w:rPr>
              <w:t>Stock assessments use mathematical modelling of time series data to estimate the remaining biomass of the stock relative to unfished biomass. They predict suitable target and trigger reference points to</w:t>
            </w:r>
            <w:r w:rsidRPr="002C3A38">
              <w:rPr>
                <w:rFonts w:cs="Arial"/>
              </w:rPr>
              <w:t xml:space="preserve"> support harvest strategies. Stock assessments can als</w:t>
            </w:r>
            <w:r w:rsidRPr="001C48F1">
              <w:rPr>
                <w:rFonts w:cs="Arial"/>
              </w:rPr>
              <w:t xml:space="preserve">o quantify the level of uncertainty in estimates and predictions. </w:t>
            </w:r>
          </w:p>
          <w:p w14:paraId="641B1038" w14:textId="5B21A687" w:rsidR="001C4E07" w:rsidRPr="00697E81" w:rsidRDefault="00375CE6" w:rsidP="000C7574">
            <w:pPr>
              <w:spacing w:before="0" w:line="276" w:lineRule="auto"/>
              <w:rPr>
                <w:rFonts w:cs="Arial"/>
              </w:rPr>
            </w:pPr>
            <w:r>
              <w:rPr>
                <w:rFonts w:cs="Arial"/>
              </w:rPr>
              <w:t xml:space="preserve">The </w:t>
            </w:r>
            <w:r w:rsidRPr="001C48F1">
              <w:rPr>
                <w:rFonts w:cs="Arial"/>
              </w:rPr>
              <w:t>Sea Cucumber Fishery Working</w:t>
            </w:r>
            <w:r w:rsidRPr="000C7574">
              <w:rPr>
                <w:rFonts w:cs="Arial"/>
              </w:rPr>
              <w:t xml:space="preserve"> Group </w:t>
            </w:r>
            <w:r w:rsidR="00654D61">
              <w:rPr>
                <w:rFonts w:cs="Arial"/>
              </w:rPr>
              <w:t>has</w:t>
            </w:r>
            <w:r w:rsidR="00654D61" w:rsidRPr="000C7574">
              <w:rPr>
                <w:rFonts w:cs="Arial"/>
              </w:rPr>
              <w:t xml:space="preserve"> </w:t>
            </w:r>
            <w:r w:rsidRPr="000C7574">
              <w:rPr>
                <w:rFonts w:cs="Arial"/>
              </w:rPr>
              <w:t>discuss</w:t>
            </w:r>
            <w:r w:rsidR="00654D61">
              <w:rPr>
                <w:rFonts w:cs="Arial"/>
              </w:rPr>
              <w:t>ed</w:t>
            </w:r>
            <w:r w:rsidRPr="000C7574">
              <w:rPr>
                <w:rFonts w:cs="Arial"/>
              </w:rPr>
              <w:t xml:space="preserve"> the requirements and time frames for sea cucumber stock assessments</w:t>
            </w:r>
            <w:r w:rsidR="007C2810">
              <w:rPr>
                <w:rFonts w:cs="Arial"/>
              </w:rPr>
              <w:t xml:space="preserve">, but stock </w:t>
            </w:r>
            <w:r>
              <w:rPr>
                <w:rFonts w:cs="Arial"/>
              </w:rPr>
              <w:t xml:space="preserve">assessments have not </w:t>
            </w:r>
            <w:r w:rsidR="007C2810">
              <w:rPr>
                <w:rFonts w:cs="Arial"/>
              </w:rPr>
              <w:t xml:space="preserve">yet </w:t>
            </w:r>
            <w:r>
              <w:rPr>
                <w:rFonts w:cs="Arial"/>
              </w:rPr>
              <w:t>been completed for any species in this fishery</w:t>
            </w:r>
            <w:r w:rsidRPr="000C7574">
              <w:rPr>
                <w:rFonts w:cs="Arial"/>
              </w:rPr>
              <w:t xml:space="preserve">. This working group includes </w:t>
            </w:r>
            <w:r w:rsidR="004056C7" w:rsidRPr="00654D61">
              <w:rPr>
                <w:rFonts w:cs="Arial"/>
              </w:rPr>
              <w:t xml:space="preserve">members representing the commercial fishing industry, scientific </w:t>
            </w:r>
            <w:proofErr w:type="gramStart"/>
            <w:r w:rsidR="004056C7" w:rsidRPr="00654D61">
              <w:rPr>
                <w:rFonts w:cs="Arial"/>
              </w:rPr>
              <w:t>community</w:t>
            </w:r>
            <w:proofErr w:type="gramEnd"/>
            <w:r w:rsidR="004056C7" w:rsidRPr="00654D61">
              <w:rPr>
                <w:rFonts w:cs="Arial"/>
              </w:rPr>
              <w:t xml:space="preserve"> and management agencies, including a member from the Great Barrier Reef Marine Park Authori</w:t>
            </w:r>
            <w:r w:rsidR="004056C7" w:rsidRPr="002C3A38">
              <w:rPr>
                <w:rFonts w:cs="Arial"/>
              </w:rPr>
              <w:t>ty</w:t>
            </w:r>
            <w:r w:rsidRPr="00582B30">
              <w:rPr>
                <w:rFonts w:cs="Arial"/>
              </w:rPr>
              <w:t xml:space="preserve">. The working group also </w:t>
            </w:r>
            <w:r w:rsidR="004056C7" w:rsidRPr="00582B30">
              <w:rPr>
                <w:rFonts w:cs="Arial"/>
                <w:lang w:val="en"/>
              </w:rPr>
              <w:t>a</w:t>
            </w:r>
            <w:r w:rsidR="004056C7" w:rsidRPr="004056C7">
              <w:rPr>
                <w:rFonts w:cs="Arial"/>
                <w:lang w:val="en"/>
              </w:rPr>
              <w:t>ssist</w:t>
            </w:r>
            <w:r w:rsidR="004056C7" w:rsidRPr="00697E81">
              <w:rPr>
                <w:rFonts w:cs="Arial"/>
                <w:lang w:val="en"/>
              </w:rPr>
              <w:t>s</w:t>
            </w:r>
            <w:r w:rsidR="004056C7" w:rsidRPr="004056C7">
              <w:rPr>
                <w:rFonts w:cs="Arial"/>
                <w:lang w:val="en"/>
              </w:rPr>
              <w:t xml:space="preserve"> with disseminating </w:t>
            </w:r>
            <w:proofErr w:type="gramStart"/>
            <w:r w:rsidR="004056C7" w:rsidRPr="004056C7">
              <w:rPr>
                <w:rFonts w:cs="Arial"/>
                <w:lang w:val="en"/>
              </w:rPr>
              <w:t>factual information</w:t>
            </w:r>
            <w:proofErr w:type="gramEnd"/>
            <w:r w:rsidR="004056C7" w:rsidRPr="004056C7">
              <w:rPr>
                <w:rFonts w:cs="Arial"/>
                <w:lang w:val="en"/>
              </w:rPr>
              <w:t xml:space="preserve"> back to other stakeholders in the fishery.</w:t>
            </w:r>
          </w:p>
          <w:p w14:paraId="14A7D973" w14:textId="79FC48F0" w:rsidR="001C4E07" w:rsidRPr="00F65E2E" w:rsidRDefault="0009297C" w:rsidP="000C7574">
            <w:pPr>
              <w:spacing w:before="0" w:line="276" w:lineRule="auto"/>
              <w:rPr>
                <w:rFonts w:cs="Arial"/>
              </w:rPr>
            </w:pPr>
            <w:r w:rsidRPr="00697E81">
              <w:rPr>
                <w:rFonts w:cs="Arial"/>
              </w:rPr>
              <w:t xml:space="preserve">A </w:t>
            </w:r>
            <w:hyperlink r:id="rId21" w:history="1">
              <w:r w:rsidRPr="00654D61">
                <w:rPr>
                  <w:rStyle w:val="Hyperlink"/>
                  <w:rFonts w:cs="Arial"/>
                </w:rPr>
                <w:t>Sustainable Fisheries Exp</w:t>
              </w:r>
              <w:r w:rsidR="002472A7" w:rsidRPr="00654D61">
                <w:rPr>
                  <w:rStyle w:val="Hyperlink"/>
                  <w:rFonts w:cs="Arial"/>
                </w:rPr>
                <w:t>e</w:t>
              </w:r>
              <w:r w:rsidRPr="00654D61">
                <w:rPr>
                  <w:rStyle w:val="Hyperlink"/>
                  <w:rFonts w:cs="Arial"/>
                </w:rPr>
                <w:t>rt Panel</w:t>
              </w:r>
            </w:hyperlink>
            <w:r w:rsidRPr="00654D61">
              <w:rPr>
                <w:rFonts w:cs="Arial"/>
              </w:rPr>
              <w:t xml:space="preserve"> was established in July 2017</w:t>
            </w:r>
            <w:r w:rsidR="009128B5" w:rsidRPr="00654D61">
              <w:rPr>
                <w:rFonts w:cs="Arial"/>
              </w:rPr>
              <w:t>. The panel includes an independent chair and members selected based on their expertise in stock assessment, fish biology, fisheries management</w:t>
            </w:r>
            <w:r w:rsidR="004638DE" w:rsidRPr="002C3A38">
              <w:rPr>
                <w:rFonts w:cs="Arial"/>
              </w:rPr>
              <w:t xml:space="preserve"> and or </w:t>
            </w:r>
            <w:r w:rsidR="009128B5" w:rsidRPr="00582B30">
              <w:rPr>
                <w:rFonts w:cs="Arial"/>
              </w:rPr>
              <w:t>resource allocation, threatened species, economics and social and</w:t>
            </w:r>
            <w:r w:rsidR="004638DE" w:rsidRPr="00697E81">
              <w:rPr>
                <w:rFonts w:cs="Arial"/>
              </w:rPr>
              <w:t xml:space="preserve"> </w:t>
            </w:r>
            <w:r w:rsidR="009128B5" w:rsidRPr="00697E81">
              <w:rPr>
                <w:rFonts w:cs="Arial"/>
              </w:rPr>
              <w:t>or cultural matters.</w:t>
            </w:r>
            <w:r w:rsidR="00737475">
              <w:rPr>
                <w:rFonts w:cs="Arial"/>
              </w:rPr>
              <w:t xml:space="preserve"> </w:t>
            </w:r>
            <w:r w:rsidR="009128B5" w:rsidRPr="00697E81">
              <w:rPr>
                <w:rFonts w:cs="Arial"/>
              </w:rPr>
              <w:t xml:space="preserve">The panel provides </w:t>
            </w:r>
            <w:r w:rsidRPr="00697E81">
              <w:rPr>
                <w:rFonts w:cs="Arial"/>
                <w:lang w:val="en"/>
              </w:rPr>
              <w:t xml:space="preserve">independent expert advice to QDAF on best practice fisheries management </w:t>
            </w:r>
            <w:r w:rsidRPr="00196684">
              <w:rPr>
                <w:rFonts w:cs="Arial"/>
                <w:lang w:val="en"/>
              </w:rPr>
              <w:t>and implementation of the Sustainable Fisheries Strategy</w:t>
            </w:r>
            <w:r w:rsidR="00B160B7" w:rsidRPr="00196684">
              <w:rPr>
                <w:rFonts w:cs="Arial"/>
                <w:lang w:val="en"/>
              </w:rPr>
              <w:t xml:space="preserve"> for all Queensland fisheries</w:t>
            </w:r>
            <w:r w:rsidR="00375CE6" w:rsidRPr="00196684">
              <w:rPr>
                <w:rFonts w:cs="Arial"/>
                <w:lang w:val="en"/>
              </w:rPr>
              <w:t xml:space="preserve">, including the </w:t>
            </w:r>
            <w:r w:rsidR="00BF3D43">
              <w:rPr>
                <w:rFonts w:cs="Arial"/>
                <w:lang w:val="en"/>
              </w:rPr>
              <w:t>Sea Cucumber Fishery (East Coast)</w:t>
            </w:r>
            <w:r w:rsidRPr="00196684">
              <w:rPr>
                <w:rFonts w:cs="Arial"/>
                <w:lang w:val="en"/>
              </w:rPr>
              <w:t xml:space="preserve">. The panel </w:t>
            </w:r>
            <w:r w:rsidR="00F65E2E" w:rsidRPr="00196684">
              <w:rPr>
                <w:rFonts w:cs="Arial"/>
              </w:rPr>
              <w:t>provides input into the methods used for stock assessments</w:t>
            </w:r>
            <w:r w:rsidR="00F65E2E" w:rsidRPr="00196684">
              <w:rPr>
                <w:rFonts w:cs="Arial"/>
                <w:lang w:val="en"/>
              </w:rPr>
              <w:t xml:space="preserve"> and </w:t>
            </w:r>
            <w:r w:rsidRPr="00196684">
              <w:rPr>
                <w:rFonts w:cs="Arial"/>
              </w:rPr>
              <w:t>advi</w:t>
            </w:r>
            <w:r w:rsidR="00B160B7" w:rsidRPr="00196684">
              <w:rPr>
                <w:rFonts w:cs="Arial"/>
              </w:rPr>
              <w:t>ses</w:t>
            </w:r>
            <w:r w:rsidRPr="00196684">
              <w:rPr>
                <w:rFonts w:cs="Arial"/>
              </w:rPr>
              <w:t xml:space="preserve"> on</w:t>
            </w:r>
            <w:r w:rsidR="00B160B7" w:rsidRPr="00196684">
              <w:rPr>
                <w:rFonts w:cs="Arial"/>
              </w:rPr>
              <w:t xml:space="preserve"> </w:t>
            </w:r>
            <w:r w:rsidRPr="00196684">
              <w:rPr>
                <w:rFonts w:cs="Arial"/>
              </w:rPr>
              <w:t>sustainable limits and reference points for individual fisheries</w:t>
            </w:r>
            <w:r w:rsidR="00737475" w:rsidRPr="00196684">
              <w:rPr>
                <w:rFonts w:cs="Arial"/>
              </w:rPr>
              <w:t xml:space="preserve"> and </w:t>
            </w:r>
            <w:r w:rsidRPr="00196684">
              <w:rPr>
                <w:rFonts w:cs="Arial"/>
              </w:rPr>
              <w:t>species</w:t>
            </w:r>
            <w:r w:rsidR="00B160B7" w:rsidRPr="00196684">
              <w:rPr>
                <w:rFonts w:cs="Arial"/>
              </w:rPr>
              <w:t xml:space="preserve">, </w:t>
            </w:r>
            <w:r w:rsidRPr="00196684">
              <w:rPr>
                <w:rFonts w:cs="Arial"/>
              </w:rPr>
              <w:t>the adequacy of</w:t>
            </w:r>
            <w:r w:rsidRPr="00697E81">
              <w:rPr>
                <w:rFonts w:cs="Arial"/>
              </w:rPr>
              <w:t xml:space="preserve"> proposed fishery harvest strategies</w:t>
            </w:r>
            <w:r w:rsidR="00B160B7" w:rsidRPr="00697E81">
              <w:rPr>
                <w:rFonts w:cs="Arial"/>
              </w:rPr>
              <w:t xml:space="preserve">, and </w:t>
            </w:r>
            <w:r w:rsidRPr="00697E81">
              <w:rPr>
                <w:rFonts w:cs="Arial"/>
              </w:rPr>
              <w:t xml:space="preserve">data, </w:t>
            </w:r>
            <w:proofErr w:type="gramStart"/>
            <w:r w:rsidRPr="00697E81">
              <w:rPr>
                <w:rFonts w:cs="Arial"/>
              </w:rPr>
              <w:t>research</w:t>
            </w:r>
            <w:proofErr w:type="gramEnd"/>
            <w:r w:rsidRPr="00697E81">
              <w:rPr>
                <w:rFonts w:cs="Arial"/>
              </w:rPr>
              <w:t xml:space="preserve"> and monitoring needs</w:t>
            </w:r>
            <w:r w:rsidR="00F65E2E">
              <w:rPr>
                <w:rFonts w:cs="Arial"/>
              </w:rPr>
              <w:t xml:space="preserve">. </w:t>
            </w:r>
            <w:r w:rsidR="00F65E2E" w:rsidRPr="00AE5829">
              <w:rPr>
                <w:rFonts w:cs="Arial"/>
                <w:b/>
              </w:rPr>
              <w:t>However</w:t>
            </w:r>
            <w:r w:rsidR="00FC3B13" w:rsidRPr="00AE5829">
              <w:rPr>
                <w:rFonts w:cs="Arial"/>
                <w:b/>
              </w:rPr>
              <w:t>,</w:t>
            </w:r>
            <w:r w:rsidR="00F65E2E" w:rsidRPr="00AE5829">
              <w:rPr>
                <w:rFonts w:cs="Arial"/>
                <w:b/>
              </w:rPr>
              <w:t xml:space="preserve"> these functions have not yet been provided for the </w:t>
            </w:r>
            <w:r w:rsidR="00BF3D43">
              <w:rPr>
                <w:rFonts w:cs="Arial"/>
                <w:b/>
              </w:rPr>
              <w:t>Sea Cucumber Fishery (East Coast)</w:t>
            </w:r>
            <w:r w:rsidR="00F65E2E" w:rsidRPr="00AE5829">
              <w:rPr>
                <w:rFonts w:cs="Arial"/>
                <w:b/>
              </w:rPr>
              <w:t>.</w:t>
            </w:r>
          </w:p>
        </w:tc>
      </w:tr>
      <w:tr w:rsidR="00885298" w:rsidRPr="00A94147" w14:paraId="434A9161" w14:textId="77777777" w:rsidTr="009B614A">
        <w:trPr>
          <w:cantSplit/>
        </w:trPr>
        <w:tc>
          <w:tcPr>
            <w:tcW w:w="1532" w:type="pct"/>
            <w:shd w:val="clear" w:color="auto" w:fill="92D050"/>
          </w:tcPr>
          <w:p w14:paraId="7043B0B9" w14:textId="3AA0A409" w:rsidR="004649FA" w:rsidRPr="00AD50BC" w:rsidRDefault="00885298" w:rsidP="007F171B">
            <w:pPr>
              <w:spacing w:before="80" w:after="80" w:line="276" w:lineRule="auto"/>
              <w:rPr>
                <w:rFonts w:cs="Arial"/>
              </w:rPr>
            </w:pPr>
            <w:r w:rsidRPr="00AD50BC">
              <w:rPr>
                <w:rFonts w:cs="Arial"/>
              </w:rPr>
              <w:lastRenderedPageBreak/>
              <w:t xml:space="preserve">Be strategic, containing objectives and performance criteria by which the effectiveness of the management arrangements </w:t>
            </w:r>
            <w:proofErr w:type="gramStart"/>
            <w:r w:rsidRPr="00AD50BC">
              <w:rPr>
                <w:rFonts w:cs="Arial"/>
              </w:rPr>
              <w:t>are</w:t>
            </w:r>
            <w:proofErr w:type="gramEnd"/>
            <w:r w:rsidRPr="00AD50BC">
              <w:rPr>
                <w:rFonts w:cs="Arial"/>
              </w:rPr>
              <w:t xml:space="preserve"> measured</w:t>
            </w:r>
            <w:r w:rsidR="006B6EF9" w:rsidRPr="00AD50BC">
              <w:rPr>
                <w:rFonts w:cs="Arial"/>
              </w:rPr>
              <w:t>.</w:t>
            </w:r>
          </w:p>
        </w:tc>
        <w:tc>
          <w:tcPr>
            <w:tcW w:w="3468" w:type="pct"/>
            <w:shd w:val="clear" w:color="auto" w:fill="auto"/>
          </w:tcPr>
          <w:p w14:paraId="4A3EFAAE" w14:textId="39AB4E2F" w:rsidR="00014183" w:rsidRPr="00AD50BC" w:rsidRDefault="00E23762" w:rsidP="007F171B">
            <w:pPr>
              <w:pStyle w:val="BodyText1"/>
              <w:spacing w:before="80" w:after="80" w:line="276" w:lineRule="auto"/>
              <w:jc w:val="left"/>
              <w:rPr>
                <w:rFonts w:cs="Arial"/>
                <w:b/>
                <w:szCs w:val="22"/>
              </w:rPr>
            </w:pPr>
            <w:r>
              <w:rPr>
                <w:rFonts w:cs="Arial"/>
                <w:b/>
                <w:szCs w:val="22"/>
              </w:rPr>
              <w:t>M</w:t>
            </w:r>
            <w:r w:rsidR="008866FA" w:rsidRPr="00AD50BC">
              <w:rPr>
                <w:rFonts w:cs="Arial"/>
                <w:b/>
                <w:szCs w:val="22"/>
              </w:rPr>
              <w:t>eet</w:t>
            </w:r>
            <w:r>
              <w:rPr>
                <w:rFonts w:cs="Arial"/>
                <w:b/>
                <w:szCs w:val="22"/>
              </w:rPr>
              <w:t>s</w:t>
            </w:r>
            <w:r w:rsidR="008D2B65" w:rsidRPr="00AD50BC">
              <w:rPr>
                <w:rFonts w:cs="Arial"/>
                <w:b/>
                <w:szCs w:val="22"/>
              </w:rPr>
              <w:t xml:space="preserve"> – </w:t>
            </w:r>
            <w:r>
              <w:rPr>
                <w:rFonts w:cs="Arial"/>
                <w:b/>
                <w:szCs w:val="22"/>
              </w:rPr>
              <w:t xml:space="preserve">contains </w:t>
            </w:r>
            <w:r w:rsidR="008866FA" w:rsidRPr="00AD50BC">
              <w:rPr>
                <w:rFonts w:cs="Arial"/>
                <w:b/>
                <w:szCs w:val="22"/>
              </w:rPr>
              <w:t xml:space="preserve">a </w:t>
            </w:r>
            <w:r w:rsidR="00FD3D31" w:rsidRPr="00AD50BC">
              <w:rPr>
                <w:rFonts w:cs="Arial"/>
                <w:b/>
                <w:szCs w:val="22"/>
              </w:rPr>
              <w:t xml:space="preserve">strategic management framework including </w:t>
            </w:r>
            <w:r w:rsidR="005869AD" w:rsidRPr="00AD50BC">
              <w:rPr>
                <w:rFonts w:cs="Arial"/>
                <w:b/>
                <w:szCs w:val="22"/>
              </w:rPr>
              <w:t>objectives and performance criteria</w:t>
            </w:r>
            <w:r w:rsidR="00FD3D31" w:rsidRPr="00AD50BC">
              <w:rPr>
                <w:rFonts w:cs="Arial"/>
                <w:b/>
                <w:szCs w:val="22"/>
              </w:rPr>
              <w:t xml:space="preserve"> for measuring management </w:t>
            </w:r>
            <w:r w:rsidR="005869AD" w:rsidRPr="00AD50BC">
              <w:rPr>
                <w:rFonts w:cs="Arial"/>
                <w:b/>
                <w:szCs w:val="22"/>
              </w:rPr>
              <w:t>effectiveness</w:t>
            </w:r>
          </w:p>
          <w:p w14:paraId="39C14871" w14:textId="7287916E" w:rsidR="00E23762" w:rsidRPr="00E23762" w:rsidRDefault="009F3E9B" w:rsidP="00E23762">
            <w:pPr>
              <w:pStyle w:val="BodyText1"/>
              <w:spacing w:before="80" w:after="80" w:line="276" w:lineRule="auto"/>
              <w:rPr>
                <w:rFonts w:cs="Arial"/>
              </w:rPr>
            </w:pPr>
            <w:r>
              <w:rPr>
                <w:rFonts w:cs="Arial"/>
              </w:rPr>
              <w:t xml:space="preserve">QDAF’s </w:t>
            </w:r>
            <w:hyperlink r:id="rId22" w:history="1">
              <w:r w:rsidR="00E23762" w:rsidRPr="00E23762">
                <w:rPr>
                  <w:rStyle w:val="Hyperlink"/>
                  <w:rFonts w:cs="Arial"/>
                </w:rPr>
                <w:t>Performance Measurement System</w:t>
              </w:r>
            </w:hyperlink>
            <w:r w:rsidR="00E23762" w:rsidRPr="00E23762">
              <w:rPr>
                <w:rFonts w:cs="Arial"/>
              </w:rPr>
              <w:t xml:space="preserve"> (PMS) </w:t>
            </w:r>
            <w:r>
              <w:rPr>
                <w:rFonts w:cs="Arial"/>
              </w:rPr>
              <w:t xml:space="preserve">includes </w:t>
            </w:r>
            <w:r w:rsidR="00E23762" w:rsidRPr="00E23762">
              <w:rPr>
                <w:rFonts w:cs="Arial"/>
              </w:rPr>
              <w:t>objectives, performance indicators, performance measures and management responses</w:t>
            </w:r>
            <w:r>
              <w:rPr>
                <w:rFonts w:cs="Arial"/>
              </w:rPr>
              <w:t xml:space="preserve"> designed to</w:t>
            </w:r>
            <w:r w:rsidR="00E23762" w:rsidRPr="00E23762">
              <w:rPr>
                <w:rFonts w:cs="Arial"/>
              </w:rPr>
              <w:t>:</w:t>
            </w:r>
          </w:p>
          <w:p w14:paraId="4704E859" w14:textId="73CD000D" w:rsidR="00E23762" w:rsidRPr="00E23762" w:rsidRDefault="00E23762" w:rsidP="00420B78">
            <w:pPr>
              <w:pStyle w:val="BodyText1"/>
              <w:numPr>
                <w:ilvl w:val="0"/>
                <w:numId w:val="14"/>
              </w:numPr>
              <w:spacing w:before="80" w:after="80" w:line="276" w:lineRule="auto"/>
              <w:rPr>
                <w:rFonts w:cs="Arial"/>
              </w:rPr>
            </w:pPr>
            <w:r w:rsidRPr="00E23762">
              <w:rPr>
                <w:rFonts w:cs="Arial"/>
              </w:rPr>
              <w:t xml:space="preserve">Maintain stocks at sustainable levels, minimise risks of unsustainable harvest and recover stocks that are considered to have been fished to below sustainable </w:t>
            </w:r>
            <w:proofErr w:type="gramStart"/>
            <w:r w:rsidRPr="00E23762">
              <w:rPr>
                <w:rFonts w:cs="Arial"/>
              </w:rPr>
              <w:t>levels;</w:t>
            </w:r>
            <w:proofErr w:type="gramEnd"/>
          </w:p>
          <w:p w14:paraId="22527B3F" w14:textId="77777777" w:rsidR="00E23762" w:rsidRPr="00E23762" w:rsidRDefault="00E23762" w:rsidP="00420B78">
            <w:pPr>
              <w:pStyle w:val="BodyText1"/>
              <w:numPr>
                <w:ilvl w:val="0"/>
                <w:numId w:val="14"/>
              </w:numPr>
              <w:spacing w:before="80" w:after="80" w:line="276" w:lineRule="auto"/>
              <w:rPr>
                <w:rFonts w:cs="Arial"/>
              </w:rPr>
            </w:pPr>
            <w:r w:rsidRPr="00E23762">
              <w:rPr>
                <w:rFonts w:cs="Arial"/>
              </w:rPr>
              <w:t xml:space="preserve">Protect endangered and threatened </w:t>
            </w:r>
            <w:proofErr w:type="gramStart"/>
            <w:r w:rsidRPr="00E23762">
              <w:rPr>
                <w:rFonts w:cs="Arial"/>
              </w:rPr>
              <w:t>species;</w:t>
            </w:r>
            <w:proofErr w:type="gramEnd"/>
          </w:p>
          <w:p w14:paraId="514EDC5A" w14:textId="77777777" w:rsidR="00E23762" w:rsidRPr="00E23762" w:rsidRDefault="00E23762" w:rsidP="00420B78">
            <w:pPr>
              <w:pStyle w:val="BodyText1"/>
              <w:numPr>
                <w:ilvl w:val="0"/>
                <w:numId w:val="14"/>
              </w:numPr>
              <w:spacing w:before="80" w:after="80" w:line="276" w:lineRule="auto"/>
              <w:rPr>
                <w:rFonts w:cs="Arial"/>
              </w:rPr>
            </w:pPr>
            <w:r w:rsidRPr="00E23762">
              <w:rPr>
                <w:rFonts w:cs="Arial"/>
              </w:rPr>
              <w:t>Minimise fishery impacts on the ecosystem; and</w:t>
            </w:r>
          </w:p>
          <w:p w14:paraId="1DAE5048" w14:textId="3B31AA4F" w:rsidR="00BA6901" w:rsidRPr="00C34FAE" w:rsidRDefault="00E23762" w:rsidP="00420B78">
            <w:pPr>
              <w:pStyle w:val="BodyText1"/>
              <w:numPr>
                <w:ilvl w:val="0"/>
                <w:numId w:val="14"/>
              </w:numPr>
              <w:spacing w:before="80" w:after="80" w:line="276" w:lineRule="auto"/>
              <w:rPr>
                <w:rFonts w:cs="Arial"/>
              </w:rPr>
            </w:pPr>
            <w:r w:rsidRPr="00E23762">
              <w:rPr>
                <w:rFonts w:cs="Arial"/>
              </w:rPr>
              <w:t>Ensure adequate compliance</w:t>
            </w:r>
            <w:r w:rsidR="00C34FAE">
              <w:rPr>
                <w:rFonts w:cs="Arial"/>
              </w:rPr>
              <w:t>.</w:t>
            </w:r>
          </w:p>
        </w:tc>
      </w:tr>
      <w:tr w:rsidR="00885298" w:rsidRPr="00A94147" w14:paraId="73791D4D" w14:textId="77777777" w:rsidTr="009B614A">
        <w:trPr>
          <w:cantSplit/>
        </w:trPr>
        <w:tc>
          <w:tcPr>
            <w:tcW w:w="1532" w:type="pct"/>
            <w:shd w:val="clear" w:color="auto" w:fill="FFC000"/>
          </w:tcPr>
          <w:p w14:paraId="1EB80B0F" w14:textId="109601B0" w:rsidR="004649FA" w:rsidRPr="00A94147" w:rsidRDefault="00885298" w:rsidP="007F171B">
            <w:pPr>
              <w:spacing w:before="80" w:after="80" w:line="276" w:lineRule="auto"/>
              <w:rPr>
                <w:rFonts w:cs="Arial"/>
                <w:highlight w:val="yellow"/>
              </w:rPr>
            </w:pPr>
            <w:r w:rsidRPr="00041622">
              <w:rPr>
                <w:rFonts w:cs="Arial"/>
              </w:rPr>
              <w:lastRenderedPageBreak/>
              <w:t>Be capable of controlling the level of harvest in the fishery using input and/or output controls</w:t>
            </w:r>
            <w:r w:rsidR="006B6EF9" w:rsidRPr="00041622">
              <w:rPr>
                <w:rFonts w:cs="Arial"/>
              </w:rPr>
              <w:t>.</w:t>
            </w:r>
          </w:p>
        </w:tc>
        <w:tc>
          <w:tcPr>
            <w:tcW w:w="3468" w:type="pct"/>
            <w:shd w:val="clear" w:color="auto" w:fill="auto"/>
          </w:tcPr>
          <w:p w14:paraId="32568A02" w14:textId="4ED675BD" w:rsidR="005869AD" w:rsidRPr="00AD50BC" w:rsidRDefault="009B614A" w:rsidP="007F171B">
            <w:pPr>
              <w:spacing w:before="80" w:after="80" w:line="276" w:lineRule="auto"/>
              <w:rPr>
                <w:rFonts w:cs="Arial"/>
                <w:b/>
              </w:rPr>
            </w:pPr>
            <w:r>
              <w:rPr>
                <w:rFonts w:cs="Arial"/>
                <w:b/>
              </w:rPr>
              <w:t>Partly m</w:t>
            </w:r>
            <w:r w:rsidR="00F8472A" w:rsidRPr="00AD50BC">
              <w:rPr>
                <w:rFonts w:cs="Arial"/>
                <w:b/>
              </w:rPr>
              <w:t xml:space="preserve">eets </w:t>
            </w:r>
            <w:r w:rsidR="00636969" w:rsidRPr="00AD50BC">
              <w:rPr>
                <w:rFonts w:cs="Arial"/>
                <w:b/>
              </w:rPr>
              <w:t xml:space="preserve">– </w:t>
            </w:r>
            <w:r w:rsidR="005C00D6" w:rsidRPr="00AD50BC">
              <w:rPr>
                <w:rFonts w:cs="Arial"/>
                <w:b/>
              </w:rPr>
              <w:t xml:space="preserve">The level of harvest is controlled </w:t>
            </w:r>
            <w:r w:rsidR="009C0B56">
              <w:rPr>
                <w:rFonts w:cs="Arial"/>
                <w:b/>
              </w:rPr>
              <w:t xml:space="preserve">by various input and output </w:t>
            </w:r>
            <w:proofErr w:type="gramStart"/>
            <w:r w:rsidR="009C0B56">
              <w:rPr>
                <w:rFonts w:cs="Arial"/>
                <w:b/>
              </w:rPr>
              <w:t>controls</w:t>
            </w:r>
            <w:proofErr w:type="gramEnd"/>
            <w:r w:rsidR="00D30488">
              <w:rPr>
                <w:rFonts w:cs="Arial"/>
                <w:b/>
              </w:rPr>
              <w:t xml:space="preserve"> but some arrangements are voluntary</w:t>
            </w:r>
          </w:p>
          <w:p w14:paraId="0047AE67" w14:textId="1D7CAD49" w:rsidR="00E7683B" w:rsidRDefault="00810C45" w:rsidP="00920721">
            <w:pPr>
              <w:spacing w:before="80" w:after="80" w:line="276" w:lineRule="auto"/>
              <w:rPr>
                <w:rFonts w:cs="Arial"/>
              </w:rPr>
            </w:pPr>
            <w:r w:rsidRPr="00AD50BC">
              <w:rPr>
                <w:rFonts w:cs="Arial"/>
              </w:rPr>
              <w:t>Harvest is controlled by limits on the number of licences available to fish in the fishery</w:t>
            </w:r>
            <w:r w:rsidR="00751B41">
              <w:rPr>
                <w:rFonts w:cs="Arial"/>
              </w:rPr>
              <w:t xml:space="preserve"> (18)</w:t>
            </w:r>
            <w:r w:rsidR="00DB2057">
              <w:rPr>
                <w:rFonts w:cs="Arial"/>
              </w:rPr>
              <w:t xml:space="preserve">, limits on the number of fishers (10) and boats (5) able to fish under each licence, </w:t>
            </w:r>
            <w:r w:rsidR="00242685" w:rsidRPr="00AD50BC">
              <w:rPr>
                <w:rFonts w:cs="Arial"/>
              </w:rPr>
              <w:t xml:space="preserve">as well as </w:t>
            </w:r>
            <w:r w:rsidRPr="00AD50BC">
              <w:rPr>
                <w:rFonts w:cs="Arial"/>
              </w:rPr>
              <w:t xml:space="preserve">limits on where </w:t>
            </w:r>
            <w:r w:rsidR="00E15132" w:rsidRPr="00AD50BC">
              <w:rPr>
                <w:rFonts w:cs="Arial"/>
              </w:rPr>
              <w:t xml:space="preserve">and when </w:t>
            </w:r>
            <w:r w:rsidRPr="00AD50BC">
              <w:rPr>
                <w:rFonts w:cs="Arial"/>
              </w:rPr>
              <w:t xml:space="preserve">the licences can be used, </w:t>
            </w:r>
            <w:r w:rsidR="00E15132" w:rsidRPr="00AD50BC">
              <w:rPr>
                <w:rFonts w:cs="Arial"/>
              </w:rPr>
              <w:t>size limits</w:t>
            </w:r>
            <w:r w:rsidR="00AD24CF">
              <w:rPr>
                <w:rFonts w:cs="Arial"/>
              </w:rPr>
              <w:t xml:space="preserve"> (except for Black </w:t>
            </w:r>
            <w:proofErr w:type="spellStart"/>
            <w:r w:rsidR="00AD24CF">
              <w:rPr>
                <w:rFonts w:cs="Arial"/>
              </w:rPr>
              <w:t>Teatfish</w:t>
            </w:r>
            <w:proofErr w:type="spellEnd"/>
            <w:r w:rsidR="00AD24CF">
              <w:rPr>
                <w:rFonts w:cs="Arial"/>
              </w:rPr>
              <w:t>)</w:t>
            </w:r>
            <w:r w:rsidR="00E15132" w:rsidRPr="00AD50BC">
              <w:rPr>
                <w:rFonts w:cs="Arial"/>
              </w:rPr>
              <w:t xml:space="preserve"> and </w:t>
            </w:r>
            <w:r w:rsidR="00046192" w:rsidRPr="00AD50BC">
              <w:rPr>
                <w:rFonts w:cs="Arial"/>
              </w:rPr>
              <w:t xml:space="preserve">catch limits for </w:t>
            </w:r>
            <w:r w:rsidRPr="00AD50BC">
              <w:rPr>
                <w:rFonts w:cs="Arial"/>
              </w:rPr>
              <w:t>different species</w:t>
            </w:r>
            <w:r w:rsidR="00EC61AF">
              <w:rPr>
                <w:rFonts w:cs="Arial"/>
              </w:rPr>
              <w:t>.</w:t>
            </w:r>
            <w:r w:rsidR="00E7683B">
              <w:rPr>
                <w:rFonts w:cs="Arial"/>
              </w:rPr>
              <w:t xml:space="preserve"> Some of these arrangements are specified in </w:t>
            </w:r>
            <w:r w:rsidR="001B21E9">
              <w:rPr>
                <w:rFonts w:cs="Arial"/>
              </w:rPr>
              <w:t>t</w:t>
            </w:r>
            <w:r w:rsidR="001B21E9">
              <w:t xml:space="preserve">he Queensland </w:t>
            </w:r>
            <w:hyperlink r:id="rId23" w:history="1">
              <w:r w:rsidR="001B21E9" w:rsidRPr="000C7574">
                <w:rPr>
                  <w:rStyle w:val="Hyperlink"/>
                </w:rPr>
                <w:t>Fisheries (Commercial Fisheries) Regulation 2019</w:t>
              </w:r>
            </w:hyperlink>
            <w:r w:rsidR="001B21E9" w:rsidRPr="00894BAA">
              <w:rPr>
                <w:rStyle w:val="Hyperlink"/>
                <w:rFonts w:cs="Arial"/>
                <w:u w:val="none"/>
              </w:rPr>
              <w:t>,</w:t>
            </w:r>
            <w:r w:rsidR="001B21E9">
              <w:rPr>
                <w:rStyle w:val="Hyperlink"/>
                <w:rFonts w:cs="Arial"/>
                <w:u w:val="none"/>
              </w:rPr>
              <w:t xml:space="preserve"> </w:t>
            </w:r>
            <w:bookmarkStart w:id="19" w:name="_Hlk48041476"/>
            <w:r w:rsidR="001B21E9">
              <w:rPr>
                <w:rFonts w:cs="Arial"/>
              </w:rPr>
              <w:t>wh</w:t>
            </w:r>
            <w:r w:rsidR="00E7683B">
              <w:rPr>
                <w:rFonts w:cs="Arial"/>
              </w:rPr>
              <w:t xml:space="preserve">ile other arrangements are in permit conditions, a </w:t>
            </w:r>
            <w:hyperlink r:id="rId24" w:history="1">
              <w:r w:rsidR="00E7683B" w:rsidRPr="00E23762">
                <w:rPr>
                  <w:rStyle w:val="Hyperlink"/>
                  <w:rFonts w:cs="Arial"/>
                </w:rPr>
                <w:t>Performance Measurement System</w:t>
              </w:r>
            </w:hyperlink>
            <w:r w:rsidR="00E7683B" w:rsidRPr="00E23762">
              <w:rPr>
                <w:rFonts w:cs="Arial"/>
              </w:rPr>
              <w:t xml:space="preserve"> (PMS)</w:t>
            </w:r>
            <w:r w:rsidR="00E7683B">
              <w:rPr>
                <w:rFonts w:cs="Arial"/>
              </w:rPr>
              <w:t xml:space="preserve"> and a memorandum of understanding (MOU) between fishers and QDAF. </w:t>
            </w:r>
          </w:p>
          <w:p w14:paraId="3C7D30A1" w14:textId="692637B1" w:rsidR="00196684" w:rsidRDefault="009679A9" w:rsidP="000A6D51">
            <w:pPr>
              <w:pStyle w:val="BodyText1"/>
              <w:spacing w:before="80" w:after="80" w:line="276" w:lineRule="auto"/>
              <w:rPr>
                <w:rFonts w:cs="Arial"/>
              </w:rPr>
            </w:pPr>
            <w:r>
              <w:rPr>
                <w:rFonts w:cs="Arial"/>
              </w:rPr>
              <w:t xml:space="preserve">QDAF’s </w:t>
            </w:r>
            <w:r w:rsidRPr="00E23762">
              <w:rPr>
                <w:rFonts w:cs="Arial"/>
              </w:rPr>
              <w:t xml:space="preserve">PMS </w:t>
            </w:r>
            <w:r>
              <w:rPr>
                <w:rFonts w:cs="Arial"/>
              </w:rPr>
              <w:t xml:space="preserve">is designed to ensure </w:t>
            </w:r>
            <w:r w:rsidRPr="00E23762">
              <w:rPr>
                <w:rFonts w:cs="Arial"/>
              </w:rPr>
              <w:t xml:space="preserve">catches </w:t>
            </w:r>
            <w:r>
              <w:rPr>
                <w:rFonts w:cs="Arial"/>
              </w:rPr>
              <w:t xml:space="preserve">are </w:t>
            </w:r>
            <w:r w:rsidRPr="00E23762">
              <w:rPr>
                <w:rFonts w:cs="Arial"/>
              </w:rPr>
              <w:t>no more than 10</w:t>
            </w:r>
            <w:r>
              <w:rPr>
                <w:rFonts w:cs="Arial"/>
              </w:rPr>
              <w:t xml:space="preserve"> per cent</w:t>
            </w:r>
            <w:r w:rsidRPr="00E23762">
              <w:rPr>
                <w:rFonts w:cs="Arial"/>
              </w:rPr>
              <w:t xml:space="preserve"> of </w:t>
            </w:r>
            <w:r>
              <w:rPr>
                <w:rFonts w:cs="Arial"/>
              </w:rPr>
              <w:t xml:space="preserve">the </w:t>
            </w:r>
            <w:r w:rsidRPr="00E23762">
              <w:rPr>
                <w:rFonts w:cs="Arial"/>
              </w:rPr>
              <w:t xml:space="preserve">estimated biomass </w:t>
            </w:r>
            <w:r>
              <w:rPr>
                <w:rFonts w:cs="Arial"/>
              </w:rPr>
              <w:t>and</w:t>
            </w:r>
            <w:r w:rsidR="00196684">
              <w:rPr>
                <w:rFonts w:cs="Arial"/>
              </w:rPr>
              <w:t>, when regular stock surveys</w:t>
            </w:r>
            <w:r>
              <w:rPr>
                <w:rFonts w:cs="Arial"/>
              </w:rPr>
              <w:t xml:space="preserve"> </w:t>
            </w:r>
            <w:r w:rsidR="00196684">
              <w:rPr>
                <w:rFonts w:cs="Arial"/>
              </w:rPr>
              <w:t xml:space="preserve">are undertaken (which they have not been), </w:t>
            </w:r>
            <w:r>
              <w:rPr>
                <w:rFonts w:cs="Arial"/>
              </w:rPr>
              <w:t xml:space="preserve">for </w:t>
            </w:r>
            <w:r w:rsidRPr="00E23762">
              <w:rPr>
                <w:rFonts w:cs="Arial"/>
              </w:rPr>
              <w:t xml:space="preserve">biomass </w:t>
            </w:r>
            <w:r>
              <w:rPr>
                <w:rFonts w:cs="Arial"/>
              </w:rPr>
              <w:t xml:space="preserve">to </w:t>
            </w:r>
            <w:r w:rsidRPr="00E23762">
              <w:rPr>
                <w:rFonts w:cs="Arial"/>
              </w:rPr>
              <w:t xml:space="preserve">not fall by </w:t>
            </w:r>
            <w:r>
              <w:rPr>
                <w:rFonts w:cs="Arial"/>
              </w:rPr>
              <w:t xml:space="preserve">more than </w:t>
            </w:r>
            <w:r w:rsidRPr="00E23762">
              <w:rPr>
                <w:rFonts w:cs="Arial"/>
              </w:rPr>
              <w:t>15</w:t>
            </w:r>
            <w:r>
              <w:rPr>
                <w:rFonts w:cs="Arial"/>
              </w:rPr>
              <w:t xml:space="preserve"> per cent</w:t>
            </w:r>
            <w:r w:rsidR="00196684">
              <w:rPr>
                <w:rFonts w:cs="Arial"/>
              </w:rPr>
              <w:t xml:space="preserve"> between surveys</w:t>
            </w:r>
            <w:r w:rsidRPr="00E23762">
              <w:rPr>
                <w:rFonts w:cs="Arial"/>
              </w:rPr>
              <w:t xml:space="preserve">. </w:t>
            </w:r>
          </w:p>
          <w:p w14:paraId="4AB6038A" w14:textId="74DC24D0" w:rsidR="000A6D51" w:rsidRPr="00E23762" w:rsidRDefault="009679A9" w:rsidP="000A6D51">
            <w:pPr>
              <w:pStyle w:val="BodyText1"/>
              <w:spacing w:before="80" w:after="80" w:line="276" w:lineRule="auto"/>
              <w:rPr>
                <w:rFonts w:cs="Arial"/>
              </w:rPr>
            </w:pPr>
            <w:r w:rsidRPr="00E23762">
              <w:rPr>
                <w:rFonts w:cs="Arial"/>
              </w:rPr>
              <w:t xml:space="preserve">The PMS </w:t>
            </w:r>
            <w:r>
              <w:rPr>
                <w:rFonts w:cs="Arial"/>
              </w:rPr>
              <w:t>specifies ‘</w:t>
            </w:r>
            <w:r w:rsidRPr="00E23762">
              <w:rPr>
                <w:rFonts w:cs="Arial"/>
              </w:rPr>
              <w:t>review reference points</w:t>
            </w:r>
            <w:r>
              <w:rPr>
                <w:rFonts w:cs="Arial"/>
              </w:rPr>
              <w:t>’</w:t>
            </w:r>
            <w:r w:rsidRPr="00E23762">
              <w:rPr>
                <w:rFonts w:cs="Arial"/>
              </w:rPr>
              <w:t xml:space="preserve"> </w:t>
            </w:r>
            <w:r>
              <w:rPr>
                <w:rFonts w:cs="Arial"/>
              </w:rPr>
              <w:t>or ‘</w:t>
            </w:r>
            <w:r w:rsidRPr="00E23762">
              <w:rPr>
                <w:rFonts w:cs="Arial"/>
              </w:rPr>
              <w:t>catch triggers</w:t>
            </w:r>
            <w:r>
              <w:rPr>
                <w:rFonts w:cs="Arial"/>
              </w:rPr>
              <w:t>’</w:t>
            </w:r>
            <w:r w:rsidRPr="00E23762">
              <w:rPr>
                <w:rFonts w:cs="Arial"/>
              </w:rPr>
              <w:t xml:space="preserve"> which outlines the permissible amount of catch for each species</w:t>
            </w:r>
            <w:r>
              <w:rPr>
                <w:rFonts w:cs="Arial"/>
              </w:rPr>
              <w:t xml:space="preserve"> before further investigation is required. These catch triggers are reflected in the conditions of each fishing permit and effectively limit catch to these specified amounts.</w:t>
            </w:r>
            <w:r w:rsidR="00E7683B">
              <w:rPr>
                <w:rFonts w:cs="Arial"/>
              </w:rPr>
              <w:t xml:space="preserve"> </w:t>
            </w:r>
            <w:r w:rsidR="009C0B56">
              <w:rPr>
                <w:rFonts w:cs="Arial"/>
              </w:rPr>
              <w:t>M</w:t>
            </w:r>
            <w:r w:rsidR="000A6D51" w:rsidRPr="00E23762">
              <w:rPr>
                <w:rFonts w:cs="Arial"/>
              </w:rPr>
              <w:t>anagement responses outlined in the PMS</w:t>
            </w:r>
            <w:r w:rsidR="009C0B56">
              <w:rPr>
                <w:rFonts w:cs="Arial"/>
              </w:rPr>
              <w:t xml:space="preserve"> </w:t>
            </w:r>
            <w:r w:rsidR="000A6D51" w:rsidRPr="00E23762">
              <w:rPr>
                <w:rFonts w:cs="Arial"/>
              </w:rPr>
              <w:t xml:space="preserve">would be applied by QDAF on a case-by-case basis if a review reference point </w:t>
            </w:r>
            <w:r w:rsidR="009C0B56">
              <w:rPr>
                <w:rFonts w:cs="Arial"/>
              </w:rPr>
              <w:t xml:space="preserve">(RRP) </w:t>
            </w:r>
            <w:r w:rsidR="000A6D51" w:rsidRPr="00E23762">
              <w:rPr>
                <w:rFonts w:cs="Arial"/>
              </w:rPr>
              <w:t xml:space="preserve">was triggered. The management responses </w:t>
            </w:r>
            <w:r w:rsidR="009C0B56">
              <w:rPr>
                <w:rFonts w:cs="Arial"/>
              </w:rPr>
              <w:t>include:</w:t>
            </w:r>
          </w:p>
          <w:p w14:paraId="43B29079" w14:textId="63B2DE57" w:rsidR="000A6D51" w:rsidRPr="00E23762" w:rsidRDefault="009C0B56" w:rsidP="00420B78">
            <w:pPr>
              <w:pStyle w:val="BodyText1"/>
              <w:numPr>
                <w:ilvl w:val="0"/>
                <w:numId w:val="15"/>
              </w:numPr>
              <w:spacing w:before="80" w:after="80" w:line="276" w:lineRule="auto"/>
              <w:rPr>
                <w:rFonts w:cs="Arial"/>
              </w:rPr>
            </w:pPr>
            <w:r w:rsidRPr="00E23762">
              <w:rPr>
                <w:rFonts w:cs="Arial"/>
              </w:rPr>
              <w:t>Increas</w:t>
            </w:r>
            <w:r>
              <w:rPr>
                <w:rFonts w:cs="Arial"/>
              </w:rPr>
              <w:t>ing</w:t>
            </w:r>
            <w:r w:rsidRPr="00E23762">
              <w:rPr>
                <w:rFonts w:cs="Arial"/>
              </w:rPr>
              <w:t xml:space="preserve"> </w:t>
            </w:r>
            <w:r w:rsidR="000A6D51" w:rsidRPr="00E23762">
              <w:rPr>
                <w:rFonts w:cs="Arial"/>
              </w:rPr>
              <w:t xml:space="preserve">the </w:t>
            </w:r>
            <w:r>
              <w:rPr>
                <w:rFonts w:cs="Arial"/>
              </w:rPr>
              <w:t>RRP (</w:t>
            </w:r>
            <w:r w:rsidR="001B21E9">
              <w:rPr>
                <w:rFonts w:cs="Arial"/>
              </w:rPr>
              <w:t xml:space="preserve">the RRP serves as a </w:t>
            </w:r>
            <w:r>
              <w:rPr>
                <w:rFonts w:cs="Arial"/>
              </w:rPr>
              <w:t>catch limit</w:t>
            </w:r>
            <w:r w:rsidR="00183825">
              <w:rPr>
                <w:rFonts w:cs="Arial"/>
              </w:rPr>
              <w:t xml:space="preserve"> via permit conditions</w:t>
            </w:r>
            <w:proofErr w:type="gramStart"/>
            <w:r>
              <w:rPr>
                <w:rFonts w:cs="Arial"/>
              </w:rPr>
              <w:t>)</w:t>
            </w:r>
            <w:r w:rsidR="000A6D51" w:rsidRPr="00E23762">
              <w:rPr>
                <w:rFonts w:cs="Arial"/>
              </w:rPr>
              <w:t>;</w:t>
            </w:r>
            <w:proofErr w:type="gramEnd"/>
            <w:r w:rsidR="000A6D51" w:rsidRPr="00E23762">
              <w:rPr>
                <w:rFonts w:cs="Arial"/>
              </w:rPr>
              <w:t xml:space="preserve"> </w:t>
            </w:r>
          </w:p>
          <w:p w14:paraId="345D511E" w14:textId="6008897D" w:rsidR="000A6D51" w:rsidRPr="00E23762" w:rsidRDefault="000A6D51" w:rsidP="00420B78">
            <w:pPr>
              <w:pStyle w:val="BodyText1"/>
              <w:numPr>
                <w:ilvl w:val="0"/>
                <w:numId w:val="15"/>
              </w:numPr>
              <w:spacing w:before="80" w:after="80" w:line="276" w:lineRule="auto"/>
              <w:rPr>
                <w:rFonts w:cs="Arial"/>
              </w:rPr>
            </w:pPr>
            <w:r w:rsidRPr="00E23762">
              <w:rPr>
                <w:rFonts w:cs="Arial"/>
              </w:rPr>
              <w:t>Commi</w:t>
            </w:r>
            <w:r w:rsidR="009C0B56">
              <w:rPr>
                <w:rFonts w:cs="Arial"/>
              </w:rPr>
              <w:t>t</w:t>
            </w:r>
            <w:r w:rsidRPr="00E23762">
              <w:rPr>
                <w:rFonts w:cs="Arial"/>
              </w:rPr>
              <w:t>t</w:t>
            </w:r>
            <w:r w:rsidR="009C0B56">
              <w:rPr>
                <w:rFonts w:cs="Arial"/>
              </w:rPr>
              <w:t>ing</w:t>
            </w:r>
            <w:r w:rsidRPr="00E23762">
              <w:rPr>
                <w:rFonts w:cs="Arial"/>
              </w:rPr>
              <w:t xml:space="preserve"> to intervention/further action if RRP is reached in a subsequent </w:t>
            </w:r>
            <w:proofErr w:type="gramStart"/>
            <w:r w:rsidRPr="00E23762">
              <w:rPr>
                <w:rFonts w:cs="Arial"/>
              </w:rPr>
              <w:t>year;</w:t>
            </w:r>
            <w:proofErr w:type="gramEnd"/>
            <w:r w:rsidRPr="00E23762">
              <w:rPr>
                <w:rFonts w:cs="Arial"/>
              </w:rPr>
              <w:t xml:space="preserve"> </w:t>
            </w:r>
          </w:p>
          <w:p w14:paraId="7AFDB999" w14:textId="6831FDF2" w:rsidR="000A6D51" w:rsidRPr="00E23762" w:rsidRDefault="000A6D51" w:rsidP="00420B78">
            <w:pPr>
              <w:pStyle w:val="BodyText1"/>
              <w:numPr>
                <w:ilvl w:val="0"/>
                <w:numId w:val="15"/>
              </w:numPr>
              <w:spacing w:before="80" w:after="80" w:line="276" w:lineRule="auto"/>
              <w:rPr>
                <w:rFonts w:cs="Arial"/>
              </w:rPr>
            </w:pPr>
            <w:r w:rsidRPr="00E23762">
              <w:rPr>
                <w:rFonts w:cs="Arial"/>
              </w:rPr>
              <w:t xml:space="preserve">Allow fishing above RRP to continue for next quota year and require that it remain below RRP after that until a resource assessment is delivered by industry and spatially defined catch limit(s) endorsed by the </w:t>
            </w:r>
            <w:r w:rsidR="009C0B56">
              <w:rPr>
                <w:rFonts w:cs="Arial"/>
              </w:rPr>
              <w:t>Fishery Working Group (</w:t>
            </w:r>
            <w:r w:rsidRPr="00E23762">
              <w:rPr>
                <w:rFonts w:cs="Arial"/>
              </w:rPr>
              <w:t>FWG</w:t>
            </w:r>
            <w:proofErr w:type="gramStart"/>
            <w:r w:rsidR="009C0B56">
              <w:rPr>
                <w:rFonts w:cs="Arial"/>
              </w:rPr>
              <w:t>)</w:t>
            </w:r>
            <w:r w:rsidRPr="00E23762">
              <w:rPr>
                <w:rFonts w:cs="Arial"/>
              </w:rPr>
              <w:t>;</w:t>
            </w:r>
            <w:proofErr w:type="gramEnd"/>
            <w:r w:rsidRPr="00E23762">
              <w:rPr>
                <w:rFonts w:cs="Arial"/>
              </w:rPr>
              <w:t xml:space="preserve"> </w:t>
            </w:r>
          </w:p>
          <w:p w14:paraId="72C60A48" w14:textId="77777777" w:rsidR="000A6D51" w:rsidRPr="00E23762" w:rsidRDefault="000A6D51" w:rsidP="00420B78">
            <w:pPr>
              <w:pStyle w:val="BodyText1"/>
              <w:numPr>
                <w:ilvl w:val="0"/>
                <w:numId w:val="15"/>
              </w:numPr>
              <w:spacing w:before="80" w:after="80" w:line="276" w:lineRule="auto"/>
              <w:rPr>
                <w:rFonts w:cs="Arial"/>
              </w:rPr>
            </w:pPr>
            <w:r w:rsidRPr="00E23762">
              <w:rPr>
                <w:rFonts w:cs="Arial"/>
              </w:rPr>
              <w:t xml:space="preserve">Fishing to return to levels below RRP until a resource assessment (with methodology endorsed by the FWG) is delivered by industry and spatially defined catch limit(s) endorsed by the </w:t>
            </w:r>
            <w:proofErr w:type="gramStart"/>
            <w:r w:rsidRPr="00E23762">
              <w:rPr>
                <w:rFonts w:cs="Arial"/>
              </w:rPr>
              <w:t>FWG;</w:t>
            </w:r>
            <w:proofErr w:type="gramEnd"/>
            <w:r w:rsidRPr="00E23762">
              <w:rPr>
                <w:rFonts w:cs="Arial"/>
              </w:rPr>
              <w:t xml:space="preserve"> </w:t>
            </w:r>
          </w:p>
          <w:p w14:paraId="328554FB" w14:textId="77777777" w:rsidR="000A6D51" w:rsidRPr="00E23762" w:rsidRDefault="000A6D51" w:rsidP="00420B78">
            <w:pPr>
              <w:pStyle w:val="BodyText1"/>
              <w:numPr>
                <w:ilvl w:val="0"/>
                <w:numId w:val="15"/>
              </w:numPr>
              <w:spacing w:before="80" w:after="80" w:line="276" w:lineRule="auto"/>
              <w:rPr>
                <w:rFonts w:cs="Arial"/>
              </w:rPr>
            </w:pPr>
            <w:r w:rsidRPr="00E23762">
              <w:rPr>
                <w:rFonts w:cs="Arial"/>
              </w:rPr>
              <w:t xml:space="preserve">Fishing for species to cease in certain area(s) (key targeted area(s)) and fishing in all other areas to continue below RRP while a resource assessment (with methodology endorsed by the FWG) is delivered by industry for the targeted area; </w:t>
            </w:r>
          </w:p>
          <w:p w14:paraId="4019FF85" w14:textId="77777777" w:rsidR="000A6D51" w:rsidRPr="00E23762" w:rsidRDefault="000A6D51" w:rsidP="00420B78">
            <w:pPr>
              <w:pStyle w:val="BodyText1"/>
              <w:numPr>
                <w:ilvl w:val="0"/>
                <w:numId w:val="15"/>
              </w:numPr>
              <w:spacing w:before="80" w:after="80" w:line="276" w:lineRule="auto"/>
              <w:rPr>
                <w:rFonts w:cs="Arial"/>
              </w:rPr>
            </w:pPr>
            <w:r w:rsidRPr="00E23762">
              <w:rPr>
                <w:rFonts w:cs="Arial"/>
              </w:rPr>
              <w:t xml:space="preserve">Fishing for species to cease until a resource assessment (with methodology endorsed by the FWG) is delivered by industry and spatially defined catch limit(s) endorsed by the FWG. </w:t>
            </w:r>
          </w:p>
          <w:p w14:paraId="406C5F18" w14:textId="5A366598" w:rsidR="000A6D51" w:rsidRPr="00E23762" w:rsidRDefault="000A6D51" w:rsidP="000A6D51">
            <w:pPr>
              <w:pStyle w:val="BodyText1"/>
              <w:spacing w:before="80" w:after="80" w:line="276" w:lineRule="auto"/>
              <w:rPr>
                <w:rFonts w:cs="Arial"/>
              </w:rPr>
            </w:pPr>
            <w:r w:rsidRPr="00E23762">
              <w:rPr>
                <w:rFonts w:cs="Arial"/>
              </w:rPr>
              <w:lastRenderedPageBreak/>
              <w:t xml:space="preserve">Management responses are also outlined in the PMS </w:t>
            </w:r>
            <w:r w:rsidR="00320A39">
              <w:rPr>
                <w:rFonts w:cs="Arial"/>
              </w:rPr>
              <w:t xml:space="preserve">which provides certainty </w:t>
            </w:r>
            <w:r w:rsidRPr="00E23762">
              <w:rPr>
                <w:rFonts w:cs="Arial"/>
              </w:rPr>
              <w:t xml:space="preserve">if any aspect of the </w:t>
            </w:r>
            <w:r w:rsidR="00E7683B">
              <w:rPr>
                <w:rFonts w:cs="Arial"/>
              </w:rPr>
              <w:t>MOU</w:t>
            </w:r>
            <w:r>
              <w:rPr>
                <w:rFonts w:cs="Arial"/>
              </w:rPr>
              <w:t xml:space="preserve"> between fishers and QDAF </w:t>
            </w:r>
            <w:r w:rsidRPr="00E23762">
              <w:rPr>
                <w:rFonts w:cs="Arial"/>
              </w:rPr>
              <w:t xml:space="preserve">is not adhered to. </w:t>
            </w:r>
            <w:r w:rsidR="00320A39">
              <w:rPr>
                <w:rFonts w:cs="Arial"/>
              </w:rPr>
              <w:t>For</w:t>
            </w:r>
            <w:r w:rsidR="00320A39" w:rsidRPr="00E23762">
              <w:rPr>
                <w:rFonts w:cs="Arial"/>
              </w:rPr>
              <w:t xml:space="preserve"> </w:t>
            </w:r>
            <w:r w:rsidRPr="00E23762">
              <w:rPr>
                <w:rFonts w:cs="Arial"/>
              </w:rPr>
              <w:t>example</w:t>
            </w:r>
            <w:r w:rsidR="00041622">
              <w:rPr>
                <w:rFonts w:cs="Arial"/>
              </w:rPr>
              <w:t>,</w:t>
            </w:r>
            <w:r w:rsidRPr="00E23762">
              <w:rPr>
                <w:rFonts w:cs="Arial"/>
              </w:rPr>
              <w:t xml:space="preserve"> </w:t>
            </w:r>
            <w:r w:rsidR="00320A39">
              <w:rPr>
                <w:rFonts w:cs="Arial"/>
              </w:rPr>
              <w:t>if</w:t>
            </w:r>
            <w:r w:rsidRPr="00E23762">
              <w:rPr>
                <w:rFonts w:cs="Arial"/>
              </w:rPr>
              <w:t xml:space="preserve"> allowed effort in each rotation zone exceed</w:t>
            </w:r>
            <w:r w:rsidR="00320A39">
              <w:rPr>
                <w:rFonts w:cs="Arial"/>
              </w:rPr>
              <w:t>s</w:t>
            </w:r>
            <w:r w:rsidRPr="00E23762">
              <w:rPr>
                <w:rFonts w:cs="Arial"/>
              </w:rPr>
              <w:t xml:space="preserve"> the allowed 15 days per zone, which can be monitored through vessel tracking. </w:t>
            </w:r>
          </w:p>
          <w:p w14:paraId="1888E407" w14:textId="79EADC57" w:rsidR="000A6D51" w:rsidRPr="00E23762" w:rsidRDefault="000A6D51" w:rsidP="000A6D51">
            <w:pPr>
              <w:pStyle w:val="BodyText1"/>
              <w:spacing w:before="80" w:after="80" w:line="276" w:lineRule="auto"/>
              <w:rPr>
                <w:rFonts w:cs="Arial"/>
              </w:rPr>
            </w:pPr>
            <w:r w:rsidRPr="00E23762">
              <w:rPr>
                <w:rFonts w:cs="Arial"/>
              </w:rPr>
              <w:t xml:space="preserve">The PMS was subject to </w:t>
            </w:r>
            <w:hyperlink r:id="rId25" w:history="1">
              <w:r w:rsidR="00F952C7" w:rsidRPr="00F952C7">
                <w:rPr>
                  <w:rStyle w:val="Hyperlink"/>
                  <w:rFonts w:cs="Arial"/>
                </w:rPr>
                <w:t>Management Strategy Evaluation</w:t>
              </w:r>
            </w:hyperlink>
            <w:r w:rsidRPr="00E23762">
              <w:rPr>
                <w:rFonts w:cs="Arial"/>
              </w:rPr>
              <w:t xml:space="preserve"> testing by the </w:t>
            </w:r>
            <w:r w:rsidR="004D20AD">
              <w:rPr>
                <w:rFonts w:cs="Arial"/>
              </w:rPr>
              <w:t xml:space="preserve">FRDC and </w:t>
            </w:r>
            <w:r w:rsidRPr="00E23762">
              <w:rPr>
                <w:rFonts w:cs="Arial"/>
              </w:rPr>
              <w:t>CSIRO, and the management regime was found to be working effectively in mitigating sustainability risks from fishing</w:t>
            </w:r>
            <w:r w:rsidR="00B1657D">
              <w:rPr>
                <w:rFonts w:cs="Arial"/>
              </w:rPr>
              <w:t xml:space="preserve"> </w:t>
            </w:r>
            <w:r w:rsidR="00B1657D" w:rsidRPr="000C7574">
              <w:rPr>
                <w:rFonts w:cs="Arial"/>
              </w:rPr>
              <w:t>(</w:t>
            </w:r>
            <w:hyperlink r:id="rId26" w:history="1">
              <w:r w:rsidR="00B1657D" w:rsidRPr="000C7574">
                <w:rPr>
                  <w:rStyle w:val="Hyperlink"/>
                  <w:rFonts w:cs="Arial"/>
                </w:rPr>
                <w:t>Skewes et al. 2014</w:t>
              </w:r>
            </w:hyperlink>
            <w:r w:rsidR="00B1657D" w:rsidRPr="000C7574">
              <w:rPr>
                <w:rFonts w:cs="Arial"/>
              </w:rPr>
              <w:t>)</w:t>
            </w:r>
            <w:r w:rsidRPr="00E23762">
              <w:rPr>
                <w:rFonts w:cs="Arial"/>
              </w:rPr>
              <w:t>.</w:t>
            </w:r>
          </w:p>
          <w:p w14:paraId="56A09EE2" w14:textId="77777777" w:rsidR="000A6D51" w:rsidRPr="00E23762" w:rsidRDefault="000A6D51" w:rsidP="000A6D51">
            <w:pPr>
              <w:pStyle w:val="BodyText1"/>
              <w:spacing w:before="80" w:after="80" w:line="276" w:lineRule="auto"/>
              <w:rPr>
                <w:rFonts w:cs="Arial"/>
              </w:rPr>
            </w:pPr>
            <w:r w:rsidRPr="00E23762">
              <w:rPr>
                <w:rFonts w:cs="Arial"/>
              </w:rPr>
              <w:t xml:space="preserve">QDAF is progressing further fisheries reform to make management of this fishery more efficient and streamlined. These changes require legislative reform and are being considered by government as part of a broader Queensland fisheries reform process. </w:t>
            </w:r>
          </w:p>
          <w:p w14:paraId="6AFC22BC" w14:textId="77777777" w:rsidR="000A6D51" w:rsidRPr="00E23762" w:rsidRDefault="000A6D51" w:rsidP="000A6D51">
            <w:pPr>
              <w:pStyle w:val="BodyText1"/>
              <w:spacing w:before="80" w:after="80" w:line="276" w:lineRule="auto"/>
              <w:rPr>
                <w:rFonts w:cs="Arial"/>
              </w:rPr>
            </w:pPr>
            <w:r w:rsidRPr="00E23762">
              <w:rPr>
                <w:rFonts w:cs="Arial"/>
              </w:rPr>
              <w:t xml:space="preserve">The proposed reforms for the Sea Cucumber Fishery include: </w:t>
            </w:r>
          </w:p>
          <w:p w14:paraId="65CD6FF2" w14:textId="77777777" w:rsidR="000A6D51" w:rsidRPr="00E23762" w:rsidRDefault="000A6D51" w:rsidP="00420B78">
            <w:pPr>
              <w:pStyle w:val="BodyText1"/>
              <w:numPr>
                <w:ilvl w:val="0"/>
                <w:numId w:val="16"/>
              </w:numPr>
              <w:spacing w:before="80" w:after="80" w:line="276" w:lineRule="auto"/>
              <w:rPr>
                <w:rFonts w:cs="Arial"/>
              </w:rPr>
            </w:pPr>
            <w:r w:rsidRPr="00E23762">
              <w:rPr>
                <w:rFonts w:cs="Arial"/>
              </w:rPr>
              <w:t xml:space="preserve">making the minimum size limits part of an industry standard operating procedure </w:t>
            </w:r>
          </w:p>
          <w:p w14:paraId="154C7540" w14:textId="77777777" w:rsidR="000A6D51" w:rsidRPr="00E23762" w:rsidRDefault="000A6D51" w:rsidP="00420B78">
            <w:pPr>
              <w:pStyle w:val="BodyText1"/>
              <w:numPr>
                <w:ilvl w:val="0"/>
                <w:numId w:val="16"/>
              </w:numPr>
              <w:spacing w:before="80" w:after="80" w:line="276" w:lineRule="auto"/>
              <w:rPr>
                <w:rFonts w:cs="Arial"/>
              </w:rPr>
            </w:pPr>
            <w:r w:rsidRPr="00E23762">
              <w:rPr>
                <w:rFonts w:cs="Arial"/>
              </w:rPr>
              <w:t>making total allowable catch limits as declared quotas in legislation instead of licence conditions; and</w:t>
            </w:r>
          </w:p>
          <w:p w14:paraId="313AE607" w14:textId="77777777" w:rsidR="000A6D51" w:rsidRPr="00E23762" w:rsidRDefault="000A6D51" w:rsidP="00420B78">
            <w:pPr>
              <w:pStyle w:val="BodyText1"/>
              <w:numPr>
                <w:ilvl w:val="0"/>
                <w:numId w:val="16"/>
              </w:numPr>
              <w:spacing w:before="80" w:after="80" w:line="276" w:lineRule="auto"/>
              <w:rPr>
                <w:rFonts w:cs="Arial"/>
              </w:rPr>
            </w:pPr>
            <w:r w:rsidRPr="00E23762">
              <w:rPr>
                <w:rFonts w:cs="Arial"/>
              </w:rPr>
              <w:t xml:space="preserve">creating a harvest strategy which covers: </w:t>
            </w:r>
          </w:p>
          <w:p w14:paraId="3B9762D9" w14:textId="69EB7501" w:rsidR="000A6D51" w:rsidRPr="00E23762" w:rsidRDefault="000A6D51" w:rsidP="00420B78">
            <w:pPr>
              <w:pStyle w:val="BodyText1"/>
              <w:numPr>
                <w:ilvl w:val="1"/>
                <w:numId w:val="16"/>
              </w:numPr>
              <w:spacing w:before="80" w:after="80" w:line="276" w:lineRule="auto"/>
              <w:rPr>
                <w:rFonts w:cs="Arial"/>
              </w:rPr>
            </w:pPr>
            <w:r w:rsidRPr="00E23762">
              <w:rPr>
                <w:rFonts w:cs="Arial"/>
              </w:rPr>
              <w:t xml:space="preserve">the </w:t>
            </w:r>
            <w:r w:rsidR="009C0B56">
              <w:rPr>
                <w:rFonts w:cs="Arial"/>
              </w:rPr>
              <w:t>Rotational Zon</w:t>
            </w:r>
            <w:r w:rsidR="00CE7D9E">
              <w:rPr>
                <w:rFonts w:cs="Arial"/>
              </w:rPr>
              <w:t>ing</w:t>
            </w:r>
            <w:r w:rsidR="009C0B56">
              <w:rPr>
                <w:rFonts w:cs="Arial"/>
              </w:rPr>
              <w:t xml:space="preserve"> Strategy </w:t>
            </w:r>
            <w:r w:rsidRPr="00E23762">
              <w:rPr>
                <w:rFonts w:cs="Arial"/>
              </w:rPr>
              <w:t xml:space="preserve">aspect of the </w:t>
            </w:r>
            <w:r w:rsidR="00E7683B">
              <w:rPr>
                <w:rFonts w:cs="Arial"/>
              </w:rPr>
              <w:t>MOU</w:t>
            </w:r>
          </w:p>
          <w:p w14:paraId="7E852D82" w14:textId="77777777" w:rsidR="00AD24CF" w:rsidRDefault="000A6D51" w:rsidP="00420B78">
            <w:pPr>
              <w:pStyle w:val="BodyText1"/>
              <w:numPr>
                <w:ilvl w:val="1"/>
                <w:numId w:val="16"/>
              </w:numPr>
              <w:spacing w:before="80" w:after="80" w:line="276" w:lineRule="auto"/>
              <w:rPr>
                <w:rFonts w:cs="Arial"/>
              </w:rPr>
            </w:pPr>
            <w:r w:rsidRPr="00E23762">
              <w:rPr>
                <w:rFonts w:cs="Arial"/>
              </w:rPr>
              <w:t>sectoral catch shares</w:t>
            </w:r>
          </w:p>
          <w:p w14:paraId="678E1541" w14:textId="24EDBC7C" w:rsidR="000A6D51" w:rsidRDefault="000A6D51" w:rsidP="00420B78">
            <w:pPr>
              <w:pStyle w:val="BodyText1"/>
              <w:numPr>
                <w:ilvl w:val="1"/>
                <w:numId w:val="16"/>
              </w:numPr>
              <w:spacing w:before="80" w:after="80" w:line="276" w:lineRule="auto"/>
              <w:rPr>
                <w:rFonts w:cs="Arial"/>
              </w:rPr>
            </w:pPr>
            <w:r w:rsidRPr="00AD24CF">
              <w:rPr>
                <w:rFonts w:cs="Arial"/>
              </w:rPr>
              <w:t xml:space="preserve">catch triggers for </w:t>
            </w:r>
            <w:r w:rsidR="009C0B56">
              <w:rPr>
                <w:rFonts w:cs="Arial"/>
              </w:rPr>
              <w:t>‘</w:t>
            </w:r>
            <w:r w:rsidRPr="00AD24CF">
              <w:rPr>
                <w:rFonts w:cs="Arial"/>
              </w:rPr>
              <w:t>tier 2 species</w:t>
            </w:r>
            <w:r w:rsidR="009C0B56">
              <w:rPr>
                <w:rFonts w:cs="Arial"/>
              </w:rPr>
              <w:t>’</w:t>
            </w:r>
            <w:r w:rsidRPr="00AD24CF">
              <w:rPr>
                <w:rFonts w:cs="Arial"/>
              </w:rPr>
              <w:t xml:space="preserve"> </w:t>
            </w:r>
            <w:r w:rsidR="00196684">
              <w:rPr>
                <w:rFonts w:cs="Arial"/>
              </w:rPr>
              <w:t xml:space="preserve">(to be defined in the harvest strategy) </w:t>
            </w:r>
            <w:r w:rsidRPr="00AD24CF">
              <w:rPr>
                <w:rFonts w:cs="Arial"/>
              </w:rPr>
              <w:t>and the management responses outlined in the PMS.</w:t>
            </w:r>
          </w:p>
          <w:bookmarkEnd w:id="19"/>
          <w:p w14:paraId="6E7D0E8C" w14:textId="72AE0069" w:rsidR="00B14A68" w:rsidRPr="009A3F6F" w:rsidRDefault="00B14A68" w:rsidP="00B14A68">
            <w:pPr>
              <w:spacing w:before="80" w:after="80" w:line="276" w:lineRule="auto"/>
              <w:rPr>
                <w:rFonts w:cs="Arial"/>
              </w:rPr>
            </w:pPr>
            <w:r w:rsidRPr="009A3F6F">
              <w:rPr>
                <w:rFonts w:cs="Arial"/>
              </w:rPr>
              <w:t xml:space="preserve">Commercial fishers are required to report </w:t>
            </w:r>
            <w:r w:rsidR="0071438D" w:rsidRPr="009A3F6F">
              <w:rPr>
                <w:rFonts w:cs="Arial"/>
              </w:rPr>
              <w:t xml:space="preserve">landed </w:t>
            </w:r>
            <w:r w:rsidRPr="009A3F6F">
              <w:rPr>
                <w:rFonts w:cs="Arial"/>
              </w:rPr>
              <w:t xml:space="preserve">catch and effort to </w:t>
            </w:r>
            <w:r w:rsidR="00046192" w:rsidRPr="009A3F6F">
              <w:rPr>
                <w:rFonts w:cs="Arial"/>
              </w:rPr>
              <w:t xml:space="preserve">QDAF </w:t>
            </w:r>
            <w:r w:rsidRPr="009A3F6F">
              <w:rPr>
                <w:rFonts w:cs="Arial"/>
              </w:rPr>
              <w:t xml:space="preserve">through logbooks and </w:t>
            </w:r>
            <w:r w:rsidR="00926AD5" w:rsidRPr="009A3F6F">
              <w:rPr>
                <w:rFonts w:cs="Arial"/>
              </w:rPr>
              <w:t xml:space="preserve">other </w:t>
            </w:r>
            <w:r w:rsidRPr="009A3F6F">
              <w:rPr>
                <w:rFonts w:cs="Arial"/>
              </w:rPr>
              <w:t>quota reporting systems.</w:t>
            </w:r>
          </w:p>
          <w:p w14:paraId="19459874" w14:textId="7424BB9B" w:rsidR="00046192" w:rsidRPr="009A3F6F" w:rsidRDefault="00046192" w:rsidP="00046192">
            <w:pPr>
              <w:spacing w:before="80" w:after="80" w:line="276" w:lineRule="auto"/>
              <w:rPr>
                <w:rFonts w:cs="Arial"/>
                <w:lang w:val="en"/>
              </w:rPr>
            </w:pPr>
            <w:r w:rsidRPr="009A3F6F">
              <w:rPr>
                <w:rFonts w:cs="Arial"/>
              </w:rPr>
              <w:t xml:space="preserve">Species that are subject to catch limits must be reported using QDAF’s Automated Integrated Voice Response (AIVR) system. The AIVR system requires fishers to report their catch prior to landing, and this helps to facilitate compliance inspections and enforcement of catch limits. </w:t>
            </w:r>
            <w:r w:rsidRPr="009A3F6F">
              <w:rPr>
                <w:rFonts w:cs="Arial"/>
                <w:lang w:val="en"/>
              </w:rPr>
              <w:t>Mandatory use of Vessel Monitoring Systems (VMS) also provide information to QDAF about vessel locations and activities.</w:t>
            </w:r>
          </w:p>
          <w:p w14:paraId="0FD82E69" w14:textId="5785C915" w:rsidR="00217C49" w:rsidRPr="00041622" w:rsidRDefault="00926AD5" w:rsidP="00046192">
            <w:pPr>
              <w:spacing w:before="80" w:after="80" w:line="276" w:lineRule="auto"/>
              <w:rPr>
                <w:rFonts w:cs="Arial"/>
              </w:rPr>
            </w:pPr>
            <w:r w:rsidRPr="009A3F6F">
              <w:rPr>
                <w:rFonts w:cs="Arial"/>
              </w:rPr>
              <w:t xml:space="preserve">Catch can also be verified using the </w:t>
            </w:r>
            <w:proofErr w:type="spellStart"/>
            <w:r w:rsidRPr="009A3F6F">
              <w:rPr>
                <w:rFonts w:cs="Arial"/>
              </w:rPr>
              <w:t>Beche</w:t>
            </w:r>
            <w:proofErr w:type="spellEnd"/>
            <w:r w:rsidRPr="009A3F6F">
              <w:rPr>
                <w:rFonts w:cs="Arial"/>
              </w:rPr>
              <w:t>-de-</w:t>
            </w:r>
            <w:proofErr w:type="spellStart"/>
            <w:r w:rsidRPr="009A3F6F">
              <w:rPr>
                <w:rFonts w:cs="Arial"/>
              </w:rPr>
              <w:t>mer</w:t>
            </w:r>
            <w:proofErr w:type="spellEnd"/>
            <w:r w:rsidRPr="009A3F6F">
              <w:rPr>
                <w:rFonts w:cs="Arial"/>
              </w:rPr>
              <w:t xml:space="preserve"> Buyers Reporting Logbook (</w:t>
            </w:r>
            <w:hyperlink r:id="rId27" w:history="1">
              <w:r w:rsidR="004E78FF" w:rsidRPr="004E78FF">
                <w:rPr>
                  <w:rStyle w:val="Hyperlink"/>
                  <w:rFonts w:cs="Arial"/>
                  <w:szCs w:val="20"/>
                  <w:lang w:eastAsia="en-AU"/>
                </w:rPr>
                <w:t>BB02</w:t>
              </w:r>
            </w:hyperlink>
            <w:r w:rsidRPr="009A3F6F">
              <w:rPr>
                <w:rFonts w:cs="Arial"/>
              </w:rPr>
              <w:t xml:space="preserve">), which </w:t>
            </w:r>
            <w:r w:rsidR="0003524D">
              <w:rPr>
                <w:rFonts w:cs="Arial"/>
              </w:rPr>
              <w:t xml:space="preserve">provide more </w:t>
            </w:r>
            <w:r w:rsidRPr="009A3F6F">
              <w:rPr>
                <w:rFonts w:cs="Arial"/>
              </w:rPr>
              <w:t xml:space="preserve">accurate logs of weighed processed product than </w:t>
            </w:r>
            <w:r w:rsidR="0003524D">
              <w:rPr>
                <w:rFonts w:cs="Arial"/>
              </w:rPr>
              <w:t xml:space="preserve">fisher’s </w:t>
            </w:r>
            <w:r w:rsidRPr="009A3F6F">
              <w:rPr>
                <w:rFonts w:cs="Arial"/>
              </w:rPr>
              <w:t>logbook</w:t>
            </w:r>
            <w:r w:rsidR="0003524D">
              <w:rPr>
                <w:rFonts w:cs="Arial"/>
              </w:rPr>
              <w:t>s</w:t>
            </w:r>
            <w:r w:rsidRPr="009A3F6F">
              <w:rPr>
                <w:rFonts w:cs="Arial"/>
              </w:rPr>
              <w:t xml:space="preserve"> or AIVR reported weights. </w:t>
            </w:r>
            <w:r w:rsidR="005A108E">
              <w:rPr>
                <w:rFonts w:cs="Arial"/>
              </w:rPr>
              <w:t xml:space="preserve">This data </w:t>
            </w:r>
            <w:r w:rsidR="00D30488">
              <w:rPr>
                <w:rFonts w:cs="Arial"/>
              </w:rPr>
              <w:t>allows catch limits to be monitored and managed</w:t>
            </w:r>
            <w:r w:rsidRPr="009A3F6F">
              <w:rPr>
                <w:rFonts w:cs="Arial"/>
              </w:rPr>
              <w:t>.</w:t>
            </w:r>
          </w:p>
        </w:tc>
      </w:tr>
      <w:tr w:rsidR="00885298" w:rsidRPr="00A94147" w14:paraId="1E480671" w14:textId="77777777" w:rsidTr="007772EF">
        <w:trPr>
          <w:cantSplit/>
        </w:trPr>
        <w:tc>
          <w:tcPr>
            <w:tcW w:w="1532" w:type="pct"/>
            <w:shd w:val="clear" w:color="auto" w:fill="92D050"/>
          </w:tcPr>
          <w:p w14:paraId="086604CB" w14:textId="6D5392B4" w:rsidR="00926096" w:rsidRPr="007772EF" w:rsidRDefault="00885298" w:rsidP="007F171B">
            <w:pPr>
              <w:spacing w:before="80" w:after="80" w:line="276" w:lineRule="auto"/>
              <w:rPr>
                <w:rFonts w:cs="Arial"/>
              </w:rPr>
            </w:pPr>
            <w:bookmarkStart w:id="20" w:name="_Hlk40432252"/>
            <w:r w:rsidRPr="007772EF">
              <w:rPr>
                <w:rFonts w:cs="Arial"/>
              </w:rPr>
              <w:lastRenderedPageBreak/>
              <w:t>Contain the means of enforcing critical aspects of the management arrangements</w:t>
            </w:r>
            <w:r w:rsidR="006B6EF9" w:rsidRPr="007772EF">
              <w:rPr>
                <w:rFonts w:cs="Arial"/>
              </w:rPr>
              <w:t>.</w:t>
            </w:r>
            <w:bookmarkEnd w:id="20"/>
          </w:p>
        </w:tc>
        <w:tc>
          <w:tcPr>
            <w:tcW w:w="3468" w:type="pct"/>
            <w:shd w:val="clear" w:color="auto" w:fill="auto"/>
          </w:tcPr>
          <w:p w14:paraId="3B7FF213" w14:textId="5FB6772F" w:rsidR="005869AD" w:rsidRPr="009A3F6F" w:rsidRDefault="00A377FB" w:rsidP="007F171B">
            <w:pPr>
              <w:spacing w:before="80" w:after="80" w:line="276" w:lineRule="auto"/>
              <w:rPr>
                <w:rFonts w:cs="Arial"/>
                <w:b/>
              </w:rPr>
            </w:pPr>
            <w:r w:rsidRPr="009A3F6F">
              <w:rPr>
                <w:rFonts w:cs="Arial"/>
                <w:b/>
              </w:rPr>
              <w:t>Meets</w:t>
            </w:r>
            <w:r w:rsidR="005869AD" w:rsidRPr="009A3F6F">
              <w:rPr>
                <w:rFonts w:cs="Arial"/>
                <w:b/>
              </w:rPr>
              <w:t xml:space="preserve"> </w:t>
            </w:r>
            <w:r w:rsidR="00636969" w:rsidRPr="009A3F6F">
              <w:rPr>
                <w:rFonts w:cs="Arial"/>
                <w:b/>
              </w:rPr>
              <w:t>–</w:t>
            </w:r>
            <w:r w:rsidR="005869AD" w:rsidRPr="009A3F6F">
              <w:rPr>
                <w:rFonts w:cs="Arial"/>
                <w:b/>
              </w:rPr>
              <w:t xml:space="preserve"> </w:t>
            </w:r>
            <w:r w:rsidR="007772EF">
              <w:rPr>
                <w:rFonts w:cs="Arial"/>
                <w:b/>
              </w:rPr>
              <w:t>Effective compliance and enforcement measures are in place</w:t>
            </w:r>
          </w:p>
          <w:p w14:paraId="557E168D" w14:textId="269ECF44" w:rsidR="007D49AA" w:rsidRPr="009A3F6F" w:rsidRDefault="007D49AA" w:rsidP="007F171B">
            <w:pPr>
              <w:spacing w:before="80" w:after="80" w:line="276" w:lineRule="auto"/>
              <w:rPr>
                <w:rFonts w:cs="Arial"/>
              </w:rPr>
            </w:pPr>
            <w:r w:rsidRPr="009A3F6F">
              <w:rPr>
                <w:rFonts w:cs="Arial"/>
              </w:rPr>
              <w:t xml:space="preserve">QDAF use a Compliance Risk Assessment framework to develop state and regional operation plans and deliver their compliance program. An overview of this program is available on the </w:t>
            </w:r>
            <w:hyperlink r:id="rId28" w:history="1">
              <w:r w:rsidRPr="009A3F6F">
                <w:rPr>
                  <w:rStyle w:val="Hyperlink"/>
                  <w:rFonts w:cs="Arial"/>
                </w:rPr>
                <w:t>QDAF website</w:t>
              </w:r>
            </w:hyperlink>
            <w:r w:rsidRPr="009A3F6F">
              <w:rPr>
                <w:rFonts w:cs="Arial"/>
              </w:rPr>
              <w:t>.</w:t>
            </w:r>
          </w:p>
          <w:p w14:paraId="61405B42" w14:textId="0210E264" w:rsidR="006A5239" w:rsidRPr="004E78FF" w:rsidRDefault="0099502E" w:rsidP="007F171B">
            <w:pPr>
              <w:spacing w:before="80" w:after="80" w:line="276" w:lineRule="auto"/>
              <w:rPr>
                <w:rFonts w:cs="Arial"/>
                <w:lang w:val="en"/>
              </w:rPr>
            </w:pPr>
            <w:r w:rsidRPr="004E78FF">
              <w:rPr>
                <w:rFonts w:cs="Arial"/>
              </w:rPr>
              <w:t xml:space="preserve">Vessel Monitoring Systems </w:t>
            </w:r>
            <w:r w:rsidR="00B3732E" w:rsidRPr="004E78FF">
              <w:rPr>
                <w:rFonts w:cs="Arial"/>
              </w:rPr>
              <w:t xml:space="preserve">(VMS) </w:t>
            </w:r>
            <w:r w:rsidRPr="004E78FF">
              <w:rPr>
                <w:rFonts w:cs="Arial"/>
              </w:rPr>
              <w:t xml:space="preserve">are used on all </w:t>
            </w:r>
            <w:r w:rsidR="00D10576" w:rsidRPr="004E78FF">
              <w:rPr>
                <w:rFonts w:cs="Arial"/>
              </w:rPr>
              <w:t xml:space="preserve">Queensland </w:t>
            </w:r>
            <w:r w:rsidRPr="004E78FF">
              <w:rPr>
                <w:rFonts w:cs="Arial"/>
              </w:rPr>
              <w:t>commercial fishing vessels to track the</w:t>
            </w:r>
            <w:r w:rsidR="00D10576" w:rsidRPr="004E78FF">
              <w:rPr>
                <w:rFonts w:cs="Arial"/>
              </w:rPr>
              <w:t>ir</w:t>
            </w:r>
            <w:r w:rsidRPr="004E78FF">
              <w:rPr>
                <w:rFonts w:cs="Arial"/>
              </w:rPr>
              <w:t xml:space="preserve"> location, validate reported fishing activity, and enhance QDAF’s capacity to undertake vessel inspections.</w:t>
            </w:r>
            <w:r w:rsidR="00C0295C" w:rsidRPr="004E78FF">
              <w:rPr>
                <w:rFonts w:cs="Arial"/>
              </w:rPr>
              <w:t xml:space="preserve"> </w:t>
            </w:r>
            <w:r w:rsidR="00B3732E" w:rsidRPr="004E78FF">
              <w:rPr>
                <w:rFonts w:cs="Arial"/>
              </w:rPr>
              <w:t xml:space="preserve">All vessels including tenders are required to operate VMS in the </w:t>
            </w:r>
            <w:r w:rsidR="000930C1" w:rsidRPr="004E78FF">
              <w:rPr>
                <w:rFonts w:cs="Arial"/>
              </w:rPr>
              <w:t xml:space="preserve">Queensland </w:t>
            </w:r>
            <w:r w:rsidR="00BF3D43">
              <w:rPr>
                <w:rFonts w:cs="Arial"/>
              </w:rPr>
              <w:t>Sea Cucumber Fishery (East Coast)</w:t>
            </w:r>
            <w:r w:rsidR="00B3732E" w:rsidRPr="004E78FF">
              <w:rPr>
                <w:rFonts w:cs="Arial"/>
              </w:rPr>
              <w:t xml:space="preserve">. </w:t>
            </w:r>
            <w:r w:rsidR="006C232B" w:rsidRPr="004E78FF">
              <w:rPr>
                <w:rFonts w:cs="Arial"/>
              </w:rPr>
              <w:t>F</w:t>
            </w:r>
            <w:r w:rsidR="0026211D" w:rsidRPr="004E78FF">
              <w:rPr>
                <w:rFonts w:cs="Arial"/>
              </w:rPr>
              <w:t xml:space="preserve">ishers </w:t>
            </w:r>
            <w:r w:rsidR="006D7278" w:rsidRPr="004E78FF">
              <w:rPr>
                <w:rFonts w:cs="Arial"/>
              </w:rPr>
              <w:t xml:space="preserve">are </w:t>
            </w:r>
            <w:r w:rsidR="00C0295C" w:rsidRPr="004E78FF">
              <w:rPr>
                <w:rFonts w:cs="Arial"/>
              </w:rPr>
              <w:t xml:space="preserve">also </w:t>
            </w:r>
            <w:r w:rsidR="006D7278" w:rsidRPr="004E78FF">
              <w:rPr>
                <w:rFonts w:cs="Arial"/>
              </w:rPr>
              <w:t xml:space="preserve">required to </w:t>
            </w:r>
            <w:r w:rsidR="006A5239" w:rsidRPr="004E78FF">
              <w:rPr>
                <w:rFonts w:cs="Arial"/>
              </w:rPr>
              <w:t xml:space="preserve">report </w:t>
            </w:r>
            <w:r w:rsidR="0026211D" w:rsidRPr="004E78FF">
              <w:rPr>
                <w:rFonts w:cs="Arial"/>
              </w:rPr>
              <w:t xml:space="preserve">all retained catch of species that are subject to catch limits using QDAF’s AIVR system. This </w:t>
            </w:r>
            <w:r w:rsidR="006D7278" w:rsidRPr="004E78FF">
              <w:rPr>
                <w:rFonts w:cs="Arial"/>
              </w:rPr>
              <w:t xml:space="preserve">helps </w:t>
            </w:r>
            <w:r w:rsidR="006A5239" w:rsidRPr="004E78FF">
              <w:rPr>
                <w:rFonts w:cs="Arial"/>
              </w:rPr>
              <w:t>facilitate compliance inspections where necessary.</w:t>
            </w:r>
          </w:p>
          <w:p w14:paraId="44E84912" w14:textId="2A2CA490" w:rsidR="00423ED5" w:rsidRPr="00A94147" w:rsidRDefault="00B3732E" w:rsidP="007F171B">
            <w:pPr>
              <w:spacing w:before="80" w:after="80" w:line="276" w:lineRule="auto"/>
              <w:rPr>
                <w:rFonts w:cs="Arial"/>
                <w:highlight w:val="yellow"/>
              </w:rPr>
            </w:pPr>
            <w:bookmarkStart w:id="21" w:name="_Hlk48041510"/>
            <w:r w:rsidRPr="004E78FF">
              <w:rPr>
                <w:rFonts w:cs="Arial"/>
              </w:rPr>
              <w:t>All c</w:t>
            </w:r>
            <w:r w:rsidR="006A5239" w:rsidRPr="004E78FF">
              <w:rPr>
                <w:rFonts w:cs="Arial"/>
              </w:rPr>
              <w:t>atch</w:t>
            </w:r>
            <w:r w:rsidRPr="004E78FF">
              <w:rPr>
                <w:rFonts w:cs="Arial"/>
              </w:rPr>
              <w:t xml:space="preserve"> must be </w:t>
            </w:r>
            <w:r w:rsidR="006A5239" w:rsidRPr="004E78FF">
              <w:rPr>
                <w:rFonts w:cs="Arial"/>
              </w:rPr>
              <w:t>landed to authorised fish receivers</w:t>
            </w:r>
            <w:r w:rsidR="004E78FF" w:rsidRPr="004E78FF">
              <w:rPr>
                <w:rFonts w:cs="Arial"/>
              </w:rPr>
              <w:t xml:space="preserve"> (‘</w:t>
            </w:r>
            <w:proofErr w:type="spellStart"/>
            <w:r w:rsidR="004E78FF" w:rsidRPr="004E78FF">
              <w:rPr>
                <w:rFonts w:cs="Arial"/>
              </w:rPr>
              <w:t>Beche</w:t>
            </w:r>
            <w:proofErr w:type="spellEnd"/>
            <w:r w:rsidR="004E78FF" w:rsidRPr="004E78FF">
              <w:rPr>
                <w:rFonts w:cs="Arial"/>
              </w:rPr>
              <w:t>-de-</w:t>
            </w:r>
            <w:proofErr w:type="spellStart"/>
            <w:r w:rsidR="004E78FF" w:rsidRPr="004E78FF">
              <w:rPr>
                <w:rFonts w:cs="Arial"/>
              </w:rPr>
              <w:t>mer</w:t>
            </w:r>
            <w:proofErr w:type="spellEnd"/>
            <w:r w:rsidR="004E78FF" w:rsidRPr="004E78FF">
              <w:rPr>
                <w:rFonts w:cs="Arial"/>
              </w:rPr>
              <w:t xml:space="preserve"> Buyer</w:t>
            </w:r>
            <w:r w:rsidR="0003524D">
              <w:rPr>
                <w:rFonts w:cs="Arial"/>
              </w:rPr>
              <w:t>s</w:t>
            </w:r>
            <w:r w:rsidR="004E78FF" w:rsidRPr="004E78FF">
              <w:rPr>
                <w:rFonts w:cs="Arial"/>
              </w:rPr>
              <w:t>’)</w:t>
            </w:r>
            <w:r w:rsidR="006A5239" w:rsidRPr="004E78FF">
              <w:rPr>
                <w:rFonts w:cs="Arial"/>
              </w:rPr>
              <w:t xml:space="preserve">, who verify landed catch weights and report </w:t>
            </w:r>
            <w:r w:rsidR="0026211D" w:rsidRPr="004E78FF">
              <w:rPr>
                <w:rFonts w:cs="Arial"/>
              </w:rPr>
              <w:t xml:space="preserve">their </w:t>
            </w:r>
            <w:r w:rsidR="006A5239" w:rsidRPr="004E78FF">
              <w:rPr>
                <w:rFonts w:cs="Arial"/>
              </w:rPr>
              <w:t>data independently to QDAF.</w:t>
            </w:r>
            <w:bookmarkEnd w:id="21"/>
          </w:p>
        </w:tc>
      </w:tr>
      <w:tr w:rsidR="00885298" w:rsidRPr="00A94147" w14:paraId="050DB205" w14:textId="77777777" w:rsidTr="00740F71">
        <w:trPr>
          <w:cantSplit/>
        </w:trPr>
        <w:tc>
          <w:tcPr>
            <w:tcW w:w="1532" w:type="pct"/>
            <w:shd w:val="clear" w:color="auto" w:fill="92D050"/>
          </w:tcPr>
          <w:p w14:paraId="4C2BDACB" w14:textId="546170D7" w:rsidR="004649FA" w:rsidRPr="007772EF" w:rsidRDefault="00885298" w:rsidP="007F171B">
            <w:pPr>
              <w:spacing w:before="80" w:after="80" w:line="276" w:lineRule="auto"/>
              <w:rPr>
                <w:rFonts w:cs="Arial"/>
              </w:rPr>
            </w:pPr>
            <w:r w:rsidRPr="007772EF">
              <w:rPr>
                <w:rFonts w:cs="Arial"/>
              </w:rPr>
              <w:lastRenderedPageBreak/>
              <w:t xml:space="preserve">Provide for the periodic review of the performance of the fishery management arrangements and the management strategies, </w:t>
            </w:r>
            <w:proofErr w:type="gramStart"/>
            <w:r w:rsidRPr="007772EF">
              <w:rPr>
                <w:rFonts w:cs="Arial"/>
              </w:rPr>
              <w:t>objectives</w:t>
            </w:r>
            <w:proofErr w:type="gramEnd"/>
            <w:r w:rsidRPr="007772EF">
              <w:rPr>
                <w:rFonts w:cs="Arial"/>
              </w:rPr>
              <w:t xml:space="preserve"> and criteria</w:t>
            </w:r>
            <w:r w:rsidR="006B6EF9" w:rsidRPr="007772EF">
              <w:rPr>
                <w:rFonts w:cs="Arial"/>
              </w:rPr>
              <w:t>.</w:t>
            </w:r>
          </w:p>
        </w:tc>
        <w:tc>
          <w:tcPr>
            <w:tcW w:w="3468" w:type="pct"/>
            <w:shd w:val="clear" w:color="auto" w:fill="auto"/>
          </w:tcPr>
          <w:p w14:paraId="41367452" w14:textId="709BA0B2" w:rsidR="00CF3226" w:rsidRPr="007772EF" w:rsidRDefault="004164A1" w:rsidP="007F171B">
            <w:pPr>
              <w:spacing w:before="80" w:after="80" w:line="276" w:lineRule="auto"/>
              <w:rPr>
                <w:rFonts w:cs="Arial"/>
                <w:b/>
              </w:rPr>
            </w:pPr>
            <w:r w:rsidRPr="007772EF">
              <w:rPr>
                <w:rFonts w:cs="Arial"/>
                <w:b/>
              </w:rPr>
              <w:t>M</w:t>
            </w:r>
            <w:r w:rsidR="00F8472A" w:rsidRPr="007772EF">
              <w:rPr>
                <w:rFonts w:cs="Arial"/>
                <w:b/>
              </w:rPr>
              <w:t>eet</w:t>
            </w:r>
            <w:r w:rsidRPr="007772EF">
              <w:rPr>
                <w:rFonts w:cs="Arial"/>
                <w:b/>
              </w:rPr>
              <w:t>s</w:t>
            </w:r>
            <w:r w:rsidR="005869AD" w:rsidRPr="007772EF">
              <w:rPr>
                <w:rFonts w:cs="Arial"/>
                <w:b/>
              </w:rPr>
              <w:t xml:space="preserve"> – </w:t>
            </w:r>
            <w:r w:rsidRPr="007772EF">
              <w:rPr>
                <w:rFonts w:cs="Arial"/>
                <w:b/>
              </w:rPr>
              <w:t xml:space="preserve">Performance review framework contained in </w:t>
            </w:r>
            <w:r w:rsidR="007772EF" w:rsidRPr="007772EF">
              <w:rPr>
                <w:rFonts w:cs="Arial"/>
                <w:b/>
              </w:rPr>
              <w:t>Performance Measurement System</w:t>
            </w:r>
          </w:p>
          <w:p w14:paraId="46050373" w14:textId="24A1BEC8" w:rsidR="009679A9" w:rsidRDefault="00F512A1" w:rsidP="00F512A1">
            <w:pPr>
              <w:pStyle w:val="BodyText1"/>
              <w:spacing w:before="80" w:after="80" w:line="276" w:lineRule="auto"/>
              <w:rPr>
                <w:rFonts w:cs="Arial"/>
              </w:rPr>
            </w:pPr>
            <w:r>
              <w:rPr>
                <w:rFonts w:cs="Arial"/>
              </w:rPr>
              <w:t xml:space="preserve">QDAF’s </w:t>
            </w:r>
            <w:hyperlink r:id="rId29" w:history="1">
              <w:r w:rsidRPr="00E23762">
                <w:rPr>
                  <w:rStyle w:val="Hyperlink"/>
                  <w:rFonts w:cs="Arial"/>
                </w:rPr>
                <w:t>Performance Measurement System</w:t>
              </w:r>
            </w:hyperlink>
            <w:r w:rsidRPr="00E23762">
              <w:rPr>
                <w:rFonts w:cs="Arial"/>
              </w:rPr>
              <w:t xml:space="preserve"> (PMS) </w:t>
            </w:r>
            <w:r>
              <w:rPr>
                <w:rFonts w:cs="Arial"/>
              </w:rPr>
              <w:t xml:space="preserve">is designed to ensure </w:t>
            </w:r>
            <w:r w:rsidRPr="00E23762">
              <w:rPr>
                <w:rFonts w:cs="Arial"/>
              </w:rPr>
              <w:t xml:space="preserve">catches </w:t>
            </w:r>
            <w:r>
              <w:rPr>
                <w:rFonts w:cs="Arial"/>
              </w:rPr>
              <w:t xml:space="preserve">are </w:t>
            </w:r>
            <w:r w:rsidRPr="00E23762">
              <w:rPr>
                <w:rFonts w:cs="Arial"/>
              </w:rPr>
              <w:t>no more than 10</w:t>
            </w:r>
            <w:r>
              <w:rPr>
                <w:rFonts w:cs="Arial"/>
              </w:rPr>
              <w:t xml:space="preserve"> per cent</w:t>
            </w:r>
            <w:r w:rsidRPr="00E23762">
              <w:rPr>
                <w:rFonts w:cs="Arial"/>
              </w:rPr>
              <w:t xml:space="preserve"> of </w:t>
            </w:r>
            <w:r>
              <w:rPr>
                <w:rFonts w:cs="Arial"/>
              </w:rPr>
              <w:t xml:space="preserve">the </w:t>
            </w:r>
            <w:r w:rsidRPr="00E23762">
              <w:rPr>
                <w:rFonts w:cs="Arial"/>
              </w:rPr>
              <w:t xml:space="preserve">estimated biomass </w:t>
            </w:r>
            <w:r>
              <w:rPr>
                <w:rFonts w:cs="Arial"/>
              </w:rPr>
              <w:t xml:space="preserve">and </w:t>
            </w:r>
            <w:r w:rsidR="00196684">
              <w:rPr>
                <w:rFonts w:cs="Arial"/>
              </w:rPr>
              <w:t xml:space="preserve">when regular stock surveys are undertaken (which they are </w:t>
            </w:r>
            <w:r w:rsidR="00DB277C">
              <w:rPr>
                <w:rFonts w:cs="Arial"/>
              </w:rPr>
              <w:t xml:space="preserve">presently </w:t>
            </w:r>
            <w:r w:rsidR="00196684">
              <w:rPr>
                <w:rFonts w:cs="Arial"/>
              </w:rPr>
              <w:t xml:space="preserve">not), </w:t>
            </w:r>
            <w:r>
              <w:rPr>
                <w:rFonts w:cs="Arial"/>
              </w:rPr>
              <w:t xml:space="preserve">for </w:t>
            </w:r>
            <w:r w:rsidRPr="00E23762">
              <w:rPr>
                <w:rFonts w:cs="Arial"/>
              </w:rPr>
              <w:t xml:space="preserve">biomass </w:t>
            </w:r>
            <w:r>
              <w:rPr>
                <w:rFonts w:cs="Arial"/>
              </w:rPr>
              <w:t xml:space="preserve">to </w:t>
            </w:r>
            <w:r w:rsidRPr="00E23762">
              <w:rPr>
                <w:rFonts w:cs="Arial"/>
              </w:rPr>
              <w:t xml:space="preserve">not fall by </w:t>
            </w:r>
            <w:r>
              <w:rPr>
                <w:rFonts w:cs="Arial"/>
              </w:rPr>
              <w:t xml:space="preserve">more than </w:t>
            </w:r>
            <w:r w:rsidRPr="00E23762">
              <w:rPr>
                <w:rFonts w:cs="Arial"/>
              </w:rPr>
              <w:t>15</w:t>
            </w:r>
            <w:r>
              <w:rPr>
                <w:rFonts w:cs="Arial"/>
              </w:rPr>
              <w:t xml:space="preserve"> per cent</w:t>
            </w:r>
            <w:r w:rsidR="00196684">
              <w:rPr>
                <w:rFonts w:cs="Arial"/>
              </w:rPr>
              <w:t xml:space="preserve"> between surveys</w:t>
            </w:r>
            <w:r w:rsidRPr="00E23762">
              <w:rPr>
                <w:rFonts w:cs="Arial"/>
              </w:rPr>
              <w:t>.</w:t>
            </w:r>
          </w:p>
          <w:p w14:paraId="7400941A" w14:textId="34FE6581" w:rsidR="00F512A1" w:rsidRPr="00E23762" w:rsidRDefault="009679A9" w:rsidP="00F512A1">
            <w:pPr>
              <w:pStyle w:val="BodyText1"/>
              <w:spacing w:before="80" w:after="80" w:line="276" w:lineRule="auto"/>
              <w:rPr>
                <w:rFonts w:cs="Arial"/>
              </w:rPr>
            </w:pPr>
            <w:r w:rsidRPr="00E23762">
              <w:rPr>
                <w:rFonts w:cs="Arial"/>
              </w:rPr>
              <w:t xml:space="preserve">The PMS </w:t>
            </w:r>
            <w:r>
              <w:rPr>
                <w:rFonts w:cs="Arial"/>
              </w:rPr>
              <w:t>specifies ‘</w:t>
            </w:r>
            <w:r w:rsidRPr="00E23762">
              <w:rPr>
                <w:rFonts w:cs="Arial"/>
              </w:rPr>
              <w:t>review reference points</w:t>
            </w:r>
            <w:r>
              <w:rPr>
                <w:rFonts w:cs="Arial"/>
              </w:rPr>
              <w:t>’</w:t>
            </w:r>
            <w:r w:rsidRPr="00E23762">
              <w:rPr>
                <w:rFonts w:cs="Arial"/>
              </w:rPr>
              <w:t xml:space="preserve"> </w:t>
            </w:r>
            <w:r>
              <w:rPr>
                <w:rFonts w:cs="Arial"/>
              </w:rPr>
              <w:t>or ‘</w:t>
            </w:r>
            <w:r w:rsidRPr="00E23762">
              <w:rPr>
                <w:rFonts w:cs="Arial"/>
              </w:rPr>
              <w:t>catch triggers</w:t>
            </w:r>
            <w:r>
              <w:rPr>
                <w:rFonts w:cs="Arial"/>
              </w:rPr>
              <w:t>’</w:t>
            </w:r>
            <w:r w:rsidRPr="00E23762">
              <w:rPr>
                <w:rFonts w:cs="Arial"/>
              </w:rPr>
              <w:t xml:space="preserve"> which outline the permissible amount of catch for each species</w:t>
            </w:r>
            <w:r>
              <w:rPr>
                <w:rFonts w:cs="Arial"/>
              </w:rPr>
              <w:t xml:space="preserve"> before further investigation is required. These catch triggers are reflected in the conditions of each fishing permit and effectively limit catch to these specified amounts.</w:t>
            </w:r>
          </w:p>
          <w:p w14:paraId="4A1FD6CE" w14:textId="746151FA" w:rsidR="00F512A1" w:rsidRPr="00E23762" w:rsidRDefault="00F512A1" w:rsidP="00F512A1">
            <w:pPr>
              <w:pStyle w:val="BodyText1"/>
              <w:spacing w:before="80" w:after="80" w:line="276" w:lineRule="auto"/>
              <w:rPr>
                <w:rFonts w:cs="Arial"/>
              </w:rPr>
            </w:pPr>
            <w:r w:rsidRPr="00E23762">
              <w:rPr>
                <w:rFonts w:cs="Arial"/>
              </w:rPr>
              <w:t xml:space="preserve">The PMS </w:t>
            </w:r>
            <w:r>
              <w:rPr>
                <w:rFonts w:cs="Arial"/>
              </w:rPr>
              <w:t xml:space="preserve">has undergone an independent </w:t>
            </w:r>
            <w:hyperlink r:id="rId30" w:history="1">
              <w:r w:rsidRPr="00F952C7">
                <w:rPr>
                  <w:rStyle w:val="Hyperlink"/>
                  <w:rFonts w:cs="Arial"/>
                </w:rPr>
                <w:t>Management Strategy Evaluation</w:t>
              </w:r>
            </w:hyperlink>
            <w:r>
              <w:rPr>
                <w:rFonts w:cs="Arial"/>
              </w:rPr>
              <w:t xml:space="preserve"> by </w:t>
            </w:r>
            <w:r w:rsidR="004D20AD">
              <w:rPr>
                <w:rFonts w:cs="Arial"/>
              </w:rPr>
              <w:t xml:space="preserve">the FRDC and </w:t>
            </w:r>
            <w:r>
              <w:rPr>
                <w:rFonts w:cs="Arial"/>
              </w:rPr>
              <w:t xml:space="preserve">CSIRO and </w:t>
            </w:r>
            <w:r w:rsidR="00C56367">
              <w:rPr>
                <w:rFonts w:cs="Arial"/>
              </w:rPr>
              <w:t xml:space="preserve">has been </w:t>
            </w:r>
            <w:r>
              <w:rPr>
                <w:rFonts w:cs="Arial"/>
              </w:rPr>
              <w:t>determined to be effective</w:t>
            </w:r>
            <w:r w:rsidR="00B1657D">
              <w:rPr>
                <w:rFonts w:cs="Arial"/>
              </w:rPr>
              <w:t xml:space="preserve"> </w:t>
            </w:r>
            <w:r w:rsidR="00B1657D" w:rsidRPr="000C7574">
              <w:rPr>
                <w:rFonts w:cs="Arial"/>
              </w:rPr>
              <w:t>(</w:t>
            </w:r>
            <w:hyperlink r:id="rId31" w:history="1">
              <w:r w:rsidR="00B1657D" w:rsidRPr="000C7574">
                <w:rPr>
                  <w:rStyle w:val="Hyperlink"/>
                  <w:rFonts w:cs="Arial"/>
                </w:rPr>
                <w:t>Skewes et al. 2014</w:t>
              </w:r>
            </w:hyperlink>
            <w:r w:rsidR="00B1657D" w:rsidRPr="000C7574">
              <w:rPr>
                <w:rFonts w:cs="Arial"/>
              </w:rPr>
              <w:t>)</w:t>
            </w:r>
            <w:r>
              <w:rPr>
                <w:rFonts w:cs="Arial"/>
              </w:rPr>
              <w:t xml:space="preserve">. Its implementation is also </w:t>
            </w:r>
            <w:r w:rsidRPr="00E23762">
              <w:rPr>
                <w:rFonts w:cs="Arial"/>
              </w:rPr>
              <w:t>supported by the Fishery Working Group, which includes members with scientific and fishery expertise.</w:t>
            </w:r>
            <w:r w:rsidR="004D20AD">
              <w:rPr>
                <w:rFonts w:cs="Arial"/>
              </w:rPr>
              <w:t xml:space="preserve"> T</w:t>
            </w:r>
            <w:r w:rsidRPr="00E23762">
              <w:rPr>
                <w:rFonts w:cs="Arial"/>
              </w:rPr>
              <w:t>he management regime was found to be working effectively in mitigating sustainability risks from fishing.</w:t>
            </w:r>
          </w:p>
          <w:p w14:paraId="42808151" w14:textId="03277D75" w:rsidR="00F512A1" w:rsidRPr="00E23762" w:rsidRDefault="00F512A1" w:rsidP="00F512A1">
            <w:pPr>
              <w:pStyle w:val="BodyText1"/>
              <w:spacing w:before="80" w:after="80" w:line="276" w:lineRule="auto"/>
              <w:rPr>
                <w:rFonts w:cs="Arial"/>
              </w:rPr>
            </w:pPr>
            <w:r w:rsidRPr="00E23762">
              <w:rPr>
                <w:rFonts w:cs="Arial"/>
              </w:rPr>
              <w:t xml:space="preserve">QDAF is progressing further fisheries reform to make management of this fishery more efficient and streamlined. These changes require legislative reform and are being considered by </w:t>
            </w:r>
            <w:r w:rsidR="00196684">
              <w:rPr>
                <w:rFonts w:cs="Arial"/>
              </w:rPr>
              <w:t>the Queensland G</w:t>
            </w:r>
            <w:r w:rsidRPr="00E23762">
              <w:rPr>
                <w:rFonts w:cs="Arial"/>
              </w:rPr>
              <w:t xml:space="preserve">overnment as part of a broader Queensland fisheries reform process. </w:t>
            </w:r>
          </w:p>
          <w:p w14:paraId="56EDCA27" w14:textId="53FA8A42" w:rsidR="00F512A1" w:rsidRPr="00E23762" w:rsidRDefault="00F512A1" w:rsidP="00F512A1">
            <w:pPr>
              <w:pStyle w:val="BodyText1"/>
              <w:spacing w:before="80" w:after="80" w:line="276" w:lineRule="auto"/>
              <w:rPr>
                <w:rFonts w:cs="Arial"/>
              </w:rPr>
            </w:pPr>
            <w:r w:rsidRPr="00E23762">
              <w:rPr>
                <w:rFonts w:cs="Arial"/>
              </w:rPr>
              <w:t xml:space="preserve">The proposed reforms for the Sea Cucumber Fishery include: </w:t>
            </w:r>
          </w:p>
          <w:p w14:paraId="7B71302D" w14:textId="6D28B0A1" w:rsidR="00F512A1" w:rsidRPr="00E23762" w:rsidRDefault="00F512A1" w:rsidP="00420B78">
            <w:pPr>
              <w:pStyle w:val="BodyText1"/>
              <w:numPr>
                <w:ilvl w:val="0"/>
                <w:numId w:val="16"/>
              </w:numPr>
              <w:spacing w:before="80" w:after="80" w:line="276" w:lineRule="auto"/>
              <w:rPr>
                <w:rFonts w:cs="Arial"/>
              </w:rPr>
            </w:pPr>
            <w:r w:rsidRPr="00E23762">
              <w:rPr>
                <w:rFonts w:cs="Arial"/>
              </w:rPr>
              <w:t xml:space="preserve">making the minimum size limits part of an industry standard operating procedure </w:t>
            </w:r>
          </w:p>
          <w:p w14:paraId="405231C6" w14:textId="77777777" w:rsidR="00F512A1" w:rsidRPr="00E23762" w:rsidRDefault="00F512A1" w:rsidP="00420B78">
            <w:pPr>
              <w:pStyle w:val="BodyText1"/>
              <w:numPr>
                <w:ilvl w:val="0"/>
                <w:numId w:val="16"/>
              </w:numPr>
              <w:spacing w:before="80" w:after="80" w:line="276" w:lineRule="auto"/>
              <w:rPr>
                <w:rFonts w:cs="Arial"/>
              </w:rPr>
            </w:pPr>
            <w:r w:rsidRPr="00E23762">
              <w:rPr>
                <w:rFonts w:cs="Arial"/>
              </w:rPr>
              <w:t>making total allowable catch limits as declared quotas in legislation instead of licence conditions; and</w:t>
            </w:r>
          </w:p>
          <w:p w14:paraId="2C4C437C" w14:textId="77777777" w:rsidR="00F512A1" w:rsidRPr="00E23762" w:rsidRDefault="00F512A1" w:rsidP="00420B78">
            <w:pPr>
              <w:pStyle w:val="BodyText1"/>
              <w:numPr>
                <w:ilvl w:val="0"/>
                <w:numId w:val="16"/>
              </w:numPr>
              <w:spacing w:before="80" w:after="80" w:line="276" w:lineRule="auto"/>
              <w:rPr>
                <w:rFonts w:cs="Arial"/>
              </w:rPr>
            </w:pPr>
            <w:r w:rsidRPr="00E23762">
              <w:rPr>
                <w:rFonts w:cs="Arial"/>
              </w:rPr>
              <w:t xml:space="preserve">creating a harvest strategy which covers: </w:t>
            </w:r>
          </w:p>
          <w:p w14:paraId="04C5BBA0" w14:textId="4D93A87E" w:rsidR="00F512A1" w:rsidRPr="00E23762" w:rsidRDefault="00F512A1" w:rsidP="00420B78">
            <w:pPr>
              <w:pStyle w:val="BodyText1"/>
              <w:numPr>
                <w:ilvl w:val="1"/>
                <w:numId w:val="16"/>
              </w:numPr>
              <w:spacing w:before="80" w:after="80" w:line="276" w:lineRule="auto"/>
              <w:rPr>
                <w:rFonts w:cs="Arial"/>
              </w:rPr>
            </w:pPr>
            <w:r w:rsidRPr="00E23762">
              <w:rPr>
                <w:rFonts w:cs="Arial"/>
              </w:rPr>
              <w:t>the R</w:t>
            </w:r>
            <w:r w:rsidR="00B6583D">
              <w:rPr>
                <w:rFonts w:cs="Arial"/>
              </w:rPr>
              <w:t xml:space="preserve">otational </w:t>
            </w:r>
            <w:r w:rsidRPr="00E23762">
              <w:rPr>
                <w:rFonts w:cs="Arial"/>
              </w:rPr>
              <w:t>Z</w:t>
            </w:r>
            <w:r w:rsidR="00B6583D">
              <w:rPr>
                <w:rFonts w:cs="Arial"/>
              </w:rPr>
              <w:t>on</w:t>
            </w:r>
            <w:r w:rsidR="00CE7D9E">
              <w:rPr>
                <w:rFonts w:cs="Arial"/>
              </w:rPr>
              <w:t>ing</w:t>
            </w:r>
            <w:r w:rsidR="00B6583D">
              <w:rPr>
                <w:rFonts w:cs="Arial"/>
              </w:rPr>
              <w:t xml:space="preserve"> </w:t>
            </w:r>
            <w:r w:rsidRPr="00E23762">
              <w:rPr>
                <w:rFonts w:cs="Arial"/>
              </w:rPr>
              <w:t>S</w:t>
            </w:r>
            <w:r w:rsidR="00B6583D">
              <w:rPr>
                <w:rFonts w:cs="Arial"/>
              </w:rPr>
              <w:t>trategy</w:t>
            </w:r>
            <w:r w:rsidRPr="00E23762">
              <w:rPr>
                <w:rFonts w:cs="Arial"/>
              </w:rPr>
              <w:t xml:space="preserve"> aspect of the M</w:t>
            </w:r>
            <w:r w:rsidR="00B6583D">
              <w:rPr>
                <w:rFonts w:cs="Arial"/>
              </w:rPr>
              <w:t xml:space="preserve">emorandum of Understanding between QDAF and the </w:t>
            </w:r>
            <w:r w:rsidR="00196684">
              <w:rPr>
                <w:rFonts w:cs="Arial"/>
              </w:rPr>
              <w:t>Queensland Sea Cucumber Association</w:t>
            </w:r>
          </w:p>
          <w:p w14:paraId="30BB98DB" w14:textId="77777777" w:rsidR="00F512A1" w:rsidRDefault="00F512A1" w:rsidP="00420B78">
            <w:pPr>
              <w:pStyle w:val="BodyText1"/>
              <w:numPr>
                <w:ilvl w:val="1"/>
                <w:numId w:val="16"/>
              </w:numPr>
              <w:spacing w:before="80" w:after="80" w:line="276" w:lineRule="auto"/>
              <w:rPr>
                <w:rFonts w:cs="Arial"/>
              </w:rPr>
            </w:pPr>
            <w:r w:rsidRPr="00E23762">
              <w:rPr>
                <w:rFonts w:cs="Arial"/>
              </w:rPr>
              <w:t>sectoral catch shares</w:t>
            </w:r>
          </w:p>
          <w:p w14:paraId="38969CE4" w14:textId="24416F8D" w:rsidR="002D2183" w:rsidRPr="00F512A1" w:rsidRDefault="00F512A1" w:rsidP="00420B78">
            <w:pPr>
              <w:pStyle w:val="BodyText1"/>
              <w:numPr>
                <w:ilvl w:val="1"/>
                <w:numId w:val="16"/>
              </w:numPr>
              <w:spacing w:before="80" w:after="80" w:line="276" w:lineRule="auto"/>
              <w:rPr>
                <w:rFonts w:cs="Arial"/>
              </w:rPr>
            </w:pPr>
            <w:r w:rsidRPr="00AD24CF">
              <w:rPr>
                <w:rFonts w:cs="Arial"/>
              </w:rPr>
              <w:t xml:space="preserve">catch triggers for </w:t>
            </w:r>
            <w:r w:rsidR="00B6583D">
              <w:rPr>
                <w:rFonts w:cs="Arial"/>
              </w:rPr>
              <w:t>‘</w:t>
            </w:r>
            <w:r w:rsidRPr="00AD24CF">
              <w:rPr>
                <w:rFonts w:cs="Arial"/>
              </w:rPr>
              <w:t>tier 2 species</w:t>
            </w:r>
            <w:r w:rsidR="00E7683B">
              <w:rPr>
                <w:rFonts w:cs="Arial"/>
              </w:rPr>
              <w:t>’</w:t>
            </w:r>
            <w:r w:rsidRPr="00AD24CF">
              <w:rPr>
                <w:rFonts w:cs="Arial"/>
              </w:rPr>
              <w:t xml:space="preserve"> </w:t>
            </w:r>
            <w:r w:rsidR="00196684">
              <w:rPr>
                <w:rFonts w:cs="Arial"/>
              </w:rPr>
              <w:t xml:space="preserve">(to be defined in the harvest strategy) </w:t>
            </w:r>
            <w:r w:rsidRPr="00AD24CF">
              <w:rPr>
                <w:rFonts w:cs="Arial"/>
              </w:rPr>
              <w:t>and the management responses outlined in the PMS.</w:t>
            </w:r>
          </w:p>
        </w:tc>
      </w:tr>
      <w:tr w:rsidR="00885298" w:rsidRPr="00A94147" w14:paraId="7F16FB15" w14:textId="77777777" w:rsidTr="00740F71">
        <w:trPr>
          <w:cantSplit/>
        </w:trPr>
        <w:tc>
          <w:tcPr>
            <w:tcW w:w="1532" w:type="pct"/>
            <w:shd w:val="clear" w:color="auto" w:fill="FFC000"/>
          </w:tcPr>
          <w:p w14:paraId="79731F76" w14:textId="6FA5085A" w:rsidR="004649FA" w:rsidRPr="00D61149" w:rsidRDefault="00885298" w:rsidP="007F171B">
            <w:pPr>
              <w:spacing w:before="80" w:after="80" w:line="276" w:lineRule="auto"/>
              <w:rPr>
                <w:rFonts w:cs="Arial"/>
              </w:rPr>
            </w:pPr>
            <w:r w:rsidRPr="00D61149">
              <w:rPr>
                <w:rFonts w:cs="Arial"/>
              </w:rPr>
              <w:lastRenderedPageBreak/>
              <w:t xml:space="preserve">Be capable of assessing, monitoring and avoiding, remedying or mitigating any adverse impacts on the wider marine ecosystem in which the target species </w:t>
            </w:r>
            <w:proofErr w:type="gramStart"/>
            <w:r w:rsidRPr="00D61149">
              <w:rPr>
                <w:rFonts w:cs="Arial"/>
              </w:rPr>
              <w:t>lives</w:t>
            </w:r>
            <w:proofErr w:type="gramEnd"/>
            <w:r w:rsidRPr="00D61149">
              <w:rPr>
                <w:rFonts w:cs="Arial"/>
              </w:rPr>
              <w:t xml:space="preserve"> and the fishery operates</w:t>
            </w:r>
            <w:r w:rsidR="006B6EF9" w:rsidRPr="00D61149">
              <w:rPr>
                <w:rFonts w:cs="Arial"/>
              </w:rPr>
              <w:t>.</w:t>
            </w:r>
          </w:p>
        </w:tc>
        <w:tc>
          <w:tcPr>
            <w:tcW w:w="3468" w:type="pct"/>
            <w:shd w:val="clear" w:color="auto" w:fill="auto"/>
          </w:tcPr>
          <w:p w14:paraId="724ED7A2" w14:textId="1424F4AC" w:rsidR="00171B1B" w:rsidRPr="00D61149" w:rsidRDefault="00F8472A" w:rsidP="007F171B">
            <w:pPr>
              <w:spacing w:before="80" w:after="80" w:line="276" w:lineRule="auto"/>
              <w:rPr>
                <w:rFonts w:cs="Arial"/>
                <w:b/>
              </w:rPr>
            </w:pPr>
            <w:r w:rsidRPr="00D61149">
              <w:rPr>
                <w:rFonts w:cs="Arial"/>
                <w:b/>
              </w:rPr>
              <w:t xml:space="preserve">Partly meets </w:t>
            </w:r>
            <w:r w:rsidR="005869AD" w:rsidRPr="00D61149">
              <w:rPr>
                <w:rFonts w:cs="Arial"/>
                <w:b/>
              </w:rPr>
              <w:t>–</w:t>
            </w:r>
            <w:r w:rsidR="00B72A15">
              <w:rPr>
                <w:rFonts w:cs="Arial"/>
                <w:b/>
              </w:rPr>
              <w:t xml:space="preserve"> monitoring and mitigation measures outlined in </w:t>
            </w:r>
            <w:r w:rsidR="000F25D9">
              <w:rPr>
                <w:rFonts w:cs="Arial"/>
                <w:b/>
              </w:rPr>
              <w:t>a</w:t>
            </w:r>
            <w:r w:rsidR="00B72A15">
              <w:rPr>
                <w:rFonts w:cs="Arial"/>
                <w:b/>
              </w:rPr>
              <w:t xml:space="preserve"> Performance Measurement System, but no </w:t>
            </w:r>
            <w:r w:rsidR="000F25D9">
              <w:rPr>
                <w:rFonts w:cs="Arial"/>
                <w:b/>
              </w:rPr>
              <w:t xml:space="preserve">ecological </w:t>
            </w:r>
            <w:r w:rsidR="00B72A15">
              <w:rPr>
                <w:rFonts w:cs="Arial"/>
                <w:b/>
              </w:rPr>
              <w:t>risk assessment has been completed</w:t>
            </w:r>
          </w:p>
          <w:p w14:paraId="6C3ADD9E" w14:textId="77777777" w:rsidR="00B6583D" w:rsidRPr="00D61149" w:rsidRDefault="00B6583D" w:rsidP="00B6583D">
            <w:pPr>
              <w:spacing w:before="80" w:after="80" w:line="276" w:lineRule="auto"/>
              <w:rPr>
                <w:rFonts w:cs="Arial"/>
              </w:rPr>
            </w:pPr>
            <w:r w:rsidRPr="00D61149">
              <w:rPr>
                <w:rFonts w:cs="Arial"/>
              </w:rPr>
              <w:t>Although an e</w:t>
            </w:r>
            <w:r w:rsidR="00A97E2E" w:rsidRPr="00D61149">
              <w:rPr>
                <w:rFonts w:cs="Arial"/>
              </w:rPr>
              <w:t xml:space="preserve">cological </w:t>
            </w:r>
            <w:r w:rsidRPr="00D61149">
              <w:rPr>
                <w:rFonts w:cs="Arial"/>
              </w:rPr>
              <w:t>r</w:t>
            </w:r>
            <w:r w:rsidR="00A97E2E" w:rsidRPr="00D61149">
              <w:rPr>
                <w:rFonts w:cs="Arial"/>
              </w:rPr>
              <w:t xml:space="preserve">isk </w:t>
            </w:r>
            <w:r w:rsidRPr="00D61149">
              <w:rPr>
                <w:rFonts w:cs="Arial"/>
              </w:rPr>
              <w:t>a</w:t>
            </w:r>
            <w:r w:rsidR="00A97E2E" w:rsidRPr="00D61149">
              <w:rPr>
                <w:rFonts w:cs="Arial"/>
              </w:rPr>
              <w:t>ssessment</w:t>
            </w:r>
            <w:r w:rsidR="00BA3A92" w:rsidRPr="00D61149">
              <w:rPr>
                <w:rFonts w:cs="Arial"/>
              </w:rPr>
              <w:t xml:space="preserve"> has </w:t>
            </w:r>
            <w:r w:rsidRPr="00D61149">
              <w:rPr>
                <w:rFonts w:cs="Arial"/>
              </w:rPr>
              <w:t>not yet been completed for the fishery, the risks are likely to be relatively low, provided stocks are not overfished and ecological processes are not compromised.</w:t>
            </w:r>
          </w:p>
          <w:p w14:paraId="394E4715" w14:textId="4AC17F4E" w:rsidR="00B6583D" w:rsidRPr="00D61149" w:rsidRDefault="00B6583D" w:rsidP="00B6583D">
            <w:pPr>
              <w:spacing w:before="80" w:after="80" w:line="276" w:lineRule="auto"/>
              <w:rPr>
                <w:rFonts w:cs="Arial"/>
              </w:rPr>
            </w:pPr>
            <w:r w:rsidRPr="00D61149">
              <w:rPr>
                <w:rFonts w:cs="Arial"/>
              </w:rPr>
              <w:t>The Performance M</w:t>
            </w:r>
            <w:r w:rsidR="00057934">
              <w:rPr>
                <w:rFonts w:cs="Arial"/>
              </w:rPr>
              <w:t>easurement</w:t>
            </w:r>
            <w:r w:rsidRPr="00D61149">
              <w:rPr>
                <w:rFonts w:cs="Arial"/>
              </w:rPr>
              <w:t xml:space="preserve"> System is likely to provide enough management rigor </w:t>
            </w:r>
            <w:bookmarkStart w:id="22" w:name="_Hlk48041654"/>
            <w:r w:rsidRPr="00D61149">
              <w:rPr>
                <w:rFonts w:cs="Arial"/>
              </w:rPr>
              <w:t>until the ecological risk assessment is completed.</w:t>
            </w:r>
          </w:p>
          <w:p w14:paraId="4EB133A4" w14:textId="13A16B2D" w:rsidR="00542727" w:rsidRPr="00D61149" w:rsidRDefault="00B6583D" w:rsidP="00B6583D">
            <w:pPr>
              <w:spacing w:before="80" w:after="80" w:line="276" w:lineRule="auto"/>
              <w:rPr>
                <w:rFonts w:cs="Arial"/>
              </w:rPr>
            </w:pPr>
            <w:r w:rsidRPr="00D61149">
              <w:rPr>
                <w:rFonts w:cs="Arial"/>
              </w:rPr>
              <w:t>QDAF has undertaken to complete ecological risk assessments for all commercial fisheries as part of its Sustainable Fisheries Strategy 2017-2027.</w:t>
            </w:r>
            <w:bookmarkEnd w:id="22"/>
          </w:p>
        </w:tc>
      </w:tr>
      <w:tr w:rsidR="00885298" w:rsidRPr="00A94147" w14:paraId="257A30C9" w14:textId="77777777" w:rsidTr="00740F71">
        <w:trPr>
          <w:cantSplit/>
        </w:trPr>
        <w:tc>
          <w:tcPr>
            <w:tcW w:w="1532" w:type="pct"/>
            <w:shd w:val="clear" w:color="auto" w:fill="92D050"/>
          </w:tcPr>
          <w:p w14:paraId="2FAB5309" w14:textId="10346679" w:rsidR="004649FA" w:rsidRPr="00AB5028" w:rsidRDefault="00885298" w:rsidP="007F171B">
            <w:pPr>
              <w:spacing w:before="80" w:after="80" w:line="276" w:lineRule="auto"/>
              <w:rPr>
                <w:rFonts w:cs="Arial"/>
              </w:rPr>
            </w:pPr>
            <w:r w:rsidRPr="00AB5028">
              <w:rPr>
                <w:rFonts w:cs="Arial"/>
              </w:rPr>
              <w:t>Requires compliance with relevant threat abatement plans, recovery plans, the National Policy on Fisheries Bycatch, and bycatch action strategies developed under the policy</w:t>
            </w:r>
            <w:r w:rsidR="006B6EF9" w:rsidRPr="00AB5028">
              <w:rPr>
                <w:rFonts w:cs="Arial"/>
              </w:rPr>
              <w:t>.</w:t>
            </w:r>
          </w:p>
        </w:tc>
        <w:tc>
          <w:tcPr>
            <w:tcW w:w="3468" w:type="pct"/>
            <w:shd w:val="clear" w:color="auto" w:fill="auto"/>
          </w:tcPr>
          <w:p w14:paraId="070716E9" w14:textId="5E567B2B" w:rsidR="005869AD" w:rsidRPr="00AB5028" w:rsidRDefault="00F8472A" w:rsidP="007F171B">
            <w:pPr>
              <w:spacing w:before="80" w:after="80" w:line="276" w:lineRule="auto"/>
              <w:rPr>
                <w:rFonts w:cs="Arial"/>
                <w:b/>
              </w:rPr>
            </w:pPr>
            <w:r w:rsidRPr="00AB5028">
              <w:rPr>
                <w:rFonts w:cs="Arial"/>
                <w:b/>
              </w:rPr>
              <w:t xml:space="preserve">Meets </w:t>
            </w:r>
            <w:r w:rsidR="005869AD" w:rsidRPr="00AB5028">
              <w:rPr>
                <w:rFonts w:cs="Arial"/>
                <w:b/>
              </w:rPr>
              <w:t>– Compliant with all relevant plans</w:t>
            </w:r>
          </w:p>
          <w:p w14:paraId="7148773C" w14:textId="297D2EDC" w:rsidR="000A46C9" w:rsidRPr="00AB5028" w:rsidRDefault="00905605" w:rsidP="007F171B">
            <w:pPr>
              <w:spacing w:before="80" w:after="80" w:line="276" w:lineRule="auto"/>
              <w:rPr>
                <w:rFonts w:cs="Arial"/>
              </w:rPr>
            </w:pPr>
            <w:r w:rsidRPr="00AB5028">
              <w:rPr>
                <w:rFonts w:cs="Arial"/>
              </w:rPr>
              <w:t xml:space="preserve">Given the </w:t>
            </w:r>
            <w:r w:rsidR="0071438D" w:rsidRPr="00AB5028">
              <w:rPr>
                <w:rFonts w:cs="Arial"/>
              </w:rPr>
              <w:t>fishery</w:t>
            </w:r>
            <w:r w:rsidRPr="00AB5028">
              <w:rPr>
                <w:rFonts w:cs="Arial"/>
              </w:rPr>
              <w:t xml:space="preserve"> operates in both state and Commonwealth areas, the management arrangements for the fishery are required to comply with all r</w:t>
            </w:r>
            <w:r w:rsidR="000A46C9" w:rsidRPr="00AB5028">
              <w:rPr>
                <w:rFonts w:cs="Arial"/>
              </w:rPr>
              <w:t xml:space="preserve">elevant </w:t>
            </w:r>
            <w:r w:rsidRPr="00AB5028">
              <w:rPr>
                <w:rFonts w:cs="Arial"/>
              </w:rPr>
              <w:t xml:space="preserve">Commonwealth threat abatement plans, recovery plans and bycatch policies or strategies. This includes </w:t>
            </w:r>
            <w:r w:rsidR="000A46C9" w:rsidRPr="00AB5028">
              <w:rPr>
                <w:rFonts w:cs="Arial"/>
              </w:rPr>
              <w:t>the</w:t>
            </w:r>
            <w:r w:rsidRPr="00AB5028">
              <w:rPr>
                <w:rFonts w:cs="Arial"/>
              </w:rPr>
              <w:t xml:space="preserve"> </w:t>
            </w:r>
            <w:hyperlink r:id="rId32" w:history="1">
              <w:r w:rsidR="000A46C9" w:rsidRPr="00AB5028">
                <w:rPr>
                  <w:rStyle w:val="Hyperlink"/>
                  <w:rFonts w:cs="Arial"/>
                </w:rPr>
                <w:t>Threat Abatement Plan for the impacts of marine debris on the vertebrate wildlife of Australia’s coasts and oceans</w:t>
              </w:r>
            </w:hyperlink>
            <w:r w:rsidRPr="00AB5028">
              <w:rPr>
                <w:rStyle w:val="Hyperlink"/>
                <w:rFonts w:cs="Arial"/>
              </w:rPr>
              <w:t xml:space="preserve"> </w:t>
            </w:r>
            <w:r w:rsidRPr="00AB5028">
              <w:rPr>
                <w:rFonts w:cs="Arial"/>
              </w:rPr>
              <w:t xml:space="preserve">and the </w:t>
            </w:r>
            <w:hyperlink r:id="rId33" w:history="1">
              <w:r w:rsidR="000A46C9" w:rsidRPr="00AB5028">
                <w:rPr>
                  <w:rStyle w:val="Hyperlink"/>
                  <w:rFonts w:cs="Arial"/>
                </w:rPr>
                <w:t>Recovery Plan for Marine Turtles in Australia</w:t>
              </w:r>
            </w:hyperlink>
            <w:r w:rsidRPr="00AB5028">
              <w:rPr>
                <w:rStyle w:val="Hyperlink"/>
                <w:rFonts w:cs="Arial"/>
              </w:rPr>
              <w:t>.</w:t>
            </w:r>
          </w:p>
          <w:p w14:paraId="59B0B5C0" w14:textId="1F3D9F29" w:rsidR="00905605" w:rsidRPr="00AB5028" w:rsidRDefault="000A46C9" w:rsidP="007F171B">
            <w:pPr>
              <w:spacing w:before="80" w:after="80" w:line="276" w:lineRule="auto"/>
              <w:rPr>
                <w:rFonts w:cs="Arial"/>
              </w:rPr>
            </w:pPr>
            <w:r w:rsidRPr="00AB5028">
              <w:rPr>
                <w:rFonts w:cs="Arial"/>
              </w:rPr>
              <w:t xml:space="preserve">Although </w:t>
            </w:r>
            <w:r w:rsidR="0071438D" w:rsidRPr="00AB5028">
              <w:rPr>
                <w:rFonts w:cs="Arial"/>
              </w:rPr>
              <w:t>the fishery’s</w:t>
            </w:r>
            <w:r w:rsidR="00516DAE" w:rsidRPr="00AB5028">
              <w:rPr>
                <w:rFonts w:cs="Arial"/>
              </w:rPr>
              <w:t xml:space="preserve"> </w:t>
            </w:r>
            <w:r w:rsidRPr="00AB5028">
              <w:rPr>
                <w:rFonts w:cs="Arial"/>
              </w:rPr>
              <w:t>m</w:t>
            </w:r>
            <w:r w:rsidR="00260210" w:rsidRPr="00AB5028">
              <w:rPr>
                <w:rFonts w:cs="Arial"/>
              </w:rPr>
              <w:t xml:space="preserve">anagement arrangements </w:t>
            </w:r>
            <w:r w:rsidRPr="00AB5028">
              <w:rPr>
                <w:rFonts w:cs="Arial"/>
              </w:rPr>
              <w:t xml:space="preserve">are not </w:t>
            </w:r>
            <w:r w:rsidRPr="00AB5028">
              <w:rPr>
                <w:rFonts w:cs="Arial"/>
                <w:i/>
              </w:rPr>
              <w:t>inconsistent</w:t>
            </w:r>
            <w:r w:rsidRPr="00AB5028">
              <w:rPr>
                <w:rFonts w:cs="Arial"/>
              </w:rPr>
              <w:t xml:space="preserve"> with these plans, they </w:t>
            </w:r>
            <w:r w:rsidR="00260210" w:rsidRPr="00AB5028">
              <w:rPr>
                <w:rFonts w:cs="Arial"/>
              </w:rPr>
              <w:t>do not</w:t>
            </w:r>
            <w:r w:rsidR="00D5780F" w:rsidRPr="00AB5028">
              <w:rPr>
                <w:rFonts w:cs="Arial"/>
              </w:rPr>
              <w:t xml:space="preserve"> specifically </w:t>
            </w:r>
            <w:r w:rsidR="00260210" w:rsidRPr="00AB5028">
              <w:rPr>
                <w:rFonts w:cs="Arial"/>
              </w:rPr>
              <w:t>require fishers to comply with plans</w:t>
            </w:r>
            <w:r w:rsidR="00905605" w:rsidRPr="00AB5028">
              <w:rPr>
                <w:rFonts w:cs="Arial"/>
              </w:rPr>
              <w:t xml:space="preserve">, </w:t>
            </w:r>
            <w:proofErr w:type="gramStart"/>
            <w:r w:rsidR="00260210" w:rsidRPr="00AB5028">
              <w:rPr>
                <w:rFonts w:cs="Arial"/>
              </w:rPr>
              <w:t>policies</w:t>
            </w:r>
            <w:proofErr w:type="gramEnd"/>
            <w:r w:rsidR="00260210" w:rsidRPr="00AB5028">
              <w:rPr>
                <w:rFonts w:cs="Arial"/>
              </w:rPr>
              <w:t xml:space="preserve"> or strategies.</w:t>
            </w:r>
          </w:p>
          <w:p w14:paraId="5E4F5B9B" w14:textId="2A1191AB" w:rsidR="00885298" w:rsidRPr="00AB5028" w:rsidRDefault="00260210" w:rsidP="00AD2C9B">
            <w:pPr>
              <w:spacing w:before="80" w:after="80" w:line="276" w:lineRule="auto"/>
              <w:rPr>
                <w:rFonts w:cs="Arial"/>
              </w:rPr>
            </w:pPr>
            <w:r w:rsidRPr="00AB5028">
              <w:rPr>
                <w:rFonts w:cs="Arial"/>
              </w:rPr>
              <w:t xml:space="preserve">Management arrangements </w:t>
            </w:r>
            <w:r w:rsidR="0019159E" w:rsidRPr="00AB5028">
              <w:rPr>
                <w:rFonts w:cs="Arial"/>
              </w:rPr>
              <w:t xml:space="preserve">for the fishery </w:t>
            </w:r>
            <w:r w:rsidRPr="00AB5028">
              <w:rPr>
                <w:rFonts w:cs="Arial"/>
              </w:rPr>
              <w:t xml:space="preserve">prohibit the retention of species listed under the EPBC Act, and all interactions with these species are required to be reported using </w:t>
            </w:r>
            <w:r w:rsidR="0019159E" w:rsidRPr="00AB5028">
              <w:rPr>
                <w:rFonts w:cs="Arial"/>
              </w:rPr>
              <w:t xml:space="preserve">QDAF </w:t>
            </w:r>
            <w:r w:rsidRPr="00AB5028">
              <w:rPr>
                <w:rFonts w:cs="Arial"/>
              </w:rPr>
              <w:t>approved logbooks.</w:t>
            </w:r>
            <w:r w:rsidR="006C2BA0" w:rsidRPr="00AB5028">
              <w:rPr>
                <w:rFonts w:cs="Arial"/>
              </w:rPr>
              <w:t xml:space="preserve"> </w:t>
            </w:r>
            <w:bookmarkStart w:id="23" w:name="_Hlk48041713"/>
            <w:r w:rsidR="00014775" w:rsidRPr="00AB5028">
              <w:rPr>
                <w:rFonts w:cs="Arial"/>
              </w:rPr>
              <w:t>T</w:t>
            </w:r>
            <w:r w:rsidRPr="00AB5028">
              <w:rPr>
                <w:rFonts w:cs="Arial"/>
              </w:rPr>
              <w:t xml:space="preserve">he Department </w:t>
            </w:r>
            <w:r w:rsidR="00024211" w:rsidRPr="00AB5028">
              <w:rPr>
                <w:rFonts w:cs="Arial"/>
              </w:rPr>
              <w:t xml:space="preserve">recommends </w:t>
            </w:r>
            <w:r w:rsidRPr="00AB5028">
              <w:rPr>
                <w:rFonts w:cs="Arial"/>
              </w:rPr>
              <w:t xml:space="preserve">that all relevant threat abatement plans, recovery plans, bycatch policies and action strategies </w:t>
            </w:r>
            <w:r w:rsidR="00AD2C9B" w:rsidRPr="00AB5028">
              <w:rPr>
                <w:rFonts w:cs="Arial"/>
              </w:rPr>
              <w:t xml:space="preserve">continue to </w:t>
            </w:r>
            <w:r w:rsidRPr="00AB5028">
              <w:rPr>
                <w:rFonts w:cs="Arial"/>
              </w:rPr>
              <w:t xml:space="preserve">be considered in developing </w:t>
            </w:r>
            <w:r w:rsidR="00AD2C9B" w:rsidRPr="00AB5028">
              <w:rPr>
                <w:rFonts w:cs="Arial"/>
              </w:rPr>
              <w:t xml:space="preserve">management arrangements </w:t>
            </w:r>
            <w:r w:rsidRPr="00AB5028">
              <w:rPr>
                <w:rFonts w:cs="Arial"/>
              </w:rPr>
              <w:t>and assessing and mitigating ecological risks.</w:t>
            </w:r>
            <w:bookmarkEnd w:id="23"/>
          </w:p>
        </w:tc>
      </w:tr>
      <w:tr w:rsidR="0002308E" w:rsidRPr="00A94147" w14:paraId="58A55DC1" w14:textId="77777777" w:rsidTr="00796D99">
        <w:trPr>
          <w:cantSplit/>
        </w:trPr>
        <w:tc>
          <w:tcPr>
            <w:tcW w:w="5000" w:type="pct"/>
            <w:gridSpan w:val="2"/>
            <w:shd w:val="clear" w:color="auto" w:fill="92CDDC"/>
          </w:tcPr>
          <w:p w14:paraId="7D95031D" w14:textId="77777777" w:rsidR="0002308E" w:rsidRPr="00A94147" w:rsidRDefault="0002308E" w:rsidP="007F171B">
            <w:pPr>
              <w:keepNext/>
              <w:autoSpaceDE w:val="0"/>
              <w:autoSpaceDN w:val="0"/>
              <w:adjustRightInd w:val="0"/>
              <w:spacing w:before="80" w:after="80" w:line="276" w:lineRule="auto"/>
              <w:rPr>
                <w:rFonts w:cs="Arial"/>
                <w:b/>
                <w:highlight w:val="yellow"/>
              </w:rPr>
            </w:pPr>
            <w:r w:rsidRPr="007772EF">
              <w:rPr>
                <w:rFonts w:cs="Arial"/>
                <w:b/>
              </w:rPr>
              <w:lastRenderedPageBreak/>
              <w:t xml:space="preserve">PRINCIPLE 1 - </w:t>
            </w:r>
            <w:r w:rsidRPr="007772EF">
              <w:rPr>
                <w:rFonts w:cs="Arial"/>
              </w:rPr>
              <w:t>A fishery must be conducted in a manner that does not lead to over-fishing, or for those stocks that are over-fished, the fishery must be conducted such that there is a high degree of probability the stock(s) will recover</w:t>
            </w:r>
            <w:r w:rsidRPr="007772EF">
              <w:rPr>
                <w:rFonts w:cs="Arial"/>
                <w:b/>
              </w:rPr>
              <w:t xml:space="preserve">. </w:t>
            </w:r>
          </w:p>
        </w:tc>
      </w:tr>
      <w:tr w:rsidR="0002308E" w:rsidRPr="00A94147" w14:paraId="403A6B61" w14:textId="77777777" w:rsidTr="00796D99">
        <w:trPr>
          <w:cantSplit/>
        </w:trPr>
        <w:tc>
          <w:tcPr>
            <w:tcW w:w="5000" w:type="pct"/>
            <w:gridSpan w:val="2"/>
            <w:shd w:val="clear" w:color="auto" w:fill="B6DDE8"/>
          </w:tcPr>
          <w:p w14:paraId="5B0A9672" w14:textId="77777777" w:rsidR="0002308E" w:rsidRPr="00971E34" w:rsidRDefault="0002308E" w:rsidP="007F171B">
            <w:pPr>
              <w:keepNext/>
              <w:spacing w:before="80" w:after="80" w:line="276" w:lineRule="auto"/>
              <w:rPr>
                <w:rFonts w:cs="Arial"/>
                <w:b/>
              </w:rPr>
            </w:pPr>
            <w:r w:rsidRPr="00971E34">
              <w:rPr>
                <w:rFonts w:cs="Arial"/>
                <w:b/>
              </w:rPr>
              <w:t xml:space="preserve">Objective 1 - </w:t>
            </w:r>
            <w:r w:rsidRPr="00971E34">
              <w:rPr>
                <w:rFonts w:cs="Arial"/>
              </w:rPr>
              <w:t>The fishery shall be conducted at catch levels that maintain ecologically viable stock levels at an agreed point or range, with acceptable levels of probability.</w:t>
            </w:r>
          </w:p>
        </w:tc>
      </w:tr>
      <w:tr w:rsidR="0002308E" w:rsidRPr="00A94147" w14:paraId="69FBFAA4" w14:textId="77777777" w:rsidTr="00796D99">
        <w:trPr>
          <w:cantSplit/>
        </w:trPr>
        <w:tc>
          <w:tcPr>
            <w:tcW w:w="5000" w:type="pct"/>
            <w:gridSpan w:val="2"/>
            <w:shd w:val="clear" w:color="auto" w:fill="DAEEF3"/>
          </w:tcPr>
          <w:p w14:paraId="1C364B85" w14:textId="77777777" w:rsidR="0002308E" w:rsidRPr="00971E34" w:rsidRDefault="0002308E" w:rsidP="007F171B">
            <w:pPr>
              <w:keepNext/>
              <w:spacing w:before="80" w:after="80" w:line="276" w:lineRule="auto"/>
              <w:rPr>
                <w:rFonts w:cs="Arial"/>
                <w:b/>
                <w:i/>
              </w:rPr>
            </w:pPr>
            <w:r w:rsidRPr="00971E34">
              <w:rPr>
                <w:rFonts w:cs="Arial"/>
                <w:b/>
                <w:i/>
              </w:rPr>
              <w:t xml:space="preserve">Information requirements </w:t>
            </w:r>
          </w:p>
        </w:tc>
      </w:tr>
      <w:tr w:rsidR="009006AC" w:rsidRPr="00A94147" w14:paraId="6FF483AC" w14:textId="77777777" w:rsidTr="00740F71">
        <w:trPr>
          <w:cantSplit/>
        </w:trPr>
        <w:tc>
          <w:tcPr>
            <w:tcW w:w="1532" w:type="pct"/>
            <w:shd w:val="clear" w:color="auto" w:fill="FFC000"/>
          </w:tcPr>
          <w:p w14:paraId="19E914A8" w14:textId="1D417BBA" w:rsidR="009006AC" w:rsidRPr="00971E34" w:rsidRDefault="009006AC" w:rsidP="007F171B">
            <w:pPr>
              <w:keepNext/>
              <w:spacing w:before="80" w:after="80" w:line="276" w:lineRule="auto"/>
              <w:rPr>
                <w:rFonts w:cs="Arial"/>
                <w:b/>
                <w:i/>
              </w:rPr>
            </w:pPr>
            <w:r w:rsidRPr="00971E34">
              <w:rPr>
                <w:rFonts w:cs="Arial"/>
                <w:b/>
                <w:i/>
              </w:rPr>
              <w:lastRenderedPageBreak/>
              <w:t xml:space="preserve">1.1.1 </w:t>
            </w:r>
            <w:r w:rsidRPr="00971E34">
              <w:rPr>
                <w:rFonts w:cs="Arial"/>
              </w:rPr>
              <w:t>There is a reliable information collection system in place appropriate to the scale of the fishery. The level of data collection should be based upon an appropriate mix of fishery independent and dependent research and monitoring.</w:t>
            </w:r>
          </w:p>
        </w:tc>
        <w:tc>
          <w:tcPr>
            <w:tcW w:w="3468" w:type="pct"/>
            <w:shd w:val="clear" w:color="auto" w:fill="auto"/>
          </w:tcPr>
          <w:p w14:paraId="2AB24E53" w14:textId="76600ACD" w:rsidR="009006AC" w:rsidRPr="00971E34" w:rsidRDefault="00B56FDF" w:rsidP="009006AC">
            <w:pPr>
              <w:spacing w:before="80" w:after="80" w:line="276" w:lineRule="auto"/>
              <w:rPr>
                <w:rFonts w:cs="Arial"/>
                <w:b/>
              </w:rPr>
            </w:pPr>
            <w:r w:rsidRPr="00971E34">
              <w:rPr>
                <w:rFonts w:cs="Arial"/>
                <w:b/>
              </w:rPr>
              <w:t xml:space="preserve">Partly </w:t>
            </w:r>
            <w:r w:rsidR="009006AC" w:rsidRPr="00971E34">
              <w:rPr>
                <w:rFonts w:cs="Arial"/>
                <w:b/>
              </w:rPr>
              <w:t>meet</w:t>
            </w:r>
            <w:r w:rsidRPr="00971E34">
              <w:rPr>
                <w:rFonts w:cs="Arial"/>
                <w:b/>
              </w:rPr>
              <w:t>s</w:t>
            </w:r>
            <w:r w:rsidR="009006AC" w:rsidRPr="00971E34">
              <w:rPr>
                <w:rFonts w:cs="Arial"/>
                <w:b/>
              </w:rPr>
              <w:t xml:space="preserve"> – data </w:t>
            </w:r>
            <w:r w:rsidRPr="00971E34">
              <w:rPr>
                <w:rFonts w:cs="Arial"/>
                <w:b/>
              </w:rPr>
              <w:t xml:space="preserve">is </w:t>
            </w:r>
            <w:r w:rsidR="009006AC" w:rsidRPr="00971E34">
              <w:rPr>
                <w:rFonts w:cs="Arial"/>
                <w:b/>
              </w:rPr>
              <w:t>collect</w:t>
            </w:r>
            <w:r w:rsidRPr="00971E34">
              <w:rPr>
                <w:rFonts w:cs="Arial"/>
                <w:b/>
              </w:rPr>
              <w:t>ed by fishery dependent</w:t>
            </w:r>
            <w:r w:rsidR="00AB5028" w:rsidRPr="00971E34">
              <w:rPr>
                <w:rFonts w:cs="Arial"/>
                <w:b/>
              </w:rPr>
              <w:t xml:space="preserve"> </w:t>
            </w:r>
            <w:r w:rsidR="009632B4">
              <w:rPr>
                <w:rFonts w:cs="Arial"/>
                <w:b/>
              </w:rPr>
              <w:t xml:space="preserve">and </w:t>
            </w:r>
            <w:r w:rsidRPr="00971E34">
              <w:rPr>
                <w:rFonts w:cs="Arial"/>
                <w:b/>
              </w:rPr>
              <w:t>fishery-independent means</w:t>
            </w:r>
            <w:r w:rsidR="001C6B9C">
              <w:rPr>
                <w:rFonts w:cs="Arial"/>
                <w:b/>
              </w:rPr>
              <w:t xml:space="preserve"> but information on stocks is very limited and some species are not reported to species-level</w:t>
            </w:r>
          </w:p>
          <w:p w14:paraId="728B65DC" w14:textId="13F2F86F" w:rsidR="00A7262D" w:rsidRPr="00971E34" w:rsidRDefault="00AB5028" w:rsidP="00A7262D">
            <w:pPr>
              <w:spacing w:before="80" w:after="80" w:line="276" w:lineRule="auto"/>
              <w:rPr>
                <w:rFonts w:cs="Arial"/>
                <w:szCs w:val="20"/>
                <w:lang w:eastAsia="en-AU"/>
              </w:rPr>
            </w:pPr>
            <w:bookmarkStart w:id="24" w:name="_Hlk48041802"/>
            <w:r w:rsidRPr="00971E34">
              <w:rPr>
                <w:rFonts w:cs="Arial"/>
                <w:szCs w:val="20"/>
                <w:lang w:eastAsia="en-AU"/>
              </w:rPr>
              <w:t xml:space="preserve">Catch and effort in the fishery is monitored from multiple </w:t>
            </w:r>
            <w:r w:rsidR="004E78FF">
              <w:rPr>
                <w:rFonts w:cs="Arial"/>
                <w:szCs w:val="20"/>
                <w:lang w:eastAsia="en-AU"/>
              </w:rPr>
              <w:t xml:space="preserve">fishery-dependent and independent </w:t>
            </w:r>
            <w:r w:rsidRPr="00971E34">
              <w:rPr>
                <w:rFonts w:cs="Arial"/>
                <w:szCs w:val="20"/>
                <w:lang w:eastAsia="en-AU"/>
              </w:rPr>
              <w:t>sources.</w:t>
            </w:r>
          </w:p>
          <w:p w14:paraId="27E7588E" w14:textId="0D7F540C" w:rsidR="00A7262D" w:rsidRPr="00971E34" w:rsidRDefault="00A7262D" w:rsidP="00A7262D">
            <w:pPr>
              <w:spacing w:before="80" w:after="80" w:line="276" w:lineRule="auto"/>
              <w:rPr>
                <w:rFonts w:cs="Arial"/>
              </w:rPr>
            </w:pPr>
            <w:r w:rsidRPr="00971E34">
              <w:rPr>
                <w:rFonts w:cs="Arial"/>
              </w:rPr>
              <w:t>Vessel Monitoring Systems are used on all commercial fishing vessels, including tenders to track their location and validate reported fishing effort. Vessel Monitoring Systems also enhance QDAF’s capacity to undertake inspections and in doing so, validate landed catch data. Vessel Monitoring Systems do not provide any insight into protected species interactions.</w:t>
            </w:r>
          </w:p>
          <w:p w14:paraId="5F2D990C" w14:textId="77777777" w:rsidR="00AD7177" w:rsidRPr="00971E34" w:rsidRDefault="00AD7177" w:rsidP="00AD7177">
            <w:pPr>
              <w:spacing w:line="300" w:lineRule="atLeast"/>
              <w:rPr>
                <w:rFonts w:cs="Arial"/>
                <w:szCs w:val="20"/>
                <w:lang w:eastAsia="en-AU"/>
              </w:rPr>
            </w:pPr>
            <w:r w:rsidRPr="00971E34">
              <w:rPr>
                <w:rFonts w:cs="Arial"/>
                <w:szCs w:val="20"/>
                <w:lang w:eastAsia="en-AU"/>
              </w:rPr>
              <w:t xml:space="preserve">Any protected species interactions are required to be reported using QDAF’s </w:t>
            </w:r>
            <w:hyperlink r:id="rId34" w:history="1">
              <w:r w:rsidRPr="00971E34">
                <w:rPr>
                  <w:rStyle w:val="Hyperlink"/>
                  <w:rFonts w:cs="Arial"/>
                </w:rPr>
                <w:t>SOCI logbooks</w:t>
              </w:r>
            </w:hyperlink>
            <w:r w:rsidRPr="00971E34">
              <w:rPr>
                <w:rFonts w:cs="Arial"/>
                <w:szCs w:val="20"/>
                <w:lang w:eastAsia="en-AU"/>
              </w:rPr>
              <w:t xml:space="preserve">. </w:t>
            </w:r>
          </w:p>
          <w:p w14:paraId="53E06CFE" w14:textId="1E88E540" w:rsidR="002E18F9" w:rsidRPr="00971E34" w:rsidRDefault="00A7262D" w:rsidP="00A7262D">
            <w:pPr>
              <w:spacing w:line="300" w:lineRule="atLeast"/>
              <w:rPr>
                <w:rFonts w:cs="Arial"/>
                <w:szCs w:val="20"/>
                <w:lang w:eastAsia="en-AU"/>
              </w:rPr>
            </w:pPr>
            <w:r w:rsidRPr="00971E34">
              <w:rPr>
                <w:rFonts w:cs="Arial"/>
                <w:szCs w:val="20"/>
                <w:lang w:eastAsia="en-AU"/>
              </w:rPr>
              <w:t xml:space="preserve">All licence-holders in the fishery are required to use QDAF approved </w:t>
            </w:r>
            <w:hyperlink r:id="rId35" w:history="1">
              <w:r w:rsidRPr="00971E34">
                <w:rPr>
                  <w:rStyle w:val="Hyperlink"/>
                </w:rPr>
                <w:t>BD04</w:t>
              </w:r>
            </w:hyperlink>
            <w:r w:rsidRPr="00971E34">
              <w:t xml:space="preserve"> </w:t>
            </w:r>
            <w:r w:rsidRPr="00971E34">
              <w:rPr>
                <w:rFonts w:cs="Arial"/>
                <w:szCs w:val="20"/>
                <w:lang w:eastAsia="en-AU"/>
              </w:rPr>
              <w:t xml:space="preserve">logbooks to report the </w:t>
            </w:r>
            <w:r w:rsidR="00AB5028" w:rsidRPr="00971E34">
              <w:rPr>
                <w:rFonts w:cs="Arial"/>
                <w:szCs w:val="20"/>
                <w:lang w:eastAsia="en-AU"/>
              </w:rPr>
              <w:t xml:space="preserve">landed </w:t>
            </w:r>
            <w:r w:rsidRPr="00971E34">
              <w:rPr>
                <w:rFonts w:cs="Arial"/>
                <w:szCs w:val="20"/>
                <w:lang w:eastAsia="en-AU"/>
              </w:rPr>
              <w:t>catch weights for each species, f</w:t>
            </w:r>
            <w:r w:rsidR="00AB5028" w:rsidRPr="00971E34">
              <w:rPr>
                <w:rFonts w:cs="Arial"/>
                <w:szCs w:val="20"/>
                <w:lang w:eastAsia="en-AU"/>
              </w:rPr>
              <w:t>ishing time</w:t>
            </w:r>
            <w:r w:rsidRPr="00971E34">
              <w:rPr>
                <w:rFonts w:cs="Arial"/>
                <w:szCs w:val="20"/>
                <w:lang w:eastAsia="en-AU"/>
              </w:rPr>
              <w:t>s, l</w:t>
            </w:r>
            <w:r w:rsidR="00AB5028" w:rsidRPr="00971E34">
              <w:rPr>
                <w:rFonts w:cs="Arial"/>
                <w:szCs w:val="20"/>
                <w:lang w:eastAsia="en-AU"/>
              </w:rPr>
              <w:t>ocation</w:t>
            </w:r>
            <w:r w:rsidRPr="00971E34">
              <w:rPr>
                <w:rFonts w:cs="Arial"/>
                <w:szCs w:val="20"/>
                <w:lang w:eastAsia="en-AU"/>
              </w:rPr>
              <w:t>s</w:t>
            </w:r>
            <w:r w:rsidR="00AB5028" w:rsidRPr="00971E34">
              <w:rPr>
                <w:rFonts w:cs="Arial"/>
                <w:szCs w:val="20"/>
                <w:lang w:eastAsia="en-AU"/>
              </w:rPr>
              <w:t xml:space="preserve"> of catch and effort</w:t>
            </w:r>
            <w:r w:rsidRPr="00971E34">
              <w:rPr>
                <w:rFonts w:cs="Arial"/>
                <w:szCs w:val="20"/>
                <w:lang w:eastAsia="en-AU"/>
              </w:rPr>
              <w:t xml:space="preserve"> and f</w:t>
            </w:r>
            <w:r w:rsidR="00AB5028" w:rsidRPr="00971E34">
              <w:rPr>
                <w:rFonts w:cs="Arial"/>
                <w:szCs w:val="20"/>
                <w:lang w:eastAsia="en-AU"/>
              </w:rPr>
              <w:t>ishing equipment used (</w:t>
            </w:r>
            <w:r w:rsidRPr="00971E34">
              <w:rPr>
                <w:rFonts w:cs="Arial"/>
                <w:szCs w:val="20"/>
                <w:lang w:eastAsia="en-AU"/>
              </w:rPr>
              <w:t xml:space="preserve">i.e. </w:t>
            </w:r>
            <w:r w:rsidR="00AB5028" w:rsidRPr="00971E34">
              <w:rPr>
                <w:rFonts w:cs="Arial"/>
                <w:szCs w:val="20"/>
                <w:lang w:eastAsia="en-AU"/>
              </w:rPr>
              <w:t>divers and diving hours)</w:t>
            </w:r>
            <w:r w:rsidRPr="00971E34">
              <w:rPr>
                <w:rFonts w:cs="Arial"/>
                <w:szCs w:val="20"/>
                <w:lang w:eastAsia="en-AU"/>
              </w:rPr>
              <w:t>.</w:t>
            </w:r>
            <w:r w:rsidR="00A953EC">
              <w:rPr>
                <w:rFonts w:cs="Arial"/>
                <w:szCs w:val="20"/>
                <w:lang w:eastAsia="en-AU"/>
              </w:rPr>
              <w:t xml:space="preserve"> </w:t>
            </w:r>
            <w:r w:rsidR="002E18F9">
              <w:rPr>
                <w:rFonts w:cs="Arial"/>
                <w:szCs w:val="20"/>
                <w:lang w:eastAsia="en-AU"/>
              </w:rPr>
              <w:t xml:space="preserve">These logbooks provide for eight species or species groups to be listed, while other species can be listed with the appropriate species code in another </w:t>
            </w:r>
            <w:r w:rsidR="002E18F9" w:rsidRPr="001C624E">
              <w:rPr>
                <w:rFonts w:cs="Arial"/>
                <w:szCs w:val="20"/>
                <w:lang w:eastAsia="en-AU"/>
              </w:rPr>
              <w:t xml:space="preserve">column. Not all species are required to be reported to species-level. Black </w:t>
            </w:r>
            <w:proofErr w:type="spellStart"/>
            <w:r w:rsidR="002E18F9" w:rsidRPr="001C624E">
              <w:rPr>
                <w:rFonts w:cs="Arial"/>
                <w:szCs w:val="20"/>
                <w:lang w:eastAsia="en-AU"/>
              </w:rPr>
              <w:t>Teatfish</w:t>
            </w:r>
            <w:proofErr w:type="spellEnd"/>
            <w:r w:rsidR="002E18F9" w:rsidRPr="001C624E">
              <w:rPr>
                <w:rFonts w:cs="Arial"/>
                <w:szCs w:val="20"/>
                <w:lang w:eastAsia="en-AU"/>
              </w:rPr>
              <w:t xml:space="preserve"> is not one of the eight species listed on the main page of the logbook and so it is possible that fishers could report this species and others not listed on the main page, as an undifferentiated and unidentified ‘other species’. QDAF’s </w:t>
            </w:r>
            <w:proofErr w:type="spellStart"/>
            <w:r w:rsidR="002E18F9" w:rsidRPr="001C624E">
              <w:rPr>
                <w:rFonts w:cs="Arial"/>
                <w:szCs w:val="20"/>
                <w:lang w:eastAsia="en-AU"/>
              </w:rPr>
              <w:t>QFish</w:t>
            </w:r>
            <w:proofErr w:type="spellEnd"/>
            <w:r w:rsidR="002E18F9" w:rsidRPr="001C624E">
              <w:rPr>
                <w:rFonts w:cs="Arial"/>
                <w:szCs w:val="20"/>
                <w:lang w:eastAsia="en-AU"/>
              </w:rPr>
              <w:t xml:space="preserve"> database does not contain data on sea cucumber catches to determine whether this may have been an issue. However, licence holders in the fishery are experienced and have </w:t>
            </w:r>
            <w:r w:rsidR="004A5A48" w:rsidRPr="001C624E">
              <w:rPr>
                <w:rFonts w:cs="Arial"/>
                <w:szCs w:val="20"/>
                <w:lang w:eastAsia="en-AU"/>
              </w:rPr>
              <w:t>demonstrated</w:t>
            </w:r>
            <w:r w:rsidR="002E18F9" w:rsidRPr="001C624E">
              <w:rPr>
                <w:rFonts w:cs="Arial"/>
                <w:szCs w:val="20"/>
                <w:lang w:eastAsia="en-AU"/>
              </w:rPr>
              <w:t xml:space="preserve"> strong custodianship for Black </w:t>
            </w:r>
            <w:proofErr w:type="spellStart"/>
            <w:r w:rsidR="002E18F9" w:rsidRPr="001C624E">
              <w:rPr>
                <w:rFonts w:cs="Arial"/>
                <w:szCs w:val="20"/>
                <w:lang w:eastAsia="en-AU"/>
              </w:rPr>
              <w:t>Teatfish</w:t>
            </w:r>
            <w:proofErr w:type="spellEnd"/>
            <w:r w:rsidR="002E18F9" w:rsidRPr="001C624E">
              <w:rPr>
                <w:rFonts w:cs="Arial"/>
                <w:szCs w:val="20"/>
                <w:lang w:eastAsia="en-AU"/>
              </w:rPr>
              <w:t xml:space="preserve"> in the past.</w:t>
            </w:r>
          </w:p>
          <w:p w14:paraId="687D70C2" w14:textId="0BBF8C0F" w:rsidR="00AB5028" w:rsidRPr="00971E34" w:rsidRDefault="00AB5028" w:rsidP="00AB5028">
            <w:pPr>
              <w:spacing w:line="300" w:lineRule="atLeast"/>
              <w:rPr>
                <w:rFonts w:cs="Arial"/>
                <w:szCs w:val="20"/>
                <w:lang w:eastAsia="en-AU"/>
              </w:rPr>
            </w:pPr>
            <w:r w:rsidRPr="00971E34">
              <w:rPr>
                <w:rFonts w:cs="Arial"/>
                <w:szCs w:val="20"/>
                <w:lang w:eastAsia="en-AU"/>
              </w:rPr>
              <w:t xml:space="preserve">Logbook data is commonly used for further data analysis on catch per unit effort to monitor fishery performance. </w:t>
            </w:r>
          </w:p>
          <w:p w14:paraId="45808020" w14:textId="77777777" w:rsidR="00AD7177" w:rsidRPr="001C624E" w:rsidRDefault="00AD7177" w:rsidP="00AD7177">
            <w:pPr>
              <w:spacing w:line="300" w:lineRule="atLeast"/>
              <w:rPr>
                <w:rFonts w:cs="Arial"/>
                <w:szCs w:val="20"/>
                <w:lang w:eastAsia="en-AU"/>
              </w:rPr>
            </w:pPr>
            <w:r w:rsidRPr="001C624E">
              <w:rPr>
                <w:rFonts w:cs="Arial"/>
                <w:szCs w:val="20"/>
                <w:lang w:eastAsia="en-AU"/>
              </w:rPr>
              <w:t>Fishers are also required to use QDAF’s Automated Interactive Voice Recordings (AIVR) system to report their catch as they come into port. This ensures that accurate real time quota usage is known and provides further opportunity for QDAF to undertake compliance inspections.</w:t>
            </w:r>
          </w:p>
          <w:p w14:paraId="44251242" w14:textId="77777777" w:rsidR="00543FFC" w:rsidRPr="001C624E" w:rsidRDefault="00AB5028" w:rsidP="00971E34">
            <w:pPr>
              <w:spacing w:line="300" w:lineRule="atLeast"/>
              <w:rPr>
                <w:rFonts w:cs="Arial"/>
                <w:szCs w:val="20"/>
                <w:lang w:eastAsia="en-AU"/>
              </w:rPr>
            </w:pPr>
            <w:r w:rsidRPr="00971E34">
              <w:rPr>
                <w:rFonts w:cs="Arial"/>
                <w:szCs w:val="20"/>
                <w:lang w:eastAsia="en-AU"/>
              </w:rPr>
              <w:t>Catch</w:t>
            </w:r>
            <w:r w:rsidR="00A7262D" w:rsidRPr="00971E34">
              <w:rPr>
                <w:rFonts w:cs="Arial"/>
                <w:szCs w:val="20"/>
                <w:lang w:eastAsia="en-AU"/>
              </w:rPr>
              <w:t>es</w:t>
            </w:r>
            <w:r w:rsidRPr="00971E34">
              <w:rPr>
                <w:rFonts w:cs="Arial"/>
                <w:szCs w:val="20"/>
                <w:lang w:eastAsia="en-AU"/>
              </w:rPr>
              <w:t xml:space="preserve"> </w:t>
            </w:r>
            <w:r w:rsidR="00A7262D" w:rsidRPr="00971E34">
              <w:rPr>
                <w:rFonts w:cs="Arial"/>
                <w:szCs w:val="20"/>
                <w:lang w:eastAsia="en-AU"/>
              </w:rPr>
              <w:t xml:space="preserve">can also be </w:t>
            </w:r>
            <w:r w:rsidRPr="00971E34">
              <w:rPr>
                <w:rFonts w:cs="Arial"/>
                <w:szCs w:val="20"/>
                <w:lang w:eastAsia="en-AU"/>
              </w:rPr>
              <w:t xml:space="preserve">verified using the </w:t>
            </w:r>
            <w:proofErr w:type="spellStart"/>
            <w:r w:rsidRPr="00971E34">
              <w:rPr>
                <w:rFonts w:cs="Arial"/>
                <w:szCs w:val="20"/>
                <w:lang w:eastAsia="en-AU"/>
              </w:rPr>
              <w:t>Beche</w:t>
            </w:r>
            <w:proofErr w:type="spellEnd"/>
            <w:r w:rsidRPr="00971E34">
              <w:rPr>
                <w:rFonts w:cs="Arial"/>
                <w:szCs w:val="20"/>
                <w:lang w:eastAsia="en-AU"/>
              </w:rPr>
              <w:t>-de-</w:t>
            </w:r>
            <w:proofErr w:type="spellStart"/>
            <w:r w:rsidRPr="00971E34">
              <w:rPr>
                <w:rFonts w:cs="Arial"/>
                <w:szCs w:val="20"/>
                <w:lang w:eastAsia="en-AU"/>
              </w:rPr>
              <w:t>mer</w:t>
            </w:r>
            <w:proofErr w:type="spellEnd"/>
            <w:r w:rsidRPr="00971E34">
              <w:rPr>
                <w:rFonts w:cs="Arial"/>
                <w:szCs w:val="20"/>
                <w:lang w:eastAsia="en-AU"/>
              </w:rPr>
              <w:t xml:space="preserve"> Buyers Reporting Logbook (</w:t>
            </w:r>
            <w:hyperlink r:id="rId36" w:history="1">
              <w:r w:rsidRPr="004E78FF">
                <w:rPr>
                  <w:rStyle w:val="Hyperlink"/>
                  <w:rFonts w:cs="Arial"/>
                  <w:szCs w:val="20"/>
                  <w:lang w:eastAsia="en-AU"/>
                </w:rPr>
                <w:t>BB02</w:t>
              </w:r>
            </w:hyperlink>
            <w:r w:rsidRPr="00971E34">
              <w:rPr>
                <w:rFonts w:cs="Arial"/>
                <w:szCs w:val="20"/>
                <w:lang w:eastAsia="en-AU"/>
              </w:rPr>
              <w:t xml:space="preserve">), which functions in the same way as a Catch Disposal Record (CDR). These logbooks are accurate logs of weighed processed product </w:t>
            </w:r>
            <w:r w:rsidR="00A7262D" w:rsidRPr="00971E34">
              <w:rPr>
                <w:rFonts w:cs="Arial"/>
                <w:szCs w:val="20"/>
                <w:lang w:eastAsia="en-AU"/>
              </w:rPr>
              <w:t xml:space="preserve">and </w:t>
            </w:r>
            <w:r w:rsidRPr="00971E34">
              <w:rPr>
                <w:rFonts w:cs="Arial"/>
                <w:szCs w:val="20"/>
                <w:lang w:eastAsia="en-AU"/>
              </w:rPr>
              <w:t>provide a more accurate data source than logbook weight data or AIVR reported weights</w:t>
            </w:r>
            <w:r w:rsidR="00A7262D" w:rsidRPr="00971E34">
              <w:rPr>
                <w:rFonts w:cs="Arial"/>
                <w:szCs w:val="20"/>
                <w:lang w:eastAsia="en-AU"/>
              </w:rPr>
              <w:t>, which are both on-board estimates</w:t>
            </w:r>
            <w:r w:rsidRPr="00971E34">
              <w:rPr>
                <w:rFonts w:cs="Arial"/>
                <w:szCs w:val="20"/>
                <w:lang w:eastAsia="en-AU"/>
              </w:rPr>
              <w:t>.</w:t>
            </w:r>
            <w:bookmarkEnd w:id="24"/>
          </w:p>
          <w:p w14:paraId="28C385E6" w14:textId="202E333B" w:rsidR="00543FFC" w:rsidRPr="00971E34" w:rsidRDefault="00041622" w:rsidP="00971E34">
            <w:pPr>
              <w:spacing w:line="300" w:lineRule="atLeast"/>
              <w:rPr>
                <w:rFonts w:cs="Arial"/>
                <w:szCs w:val="20"/>
                <w:lang w:eastAsia="en-AU"/>
              </w:rPr>
            </w:pPr>
            <w:r w:rsidRPr="001C624E">
              <w:rPr>
                <w:rFonts w:cs="Arial"/>
              </w:rPr>
              <w:t xml:space="preserve">There are currently no stock assessments for any species in the fishery and very little information on the biology, </w:t>
            </w:r>
            <w:proofErr w:type="gramStart"/>
            <w:r w:rsidRPr="001C624E">
              <w:rPr>
                <w:rFonts w:cs="Arial"/>
              </w:rPr>
              <w:t>density</w:t>
            </w:r>
            <w:proofErr w:type="gramEnd"/>
            <w:r w:rsidRPr="001C624E">
              <w:rPr>
                <w:rFonts w:cs="Arial"/>
              </w:rPr>
              <w:t xml:space="preserve"> or biomass of the stocks. The Department recommends condition </w:t>
            </w:r>
            <w:r w:rsidR="001C6B9C" w:rsidRPr="001C624E">
              <w:rPr>
                <w:rFonts w:cs="Arial"/>
              </w:rPr>
              <w:t>4-7</w:t>
            </w:r>
            <w:r w:rsidRPr="001C624E">
              <w:rPr>
                <w:rFonts w:cs="Arial"/>
              </w:rPr>
              <w:t xml:space="preserve"> be attached </w:t>
            </w:r>
            <w:r w:rsidRPr="001C624E">
              <w:rPr>
                <w:rFonts w:cs="Arial"/>
              </w:rPr>
              <w:lastRenderedPageBreak/>
              <w:t xml:space="preserve">to the proposed Part 13A approval </w:t>
            </w:r>
            <w:r w:rsidR="00645C09">
              <w:rPr>
                <w:rFonts w:cs="Arial"/>
              </w:rPr>
              <w:t xml:space="preserve">that require stock assessments to be undertaken </w:t>
            </w:r>
            <w:r w:rsidRPr="001C624E">
              <w:rPr>
                <w:rFonts w:cs="Arial"/>
              </w:rPr>
              <w:t>to improve understanding of the stocks and to ensure management arrangements remain effective.</w:t>
            </w:r>
            <w:r w:rsidR="00DC46DE" w:rsidRPr="001C624E">
              <w:rPr>
                <w:rFonts w:cs="Arial"/>
              </w:rPr>
              <w:t xml:space="preserve"> These conditions are targeted at CITES-listed Black and White </w:t>
            </w:r>
            <w:proofErr w:type="spellStart"/>
            <w:r w:rsidR="00DC46DE" w:rsidRPr="001C624E">
              <w:rPr>
                <w:rFonts w:cs="Arial"/>
              </w:rPr>
              <w:t>Teatfish</w:t>
            </w:r>
            <w:proofErr w:type="spellEnd"/>
            <w:r w:rsidR="00DC46DE" w:rsidRPr="001C624E">
              <w:rPr>
                <w:rFonts w:cs="Arial"/>
              </w:rPr>
              <w:t xml:space="preserve"> species, but may</w:t>
            </w:r>
            <w:r w:rsidR="00E27398">
              <w:rPr>
                <w:rFonts w:cs="Arial"/>
              </w:rPr>
              <w:t>,</w:t>
            </w:r>
            <w:r w:rsidR="00DC46DE" w:rsidRPr="001C624E">
              <w:rPr>
                <w:rFonts w:cs="Arial"/>
              </w:rPr>
              <w:t xml:space="preserve"> in future</w:t>
            </w:r>
            <w:r w:rsidR="00E27398">
              <w:rPr>
                <w:rFonts w:cs="Arial"/>
              </w:rPr>
              <w:t>,</w:t>
            </w:r>
            <w:r w:rsidR="00DC46DE" w:rsidRPr="001C624E">
              <w:rPr>
                <w:rFonts w:cs="Arial"/>
              </w:rPr>
              <w:t xml:space="preserve"> be extended to remaining species</w:t>
            </w:r>
            <w:r w:rsidR="00DC46DE" w:rsidRPr="007110A2">
              <w:rPr>
                <w:rFonts w:cs="Arial"/>
              </w:rPr>
              <w:t xml:space="preserve"> in the fishery.</w:t>
            </w:r>
          </w:p>
        </w:tc>
      </w:tr>
      <w:tr w:rsidR="0002308E" w:rsidRPr="00A94147" w14:paraId="4C395F12" w14:textId="77777777" w:rsidTr="00796D99">
        <w:trPr>
          <w:cantSplit/>
        </w:trPr>
        <w:tc>
          <w:tcPr>
            <w:tcW w:w="5000" w:type="pct"/>
            <w:gridSpan w:val="2"/>
            <w:shd w:val="clear" w:color="auto" w:fill="DAEEF3"/>
          </w:tcPr>
          <w:p w14:paraId="36D95FB4" w14:textId="77777777" w:rsidR="0002308E" w:rsidRPr="007772EF" w:rsidRDefault="0002308E" w:rsidP="007F171B">
            <w:pPr>
              <w:keepNext/>
              <w:spacing w:before="80" w:after="80" w:line="276" w:lineRule="auto"/>
              <w:rPr>
                <w:rFonts w:cs="Arial"/>
                <w:b/>
                <w:i/>
              </w:rPr>
            </w:pPr>
            <w:r w:rsidRPr="007772EF">
              <w:rPr>
                <w:rFonts w:cs="Arial"/>
                <w:b/>
                <w:i/>
              </w:rPr>
              <w:lastRenderedPageBreak/>
              <w:t xml:space="preserve">Assessment </w:t>
            </w:r>
          </w:p>
        </w:tc>
      </w:tr>
      <w:tr w:rsidR="009006AC" w:rsidRPr="00A94147" w14:paraId="254AA319" w14:textId="77777777" w:rsidTr="00913B36">
        <w:trPr>
          <w:cantSplit/>
        </w:trPr>
        <w:tc>
          <w:tcPr>
            <w:tcW w:w="1532" w:type="pct"/>
            <w:shd w:val="clear" w:color="auto" w:fill="FF0000"/>
          </w:tcPr>
          <w:p w14:paraId="0339E9C5" w14:textId="26BBC384" w:rsidR="009006AC" w:rsidRPr="00A94147" w:rsidRDefault="009006AC" w:rsidP="007F171B">
            <w:pPr>
              <w:keepNext/>
              <w:spacing w:before="80" w:after="80" w:line="276" w:lineRule="auto"/>
              <w:rPr>
                <w:rFonts w:cs="Arial"/>
                <w:b/>
                <w:i/>
                <w:highlight w:val="yellow"/>
              </w:rPr>
            </w:pPr>
            <w:r w:rsidRPr="00913B36">
              <w:rPr>
                <w:rFonts w:cs="Arial"/>
                <w:b/>
                <w:i/>
              </w:rPr>
              <w:lastRenderedPageBreak/>
              <w:t xml:space="preserve">1.1.2 </w:t>
            </w:r>
            <w:r w:rsidRPr="00913B36">
              <w:rPr>
                <w:rFonts w:cs="Arial"/>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3468" w:type="pct"/>
            <w:shd w:val="clear" w:color="auto" w:fill="auto"/>
          </w:tcPr>
          <w:p w14:paraId="755D3EBD" w14:textId="3963E9DA" w:rsidR="009006AC" w:rsidRPr="002A5D30" w:rsidRDefault="00913B36" w:rsidP="009006AC">
            <w:pPr>
              <w:spacing w:before="80" w:after="80" w:line="276" w:lineRule="auto"/>
              <w:rPr>
                <w:rFonts w:cs="Arial"/>
                <w:b/>
              </w:rPr>
            </w:pPr>
            <w:r w:rsidRPr="002A5D30">
              <w:rPr>
                <w:rFonts w:cs="Arial"/>
                <w:b/>
              </w:rPr>
              <w:t xml:space="preserve">Does not meet </w:t>
            </w:r>
            <w:r w:rsidR="009006AC" w:rsidRPr="002A5D30">
              <w:rPr>
                <w:rFonts w:cs="Arial"/>
                <w:b/>
              </w:rPr>
              <w:t xml:space="preserve">– </w:t>
            </w:r>
            <w:r w:rsidR="00030554" w:rsidRPr="002A5D30">
              <w:rPr>
                <w:rFonts w:cs="Arial"/>
                <w:b/>
              </w:rPr>
              <w:t>No stock assessments have been undertaken</w:t>
            </w:r>
          </w:p>
          <w:p w14:paraId="50ED1F46" w14:textId="0EA92E7C" w:rsidR="00B72A15" w:rsidRPr="00B72A15" w:rsidRDefault="00B72A15" w:rsidP="00B72A15">
            <w:pPr>
              <w:spacing w:before="80" w:after="80" w:line="276" w:lineRule="auto"/>
              <w:rPr>
                <w:rFonts w:cs="Arial"/>
                <w:iCs/>
              </w:rPr>
            </w:pPr>
            <w:r w:rsidRPr="002A5D30">
              <w:rPr>
                <w:rFonts w:cs="Arial"/>
                <w:iCs/>
              </w:rPr>
              <w:t>A</w:t>
            </w:r>
            <w:r w:rsidRPr="00B72A15">
              <w:rPr>
                <w:rFonts w:cs="Arial"/>
                <w:iCs/>
              </w:rPr>
              <w:t xml:space="preserve"> stock status assessment </w:t>
            </w:r>
            <w:r w:rsidRPr="002A5D30">
              <w:rPr>
                <w:rFonts w:cs="Arial"/>
                <w:iCs/>
              </w:rPr>
              <w:t>has been completed for W</w:t>
            </w:r>
            <w:r w:rsidRPr="00B72A15">
              <w:rPr>
                <w:rFonts w:cs="Arial"/>
                <w:iCs/>
              </w:rPr>
              <w:t xml:space="preserve">hite </w:t>
            </w:r>
            <w:proofErr w:type="spellStart"/>
            <w:r w:rsidRPr="002A5D30">
              <w:rPr>
                <w:rFonts w:cs="Arial"/>
                <w:iCs/>
              </w:rPr>
              <w:t>T</w:t>
            </w:r>
            <w:r w:rsidRPr="00B72A15">
              <w:rPr>
                <w:rFonts w:cs="Arial"/>
                <w:iCs/>
              </w:rPr>
              <w:t>eatfish</w:t>
            </w:r>
            <w:proofErr w:type="spellEnd"/>
            <w:r w:rsidRPr="002A5D30">
              <w:rPr>
                <w:rFonts w:cs="Arial"/>
                <w:iCs/>
              </w:rPr>
              <w:t xml:space="preserve"> </w:t>
            </w:r>
            <w:r w:rsidR="00847907" w:rsidRPr="000C7574">
              <w:rPr>
                <w:rFonts w:cs="Arial"/>
                <w:lang w:val="en"/>
              </w:rPr>
              <w:t>(</w:t>
            </w:r>
            <w:proofErr w:type="spellStart"/>
            <w:r w:rsidR="00847907" w:rsidRPr="000C7574">
              <w:rPr>
                <w:rFonts w:cs="Arial"/>
                <w:i/>
                <w:lang w:val="en"/>
              </w:rPr>
              <w:t>Holothuria</w:t>
            </w:r>
            <w:proofErr w:type="spellEnd"/>
            <w:r w:rsidR="00847907" w:rsidRPr="000C7574">
              <w:rPr>
                <w:rFonts w:cs="Arial"/>
                <w:i/>
                <w:lang w:val="en"/>
              </w:rPr>
              <w:t xml:space="preserve"> </w:t>
            </w:r>
            <w:proofErr w:type="spellStart"/>
            <w:r w:rsidR="00847907" w:rsidRPr="000C7574">
              <w:rPr>
                <w:rFonts w:cs="Arial"/>
                <w:i/>
                <w:lang w:val="en"/>
              </w:rPr>
              <w:t>fuscogilva</w:t>
            </w:r>
            <w:proofErr w:type="spellEnd"/>
            <w:r w:rsidR="00847907" w:rsidRPr="000C7574">
              <w:rPr>
                <w:rFonts w:cs="Arial"/>
                <w:lang w:val="en"/>
              </w:rPr>
              <w:t xml:space="preserve">) </w:t>
            </w:r>
            <w:r w:rsidRPr="002A5D30">
              <w:rPr>
                <w:rFonts w:cs="Arial"/>
                <w:iCs/>
              </w:rPr>
              <w:t xml:space="preserve">but this </w:t>
            </w:r>
            <w:r w:rsidRPr="00B72A15">
              <w:rPr>
                <w:rFonts w:cs="Arial"/>
                <w:iCs/>
              </w:rPr>
              <w:t xml:space="preserve">is not the same as a modelled stock assessment. Stock status assessments assign the stock to a status </w:t>
            </w:r>
            <w:r w:rsidRPr="00B72A15">
              <w:rPr>
                <w:rFonts w:cs="Arial"/>
              </w:rPr>
              <w:t>category</w:t>
            </w:r>
            <w:r w:rsidRPr="00B72A15">
              <w:rPr>
                <w:rFonts w:cs="Arial"/>
                <w:i/>
                <w:iCs/>
              </w:rPr>
              <w:t xml:space="preserve"> </w:t>
            </w:r>
            <w:r w:rsidRPr="00B72A15">
              <w:rPr>
                <w:rFonts w:cs="Arial"/>
                <w:iCs/>
              </w:rPr>
              <w:t>using agreed criteria and available data describing fishing pressure and biomass.</w:t>
            </w:r>
          </w:p>
          <w:p w14:paraId="33D596AC" w14:textId="0B6EA93D" w:rsidR="00B72A15" w:rsidRPr="00B72A15" w:rsidRDefault="00B72A15" w:rsidP="00B72A15">
            <w:pPr>
              <w:spacing w:before="80" w:after="80" w:line="276" w:lineRule="auto"/>
              <w:rPr>
                <w:rFonts w:cs="Arial"/>
                <w:iCs/>
              </w:rPr>
            </w:pPr>
            <w:r w:rsidRPr="00B72A15">
              <w:rPr>
                <w:rFonts w:cs="Arial"/>
                <w:iCs/>
              </w:rPr>
              <w:t xml:space="preserve">Stock assessments use mathematical modelling of time series data to estimate the remaining biomass of the stock relative to unfished biomass and predict suitable target and trigger reference points to support harvest strategies. Stock assessments can also quantify the level of uncertainty in estimates and predictions. There are ongoing discussions in the </w:t>
            </w:r>
            <w:r w:rsidRPr="002A5D30">
              <w:rPr>
                <w:rFonts w:cs="Arial"/>
                <w:iCs/>
              </w:rPr>
              <w:t>S</w:t>
            </w:r>
            <w:r w:rsidRPr="00B72A15">
              <w:rPr>
                <w:rFonts w:cs="Arial"/>
                <w:iCs/>
              </w:rPr>
              <w:t xml:space="preserve">ea </w:t>
            </w:r>
            <w:r w:rsidRPr="002A5D30">
              <w:rPr>
                <w:rFonts w:cs="Arial"/>
                <w:iCs/>
              </w:rPr>
              <w:t>C</w:t>
            </w:r>
            <w:r w:rsidRPr="00B72A15">
              <w:rPr>
                <w:rFonts w:cs="Arial"/>
                <w:iCs/>
              </w:rPr>
              <w:t xml:space="preserve">ucumber </w:t>
            </w:r>
            <w:r w:rsidRPr="002A5D30">
              <w:rPr>
                <w:rFonts w:cs="Arial"/>
                <w:iCs/>
              </w:rPr>
              <w:t>F</w:t>
            </w:r>
            <w:r w:rsidRPr="00B72A15">
              <w:rPr>
                <w:rFonts w:cs="Arial"/>
                <w:iCs/>
              </w:rPr>
              <w:t xml:space="preserve">ishery </w:t>
            </w:r>
            <w:r w:rsidRPr="002A5D30">
              <w:rPr>
                <w:rFonts w:cs="Arial"/>
                <w:iCs/>
              </w:rPr>
              <w:t>W</w:t>
            </w:r>
            <w:r w:rsidRPr="00B72A15">
              <w:rPr>
                <w:rFonts w:cs="Arial"/>
                <w:iCs/>
              </w:rPr>
              <w:t xml:space="preserve">orking </w:t>
            </w:r>
            <w:r w:rsidRPr="002A5D30">
              <w:rPr>
                <w:rFonts w:cs="Arial"/>
                <w:iCs/>
              </w:rPr>
              <w:t>G</w:t>
            </w:r>
            <w:r w:rsidRPr="00B72A15">
              <w:rPr>
                <w:rFonts w:cs="Arial"/>
                <w:iCs/>
              </w:rPr>
              <w:t xml:space="preserve">roup to clarify the requirements and time frames for sea cucumber stock assessments. </w:t>
            </w:r>
          </w:p>
          <w:p w14:paraId="0384D436" w14:textId="47DA81BC" w:rsidR="00B72A15" w:rsidRPr="002A5D30" w:rsidRDefault="00B72A15" w:rsidP="00B72A15">
            <w:pPr>
              <w:spacing w:before="80" w:after="80" w:line="276" w:lineRule="auto"/>
              <w:rPr>
                <w:rFonts w:cs="Arial"/>
                <w:iCs/>
              </w:rPr>
            </w:pPr>
            <w:r w:rsidRPr="00B72A15">
              <w:rPr>
                <w:rFonts w:cs="Arial"/>
                <w:iCs/>
              </w:rPr>
              <w:t xml:space="preserve">The </w:t>
            </w:r>
            <w:r w:rsidRPr="002A5D30">
              <w:rPr>
                <w:rFonts w:cs="Arial"/>
                <w:iCs/>
              </w:rPr>
              <w:t xml:space="preserve">total allowable commercial catch limit (TACC) </w:t>
            </w:r>
            <w:r w:rsidRPr="00B72A15">
              <w:rPr>
                <w:rFonts w:cs="Arial"/>
                <w:iCs/>
              </w:rPr>
              <w:t xml:space="preserve">for </w:t>
            </w:r>
            <w:r w:rsidRPr="002A5D30">
              <w:rPr>
                <w:rFonts w:cs="Arial"/>
                <w:iCs/>
              </w:rPr>
              <w:t>B</w:t>
            </w:r>
            <w:r w:rsidRPr="00B72A15">
              <w:rPr>
                <w:rFonts w:cs="Arial"/>
                <w:iCs/>
              </w:rPr>
              <w:t xml:space="preserve">lack </w:t>
            </w:r>
            <w:proofErr w:type="spellStart"/>
            <w:r w:rsidRPr="002A5D30">
              <w:rPr>
                <w:rFonts w:cs="Arial"/>
                <w:iCs/>
              </w:rPr>
              <w:t>T</w:t>
            </w:r>
            <w:r w:rsidRPr="00B72A15">
              <w:rPr>
                <w:rFonts w:cs="Arial"/>
                <w:iCs/>
              </w:rPr>
              <w:t>eatfish</w:t>
            </w:r>
            <w:proofErr w:type="spellEnd"/>
            <w:r w:rsidRPr="00B72A15">
              <w:rPr>
                <w:rFonts w:cs="Arial"/>
                <w:iCs/>
              </w:rPr>
              <w:t xml:space="preserve"> was reduced to 0 tonnes in 1999 following concerns raised by industry members in 1998 about declining stocks. In 2015 the Queensland Sea Cucumber Industry Association (QSCIA) commissioned a survey to assess the extent of any recovery of </w:t>
            </w:r>
            <w:r w:rsidR="0074118B" w:rsidRPr="002A5D30">
              <w:rPr>
                <w:rFonts w:cs="Arial"/>
                <w:iCs/>
              </w:rPr>
              <w:t>B</w:t>
            </w:r>
            <w:r w:rsidRPr="00B72A15">
              <w:rPr>
                <w:rFonts w:cs="Arial"/>
                <w:iCs/>
              </w:rPr>
              <w:t xml:space="preserve">lack </w:t>
            </w:r>
            <w:proofErr w:type="spellStart"/>
            <w:r w:rsidR="0074118B" w:rsidRPr="002A5D30">
              <w:rPr>
                <w:rFonts w:cs="Arial"/>
                <w:iCs/>
              </w:rPr>
              <w:t>T</w:t>
            </w:r>
            <w:r w:rsidRPr="00B72A15">
              <w:rPr>
                <w:rFonts w:cs="Arial"/>
                <w:iCs/>
              </w:rPr>
              <w:t>eatfish</w:t>
            </w:r>
            <w:proofErr w:type="spellEnd"/>
            <w:r w:rsidRPr="00B72A15">
              <w:rPr>
                <w:rFonts w:cs="Arial"/>
                <w:iCs/>
              </w:rPr>
              <w:t xml:space="preserve"> stocks. </w:t>
            </w:r>
            <w:r w:rsidRPr="002A5D30">
              <w:rPr>
                <w:rFonts w:cs="Arial"/>
                <w:iCs/>
              </w:rPr>
              <w:t>T</w:t>
            </w:r>
            <w:r w:rsidRPr="00B72A15">
              <w:rPr>
                <w:rFonts w:cs="Arial"/>
                <w:iCs/>
              </w:rPr>
              <w:t xml:space="preserve">he survey design was endorsed by </w:t>
            </w:r>
            <w:r w:rsidRPr="002A5D30">
              <w:rPr>
                <w:rFonts w:cs="Arial"/>
                <w:iCs/>
              </w:rPr>
              <w:t xml:space="preserve">QDAF’s </w:t>
            </w:r>
            <w:r w:rsidRPr="00B72A15">
              <w:rPr>
                <w:rFonts w:cs="Arial"/>
                <w:iCs/>
              </w:rPr>
              <w:t>Scientific Advisory Group</w:t>
            </w:r>
            <w:r w:rsidRPr="002A5D30">
              <w:rPr>
                <w:rFonts w:cs="Arial"/>
                <w:iCs/>
              </w:rPr>
              <w:t xml:space="preserve"> and was </w:t>
            </w:r>
            <w:r w:rsidRPr="00B72A15">
              <w:rPr>
                <w:rFonts w:cs="Arial"/>
                <w:iCs/>
              </w:rPr>
              <w:t>conducted in late 2015</w:t>
            </w:r>
            <w:r w:rsidRPr="002A5D30">
              <w:rPr>
                <w:rFonts w:cs="Arial"/>
                <w:iCs/>
              </w:rPr>
              <w:t>.</w:t>
            </w:r>
            <w:r w:rsidRPr="00B72A15">
              <w:rPr>
                <w:rFonts w:cs="Arial"/>
                <w:iCs/>
              </w:rPr>
              <w:t xml:space="preserve"> </w:t>
            </w:r>
            <w:r w:rsidRPr="002A5D30">
              <w:rPr>
                <w:rFonts w:cs="Arial"/>
                <w:iCs/>
              </w:rPr>
              <w:t xml:space="preserve">The survey </w:t>
            </w:r>
            <w:r w:rsidRPr="00B72A15">
              <w:rPr>
                <w:rFonts w:cs="Arial"/>
                <w:iCs/>
              </w:rPr>
              <w:t xml:space="preserve">found that Black </w:t>
            </w:r>
            <w:proofErr w:type="spellStart"/>
            <w:r w:rsidRPr="00B72A15">
              <w:rPr>
                <w:rFonts w:cs="Arial"/>
                <w:iCs/>
              </w:rPr>
              <w:t>Teatfish</w:t>
            </w:r>
            <w:proofErr w:type="spellEnd"/>
            <w:r w:rsidRPr="00B72A15">
              <w:rPr>
                <w:rFonts w:cs="Arial"/>
                <w:iCs/>
              </w:rPr>
              <w:t xml:space="preserve"> stocks in the northern part of the fishery had recovered to levels above 70% of unfished biomass. The southern part of the fishery was not surveyed due to cost and time constraints</w:t>
            </w:r>
            <w:r w:rsidRPr="002A5D30">
              <w:rPr>
                <w:rFonts w:cs="Arial"/>
                <w:iCs/>
              </w:rPr>
              <w:t xml:space="preserve"> (</w:t>
            </w:r>
            <w:r w:rsidRPr="00B72A15">
              <w:rPr>
                <w:rFonts w:cs="Arial"/>
                <w:iCs/>
              </w:rPr>
              <w:t>Knuckey and Koopman 2019). Following an industry liaison meeting in June 2016, the QSCIA requested that the TAC</w:t>
            </w:r>
            <w:r w:rsidRPr="002A5D30">
              <w:rPr>
                <w:rFonts w:cs="Arial"/>
                <w:iCs/>
              </w:rPr>
              <w:t>C</w:t>
            </w:r>
            <w:r w:rsidRPr="00B72A15">
              <w:rPr>
                <w:rFonts w:cs="Arial"/>
                <w:iCs/>
              </w:rPr>
              <w:t xml:space="preserve"> for Black </w:t>
            </w:r>
            <w:proofErr w:type="spellStart"/>
            <w:r w:rsidRPr="00B72A15">
              <w:rPr>
                <w:rFonts w:cs="Arial"/>
                <w:iCs/>
              </w:rPr>
              <w:t>Teatfish</w:t>
            </w:r>
            <w:proofErr w:type="spellEnd"/>
            <w:r w:rsidRPr="00B72A15">
              <w:rPr>
                <w:rFonts w:cs="Arial"/>
                <w:iCs/>
              </w:rPr>
              <w:t xml:space="preserve"> be increased from 0 tonnes to 28.6 tonnes (representing &lt;10% of unfished biomass) in accordance with the survey results, and for the harvest to be taken within the constraints of the rotational harvest strategy</w:t>
            </w:r>
            <w:r w:rsidRPr="002A5D30">
              <w:rPr>
                <w:rFonts w:cs="Arial"/>
                <w:iCs/>
              </w:rPr>
              <w:t xml:space="preserve"> specified in its memorandum of understanding with QDAF</w:t>
            </w:r>
            <w:r w:rsidRPr="00B72A15">
              <w:rPr>
                <w:rFonts w:cs="Arial"/>
                <w:iCs/>
              </w:rPr>
              <w:t>.</w:t>
            </w:r>
          </w:p>
          <w:p w14:paraId="240220F3" w14:textId="0B94FD8B" w:rsidR="00B72A15" w:rsidRPr="00B72A15" w:rsidRDefault="009E2DBB" w:rsidP="00B72A15">
            <w:pPr>
              <w:spacing w:before="80" w:after="80" w:line="276" w:lineRule="auto"/>
              <w:rPr>
                <w:rFonts w:cs="Arial"/>
                <w:iCs/>
              </w:rPr>
            </w:pPr>
            <w:r>
              <w:t>The Great Barrier Reef Marine Park Authority</w:t>
            </w:r>
            <w:r>
              <w:rPr>
                <w:rFonts w:cs="Arial"/>
                <w:iCs/>
              </w:rPr>
              <w:t xml:space="preserve"> </w:t>
            </w:r>
            <w:r w:rsidR="00B72A15" w:rsidRPr="00B72A15">
              <w:rPr>
                <w:rFonts w:cs="Arial"/>
                <w:iCs/>
              </w:rPr>
              <w:t>did not support the re-opening of the fishery</w:t>
            </w:r>
            <w:r w:rsidR="00B72A15" w:rsidRPr="002A5D30">
              <w:rPr>
                <w:rFonts w:cs="Arial"/>
                <w:iCs/>
              </w:rPr>
              <w:t>,</w:t>
            </w:r>
            <w:r w:rsidR="00B72A15" w:rsidRPr="00B72A15">
              <w:rPr>
                <w:rFonts w:cs="Arial"/>
                <w:iCs/>
              </w:rPr>
              <w:t xml:space="preserve"> citing concern over </w:t>
            </w:r>
            <w:r w:rsidR="00B72A15" w:rsidRPr="002A5D30">
              <w:rPr>
                <w:rFonts w:cs="Arial"/>
                <w:iCs/>
              </w:rPr>
              <w:t xml:space="preserve">coral </w:t>
            </w:r>
            <w:r w:rsidR="00B72A15" w:rsidRPr="00B72A15">
              <w:rPr>
                <w:rFonts w:cs="Arial"/>
                <w:iCs/>
              </w:rPr>
              <w:t xml:space="preserve">bleaching events and </w:t>
            </w:r>
            <w:r w:rsidR="00B72A15" w:rsidRPr="002A5D30">
              <w:rPr>
                <w:rFonts w:cs="Arial"/>
                <w:iCs/>
              </w:rPr>
              <w:t xml:space="preserve">their </w:t>
            </w:r>
            <w:r w:rsidR="00B72A15" w:rsidRPr="00B72A15">
              <w:rPr>
                <w:rFonts w:cs="Arial"/>
                <w:iCs/>
              </w:rPr>
              <w:t>possible impacts on sea cucumber stocks. The proposal to re-open the fishery was subsequently not supported by QDAF and industry were advised o</w:t>
            </w:r>
            <w:r w:rsidR="001E4161">
              <w:rPr>
                <w:rFonts w:cs="Arial"/>
                <w:iCs/>
              </w:rPr>
              <w:t>f</w:t>
            </w:r>
            <w:r w:rsidR="00B72A15" w:rsidRPr="00B72A15">
              <w:rPr>
                <w:rFonts w:cs="Arial"/>
                <w:iCs/>
              </w:rPr>
              <w:t xml:space="preserve"> this decision in February 2017.</w:t>
            </w:r>
            <w:r w:rsidR="00B72A15" w:rsidRPr="002A5D30">
              <w:rPr>
                <w:rFonts w:cs="Arial"/>
                <w:iCs/>
              </w:rPr>
              <w:t xml:space="preserve"> </w:t>
            </w:r>
            <w:r w:rsidR="00B72A15" w:rsidRPr="00B72A15">
              <w:rPr>
                <w:rFonts w:cs="Arial"/>
                <w:iCs/>
              </w:rPr>
              <w:t xml:space="preserve">The proposal to re-open </w:t>
            </w:r>
            <w:r w:rsidR="00B72A15" w:rsidRPr="002A5D30">
              <w:rPr>
                <w:rFonts w:cs="Arial"/>
                <w:iCs/>
              </w:rPr>
              <w:t>fishing for B</w:t>
            </w:r>
            <w:r w:rsidR="00B72A15" w:rsidRPr="00B72A15">
              <w:rPr>
                <w:rFonts w:cs="Arial"/>
                <w:iCs/>
              </w:rPr>
              <w:t xml:space="preserve">lack </w:t>
            </w:r>
            <w:proofErr w:type="spellStart"/>
            <w:r w:rsidR="00B72A15" w:rsidRPr="002A5D30">
              <w:rPr>
                <w:rFonts w:cs="Arial"/>
                <w:iCs/>
              </w:rPr>
              <w:t>T</w:t>
            </w:r>
            <w:r w:rsidR="00B72A15" w:rsidRPr="00B72A15">
              <w:rPr>
                <w:rFonts w:cs="Arial"/>
                <w:iCs/>
              </w:rPr>
              <w:t>eatfish</w:t>
            </w:r>
            <w:proofErr w:type="spellEnd"/>
            <w:r w:rsidR="00B72A15" w:rsidRPr="00B72A15">
              <w:rPr>
                <w:rFonts w:cs="Arial"/>
                <w:iCs/>
              </w:rPr>
              <w:t xml:space="preserve"> was </w:t>
            </w:r>
            <w:r w:rsidR="00F52530" w:rsidRPr="002A5D30">
              <w:rPr>
                <w:rFonts w:cs="Arial"/>
                <w:iCs/>
              </w:rPr>
              <w:t xml:space="preserve">subsequently </w:t>
            </w:r>
            <w:r w:rsidR="00B72A15" w:rsidRPr="00B72A15">
              <w:rPr>
                <w:rFonts w:cs="Arial"/>
                <w:iCs/>
              </w:rPr>
              <w:t xml:space="preserve">discussed by the Sea Cucumber Fishery Working Group and referred to </w:t>
            </w:r>
            <w:r w:rsidR="00B72A15" w:rsidRPr="002A5D30">
              <w:rPr>
                <w:rFonts w:cs="Arial"/>
                <w:iCs/>
              </w:rPr>
              <w:t xml:space="preserve">QDAF’s </w:t>
            </w:r>
            <w:r w:rsidR="00B72A15" w:rsidRPr="00B72A15">
              <w:rPr>
                <w:rFonts w:cs="Arial"/>
                <w:iCs/>
              </w:rPr>
              <w:t>Sustainable Fisheries Expert Panel (FEP) for advice in July 2018. The FEP support</w:t>
            </w:r>
            <w:r w:rsidR="00F52530" w:rsidRPr="002A5D30">
              <w:rPr>
                <w:rFonts w:cs="Arial"/>
                <w:iCs/>
              </w:rPr>
              <w:t>ed</w:t>
            </w:r>
            <w:r w:rsidR="00B72A15" w:rsidRPr="00B72A15">
              <w:rPr>
                <w:rFonts w:cs="Arial"/>
                <w:iCs/>
              </w:rPr>
              <w:t xml:space="preserve"> re-opening </w:t>
            </w:r>
            <w:r w:rsidR="00F52530" w:rsidRPr="002A5D30">
              <w:rPr>
                <w:rFonts w:cs="Arial"/>
                <w:iCs/>
              </w:rPr>
              <w:t xml:space="preserve">fishing for Black </w:t>
            </w:r>
            <w:proofErr w:type="spellStart"/>
            <w:r w:rsidR="00F52530" w:rsidRPr="002A5D30">
              <w:rPr>
                <w:rFonts w:cs="Arial"/>
                <w:iCs/>
              </w:rPr>
              <w:t>Teatfish</w:t>
            </w:r>
            <w:proofErr w:type="spellEnd"/>
            <w:r w:rsidR="00F52530" w:rsidRPr="002A5D30">
              <w:rPr>
                <w:rFonts w:cs="Arial"/>
                <w:iCs/>
              </w:rPr>
              <w:t xml:space="preserve"> </w:t>
            </w:r>
            <w:r w:rsidR="00B72A15" w:rsidRPr="00B72A15">
              <w:rPr>
                <w:rFonts w:cs="Arial"/>
                <w:iCs/>
              </w:rPr>
              <w:t xml:space="preserve">based on </w:t>
            </w:r>
            <w:r w:rsidR="00F52530" w:rsidRPr="002A5D30">
              <w:rPr>
                <w:rFonts w:cs="Arial"/>
                <w:iCs/>
              </w:rPr>
              <w:t xml:space="preserve">the </w:t>
            </w:r>
            <w:r w:rsidR="00B72A15" w:rsidRPr="00B72A15">
              <w:rPr>
                <w:rFonts w:cs="Arial"/>
                <w:iCs/>
              </w:rPr>
              <w:t xml:space="preserve">survey outcomes and the </w:t>
            </w:r>
            <w:hyperlink r:id="rId37" w:history="1">
              <w:r w:rsidR="001B4AB6" w:rsidRPr="00F952C7">
                <w:rPr>
                  <w:rStyle w:val="Hyperlink"/>
                  <w:rFonts w:cs="Arial"/>
                </w:rPr>
                <w:t>Management Strategy Evaluation</w:t>
              </w:r>
            </w:hyperlink>
            <w:r w:rsidR="001B4AB6">
              <w:rPr>
                <w:rFonts w:cs="Arial"/>
              </w:rPr>
              <w:t xml:space="preserve"> </w:t>
            </w:r>
            <w:r w:rsidR="00F52530" w:rsidRPr="002A5D30">
              <w:rPr>
                <w:rFonts w:cs="Arial"/>
                <w:iCs/>
              </w:rPr>
              <w:t xml:space="preserve">(MSE) undertaken by FRDC and CSIRO on the fishery’s rotational harvest strategy </w:t>
            </w:r>
            <w:r w:rsidR="00B1657D" w:rsidRPr="000C7574">
              <w:rPr>
                <w:rFonts w:cs="Arial"/>
              </w:rPr>
              <w:t>(</w:t>
            </w:r>
            <w:hyperlink r:id="rId38" w:history="1">
              <w:r w:rsidR="00B1657D" w:rsidRPr="000C7574">
                <w:rPr>
                  <w:rStyle w:val="Hyperlink"/>
                  <w:rFonts w:cs="Arial"/>
                </w:rPr>
                <w:t>Skewes et al. 2014</w:t>
              </w:r>
            </w:hyperlink>
            <w:r w:rsidR="00B1657D" w:rsidRPr="000C7574">
              <w:rPr>
                <w:rFonts w:cs="Arial"/>
              </w:rPr>
              <w:t>)</w:t>
            </w:r>
            <w:r w:rsidR="00B72A15" w:rsidRPr="00B72A15">
              <w:rPr>
                <w:rFonts w:cs="Arial"/>
                <w:iCs/>
              </w:rPr>
              <w:t xml:space="preserve">. The FEP recommended the fishery be managed in a harvest strategy framework </w:t>
            </w:r>
            <w:r w:rsidR="00F52530" w:rsidRPr="002A5D30">
              <w:rPr>
                <w:rFonts w:cs="Arial"/>
                <w:iCs/>
              </w:rPr>
              <w:t xml:space="preserve">and in accordance with </w:t>
            </w:r>
            <w:r w:rsidR="00B72A15" w:rsidRPr="00B72A15">
              <w:rPr>
                <w:rFonts w:cs="Arial"/>
                <w:iCs/>
              </w:rPr>
              <w:t>recommendation</w:t>
            </w:r>
            <w:r w:rsidR="00F52530" w:rsidRPr="002A5D30">
              <w:rPr>
                <w:rFonts w:cs="Arial"/>
                <w:iCs/>
              </w:rPr>
              <w:t>s</w:t>
            </w:r>
            <w:r w:rsidR="00B72A15" w:rsidRPr="00B72A15">
              <w:rPr>
                <w:rFonts w:cs="Arial"/>
                <w:iCs/>
              </w:rPr>
              <w:t xml:space="preserve"> </w:t>
            </w:r>
            <w:r w:rsidR="00F52530" w:rsidRPr="002A5D30">
              <w:rPr>
                <w:rFonts w:cs="Arial"/>
                <w:iCs/>
              </w:rPr>
              <w:t xml:space="preserve">in </w:t>
            </w:r>
            <w:r w:rsidR="00B72A15" w:rsidRPr="00B72A15">
              <w:rPr>
                <w:rFonts w:cs="Arial"/>
                <w:iCs/>
              </w:rPr>
              <w:t>the MSE</w:t>
            </w:r>
            <w:r w:rsidR="00D16D30">
              <w:rPr>
                <w:rFonts w:cs="Arial"/>
                <w:iCs/>
              </w:rPr>
              <w:t xml:space="preserve"> for more research and demonstrably conservative catch limits</w:t>
            </w:r>
            <w:r w:rsidR="00B72A15" w:rsidRPr="00B72A15">
              <w:rPr>
                <w:rFonts w:cs="Arial"/>
                <w:iCs/>
              </w:rPr>
              <w:t xml:space="preserve">. </w:t>
            </w:r>
            <w:r w:rsidR="00F52530" w:rsidRPr="002A5D30">
              <w:rPr>
                <w:rFonts w:cs="Arial"/>
                <w:iCs/>
              </w:rPr>
              <w:t>T</w:t>
            </w:r>
            <w:r w:rsidR="00B72A15" w:rsidRPr="00B72A15">
              <w:rPr>
                <w:rFonts w:cs="Arial"/>
                <w:iCs/>
              </w:rPr>
              <w:t>he fishery working group ha</w:t>
            </w:r>
            <w:r w:rsidR="00F52530" w:rsidRPr="002A5D30">
              <w:rPr>
                <w:rFonts w:cs="Arial"/>
                <w:iCs/>
              </w:rPr>
              <w:t>s</w:t>
            </w:r>
            <w:r w:rsidR="00B72A15" w:rsidRPr="00B72A15">
              <w:rPr>
                <w:rFonts w:cs="Arial"/>
                <w:iCs/>
              </w:rPr>
              <w:t xml:space="preserve"> </w:t>
            </w:r>
            <w:r w:rsidR="00F52530" w:rsidRPr="002A5D30">
              <w:rPr>
                <w:rFonts w:cs="Arial"/>
                <w:iCs/>
              </w:rPr>
              <w:t xml:space="preserve">since worked with </w:t>
            </w:r>
            <w:r w:rsidR="00B72A15" w:rsidRPr="00B72A15">
              <w:rPr>
                <w:rFonts w:cs="Arial"/>
                <w:iCs/>
              </w:rPr>
              <w:t xml:space="preserve">QDAF to develop a draft harvest strategy for the fishery and identified a need for </w:t>
            </w:r>
            <w:r w:rsidR="00B72A15" w:rsidRPr="00B72A15">
              <w:rPr>
                <w:rFonts w:cs="Arial"/>
                <w:iCs/>
              </w:rPr>
              <w:lastRenderedPageBreak/>
              <w:t xml:space="preserve">stock assessments to support the strategy. No date has been set for developing </w:t>
            </w:r>
            <w:r w:rsidR="00F52530" w:rsidRPr="002A5D30">
              <w:rPr>
                <w:rFonts w:cs="Arial"/>
                <w:iCs/>
              </w:rPr>
              <w:t xml:space="preserve">stock assessment </w:t>
            </w:r>
            <w:r w:rsidR="00B72A15" w:rsidRPr="00B72A15">
              <w:rPr>
                <w:rFonts w:cs="Arial"/>
                <w:iCs/>
              </w:rPr>
              <w:t xml:space="preserve">programs </w:t>
            </w:r>
            <w:r w:rsidR="00F52530" w:rsidRPr="002A5D30">
              <w:rPr>
                <w:rFonts w:cs="Arial"/>
                <w:iCs/>
              </w:rPr>
              <w:t xml:space="preserve">and </w:t>
            </w:r>
            <w:r w:rsidR="00B72A15" w:rsidRPr="00B72A15">
              <w:rPr>
                <w:rFonts w:cs="Arial"/>
                <w:iCs/>
              </w:rPr>
              <w:t xml:space="preserve">discussions </w:t>
            </w:r>
            <w:r w:rsidR="00F52530" w:rsidRPr="002A5D30">
              <w:rPr>
                <w:rFonts w:cs="Arial"/>
                <w:iCs/>
              </w:rPr>
              <w:t xml:space="preserve">are </w:t>
            </w:r>
            <w:r w:rsidR="00B72A15" w:rsidRPr="00B72A15">
              <w:rPr>
                <w:rFonts w:cs="Arial"/>
                <w:iCs/>
              </w:rPr>
              <w:t>expected to be guided by implementation of the harvest strategy.</w:t>
            </w:r>
          </w:p>
          <w:p w14:paraId="2EEBF406" w14:textId="4B615C2A" w:rsidR="00AD5DB3" w:rsidRPr="003D2956" w:rsidRDefault="00B72A15" w:rsidP="00971E34">
            <w:pPr>
              <w:spacing w:before="80" w:after="80" w:line="276" w:lineRule="auto"/>
              <w:rPr>
                <w:rFonts w:cs="Arial"/>
              </w:rPr>
            </w:pPr>
            <w:r w:rsidRPr="002A5D30">
              <w:rPr>
                <w:rFonts w:cs="Arial"/>
                <w:iCs/>
              </w:rPr>
              <w:t>There were spatially limited resource assessments for Burrowing Blackfish in the mid to late 2000’s</w:t>
            </w:r>
            <w:r w:rsidR="00F52530" w:rsidRPr="002A5D30">
              <w:rPr>
                <w:rFonts w:cs="Arial"/>
                <w:iCs/>
              </w:rPr>
              <w:t xml:space="preserve"> but these were </w:t>
            </w:r>
            <w:r w:rsidRPr="002A5D30">
              <w:rPr>
                <w:rFonts w:cs="Arial"/>
                <w:iCs/>
              </w:rPr>
              <w:t>not true stock assessments</w:t>
            </w:r>
            <w:r w:rsidR="009518E1" w:rsidRPr="003D2956">
              <w:rPr>
                <w:rFonts w:cs="Arial"/>
              </w:rPr>
              <w:t xml:space="preserve"> and were not published</w:t>
            </w:r>
            <w:r w:rsidR="009518E1" w:rsidRPr="003D2956">
              <w:rPr>
                <w:rFonts w:cs="Arial"/>
                <w:iCs/>
              </w:rPr>
              <w:t>.</w:t>
            </w:r>
            <w:r w:rsidR="00F52530" w:rsidRPr="003D2956" w:rsidDel="009518E1">
              <w:rPr>
                <w:rFonts w:cs="Arial"/>
              </w:rPr>
              <w:t xml:space="preserve"> </w:t>
            </w:r>
            <w:r w:rsidR="009518E1" w:rsidRPr="003D2956">
              <w:rPr>
                <w:rFonts w:cs="Arial"/>
              </w:rPr>
              <w:t>The findings</w:t>
            </w:r>
            <w:r w:rsidR="00F52530" w:rsidRPr="003D2956">
              <w:rPr>
                <w:rFonts w:cs="Arial"/>
              </w:rPr>
              <w:t xml:space="preserve"> were however </w:t>
            </w:r>
            <w:r w:rsidRPr="003D2956">
              <w:rPr>
                <w:rFonts w:cs="Arial"/>
              </w:rPr>
              <w:t xml:space="preserve">used to develop spatially explicit catch triggers </w:t>
            </w:r>
            <w:r w:rsidR="00F52530" w:rsidRPr="003D2956">
              <w:rPr>
                <w:rFonts w:cs="Arial"/>
              </w:rPr>
              <w:t xml:space="preserve">for ‘Burrowing Blackfish </w:t>
            </w:r>
            <w:proofErr w:type="gramStart"/>
            <w:r w:rsidRPr="003D2956">
              <w:rPr>
                <w:rFonts w:cs="Arial"/>
              </w:rPr>
              <w:t>zones</w:t>
            </w:r>
            <w:r w:rsidR="00F52530" w:rsidRPr="003D2956">
              <w:rPr>
                <w:rFonts w:cs="Arial"/>
              </w:rPr>
              <w:t>’</w:t>
            </w:r>
            <w:proofErr w:type="gramEnd"/>
            <w:r w:rsidR="009518E1" w:rsidRPr="003D2956">
              <w:rPr>
                <w:rFonts w:cs="Arial"/>
              </w:rPr>
              <w:t>. These triggers were reviewed by QDAF’s then Scientific Advisory Committee and are now</w:t>
            </w:r>
            <w:r w:rsidR="00F52530" w:rsidRPr="003D2956">
              <w:rPr>
                <w:rFonts w:cs="Arial"/>
              </w:rPr>
              <w:t xml:space="preserve"> specified in </w:t>
            </w:r>
            <w:r w:rsidR="009518E1" w:rsidRPr="003D2956">
              <w:rPr>
                <w:rFonts w:cs="Arial"/>
              </w:rPr>
              <w:t>the memorandum of understanding between the Queensland Sea Cucumber Industry Association and QDAF. These arrangements are not specified in permit conditions, legislation or any other instrument and are therefore not enforceable.</w:t>
            </w:r>
          </w:p>
          <w:p w14:paraId="2DF82FB3" w14:textId="734D45B4" w:rsidR="005E7113" w:rsidRPr="0074118B" w:rsidRDefault="000E14AE" w:rsidP="00971E34">
            <w:pPr>
              <w:spacing w:before="80" w:after="80" w:line="276" w:lineRule="auto"/>
              <w:rPr>
                <w:rFonts w:cs="Arial"/>
                <w:iCs/>
                <w:highlight w:val="yellow"/>
                <w:lang w:val="en"/>
              </w:rPr>
            </w:pPr>
            <w:r w:rsidRPr="003D2956">
              <w:rPr>
                <w:rFonts w:cs="Arial"/>
              </w:rPr>
              <w:t xml:space="preserve">There are currently no stock assessments for any </w:t>
            </w:r>
            <w:r w:rsidR="00AA383E">
              <w:rPr>
                <w:rFonts w:cs="Arial"/>
              </w:rPr>
              <w:t xml:space="preserve">other </w:t>
            </w:r>
            <w:r w:rsidRPr="003D2956">
              <w:rPr>
                <w:rFonts w:cs="Arial"/>
              </w:rPr>
              <w:t xml:space="preserve">species in the fishery and very little information on the biology, </w:t>
            </w:r>
            <w:proofErr w:type="gramStart"/>
            <w:r w:rsidRPr="003D2956">
              <w:rPr>
                <w:rFonts w:cs="Arial"/>
              </w:rPr>
              <w:t>density</w:t>
            </w:r>
            <w:proofErr w:type="gramEnd"/>
            <w:r w:rsidRPr="003D2956">
              <w:rPr>
                <w:rFonts w:cs="Arial"/>
              </w:rPr>
              <w:t xml:space="preserve"> or biomass of the stocks. The Department recommends condition</w:t>
            </w:r>
            <w:r w:rsidR="003D2956" w:rsidRPr="003D2956">
              <w:rPr>
                <w:rFonts w:cs="Arial"/>
              </w:rPr>
              <w:t>s</w:t>
            </w:r>
            <w:r w:rsidRPr="003D2956">
              <w:rPr>
                <w:rFonts w:cs="Arial"/>
              </w:rPr>
              <w:t xml:space="preserve"> </w:t>
            </w:r>
            <w:r w:rsidR="003D2956" w:rsidRPr="003D2956">
              <w:rPr>
                <w:rFonts w:cs="Arial"/>
              </w:rPr>
              <w:t>4-7</w:t>
            </w:r>
            <w:r w:rsidRPr="003D2956">
              <w:rPr>
                <w:rFonts w:cs="Arial"/>
              </w:rPr>
              <w:t xml:space="preserve"> be attached to the proposed Part 13A approval</w:t>
            </w:r>
            <w:r w:rsidR="00645C09">
              <w:rPr>
                <w:rFonts w:cs="Arial"/>
              </w:rPr>
              <w:t>. These conditions require stock assessments to undertaken</w:t>
            </w:r>
            <w:r w:rsidRPr="003D2956">
              <w:rPr>
                <w:rFonts w:cs="Arial"/>
              </w:rPr>
              <w:t xml:space="preserve"> to improve understanding of the stocks and to ensure management arrangements remain effective. </w:t>
            </w:r>
            <w:r w:rsidRPr="00AE5829">
              <w:rPr>
                <w:rFonts w:cs="Arial"/>
              </w:rPr>
              <w:t xml:space="preserve">These conditions are targeted at CITES-listed Black and White </w:t>
            </w:r>
            <w:proofErr w:type="spellStart"/>
            <w:r w:rsidRPr="00AE5829">
              <w:rPr>
                <w:rFonts w:cs="Arial"/>
              </w:rPr>
              <w:t>Teatfish</w:t>
            </w:r>
            <w:proofErr w:type="spellEnd"/>
            <w:r w:rsidRPr="00AE5829">
              <w:rPr>
                <w:rFonts w:cs="Arial"/>
              </w:rPr>
              <w:t xml:space="preserve"> species but </w:t>
            </w:r>
            <w:r w:rsidR="003D2956" w:rsidRPr="00AE5829">
              <w:rPr>
                <w:rFonts w:cs="Arial"/>
              </w:rPr>
              <w:t>could</w:t>
            </w:r>
            <w:r w:rsidRPr="00AE5829">
              <w:rPr>
                <w:rFonts w:cs="Arial"/>
              </w:rPr>
              <w:t xml:space="preserve"> be extended to remaining species in the fishery</w:t>
            </w:r>
            <w:r w:rsidR="003D2956" w:rsidRPr="00AE5829">
              <w:rPr>
                <w:rFonts w:cs="Arial"/>
              </w:rPr>
              <w:t xml:space="preserve"> in future</w:t>
            </w:r>
            <w:r w:rsidRPr="00AE5829">
              <w:rPr>
                <w:rFonts w:cs="Arial"/>
              </w:rPr>
              <w:t>.</w:t>
            </w:r>
          </w:p>
        </w:tc>
      </w:tr>
      <w:tr w:rsidR="0002308E" w:rsidRPr="00A94147" w14:paraId="292476D3" w14:textId="77777777" w:rsidTr="00913B36">
        <w:trPr>
          <w:cantSplit/>
          <w:trHeight w:val="854"/>
        </w:trPr>
        <w:tc>
          <w:tcPr>
            <w:tcW w:w="1532" w:type="pct"/>
            <w:shd w:val="clear" w:color="auto" w:fill="FF0000"/>
          </w:tcPr>
          <w:p w14:paraId="76B9CD09" w14:textId="061E6C78" w:rsidR="0002308E" w:rsidRPr="00913B36" w:rsidRDefault="0002308E" w:rsidP="007F171B">
            <w:pPr>
              <w:spacing w:before="80" w:after="80" w:line="276" w:lineRule="auto"/>
              <w:rPr>
                <w:rFonts w:cs="Arial"/>
                <w:i/>
              </w:rPr>
            </w:pPr>
            <w:r w:rsidRPr="00913B36">
              <w:rPr>
                <w:rFonts w:cs="Arial"/>
                <w:b/>
                <w:i/>
              </w:rPr>
              <w:lastRenderedPageBreak/>
              <w:t xml:space="preserve">1.1.3 </w:t>
            </w:r>
            <w:r w:rsidRPr="00913B36">
              <w:rPr>
                <w:rFonts w:cs="Arial"/>
              </w:rPr>
              <w:t>The distribution and spatial structure of the stock(s) has been established and factored into management responses</w:t>
            </w:r>
            <w:r w:rsidRPr="00913B36">
              <w:rPr>
                <w:rFonts w:cs="Arial"/>
                <w:i/>
              </w:rPr>
              <w:t>.</w:t>
            </w:r>
          </w:p>
        </w:tc>
        <w:tc>
          <w:tcPr>
            <w:tcW w:w="3468" w:type="pct"/>
            <w:shd w:val="clear" w:color="auto" w:fill="auto"/>
          </w:tcPr>
          <w:p w14:paraId="25524AA3" w14:textId="711988DA" w:rsidR="00913B36" w:rsidRPr="00913B36" w:rsidRDefault="00913B36" w:rsidP="00913B36">
            <w:pPr>
              <w:spacing w:before="80" w:after="80" w:line="276" w:lineRule="auto"/>
              <w:rPr>
                <w:rFonts w:cs="Arial"/>
                <w:b/>
              </w:rPr>
            </w:pPr>
            <w:bookmarkStart w:id="25" w:name="_Hlk48041931"/>
            <w:r w:rsidRPr="00913B36">
              <w:rPr>
                <w:rFonts w:cs="Arial"/>
                <w:b/>
              </w:rPr>
              <w:t xml:space="preserve">Does not meet – </w:t>
            </w:r>
            <w:r>
              <w:rPr>
                <w:rFonts w:cs="Arial"/>
                <w:b/>
              </w:rPr>
              <w:t xml:space="preserve">There is very little information </w:t>
            </w:r>
            <w:r w:rsidRPr="00D05B14">
              <w:rPr>
                <w:rFonts w:cs="Arial"/>
                <w:b/>
              </w:rPr>
              <w:t xml:space="preserve">on </w:t>
            </w:r>
            <w:r w:rsidRPr="00D05B14">
              <w:rPr>
                <w:rFonts w:cs="Arial"/>
                <w:b/>
                <w:lang w:val="en"/>
              </w:rPr>
              <w:t>distribution, abundance and stock structure</w:t>
            </w:r>
            <w:r w:rsidRPr="00D05B14">
              <w:rPr>
                <w:rFonts w:cs="Arial"/>
                <w:b/>
              </w:rPr>
              <w:t xml:space="preserve"> of the target species</w:t>
            </w:r>
            <w:r w:rsidR="002A5D30">
              <w:rPr>
                <w:rFonts w:cs="Arial"/>
                <w:b/>
              </w:rPr>
              <w:t xml:space="preserve"> and no </w:t>
            </w:r>
            <w:r w:rsidRPr="00D05B14">
              <w:rPr>
                <w:rFonts w:cs="Arial"/>
                <w:b/>
              </w:rPr>
              <w:t>stock assessments</w:t>
            </w:r>
            <w:r w:rsidR="002A5D30">
              <w:rPr>
                <w:rFonts w:cs="Arial"/>
                <w:b/>
              </w:rPr>
              <w:t xml:space="preserve"> have been completed for any species</w:t>
            </w:r>
          </w:p>
          <w:p w14:paraId="28B951A8" w14:textId="24AFDB0C" w:rsidR="001B1F92" w:rsidRDefault="001B1F92" w:rsidP="00913B36">
            <w:pPr>
              <w:spacing w:before="80" w:after="80" w:line="276" w:lineRule="auto"/>
              <w:rPr>
                <w:rFonts w:cs="Arial"/>
              </w:rPr>
            </w:pPr>
            <w:r>
              <w:rPr>
                <w:rFonts w:cs="Arial"/>
              </w:rPr>
              <w:t xml:space="preserve">QDAF’s </w:t>
            </w:r>
            <w:hyperlink r:id="rId39" w:history="1">
              <w:r w:rsidRPr="00E23762">
                <w:rPr>
                  <w:rStyle w:val="Hyperlink"/>
                  <w:rFonts w:cs="Arial"/>
                </w:rPr>
                <w:t>Performance Measurement System</w:t>
              </w:r>
            </w:hyperlink>
            <w:r w:rsidRPr="00E23762">
              <w:rPr>
                <w:rFonts w:cs="Arial"/>
              </w:rPr>
              <w:t xml:space="preserve"> (PMS)</w:t>
            </w:r>
            <w:r>
              <w:rPr>
                <w:rFonts w:cs="Arial"/>
              </w:rPr>
              <w:t xml:space="preserve"> </w:t>
            </w:r>
            <w:r w:rsidR="009532C9">
              <w:rPr>
                <w:rFonts w:cs="Arial"/>
              </w:rPr>
              <w:t xml:space="preserve">provides for </w:t>
            </w:r>
            <w:r w:rsidR="0088584C">
              <w:rPr>
                <w:rFonts w:cs="Arial"/>
              </w:rPr>
              <w:t xml:space="preserve">catch limits to be set at finer spatial scales than are currently used. This </w:t>
            </w:r>
            <w:r>
              <w:rPr>
                <w:rFonts w:cs="Arial"/>
              </w:rPr>
              <w:t>requires target species to be surveyed at 3-yearly intervals</w:t>
            </w:r>
            <w:r w:rsidR="0088584C">
              <w:rPr>
                <w:rFonts w:cs="Arial"/>
              </w:rPr>
              <w:t>. Stock are instead</w:t>
            </w:r>
            <w:r>
              <w:rPr>
                <w:rFonts w:cs="Arial"/>
              </w:rPr>
              <w:t xml:space="preserve"> managed </w:t>
            </w:r>
            <w:r w:rsidR="0088584C">
              <w:rPr>
                <w:rFonts w:cs="Arial"/>
              </w:rPr>
              <w:t>at a whole-of-fishery scale using</w:t>
            </w:r>
            <w:r>
              <w:rPr>
                <w:rFonts w:cs="Arial"/>
              </w:rPr>
              <w:t xml:space="preserve"> Review Reference Points, which are effectively catch limits prescribed in permit conditions. </w:t>
            </w:r>
            <w:r w:rsidR="0088584C">
              <w:rPr>
                <w:rFonts w:cs="Arial"/>
              </w:rPr>
              <w:t>R</w:t>
            </w:r>
            <w:r>
              <w:rPr>
                <w:rFonts w:cs="Arial"/>
              </w:rPr>
              <w:t xml:space="preserve">egular </w:t>
            </w:r>
            <w:r w:rsidR="007E77D1">
              <w:rPr>
                <w:rFonts w:cs="Arial"/>
              </w:rPr>
              <w:t>or recent</w:t>
            </w:r>
            <w:r>
              <w:rPr>
                <w:rFonts w:cs="Arial"/>
              </w:rPr>
              <w:t xml:space="preserve"> surveys of target species have not been completed for any species in the fishery.</w:t>
            </w:r>
          </w:p>
          <w:p w14:paraId="3FA40D5C" w14:textId="21AE9E65" w:rsidR="002A5D30" w:rsidRPr="002A5D30" w:rsidRDefault="002A5D30" w:rsidP="002A5D30">
            <w:pPr>
              <w:spacing w:before="80" w:after="80" w:line="276" w:lineRule="auto"/>
              <w:rPr>
                <w:rFonts w:cs="Arial"/>
                <w:iCs/>
              </w:rPr>
            </w:pPr>
            <w:r>
              <w:rPr>
                <w:rFonts w:cs="Arial"/>
                <w:iCs/>
              </w:rPr>
              <w:t xml:space="preserve">A stock survey undertaken in late </w:t>
            </w:r>
            <w:r w:rsidRPr="00B72A15">
              <w:rPr>
                <w:rFonts w:cs="Arial"/>
                <w:iCs/>
              </w:rPr>
              <w:t xml:space="preserve">2015 </w:t>
            </w:r>
            <w:r>
              <w:rPr>
                <w:rFonts w:cs="Arial"/>
                <w:iCs/>
              </w:rPr>
              <w:t xml:space="preserve">found Black </w:t>
            </w:r>
            <w:proofErr w:type="spellStart"/>
            <w:r>
              <w:rPr>
                <w:rFonts w:cs="Arial"/>
                <w:iCs/>
              </w:rPr>
              <w:t>Teatfish</w:t>
            </w:r>
            <w:proofErr w:type="spellEnd"/>
            <w:r>
              <w:rPr>
                <w:rFonts w:cs="Arial"/>
                <w:iCs/>
              </w:rPr>
              <w:t xml:space="preserve"> </w:t>
            </w:r>
            <w:r w:rsidRPr="00B72A15">
              <w:rPr>
                <w:rFonts w:cs="Arial"/>
                <w:iCs/>
              </w:rPr>
              <w:t>in the northern part of the fishery had recovered to levels above 70% of unfished biomass.</w:t>
            </w:r>
            <w:r>
              <w:rPr>
                <w:rFonts w:cs="Arial"/>
                <w:iCs/>
              </w:rPr>
              <w:t xml:space="preserve"> </w:t>
            </w:r>
            <w:r w:rsidRPr="00B72A15">
              <w:rPr>
                <w:rFonts w:cs="Arial"/>
                <w:iCs/>
              </w:rPr>
              <w:t>The southern part of the fishery was not surveyed due to cost and time constraints</w:t>
            </w:r>
            <w:r w:rsidRPr="002A5D30">
              <w:rPr>
                <w:rFonts w:cs="Arial"/>
                <w:iCs/>
              </w:rPr>
              <w:t xml:space="preserve"> (</w:t>
            </w:r>
            <w:r w:rsidRPr="00B72A15">
              <w:rPr>
                <w:rFonts w:cs="Arial"/>
                <w:iCs/>
              </w:rPr>
              <w:t>Knuckey and Koopman 2019).</w:t>
            </w:r>
          </w:p>
          <w:p w14:paraId="43A6F82A" w14:textId="2F6C367F" w:rsidR="00913B36" w:rsidRPr="00971E34" w:rsidRDefault="00D05B14" w:rsidP="00913B36">
            <w:pPr>
              <w:spacing w:before="80" w:after="80" w:line="276" w:lineRule="auto"/>
              <w:rPr>
                <w:rFonts w:cs="Arial"/>
                <w:iCs/>
                <w:lang w:val="en"/>
              </w:rPr>
            </w:pPr>
            <w:r w:rsidRPr="003D2956">
              <w:rPr>
                <w:rFonts w:cs="Arial"/>
                <w:lang w:val="en"/>
              </w:rPr>
              <w:t xml:space="preserve">The status of White </w:t>
            </w:r>
            <w:proofErr w:type="spellStart"/>
            <w:r w:rsidRPr="003D2956">
              <w:rPr>
                <w:rFonts w:cs="Arial"/>
                <w:lang w:val="en"/>
              </w:rPr>
              <w:t>Teatfish</w:t>
            </w:r>
            <w:proofErr w:type="spellEnd"/>
            <w:r w:rsidRPr="003D2956">
              <w:rPr>
                <w:rFonts w:cs="Arial"/>
                <w:lang w:val="en"/>
              </w:rPr>
              <w:t xml:space="preserve"> is assessed every two years as part of the national Status of Australian Fish </w:t>
            </w:r>
            <w:r w:rsidRPr="003D2956">
              <w:rPr>
                <w:rFonts w:cs="Arial"/>
              </w:rPr>
              <w:t>Stocks</w:t>
            </w:r>
            <w:r w:rsidRPr="003D2956">
              <w:rPr>
                <w:rFonts w:cs="Arial"/>
                <w:lang w:val="en"/>
              </w:rPr>
              <w:t xml:space="preserve"> (SAFS) reporting process, undertaken by the Fisheries Research and Development Council (FRDC). The last SAFS assessment, in 2018, </w:t>
            </w:r>
            <w:r w:rsidR="00913B36" w:rsidRPr="00913B36">
              <w:rPr>
                <w:rFonts w:cs="Arial"/>
                <w:iCs/>
                <w:lang w:val="en"/>
              </w:rPr>
              <w:t>considered available information on the species’ distribution and preferred habitats</w:t>
            </w:r>
            <w:r w:rsidR="00913B36" w:rsidRPr="00913B36">
              <w:rPr>
                <w:rFonts w:cs="Arial"/>
              </w:rPr>
              <w:t>.</w:t>
            </w:r>
            <w:r w:rsidR="00913B36" w:rsidRPr="00913B36">
              <w:rPr>
                <w:rFonts w:ascii="istok_webregular" w:hAnsi="istok_webregular" w:cs="Arial"/>
                <w:color w:val="31322A"/>
                <w:sz w:val="21"/>
                <w:szCs w:val="21"/>
                <w:lang w:val="en"/>
              </w:rPr>
              <w:t xml:space="preserve"> </w:t>
            </w:r>
            <w:r w:rsidR="00913B36" w:rsidRPr="00913B36">
              <w:rPr>
                <w:rFonts w:cs="Arial"/>
                <w:lang w:val="en"/>
              </w:rPr>
              <w:t xml:space="preserve">White </w:t>
            </w:r>
            <w:proofErr w:type="spellStart"/>
            <w:r w:rsidR="00913B36" w:rsidRPr="00913B36">
              <w:rPr>
                <w:rFonts w:cs="Arial"/>
                <w:lang w:val="en"/>
              </w:rPr>
              <w:t>Teatfish</w:t>
            </w:r>
            <w:proofErr w:type="spellEnd"/>
            <w:r w:rsidR="00913B36" w:rsidRPr="00913B36">
              <w:rPr>
                <w:rFonts w:cs="Arial"/>
                <w:lang w:val="en"/>
              </w:rPr>
              <w:t xml:space="preserve"> is broadly distributed throughout the tropical Indo-Pacific, with populations likely in all Northern-Australian states and territories. However, very little information is available on the distribution, </w:t>
            </w:r>
            <w:proofErr w:type="gramStart"/>
            <w:r w:rsidR="00913B36" w:rsidRPr="00913B36">
              <w:rPr>
                <w:rFonts w:cs="Arial"/>
                <w:lang w:val="en"/>
              </w:rPr>
              <w:t>abundance</w:t>
            </w:r>
            <w:proofErr w:type="gramEnd"/>
            <w:r w:rsidR="00913B36" w:rsidRPr="00913B36">
              <w:rPr>
                <w:rFonts w:cs="Arial"/>
                <w:lang w:val="en"/>
              </w:rPr>
              <w:t xml:space="preserve"> and stock structure of White </w:t>
            </w:r>
            <w:proofErr w:type="spellStart"/>
            <w:r w:rsidR="00913B36" w:rsidRPr="00913B36">
              <w:rPr>
                <w:rFonts w:cs="Arial"/>
                <w:lang w:val="en"/>
              </w:rPr>
              <w:t>Teatfish</w:t>
            </w:r>
            <w:proofErr w:type="spellEnd"/>
            <w:r w:rsidR="00913B36" w:rsidRPr="00913B36">
              <w:rPr>
                <w:rFonts w:cs="Arial"/>
                <w:lang w:val="en"/>
              </w:rPr>
              <w:t xml:space="preserve"> in northern Australia.</w:t>
            </w:r>
            <w:r w:rsidR="00CB63D3">
              <w:rPr>
                <w:rFonts w:cs="Arial"/>
                <w:lang w:val="en"/>
              </w:rPr>
              <w:t xml:space="preserve"> This stock status assessment found White </w:t>
            </w:r>
            <w:proofErr w:type="spellStart"/>
            <w:r w:rsidR="00CB63D3">
              <w:rPr>
                <w:rFonts w:cs="Arial"/>
                <w:lang w:val="en"/>
              </w:rPr>
              <w:t>Teatfish</w:t>
            </w:r>
            <w:proofErr w:type="spellEnd"/>
            <w:r w:rsidR="00CB63D3">
              <w:rPr>
                <w:rFonts w:cs="Arial"/>
                <w:lang w:val="en"/>
              </w:rPr>
              <w:t xml:space="preserve"> stocks in the fishery were sustainable </w:t>
            </w:r>
            <w:r w:rsidR="00CB63D3" w:rsidRPr="00913B36">
              <w:rPr>
                <w:rFonts w:cs="Arial"/>
              </w:rPr>
              <w:t>(</w:t>
            </w:r>
            <w:proofErr w:type="spellStart"/>
            <w:r w:rsidR="00CA6E91">
              <w:fldChar w:fldCharType="begin"/>
            </w:r>
            <w:r w:rsidR="00CA6E91">
              <w:instrText xml:space="preserve"> HYPERLINK "https://www.fish.gov.au/report/169-White-Teatfish-(Sea-Cucumber)-2018" </w:instrText>
            </w:r>
            <w:r w:rsidR="00CA6E91">
              <w:fldChar w:fldCharType="separate"/>
            </w:r>
            <w:r w:rsidR="00CB63D3" w:rsidRPr="00913B36">
              <w:rPr>
                <w:rStyle w:val="Hyperlink"/>
                <w:rFonts w:cs="Arial"/>
              </w:rPr>
              <w:t>Roelofs</w:t>
            </w:r>
            <w:proofErr w:type="spellEnd"/>
            <w:r w:rsidR="00CB63D3" w:rsidRPr="00913B36">
              <w:rPr>
                <w:rStyle w:val="Hyperlink"/>
                <w:rFonts w:cs="Arial"/>
              </w:rPr>
              <w:t xml:space="preserve"> et al. 2018</w:t>
            </w:r>
            <w:r w:rsidR="00CA6E91">
              <w:rPr>
                <w:rStyle w:val="Hyperlink"/>
                <w:rFonts w:cs="Arial"/>
              </w:rPr>
              <w:fldChar w:fldCharType="end"/>
            </w:r>
            <w:r w:rsidR="00CB63D3" w:rsidRPr="00913B36">
              <w:rPr>
                <w:rFonts w:cs="Arial"/>
              </w:rPr>
              <w:t>)</w:t>
            </w:r>
            <w:r w:rsidR="00CB63D3">
              <w:rPr>
                <w:rFonts w:cs="Arial"/>
                <w:lang w:val="en"/>
              </w:rPr>
              <w:t>.</w:t>
            </w:r>
          </w:p>
          <w:bookmarkEnd w:id="25"/>
          <w:p w14:paraId="538E757A" w14:textId="53594B79" w:rsidR="00D05B14" w:rsidRPr="00D05B14" w:rsidRDefault="00D05B14" w:rsidP="00D05B14">
            <w:pPr>
              <w:spacing w:before="80" w:after="80" w:line="276" w:lineRule="auto"/>
              <w:rPr>
                <w:rFonts w:cs="Arial"/>
              </w:rPr>
            </w:pPr>
            <w:r>
              <w:rPr>
                <w:rFonts w:cs="Arial"/>
              </w:rPr>
              <w:t xml:space="preserve">QDAF has </w:t>
            </w:r>
            <w:proofErr w:type="gramStart"/>
            <w:r>
              <w:rPr>
                <w:rFonts w:cs="Arial"/>
              </w:rPr>
              <w:t>entered into</w:t>
            </w:r>
            <w:proofErr w:type="gramEnd"/>
            <w:r>
              <w:rPr>
                <w:rFonts w:cs="Arial"/>
              </w:rPr>
              <w:t xml:space="preserve"> a memorandum of understanding with</w:t>
            </w:r>
            <w:r w:rsidR="002A5D30">
              <w:rPr>
                <w:rFonts w:cs="Arial"/>
              </w:rPr>
              <w:t xml:space="preserve"> the Queensland Sea Cucumber Industry Association</w:t>
            </w:r>
            <w:r w:rsidR="00F54DF4">
              <w:rPr>
                <w:rFonts w:cs="Arial"/>
              </w:rPr>
              <w:t>,</w:t>
            </w:r>
            <w:r w:rsidRPr="00D05B14">
              <w:rPr>
                <w:rFonts w:cs="Arial"/>
              </w:rPr>
              <w:t xml:space="preserve"> to ensure sustainable and planned distribution of fishing effort </w:t>
            </w:r>
            <w:r w:rsidR="00F54DF4">
              <w:rPr>
                <w:rFonts w:cs="Arial"/>
              </w:rPr>
              <w:t xml:space="preserve">and </w:t>
            </w:r>
            <w:r w:rsidRPr="00D05B14">
              <w:rPr>
                <w:rFonts w:cs="Arial"/>
              </w:rPr>
              <w:t>to avoid localised depletion. The MOU outlines a Rotational Zoning S</w:t>
            </w:r>
            <w:r w:rsidR="00CE7D9E">
              <w:rPr>
                <w:rFonts w:cs="Arial"/>
              </w:rPr>
              <w:t>trategy</w:t>
            </w:r>
            <w:r w:rsidR="00F54DF4">
              <w:rPr>
                <w:rFonts w:cs="Arial"/>
              </w:rPr>
              <w:t xml:space="preserve"> which </w:t>
            </w:r>
            <w:r w:rsidRPr="00D05B14">
              <w:rPr>
                <w:rFonts w:cs="Arial"/>
              </w:rPr>
              <w:t>divides the fishery up into 156 zone</w:t>
            </w:r>
            <w:r w:rsidR="00264263">
              <w:rPr>
                <w:rFonts w:cs="Arial"/>
              </w:rPr>
              <w:t>s</w:t>
            </w:r>
            <w:r w:rsidRPr="00D05B14">
              <w:rPr>
                <w:rFonts w:cs="Arial"/>
              </w:rPr>
              <w:t xml:space="preserve"> with 52 zones open to fishing every year. Each zone may only be fished for a maximum of 15 days every three years. Each licence holder</w:t>
            </w:r>
            <w:r w:rsidR="00F54DF4">
              <w:rPr>
                <w:rFonts w:cs="Arial"/>
              </w:rPr>
              <w:t>’</w:t>
            </w:r>
            <w:r w:rsidRPr="00D05B14">
              <w:rPr>
                <w:rFonts w:cs="Arial"/>
              </w:rPr>
              <w:t>s percentage of quota held in the fishery determines the number of rotational zones available to them – e.g. 10</w:t>
            </w:r>
            <w:r w:rsidR="00F54DF4">
              <w:rPr>
                <w:rFonts w:cs="Arial"/>
              </w:rPr>
              <w:t xml:space="preserve"> percent</w:t>
            </w:r>
            <w:r w:rsidRPr="00D05B14">
              <w:rPr>
                <w:rFonts w:cs="Arial"/>
              </w:rPr>
              <w:t xml:space="preserve"> of quota </w:t>
            </w:r>
            <w:r w:rsidR="00F54DF4">
              <w:rPr>
                <w:rFonts w:cs="Arial"/>
              </w:rPr>
              <w:t xml:space="preserve">affords access to </w:t>
            </w:r>
            <w:r w:rsidRPr="00D05B14">
              <w:rPr>
                <w:rFonts w:cs="Arial"/>
              </w:rPr>
              <w:t>10</w:t>
            </w:r>
            <w:r w:rsidR="00F54DF4">
              <w:rPr>
                <w:rFonts w:cs="Arial"/>
              </w:rPr>
              <w:t xml:space="preserve"> percent </w:t>
            </w:r>
            <w:r w:rsidRPr="00D05B14">
              <w:rPr>
                <w:rFonts w:cs="Arial"/>
              </w:rPr>
              <w:t>of available zones.</w:t>
            </w:r>
          </w:p>
          <w:p w14:paraId="1B3DB97E" w14:textId="281AB11D" w:rsidR="00D05B14" w:rsidRPr="00D05B14" w:rsidRDefault="00D05B14" w:rsidP="00D05B14">
            <w:pPr>
              <w:spacing w:before="80" w:after="80" w:line="276" w:lineRule="auto"/>
              <w:rPr>
                <w:rFonts w:cs="Arial"/>
              </w:rPr>
            </w:pPr>
            <w:r w:rsidRPr="00D05B14">
              <w:rPr>
                <w:rFonts w:cs="Arial"/>
              </w:rPr>
              <w:t xml:space="preserve">Additional zones are available primarily for harvesting </w:t>
            </w:r>
            <w:r w:rsidR="00645C09">
              <w:rPr>
                <w:rFonts w:cs="Arial"/>
              </w:rPr>
              <w:t>B</w:t>
            </w:r>
            <w:r w:rsidRPr="00D05B14">
              <w:rPr>
                <w:rFonts w:cs="Arial"/>
              </w:rPr>
              <w:t xml:space="preserve">urrowing </w:t>
            </w:r>
            <w:r w:rsidR="00645C09">
              <w:rPr>
                <w:rFonts w:cs="Arial"/>
              </w:rPr>
              <w:t>B</w:t>
            </w:r>
            <w:r w:rsidRPr="00D05B14">
              <w:rPr>
                <w:rFonts w:cs="Arial"/>
              </w:rPr>
              <w:t>lackfish. These are called Blackfish Zones (BFZs) and the following rules and limits apply to these:</w:t>
            </w:r>
          </w:p>
          <w:p w14:paraId="2A01DE08" w14:textId="3B129DF5" w:rsidR="00D05B14" w:rsidRPr="00D05B14" w:rsidRDefault="00D05B14" w:rsidP="00D05B14">
            <w:pPr>
              <w:numPr>
                <w:ilvl w:val="0"/>
                <w:numId w:val="18"/>
              </w:numPr>
              <w:spacing w:before="80" w:after="80" w:line="276" w:lineRule="auto"/>
              <w:rPr>
                <w:rFonts w:cs="Arial"/>
              </w:rPr>
            </w:pPr>
            <w:r w:rsidRPr="00D05B14">
              <w:rPr>
                <w:rFonts w:cs="Arial"/>
              </w:rPr>
              <w:t xml:space="preserve">No time limit applies in these zones when catching </w:t>
            </w:r>
            <w:r w:rsidR="00645C09">
              <w:rPr>
                <w:rFonts w:cs="Arial"/>
              </w:rPr>
              <w:t>B</w:t>
            </w:r>
            <w:r w:rsidRPr="00D05B14">
              <w:rPr>
                <w:rFonts w:cs="Arial"/>
              </w:rPr>
              <w:t xml:space="preserve">urrowing </w:t>
            </w:r>
            <w:proofErr w:type="gramStart"/>
            <w:r w:rsidR="00645C09">
              <w:rPr>
                <w:rFonts w:cs="Arial"/>
              </w:rPr>
              <w:t>B</w:t>
            </w:r>
            <w:r w:rsidRPr="00D05B14">
              <w:rPr>
                <w:rFonts w:cs="Arial"/>
              </w:rPr>
              <w:t>lackfish;</w:t>
            </w:r>
            <w:proofErr w:type="gramEnd"/>
          </w:p>
          <w:p w14:paraId="24AFA8C8" w14:textId="1976AC42" w:rsidR="00D05B14" w:rsidRPr="00D05B14" w:rsidRDefault="00D05B14" w:rsidP="00D05B14">
            <w:pPr>
              <w:numPr>
                <w:ilvl w:val="0"/>
                <w:numId w:val="18"/>
              </w:numPr>
              <w:spacing w:before="80" w:after="80" w:line="276" w:lineRule="auto"/>
              <w:rPr>
                <w:rFonts w:cs="Arial"/>
              </w:rPr>
            </w:pPr>
            <w:r w:rsidRPr="00D05B14">
              <w:rPr>
                <w:rFonts w:cs="Arial"/>
              </w:rPr>
              <w:t xml:space="preserve">15 days per operator are available in each zone to take species other than </w:t>
            </w:r>
            <w:r w:rsidR="00645C09">
              <w:rPr>
                <w:rFonts w:cs="Arial"/>
              </w:rPr>
              <w:t>B</w:t>
            </w:r>
            <w:r w:rsidRPr="00D05B14">
              <w:rPr>
                <w:rFonts w:cs="Arial"/>
              </w:rPr>
              <w:t xml:space="preserve">urrowing </w:t>
            </w:r>
            <w:r w:rsidR="00645C09">
              <w:rPr>
                <w:rFonts w:cs="Arial"/>
              </w:rPr>
              <w:t>B</w:t>
            </w:r>
            <w:r w:rsidRPr="00D05B14">
              <w:rPr>
                <w:rFonts w:cs="Arial"/>
              </w:rPr>
              <w:t xml:space="preserve">lackfish in the first year of a rotation </w:t>
            </w:r>
            <w:proofErr w:type="gramStart"/>
            <w:r w:rsidRPr="00D05B14">
              <w:rPr>
                <w:rFonts w:cs="Arial"/>
              </w:rPr>
              <w:t>cycle;</w:t>
            </w:r>
            <w:proofErr w:type="gramEnd"/>
          </w:p>
          <w:p w14:paraId="01EACC43" w14:textId="3B4DC1AB" w:rsidR="00D05B14" w:rsidRPr="00D05B14" w:rsidRDefault="00D05B14" w:rsidP="00D05B14">
            <w:pPr>
              <w:numPr>
                <w:ilvl w:val="0"/>
                <w:numId w:val="18"/>
              </w:numPr>
              <w:spacing w:before="80" w:after="80" w:line="276" w:lineRule="auto"/>
              <w:rPr>
                <w:rFonts w:cs="Arial"/>
              </w:rPr>
            </w:pPr>
            <w:r w:rsidRPr="00D05B14">
              <w:rPr>
                <w:rFonts w:cs="Arial"/>
              </w:rPr>
              <w:lastRenderedPageBreak/>
              <w:t xml:space="preserve">Only </w:t>
            </w:r>
            <w:r w:rsidR="00645C09">
              <w:rPr>
                <w:rFonts w:cs="Arial"/>
              </w:rPr>
              <w:t>B</w:t>
            </w:r>
            <w:r w:rsidRPr="00D05B14">
              <w:rPr>
                <w:rFonts w:cs="Arial"/>
              </w:rPr>
              <w:t xml:space="preserve">urrowing </w:t>
            </w:r>
            <w:r w:rsidR="00645C09">
              <w:rPr>
                <w:rFonts w:cs="Arial"/>
              </w:rPr>
              <w:t>B</w:t>
            </w:r>
            <w:r w:rsidRPr="00D05B14">
              <w:rPr>
                <w:rFonts w:cs="Arial"/>
              </w:rPr>
              <w:t>lackfish may be taken from BFZs in the second and third years of the cycle (i.e. no other species).</w:t>
            </w:r>
          </w:p>
          <w:p w14:paraId="27AAE462" w14:textId="77777777" w:rsidR="00D05B14" w:rsidRPr="00D05B14" w:rsidRDefault="00D05B14" w:rsidP="00D05B14">
            <w:pPr>
              <w:numPr>
                <w:ilvl w:val="0"/>
                <w:numId w:val="18"/>
              </w:numPr>
              <w:spacing w:before="80" w:after="80" w:line="276" w:lineRule="auto"/>
              <w:rPr>
                <w:rFonts w:cs="Arial"/>
              </w:rPr>
            </w:pPr>
            <w:r w:rsidRPr="00D05B14">
              <w:rPr>
                <w:rFonts w:cs="Arial"/>
              </w:rPr>
              <w:t>The operator who identifies the BFZ has exclusive use of it for the first year.</w:t>
            </w:r>
          </w:p>
          <w:p w14:paraId="6208465D" w14:textId="77777777" w:rsidR="00D05B14" w:rsidRPr="00D05B14" w:rsidRDefault="00D05B14" w:rsidP="00D05B14">
            <w:pPr>
              <w:numPr>
                <w:ilvl w:val="0"/>
                <w:numId w:val="18"/>
              </w:numPr>
              <w:spacing w:before="80" w:after="80" w:line="276" w:lineRule="auto"/>
              <w:rPr>
                <w:rFonts w:cs="Arial"/>
              </w:rPr>
            </w:pPr>
            <w:r w:rsidRPr="00D05B14">
              <w:rPr>
                <w:rFonts w:cs="Arial"/>
              </w:rPr>
              <w:t>Three BFZs were available from July 2004, with their TACC based on scientifically peer reviewed resource surveys conducted during that time. The Lizard Island TACC was set at 75 tonnes, Bunker Reef at 60 tonnes and Gould Reef at 45 tonnes.</w:t>
            </w:r>
          </w:p>
          <w:p w14:paraId="7280488E" w14:textId="77777777" w:rsidR="00D05B14" w:rsidRPr="00D05B14" w:rsidRDefault="00D05B14" w:rsidP="00D05B14">
            <w:pPr>
              <w:numPr>
                <w:ilvl w:val="0"/>
                <w:numId w:val="18"/>
              </w:numPr>
              <w:spacing w:before="80" w:after="80" w:line="276" w:lineRule="auto"/>
              <w:rPr>
                <w:rFonts w:cs="Arial"/>
              </w:rPr>
            </w:pPr>
            <w:r w:rsidRPr="00D05B14">
              <w:rPr>
                <w:rFonts w:cs="Arial"/>
              </w:rPr>
              <w:t>During a single fishing trip, a boat may fish in either the northern zone (north of 19° south) or the southern zone (south of 19° south, including Marion Reef) of the fishery area, but not in both.</w:t>
            </w:r>
          </w:p>
          <w:p w14:paraId="0B4E10BC" w14:textId="37CE9D8F" w:rsidR="002A5D30" w:rsidRDefault="00D05B14" w:rsidP="00913B36">
            <w:pPr>
              <w:spacing w:before="80" w:after="80" w:line="276" w:lineRule="auto"/>
              <w:rPr>
                <w:rFonts w:cs="Arial"/>
              </w:rPr>
            </w:pPr>
            <w:r w:rsidRPr="00D05B14">
              <w:rPr>
                <w:rFonts w:cs="Arial"/>
              </w:rPr>
              <w:t xml:space="preserve">The BFZs are specific locations that are set aside that have high abundances of </w:t>
            </w:r>
            <w:r w:rsidR="00645C09">
              <w:rPr>
                <w:rFonts w:cs="Arial"/>
              </w:rPr>
              <w:t>B</w:t>
            </w:r>
            <w:r w:rsidRPr="00D05B14">
              <w:rPr>
                <w:rFonts w:cs="Arial"/>
              </w:rPr>
              <w:t xml:space="preserve">urrowing </w:t>
            </w:r>
            <w:r w:rsidR="00645C09">
              <w:rPr>
                <w:rFonts w:cs="Arial"/>
              </w:rPr>
              <w:t>B</w:t>
            </w:r>
            <w:r w:rsidRPr="00D05B14">
              <w:rPr>
                <w:rFonts w:cs="Arial"/>
              </w:rPr>
              <w:t xml:space="preserve">lackfish. There are specific allowable catch limits for each of these zones. The allowable catch limits for </w:t>
            </w:r>
            <w:r w:rsidR="00645C09">
              <w:rPr>
                <w:rFonts w:cs="Arial"/>
              </w:rPr>
              <w:t>B</w:t>
            </w:r>
            <w:r w:rsidRPr="00D05B14">
              <w:rPr>
                <w:rFonts w:cs="Arial"/>
              </w:rPr>
              <w:t xml:space="preserve">urrowing </w:t>
            </w:r>
            <w:r w:rsidR="00645C09">
              <w:rPr>
                <w:rFonts w:cs="Arial"/>
              </w:rPr>
              <w:t>B</w:t>
            </w:r>
            <w:r w:rsidRPr="00D05B14">
              <w:rPr>
                <w:rFonts w:cs="Arial"/>
              </w:rPr>
              <w:t>lackfish is 225 tonnes across these regions, which is included as part of the other species sea cucumber basket quota of 308 tonnes.</w:t>
            </w:r>
          </w:p>
          <w:p w14:paraId="4A0A5FF1" w14:textId="5D6BEC86" w:rsidR="00D22465" w:rsidRDefault="00BD612E" w:rsidP="00913B36">
            <w:pPr>
              <w:spacing w:before="80" w:after="80" w:line="276" w:lineRule="auto"/>
              <w:rPr>
                <w:rFonts w:cs="Arial"/>
                <w:iCs/>
              </w:rPr>
            </w:pPr>
            <w:r w:rsidRPr="002A5D30">
              <w:rPr>
                <w:rFonts w:cs="Arial"/>
                <w:iCs/>
              </w:rPr>
              <w:t>There were spatially limited resource assessments for Burrowing Blackfish in the mid to late 2000’s but these were not true stock assessments</w:t>
            </w:r>
            <w:r w:rsidRPr="003D2956">
              <w:rPr>
                <w:rFonts w:cs="Arial"/>
              </w:rPr>
              <w:t xml:space="preserve"> and were not published.</w:t>
            </w:r>
            <w:r w:rsidRPr="002A5D30">
              <w:rPr>
                <w:rFonts w:cs="Arial"/>
                <w:iCs/>
              </w:rPr>
              <w:t xml:space="preserve"> </w:t>
            </w:r>
            <w:r w:rsidRPr="003D2956">
              <w:rPr>
                <w:rFonts w:cs="Arial"/>
              </w:rPr>
              <w:t xml:space="preserve">The findings were however used to develop spatially explicit catch triggers for ‘Burrowing Blackfish </w:t>
            </w:r>
            <w:proofErr w:type="gramStart"/>
            <w:r w:rsidRPr="003D2956">
              <w:rPr>
                <w:rFonts w:cs="Arial"/>
              </w:rPr>
              <w:t>zones’</w:t>
            </w:r>
            <w:proofErr w:type="gramEnd"/>
            <w:r w:rsidRPr="003D2956">
              <w:rPr>
                <w:rFonts w:cs="Arial"/>
              </w:rPr>
              <w:t>. These triggers were reviewed by QDAF’s then Scientific Advisory Committee and are now specified in the memorandum of understanding between the Queensland Sea Cucumber Industry Association and QDAF. These arrangements are not specified in permit conditions, legislation or any other instrument and are therefore not enforceable.</w:t>
            </w:r>
          </w:p>
          <w:p w14:paraId="355F6EA5" w14:textId="4597DFA9" w:rsidR="005E7113" w:rsidRPr="002A5D30" w:rsidRDefault="000E14AE" w:rsidP="00913B36">
            <w:pPr>
              <w:spacing w:before="80" w:after="80" w:line="276" w:lineRule="auto"/>
              <w:rPr>
                <w:rFonts w:cs="Arial"/>
              </w:rPr>
            </w:pPr>
            <w:r w:rsidRPr="003D2956">
              <w:rPr>
                <w:rFonts w:cs="Arial"/>
              </w:rPr>
              <w:t xml:space="preserve">There are currently no stock assessments for any species in the fishery and very little information on the biology, </w:t>
            </w:r>
            <w:proofErr w:type="gramStart"/>
            <w:r w:rsidRPr="003D2956">
              <w:rPr>
                <w:rFonts w:cs="Arial"/>
              </w:rPr>
              <w:t>density</w:t>
            </w:r>
            <w:proofErr w:type="gramEnd"/>
            <w:r w:rsidRPr="003D2956">
              <w:rPr>
                <w:rFonts w:cs="Arial"/>
              </w:rPr>
              <w:t xml:space="preserve"> or biomass of the stocks. The Department recommends condition</w:t>
            </w:r>
            <w:r w:rsidR="003D2956" w:rsidRPr="003D2956">
              <w:rPr>
                <w:rFonts w:cs="Arial"/>
              </w:rPr>
              <w:t>s</w:t>
            </w:r>
            <w:r w:rsidRPr="003D2956">
              <w:rPr>
                <w:rFonts w:cs="Arial"/>
              </w:rPr>
              <w:t xml:space="preserve"> </w:t>
            </w:r>
            <w:r w:rsidR="003D2956" w:rsidRPr="003D2956">
              <w:rPr>
                <w:rFonts w:cs="Arial"/>
              </w:rPr>
              <w:t>4-7</w:t>
            </w:r>
            <w:r w:rsidRPr="003D2956">
              <w:rPr>
                <w:rFonts w:cs="Arial"/>
              </w:rPr>
              <w:t xml:space="preserve"> be attached to the proposed Part 13A approval </w:t>
            </w:r>
            <w:r w:rsidR="00645C09">
              <w:rPr>
                <w:rFonts w:cs="Arial"/>
              </w:rPr>
              <w:t xml:space="preserve">that require stock assessments to be undertaken </w:t>
            </w:r>
            <w:r w:rsidRPr="003D2956">
              <w:rPr>
                <w:rFonts w:cs="Arial"/>
              </w:rPr>
              <w:t>to improve understanding of the stocks and to ensure management arrangements remain effective.</w:t>
            </w:r>
            <w:r w:rsidRPr="007110A2">
              <w:rPr>
                <w:rFonts w:cs="Arial"/>
              </w:rPr>
              <w:t xml:space="preserve"> </w:t>
            </w:r>
            <w:r w:rsidRPr="00AE5829">
              <w:rPr>
                <w:rFonts w:cs="Arial"/>
              </w:rPr>
              <w:t xml:space="preserve">These conditions are targeted at CITES-listed Black and White </w:t>
            </w:r>
            <w:proofErr w:type="spellStart"/>
            <w:r w:rsidRPr="00AE5829">
              <w:rPr>
                <w:rFonts w:cs="Arial"/>
              </w:rPr>
              <w:t>Teatfish</w:t>
            </w:r>
            <w:proofErr w:type="spellEnd"/>
            <w:r w:rsidRPr="00AE5829">
              <w:rPr>
                <w:rFonts w:cs="Arial"/>
              </w:rPr>
              <w:t xml:space="preserve"> species but </w:t>
            </w:r>
            <w:r w:rsidR="003D2956" w:rsidRPr="00AE5829">
              <w:rPr>
                <w:rFonts w:cs="Arial"/>
              </w:rPr>
              <w:t xml:space="preserve">could </w:t>
            </w:r>
            <w:r w:rsidRPr="00AE5829">
              <w:rPr>
                <w:rFonts w:cs="Arial"/>
              </w:rPr>
              <w:t>be extended to remaining species in the fishery</w:t>
            </w:r>
            <w:r w:rsidR="003D2956" w:rsidRPr="00AE5829">
              <w:rPr>
                <w:rFonts w:cs="Arial"/>
              </w:rPr>
              <w:t xml:space="preserve"> in future</w:t>
            </w:r>
            <w:r w:rsidRPr="00AE5829">
              <w:rPr>
                <w:rFonts w:cs="Arial"/>
              </w:rPr>
              <w:t>.</w:t>
            </w:r>
          </w:p>
        </w:tc>
      </w:tr>
      <w:tr w:rsidR="0002308E" w:rsidRPr="00A94147" w14:paraId="4AFE5B4A" w14:textId="77777777" w:rsidTr="00740F71">
        <w:trPr>
          <w:cantSplit/>
        </w:trPr>
        <w:tc>
          <w:tcPr>
            <w:tcW w:w="1532" w:type="pct"/>
            <w:shd w:val="clear" w:color="auto" w:fill="FFC000"/>
          </w:tcPr>
          <w:p w14:paraId="76EF500B" w14:textId="77777777" w:rsidR="0002308E" w:rsidRPr="00B22709" w:rsidRDefault="0002308E" w:rsidP="007F171B">
            <w:pPr>
              <w:spacing w:before="80" w:after="80" w:line="276" w:lineRule="auto"/>
              <w:rPr>
                <w:rFonts w:cs="Arial"/>
              </w:rPr>
            </w:pPr>
            <w:r w:rsidRPr="00B22709">
              <w:rPr>
                <w:rFonts w:cs="Arial"/>
                <w:b/>
                <w:i/>
              </w:rPr>
              <w:lastRenderedPageBreak/>
              <w:t xml:space="preserve">1.1.4 </w:t>
            </w:r>
            <w:r w:rsidRPr="00B22709">
              <w:rPr>
                <w:rFonts w:cs="Arial"/>
              </w:rPr>
              <w:t>There are reliable estimates of all removals, including commercial (landings and discards), recreational and indigenous, from the fished stock. These estimates have been factored into stock assessments and target species catch levels.</w:t>
            </w:r>
          </w:p>
        </w:tc>
        <w:tc>
          <w:tcPr>
            <w:tcW w:w="3468" w:type="pct"/>
            <w:shd w:val="clear" w:color="auto" w:fill="auto"/>
          </w:tcPr>
          <w:p w14:paraId="55DEBC91" w14:textId="131C3D93" w:rsidR="0002308E" w:rsidRPr="00B22709" w:rsidRDefault="00B22709" w:rsidP="007F171B">
            <w:pPr>
              <w:spacing w:before="80" w:after="80" w:line="276" w:lineRule="auto"/>
              <w:rPr>
                <w:rFonts w:cs="Arial"/>
                <w:b/>
              </w:rPr>
            </w:pPr>
            <w:r w:rsidRPr="00B22709">
              <w:rPr>
                <w:rFonts w:cs="Arial"/>
                <w:b/>
              </w:rPr>
              <w:t>Partially m</w:t>
            </w:r>
            <w:r w:rsidR="0002308E" w:rsidRPr="00B22709">
              <w:rPr>
                <w:rFonts w:cs="Arial"/>
                <w:b/>
              </w:rPr>
              <w:t>eets –</w:t>
            </w:r>
            <w:r w:rsidR="00822633" w:rsidRPr="00B22709">
              <w:rPr>
                <w:rFonts w:cs="Arial"/>
                <w:b/>
              </w:rPr>
              <w:t xml:space="preserve"> </w:t>
            </w:r>
            <w:r w:rsidRPr="00B22709">
              <w:rPr>
                <w:rFonts w:cs="Arial"/>
                <w:b/>
              </w:rPr>
              <w:t xml:space="preserve">reliable </w:t>
            </w:r>
            <w:r w:rsidR="00154C4A">
              <w:rPr>
                <w:rFonts w:cs="Arial"/>
                <w:b/>
              </w:rPr>
              <w:t xml:space="preserve">catch </w:t>
            </w:r>
            <w:r w:rsidRPr="00B22709">
              <w:rPr>
                <w:rFonts w:cs="Arial"/>
                <w:b/>
              </w:rPr>
              <w:t>data is available</w:t>
            </w:r>
            <w:r w:rsidR="00045A3E">
              <w:rPr>
                <w:rFonts w:cs="Arial"/>
                <w:b/>
              </w:rPr>
              <w:t>,</w:t>
            </w:r>
            <w:r w:rsidRPr="00B22709">
              <w:rPr>
                <w:rFonts w:cs="Arial"/>
                <w:b/>
              </w:rPr>
              <w:t xml:space="preserve"> but </w:t>
            </w:r>
            <w:r w:rsidR="00F9657A">
              <w:rPr>
                <w:rFonts w:cs="Arial"/>
                <w:b/>
              </w:rPr>
              <w:t>no</w:t>
            </w:r>
            <w:r w:rsidRPr="00B22709">
              <w:rPr>
                <w:rFonts w:cs="Arial"/>
                <w:b/>
              </w:rPr>
              <w:t xml:space="preserve"> stock assessments </w:t>
            </w:r>
            <w:r w:rsidR="00F9657A">
              <w:rPr>
                <w:rFonts w:cs="Arial"/>
                <w:b/>
              </w:rPr>
              <w:t xml:space="preserve">have been </w:t>
            </w:r>
            <w:r w:rsidRPr="00B22709">
              <w:rPr>
                <w:rFonts w:cs="Arial"/>
                <w:b/>
              </w:rPr>
              <w:t>undertaken</w:t>
            </w:r>
          </w:p>
          <w:p w14:paraId="11EF2F68" w14:textId="3694164D" w:rsidR="00B22709" w:rsidRPr="00B22709" w:rsidRDefault="00B22709" w:rsidP="00B22709">
            <w:pPr>
              <w:spacing w:before="80" w:after="80" w:line="276" w:lineRule="auto"/>
              <w:rPr>
                <w:rFonts w:cs="Arial"/>
                <w:szCs w:val="20"/>
                <w:lang w:eastAsia="en-AU"/>
              </w:rPr>
            </w:pPr>
            <w:r w:rsidRPr="00B22709">
              <w:rPr>
                <w:rFonts w:cs="Arial"/>
                <w:szCs w:val="20"/>
                <w:lang w:eastAsia="en-AU"/>
              </w:rPr>
              <w:t>Catches are reported via logbooks and through reports prior to landing. These landed catches are then verified by authorised fish receivers and reported to QDAF using separate logbooks.</w:t>
            </w:r>
          </w:p>
          <w:p w14:paraId="5AC034B2" w14:textId="77777777" w:rsidR="00B22709" w:rsidRPr="00B22709" w:rsidRDefault="00B22709" w:rsidP="00B22709">
            <w:pPr>
              <w:spacing w:before="80" w:after="80" w:line="276" w:lineRule="auto"/>
              <w:rPr>
                <w:rFonts w:cs="Arial"/>
              </w:rPr>
            </w:pPr>
            <w:r w:rsidRPr="00B22709">
              <w:rPr>
                <w:rFonts w:cs="Arial"/>
              </w:rPr>
              <w:t xml:space="preserve">Vessel Monitoring Systems are used to monitor fishing activity, validate reported </w:t>
            </w:r>
            <w:proofErr w:type="gramStart"/>
            <w:r w:rsidRPr="00B22709">
              <w:rPr>
                <w:rFonts w:cs="Arial"/>
              </w:rPr>
              <w:t>fishing</w:t>
            </w:r>
            <w:proofErr w:type="gramEnd"/>
            <w:r w:rsidRPr="00B22709">
              <w:rPr>
                <w:rFonts w:cs="Arial"/>
              </w:rPr>
              <w:t xml:space="preserve"> and facilitate compliance inspections. </w:t>
            </w:r>
          </w:p>
          <w:p w14:paraId="457FCE64" w14:textId="309B80D2" w:rsidR="00B22709" w:rsidRPr="00B22709" w:rsidRDefault="00B22709" w:rsidP="00B22709">
            <w:pPr>
              <w:spacing w:before="80" w:after="80" w:line="276" w:lineRule="auto"/>
              <w:rPr>
                <w:rFonts w:cs="Arial"/>
              </w:rPr>
            </w:pPr>
            <w:r w:rsidRPr="00B22709">
              <w:rPr>
                <w:rFonts w:cs="Arial"/>
              </w:rPr>
              <w:t>Recreational harvest estimates are collected through routine state-wide surveys, but information on Indigenous harvest is unknown. Both recreational and Indigenous harvest is thought to be negligible.</w:t>
            </w:r>
          </w:p>
          <w:p w14:paraId="7A6D37B0" w14:textId="372BAD45" w:rsidR="00CF40DA" w:rsidRPr="00B22709" w:rsidRDefault="00B22709" w:rsidP="00861003">
            <w:pPr>
              <w:spacing w:before="80" w:after="80" w:line="276" w:lineRule="auto"/>
              <w:rPr>
                <w:rFonts w:cs="Arial"/>
              </w:rPr>
            </w:pPr>
            <w:r w:rsidRPr="00B22709">
              <w:rPr>
                <w:rFonts w:cs="Arial"/>
              </w:rPr>
              <w:t>All available information on catches by all commercial and non-commercial sectors is considered in assessing the stocks and setting harvest limits. However, very few stocks have undergone stock assessment.</w:t>
            </w:r>
          </w:p>
        </w:tc>
      </w:tr>
      <w:tr w:rsidR="0002308E" w:rsidRPr="00A94147" w14:paraId="3C35EEA9" w14:textId="77777777" w:rsidTr="00961E0A">
        <w:trPr>
          <w:cantSplit/>
        </w:trPr>
        <w:tc>
          <w:tcPr>
            <w:tcW w:w="1532" w:type="pct"/>
            <w:shd w:val="clear" w:color="auto" w:fill="FF0000"/>
          </w:tcPr>
          <w:p w14:paraId="1B010592" w14:textId="77777777" w:rsidR="0002308E" w:rsidRPr="00961E0A" w:rsidRDefault="0002308E" w:rsidP="007F171B">
            <w:pPr>
              <w:spacing w:before="80" w:after="80" w:line="276" w:lineRule="auto"/>
              <w:rPr>
                <w:rFonts w:cs="Arial"/>
              </w:rPr>
            </w:pPr>
            <w:r w:rsidRPr="00961E0A">
              <w:rPr>
                <w:rFonts w:cs="Arial"/>
                <w:b/>
                <w:i/>
              </w:rPr>
              <w:t xml:space="preserve">1.1.5 </w:t>
            </w:r>
            <w:r w:rsidRPr="00961E0A">
              <w:rPr>
                <w:rFonts w:cs="Arial"/>
              </w:rPr>
              <w:t>There is a sound estimate of the potential productivity of the fished stock/s and the proportion that could be harvested.</w:t>
            </w:r>
          </w:p>
        </w:tc>
        <w:tc>
          <w:tcPr>
            <w:tcW w:w="3468" w:type="pct"/>
            <w:shd w:val="clear" w:color="auto" w:fill="auto"/>
          </w:tcPr>
          <w:p w14:paraId="113F63CB" w14:textId="186D730C" w:rsidR="0002308E" w:rsidRPr="003D2956" w:rsidRDefault="00B22709" w:rsidP="007F171B">
            <w:pPr>
              <w:spacing w:before="80" w:after="80" w:line="276" w:lineRule="auto"/>
              <w:rPr>
                <w:rFonts w:cs="Arial"/>
                <w:b/>
              </w:rPr>
            </w:pPr>
            <w:r w:rsidRPr="003D2956">
              <w:rPr>
                <w:rFonts w:cs="Arial"/>
                <w:b/>
              </w:rPr>
              <w:t xml:space="preserve">Does not meet </w:t>
            </w:r>
            <w:r w:rsidR="0002308E" w:rsidRPr="003D2956">
              <w:rPr>
                <w:rFonts w:cs="Arial"/>
                <w:b/>
              </w:rPr>
              <w:t>–</w:t>
            </w:r>
            <w:r w:rsidR="00894E10" w:rsidRPr="003D2956">
              <w:rPr>
                <w:rFonts w:cs="Arial"/>
                <w:b/>
              </w:rPr>
              <w:t xml:space="preserve"> </w:t>
            </w:r>
            <w:r w:rsidR="00BF05D8" w:rsidRPr="003D2956">
              <w:rPr>
                <w:rFonts w:cs="Arial"/>
                <w:b/>
              </w:rPr>
              <w:t xml:space="preserve">productivity </w:t>
            </w:r>
            <w:r w:rsidR="0002308E" w:rsidRPr="003D2956">
              <w:rPr>
                <w:rFonts w:cs="Arial"/>
                <w:b/>
              </w:rPr>
              <w:t xml:space="preserve">estimates </w:t>
            </w:r>
            <w:r w:rsidRPr="003D2956">
              <w:rPr>
                <w:rFonts w:cs="Arial"/>
                <w:b/>
              </w:rPr>
              <w:t xml:space="preserve">are not available and </w:t>
            </w:r>
            <w:r w:rsidR="00961E0A" w:rsidRPr="003D2956">
              <w:rPr>
                <w:rFonts w:cs="Arial"/>
                <w:b/>
              </w:rPr>
              <w:t xml:space="preserve">have not been used to </w:t>
            </w:r>
            <w:r w:rsidR="00BF05D8" w:rsidRPr="003D2956">
              <w:rPr>
                <w:rFonts w:cs="Arial"/>
                <w:b/>
              </w:rPr>
              <w:t xml:space="preserve">inform </w:t>
            </w:r>
            <w:r w:rsidR="0002308E" w:rsidRPr="003D2956">
              <w:rPr>
                <w:rFonts w:cs="Arial"/>
                <w:b/>
              </w:rPr>
              <w:t>harvest</w:t>
            </w:r>
            <w:r w:rsidR="00BF05D8" w:rsidRPr="003D2956">
              <w:rPr>
                <w:rFonts w:cs="Arial"/>
                <w:b/>
              </w:rPr>
              <w:t xml:space="preserve"> controls</w:t>
            </w:r>
          </w:p>
          <w:p w14:paraId="3E7789C4" w14:textId="77777777" w:rsidR="0002308E" w:rsidRDefault="00B22709" w:rsidP="007F171B">
            <w:pPr>
              <w:spacing w:before="80" w:after="80" w:line="276" w:lineRule="auto"/>
              <w:rPr>
                <w:rFonts w:cs="Arial"/>
              </w:rPr>
            </w:pPr>
            <w:r w:rsidRPr="003D2956">
              <w:rPr>
                <w:rFonts w:cs="Arial"/>
              </w:rPr>
              <w:t xml:space="preserve">There have been </w:t>
            </w:r>
            <w:r w:rsidR="00A15CAB" w:rsidRPr="003D2956">
              <w:rPr>
                <w:rFonts w:cs="Arial"/>
              </w:rPr>
              <w:t xml:space="preserve">no </w:t>
            </w:r>
            <w:r w:rsidRPr="003D2956">
              <w:rPr>
                <w:rFonts w:cs="Arial"/>
              </w:rPr>
              <w:t>stock assessments and there is very limited information available on the potential productivity of the fished stocks or the proportion of these stocks that could be harvested.</w:t>
            </w:r>
          </w:p>
          <w:p w14:paraId="6621DD5C" w14:textId="756A3BFF" w:rsidR="005E7113" w:rsidRPr="00B22709" w:rsidRDefault="000E14AE" w:rsidP="007F171B">
            <w:pPr>
              <w:spacing w:before="80" w:after="80" w:line="276" w:lineRule="auto"/>
              <w:rPr>
                <w:rFonts w:cs="Arial"/>
                <w:lang w:val="en"/>
              </w:rPr>
            </w:pPr>
            <w:r w:rsidRPr="003D2956">
              <w:rPr>
                <w:rFonts w:cs="Arial"/>
              </w:rPr>
              <w:t xml:space="preserve">There are currently no stock assessments for any species in the fishery and very little information on the biology, </w:t>
            </w:r>
            <w:proofErr w:type="gramStart"/>
            <w:r w:rsidRPr="003D2956">
              <w:rPr>
                <w:rFonts w:cs="Arial"/>
              </w:rPr>
              <w:t>density</w:t>
            </w:r>
            <w:proofErr w:type="gramEnd"/>
            <w:r w:rsidRPr="003D2956">
              <w:rPr>
                <w:rFonts w:cs="Arial"/>
              </w:rPr>
              <w:t xml:space="preserve"> or biomass of the stocks. </w:t>
            </w:r>
            <w:r w:rsidR="005E7113">
              <w:rPr>
                <w:rFonts w:cs="Arial"/>
              </w:rPr>
              <w:t xml:space="preserve">The Department recommends </w:t>
            </w:r>
            <w:r w:rsidR="005E7113" w:rsidRPr="00192249">
              <w:rPr>
                <w:rFonts w:cs="Arial"/>
              </w:rPr>
              <w:t>condition</w:t>
            </w:r>
            <w:r w:rsidR="00192249" w:rsidRPr="00192249">
              <w:rPr>
                <w:rFonts w:cs="Arial"/>
              </w:rPr>
              <w:t>s</w:t>
            </w:r>
            <w:r w:rsidR="005E7113" w:rsidRPr="00192249">
              <w:rPr>
                <w:rFonts w:cs="Arial"/>
              </w:rPr>
              <w:t xml:space="preserve"> </w:t>
            </w:r>
            <w:r w:rsidR="00192249" w:rsidRPr="00192249">
              <w:rPr>
                <w:rFonts w:cs="Arial"/>
              </w:rPr>
              <w:t>4-7</w:t>
            </w:r>
            <w:r w:rsidRPr="003D2956">
              <w:rPr>
                <w:rFonts w:cs="Arial"/>
              </w:rPr>
              <w:t xml:space="preserve"> </w:t>
            </w:r>
            <w:r w:rsidR="005E7113">
              <w:rPr>
                <w:rFonts w:cs="Arial"/>
              </w:rPr>
              <w:t xml:space="preserve">be attached to the </w:t>
            </w:r>
            <w:r w:rsidRPr="003D2956">
              <w:rPr>
                <w:rFonts w:cs="Arial"/>
              </w:rPr>
              <w:t xml:space="preserve">proposed Part 13A </w:t>
            </w:r>
            <w:r w:rsidR="005E7113">
              <w:rPr>
                <w:rFonts w:cs="Arial"/>
              </w:rPr>
              <w:t xml:space="preserve">approval to </w:t>
            </w:r>
            <w:r w:rsidRPr="003D2956">
              <w:rPr>
                <w:rFonts w:cs="Arial"/>
              </w:rPr>
              <w:t xml:space="preserve">improve understanding of the stocks and to </w:t>
            </w:r>
            <w:r w:rsidR="005E7113">
              <w:rPr>
                <w:rFonts w:cs="Arial"/>
              </w:rPr>
              <w:t>ensure</w:t>
            </w:r>
            <w:r w:rsidRPr="003D2956">
              <w:rPr>
                <w:rFonts w:cs="Arial"/>
              </w:rPr>
              <w:t xml:space="preserve"> management arrangements remain effective. </w:t>
            </w:r>
            <w:r w:rsidRPr="00AE5829">
              <w:rPr>
                <w:rFonts w:cs="Arial"/>
              </w:rPr>
              <w:t xml:space="preserve">These conditions are targeted at CITES-listed Black and White </w:t>
            </w:r>
            <w:proofErr w:type="spellStart"/>
            <w:r w:rsidRPr="00AE5829">
              <w:rPr>
                <w:rFonts w:cs="Arial"/>
              </w:rPr>
              <w:t>Teatfish</w:t>
            </w:r>
            <w:proofErr w:type="spellEnd"/>
            <w:r w:rsidRPr="00AE5829">
              <w:rPr>
                <w:rFonts w:cs="Arial"/>
              </w:rPr>
              <w:t xml:space="preserve"> species but </w:t>
            </w:r>
            <w:r w:rsidR="003D2956" w:rsidRPr="00AE5829">
              <w:rPr>
                <w:rFonts w:cs="Arial"/>
              </w:rPr>
              <w:t xml:space="preserve">could </w:t>
            </w:r>
            <w:r w:rsidRPr="00AE5829">
              <w:rPr>
                <w:rFonts w:cs="Arial"/>
              </w:rPr>
              <w:t>be extended to remaining species in the fishery</w:t>
            </w:r>
            <w:r w:rsidR="003D2956" w:rsidRPr="00AE5829">
              <w:rPr>
                <w:rFonts w:cs="Arial"/>
              </w:rPr>
              <w:t xml:space="preserve"> in future</w:t>
            </w:r>
            <w:r w:rsidRPr="00AE5829">
              <w:rPr>
                <w:rFonts w:cs="Arial"/>
              </w:rPr>
              <w:t>.</w:t>
            </w:r>
          </w:p>
        </w:tc>
      </w:tr>
      <w:tr w:rsidR="0002308E" w:rsidRPr="00A94147" w14:paraId="4962C0FB" w14:textId="77777777" w:rsidTr="00796D99">
        <w:trPr>
          <w:cantSplit/>
        </w:trPr>
        <w:tc>
          <w:tcPr>
            <w:tcW w:w="5000" w:type="pct"/>
            <w:gridSpan w:val="2"/>
            <w:shd w:val="clear" w:color="auto" w:fill="DAEEF3"/>
          </w:tcPr>
          <w:p w14:paraId="7C1193DF" w14:textId="77777777" w:rsidR="0002308E" w:rsidRPr="003D2956" w:rsidRDefault="0002308E" w:rsidP="00F4297C">
            <w:pPr>
              <w:keepNext/>
              <w:spacing w:before="80" w:after="80" w:line="276" w:lineRule="auto"/>
              <w:rPr>
                <w:rFonts w:cs="Arial"/>
                <w:b/>
                <w:i/>
              </w:rPr>
            </w:pPr>
            <w:r w:rsidRPr="003D2956">
              <w:rPr>
                <w:rFonts w:cs="Arial"/>
                <w:b/>
                <w:i/>
              </w:rPr>
              <w:lastRenderedPageBreak/>
              <w:t xml:space="preserve">Management responses </w:t>
            </w:r>
          </w:p>
        </w:tc>
      </w:tr>
      <w:tr w:rsidR="0002308E" w:rsidRPr="00A94147" w14:paraId="5F9ADEFF" w14:textId="77777777" w:rsidTr="00550775">
        <w:trPr>
          <w:cantSplit/>
        </w:trPr>
        <w:tc>
          <w:tcPr>
            <w:tcW w:w="1532" w:type="pct"/>
            <w:shd w:val="clear" w:color="auto" w:fill="92D050"/>
          </w:tcPr>
          <w:p w14:paraId="6C923778" w14:textId="77777777" w:rsidR="0002308E" w:rsidRPr="009B1B92" w:rsidRDefault="0002308E" w:rsidP="007F171B">
            <w:pPr>
              <w:spacing w:before="80" w:after="80" w:line="276" w:lineRule="auto"/>
              <w:rPr>
                <w:rFonts w:cs="Arial"/>
              </w:rPr>
            </w:pPr>
            <w:r w:rsidRPr="009B1B92">
              <w:rPr>
                <w:rFonts w:cs="Arial"/>
                <w:b/>
                <w:i/>
              </w:rPr>
              <w:lastRenderedPageBreak/>
              <w:t xml:space="preserve">1.1.6 </w:t>
            </w:r>
            <w:r w:rsidRPr="009B1B92">
              <w:rPr>
                <w:rFonts w:cs="Arial"/>
              </w:rPr>
              <w:t>There are reference points (target and/or limit), that trigger management actions including a biological bottom line and/or a catch or effort upper limit beyond which the stock should not be taken.</w:t>
            </w:r>
          </w:p>
        </w:tc>
        <w:tc>
          <w:tcPr>
            <w:tcW w:w="3468" w:type="pct"/>
            <w:shd w:val="clear" w:color="auto" w:fill="auto"/>
          </w:tcPr>
          <w:p w14:paraId="4066F213" w14:textId="691381DB" w:rsidR="0002308E" w:rsidRPr="009B1B92" w:rsidRDefault="007D56B7" w:rsidP="007F171B">
            <w:pPr>
              <w:spacing w:before="80" w:after="80" w:line="276" w:lineRule="auto"/>
              <w:rPr>
                <w:rFonts w:cs="Arial"/>
                <w:b/>
              </w:rPr>
            </w:pPr>
            <w:r w:rsidRPr="009B1B92">
              <w:rPr>
                <w:rFonts w:cs="Arial"/>
                <w:b/>
              </w:rPr>
              <w:t>M</w:t>
            </w:r>
            <w:r w:rsidR="0002308E" w:rsidRPr="009B1B92">
              <w:rPr>
                <w:rFonts w:cs="Arial"/>
                <w:b/>
              </w:rPr>
              <w:t>eet</w:t>
            </w:r>
            <w:r w:rsidRPr="009B1B92">
              <w:rPr>
                <w:rFonts w:cs="Arial"/>
                <w:b/>
              </w:rPr>
              <w:t>s</w:t>
            </w:r>
            <w:r w:rsidR="0002308E" w:rsidRPr="009B1B92">
              <w:rPr>
                <w:rFonts w:cs="Arial"/>
                <w:b/>
              </w:rPr>
              <w:t xml:space="preserve"> – </w:t>
            </w:r>
            <w:r w:rsidR="004D2F0A" w:rsidRPr="009B1B92">
              <w:rPr>
                <w:rFonts w:cs="Arial"/>
                <w:b/>
              </w:rPr>
              <w:t xml:space="preserve">various </w:t>
            </w:r>
            <w:r w:rsidR="00CF40DA" w:rsidRPr="009B1B92">
              <w:rPr>
                <w:rFonts w:cs="Arial"/>
                <w:b/>
              </w:rPr>
              <w:t xml:space="preserve">target and limit </w:t>
            </w:r>
            <w:r w:rsidRPr="009B1B92">
              <w:rPr>
                <w:rFonts w:cs="Arial"/>
                <w:b/>
              </w:rPr>
              <w:t>r</w:t>
            </w:r>
            <w:r w:rsidR="0002308E" w:rsidRPr="009B1B92">
              <w:rPr>
                <w:rFonts w:cs="Arial"/>
                <w:b/>
              </w:rPr>
              <w:t xml:space="preserve">eference points </w:t>
            </w:r>
            <w:r w:rsidR="004D2F0A" w:rsidRPr="009B1B92">
              <w:rPr>
                <w:rFonts w:cs="Arial"/>
                <w:b/>
              </w:rPr>
              <w:t xml:space="preserve">in place </w:t>
            </w:r>
            <w:r w:rsidR="0002308E" w:rsidRPr="009B1B92">
              <w:rPr>
                <w:rFonts w:cs="Arial"/>
                <w:b/>
              </w:rPr>
              <w:t>that trigger management actions</w:t>
            </w:r>
          </w:p>
          <w:p w14:paraId="7F873E03" w14:textId="77777777" w:rsidR="009B1B92" w:rsidRPr="009B1B92" w:rsidRDefault="009B1B92" w:rsidP="009B1B92">
            <w:pPr>
              <w:pStyle w:val="BodyText1"/>
              <w:spacing w:before="80" w:after="80" w:line="276" w:lineRule="auto"/>
              <w:rPr>
                <w:rFonts w:cs="Arial"/>
              </w:rPr>
            </w:pPr>
            <w:r w:rsidRPr="009B1B92">
              <w:rPr>
                <w:rFonts w:cs="Arial"/>
              </w:rPr>
              <w:t xml:space="preserve">QDAF’s </w:t>
            </w:r>
            <w:hyperlink r:id="rId40" w:history="1">
              <w:r w:rsidRPr="009B1B92">
                <w:rPr>
                  <w:rStyle w:val="Hyperlink"/>
                  <w:rFonts w:cs="Arial"/>
                </w:rPr>
                <w:t>Performance Measurement System</w:t>
              </w:r>
            </w:hyperlink>
            <w:r w:rsidRPr="009B1B92">
              <w:rPr>
                <w:rFonts w:cs="Arial"/>
              </w:rPr>
              <w:t xml:space="preserve"> (PMS) includes objectives, performance indicators, performance measures and management responses designed to:</w:t>
            </w:r>
          </w:p>
          <w:p w14:paraId="0263079C" w14:textId="77777777" w:rsidR="009B1B92" w:rsidRPr="009B1B92" w:rsidRDefault="009B1B92" w:rsidP="009B1B92">
            <w:pPr>
              <w:pStyle w:val="BodyText1"/>
              <w:numPr>
                <w:ilvl w:val="0"/>
                <w:numId w:val="14"/>
              </w:numPr>
              <w:spacing w:before="80" w:after="80" w:line="276" w:lineRule="auto"/>
              <w:rPr>
                <w:rFonts w:cs="Arial"/>
              </w:rPr>
            </w:pPr>
            <w:r w:rsidRPr="009B1B92">
              <w:rPr>
                <w:rFonts w:cs="Arial"/>
              </w:rPr>
              <w:t xml:space="preserve">Maintain stocks at sustainable levels, minimise risks of unsustainable harvest and recover stocks that are considered to have been fished to below sustainable </w:t>
            </w:r>
            <w:proofErr w:type="gramStart"/>
            <w:r w:rsidRPr="009B1B92">
              <w:rPr>
                <w:rFonts w:cs="Arial"/>
              </w:rPr>
              <w:t>levels;</w:t>
            </w:r>
            <w:proofErr w:type="gramEnd"/>
          </w:p>
          <w:p w14:paraId="2C278B5E" w14:textId="77777777" w:rsidR="009B1B92" w:rsidRPr="009B1B92" w:rsidRDefault="009B1B92" w:rsidP="009B1B92">
            <w:pPr>
              <w:pStyle w:val="BodyText1"/>
              <w:numPr>
                <w:ilvl w:val="0"/>
                <w:numId w:val="14"/>
              </w:numPr>
              <w:spacing w:before="80" w:after="80" w:line="276" w:lineRule="auto"/>
              <w:rPr>
                <w:rFonts w:cs="Arial"/>
              </w:rPr>
            </w:pPr>
            <w:r w:rsidRPr="009B1B92">
              <w:rPr>
                <w:rFonts w:cs="Arial"/>
              </w:rPr>
              <w:t xml:space="preserve">Protect endangered and threatened </w:t>
            </w:r>
            <w:proofErr w:type="gramStart"/>
            <w:r w:rsidRPr="009B1B92">
              <w:rPr>
                <w:rFonts w:cs="Arial"/>
              </w:rPr>
              <w:t>species;</w:t>
            </w:r>
            <w:proofErr w:type="gramEnd"/>
          </w:p>
          <w:p w14:paraId="5ADE71B7" w14:textId="77777777" w:rsidR="009B1B92" w:rsidRPr="009B1B92" w:rsidRDefault="009B1B92" w:rsidP="009B1B92">
            <w:pPr>
              <w:pStyle w:val="BodyText1"/>
              <w:numPr>
                <w:ilvl w:val="0"/>
                <w:numId w:val="14"/>
              </w:numPr>
              <w:spacing w:before="80" w:after="80" w:line="276" w:lineRule="auto"/>
              <w:rPr>
                <w:rFonts w:cs="Arial"/>
              </w:rPr>
            </w:pPr>
            <w:r w:rsidRPr="009B1B92">
              <w:rPr>
                <w:rFonts w:cs="Arial"/>
              </w:rPr>
              <w:t>Minimise fishery impacts on the ecosystem; and</w:t>
            </w:r>
          </w:p>
          <w:p w14:paraId="315C66A0" w14:textId="77777777" w:rsidR="00DE6E2C" w:rsidRPr="009B1B92" w:rsidRDefault="009B1B92" w:rsidP="009B1B92">
            <w:pPr>
              <w:pStyle w:val="BodyText1"/>
              <w:numPr>
                <w:ilvl w:val="0"/>
                <w:numId w:val="14"/>
              </w:numPr>
              <w:spacing w:before="80" w:after="80" w:line="276" w:lineRule="auto"/>
              <w:rPr>
                <w:rFonts w:cs="Arial"/>
              </w:rPr>
            </w:pPr>
            <w:r w:rsidRPr="009B1B92">
              <w:rPr>
                <w:rFonts w:cs="Arial"/>
              </w:rPr>
              <w:t>Ensure adequate compliance.</w:t>
            </w:r>
          </w:p>
          <w:p w14:paraId="00DE5C7E" w14:textId="105DC9FE" w:rsidR="009B1B92" w:rsidRPr="009B1B92" w:rsidRDefault="009B1B92" w:rsidP="009B1B92">
            <w:pPr>
              <w:pStyle w:val="BodyText1"/>
              <w:spacing w:before="80" w:after="80" w:line="276" w:lineRule="auto"/>
              <w:rPr>
                <w:rFonts w:cs="Arial"/>
              </w:rPr>
            </w:pPr>
            <w:r w:rsidRPr="009B1B92">
              <w:rPr>
                <w:rFonts w:cs="Arial"/>
              </w:rPr>
              <w:t xml:space="preserve">The PMS specifies ‘review reference points’ </w:t>
            </w:r>
            <w:r w:rsidR="00F31A63">
              <w:rPr>
                <w:rFonts w:cs="Arial"/>
              </w:rPr>
              <w:t xml:space="preserve">(RRPs </w:t>
            </w:r>
            <w:r w:rsidRPr="009B1B92">
              <w:rPr>
                <w:rFonts w:cs="Arial"/>
              </w:rPr>
              <w:t>or ‘catch triggers’</w:t>
            </w:r>
            <w:r w:rsidR="00F31A63">
              <w:rPr>
                <w:rFonts w:cs="Arial"/>
              </w:rPr>
              <w:t>)</w:t>
            </w:r>
            <w:r w:rsidRPr="009B1B92">
              <w:rPr>
                <w:rFonts w:cs="Arial"/>
              </w:rPr>
              <w:t xml:space="preserve"> which outline the permissible amount of catch for each species before further investigation is required. These catch triggers are reflected in the conditions of each fishing permit and effectively limit catch to these specified amounts.</w:t>
            </w:r>
          </w:p>
          <w:p w14:paraId="6D8F0F55" w14:textId="77777777" w:rsidR="009B1B92" w:rsidRPr="009B1B92" w:rsidRDefault="009B1B92" w:rsidP="009B1B92">
            <w:pPr>
              <w:pStyle w:val="BodyText1"/>
              <w:spacing w:before="80" w:after="80" w:line="276" w:lineRule="auto"/>
              <w:rPr>
                <w:rFonts w:cs="Arial"/>
              </w:rPr>
            </w:pPr>
            <w:r w:rsidRPr="009B1B92">
              <w:rPr>
                <w:rFonts w:cs="Arial"/>
              </w:rPr>
              <w:t xml:space="preserve">There are a variety of management responses outlined in the PMS, which would be applied by QDAF on a case-by-case basis if a review reference point was triggered. The management responses are listed below from least to most severe. </w:t>
            </w:r>
          </w:p>
          <w:p w14:paraId="244C2D9D" w14:textId="77777777" w:rsidR="009B1B92" w:rsidRPr="009B1B92" w:rsidRDefault="009B1B92" w:rsidP="009B1B92">
            <w:pPr>
              <w:pStyle w:val="BodyText1"/>
              <w:numPr>
                <w:ilvl w:val="0"/>
                <w:numId w:val="15"/>
              </w:numPr>
              <w:spacing w:before="80" w:after="80" w:line="276" w:lineRule="auto"/>
              <w:rPr>
                <w:rFonts w:cs="Arial"/>
              </w:rPr>
            </w:pPr>
            <w:r w:rsidRPr="009B1B92">
              <w:rPr>
                <w:rFonts w:cs="Arial"/>
              </w:rPr>
              <w:t xml:space="preserve">Increase the review reference </w:t>
            </w:r>
            <w:proofErr w:type="gramStart"/>
            <w:r w:rsidRPr="009B1B92">
              <w:rPr>
                <w:rFonts w:cs="Arial"/>
              </w:rPr>
              <w:t>point;</w:t>
            </w:r>
            <w:proofErr w:type="gramEnd"/>
            <w:r w:rsidRPr="009B1B92">
              <w:rPr>
                <w:rFonts w:cs="Arial"/>
              </w:rPr>
              <w:t xml:space="preserve"> </w:t>
            </w:r>
          </w:p>
          <w:p w14:paraId="197E971C" w14:textId="4D96E25D" w:rsidR="009B1B92" w:rsidRPr="009B1B92" w:rsidRDefault="009B1B92" w:rsidP="009B1B92">
            <w:pPr>
              <w:pStyle w:val="BodyText1"/>
              <w:numPr>
                <w:ilvl w:val="0"/>
                <w:numId w:val="15"/>
              </w:numPr>
              <w:spacing w:before="80" w:after="80" w:line="276" w:lineRule="auto"/>
              <w:rPr>
                <w:rFonts w:cs="Arial"/>
              </w:rPr>
            </w:pPr>
            <w:r w:rsidRPr="009B1B92">
              <w:rPr>
                <w:rFonts w:cs="Arial"/>
              </w:rPr>
              <w:t xml:space="preserve">Commit to intervention/further action if </w:t>
            </w:r>
            <w:proofErr w:type="gramStart"/>
            <w:r w:rsidRPr="009B1B92">
              <w:rPr>
                <w:rFonts w:cs="Arial"/>
              </w:rPr>
              <w:t>a</w:t>
            </w:r>
            <w:proofErr w:type="gramEnd"/>
            <w:r w:rsidRPr="009B1B92">
              <w:rPr>
                <w:rFonts w:cs="Arial"/>
              </w:rPr>
              <w:t xml:space="preserve"> RRP is reached in a subsequent year; </w:t>
            </w:r>
          </w:p>
          <w:p w14:paraId="2877D40E" w14:textId="7785B82D" w:rsidR="009B1B92" w:rsidRPr="009B1B92" w:rsidRDefault="009B1B92" w:rsidP="009B1B92">
            <w:pPr>
              <w:pStyle w:val="BodyText1"/>
              <w:numPr>
                <w:ilvl w:val="0"/>
                <w:numId w:val="15"/>
              </w:numPr>
              <w:spacing w:before="80" w:after="80" w:line="276" w:lineRule="auto"/>
              <w:rPr>
                <w:rFonts w:cs="Arial"/>
              </w:rPr>
            </w:pPr>
            <w:r w:rsidRPr="009B1B92">
              <w:rPr>
                <w:rFonts w:cs="Arial"/>
              </w:rPr>
              <w:t xml:space="preserve">Allow fishing above RRP to continue for next quota year and require that it remain below RRP after that until a resource assessment is delivered by industry and spatially defined catch limit(s) endorsed by the </w:t>
            </w:r>
            <w:r w:rsidR="00FA0F9F">
              <w:rPr>
                <w:rFonts w:cs="Arial"/>
              </w:rPr>
              <w:t>Fishery Working Group (</w:t>
            </w:r>
            <w:r w:rsidRPr="009B1B92">
              <w:rPr>
                <w:rFonts w:cs="Arial"/>
              </w:rPr>
              <w:t>FWG</w:t>
            </w:r>
            <w:proofErr w:type="gramStart"/>
            <w:r w:rsidR="00FA0F9F">
              <w:rPr>
                <w:rFonts w:cs="Arial"/>
              </w:rPr>
              <w:t>)</w:t>
            </w:r>
            <w:r w:rsidRPr="009B1B92">
              <w:rPr>
                <w:rFonts w:cs="Arial"/>
              </w:rPr>
              <w:t>;</w:t>
            </w:r>
            <w:proofErr w:type="gramEnd"/>
            <w:r w:rsidRPr="009B1B92">
              <w:rPr>
                <w:rFonts w:cs="Arial"/>
              </w:rPr>
              <w:t xml:space="preserve"> </w:t>
            </w:r>
          </w:p>
          <w:p w14:paraId="180EF07C" w14:textId="77777777" w:rsidR="009B1B92" w:rsidRPr="009B1B92" w:rsidRDefault="009B1B92" w:rsidP="009B1B92">
            <w:pPr>
              <w:pStyle w:val="BodyText1"/>
              <w:numPr>
                <w:ilvl w:val="0"/>
                <w:numId w:val="15"/>
              </w:numPr>
              <w:spacing w:before="80" w:after="80" w:line="276" w:lineRule="auto"/>
              <w:rPr>
                <w:rFonts w:cs="Arial"/>
              </w:rPr>
            </w:pPr>
            <w:r w:rsidRPr="009B1B92">
              <w:rPr>
                <w:rFonts w:cs="Arial"/>
              </w:rPr>
              <w:t xml:space="preserve">Fishing to return to levels below RRP until a resource assessment (with methodology endorsed by the FWG) is delivered by industry and spatially defined catch limit(s) endorsed by the </w:t>
            </w:r>
            <w:proofErr w:type="gramStart"/>
            <w:r w:rsidRPr="009B1B92">
              <w:rPr>
                <w:rFonts w:cs="Arial"/>
              </w:rPr>
              <w:t>FWG;</w:t>
            </w:r>
            <w:proofErr w:type="gramEnd"/>
            <w:r w:rsidRPr="009B1B92">
              <w:rPr>
                <w:rFonts w:cs="Arial"/>
              </w:rPr>
              <w:t xml:space="preserve"> </w:t>
            </w:r>
          </w:p>
          <w:p w14:paraId="102C7EE5" w14:textId="77777777" w:rsidR="009B1B92" w:rsidRPr="009B1B92" w:rsidRDefault="009B1B92" w:rsidP="009B1B92">
            <w:pPr>
              <w:pStyle w:val="BodyText1"/>
              <w:numPr>
                <w:ilvl w:val="0"/>
                <w:numId w:val="15"/>
              </w:numPr>
              <w:spacing w:before="80" w:after="80" w:line="276" w:lineRule="auto"/>
              <w:rPr>
                <w:rFonts w:cs="Arial"/>
              </w:rPr>
            </w:pPr>
            <w:r w:rsidRPr="009B1B92">
              <w:rPr>
                <w:rFonts w:cs="Arial"/>
              </w:rPr>
              <w:t xml:space="preserve">Fishing for species to cease in certain area(s) (key targeted area(s)) and fishing in all other areas to continue below RRP while a resource assessment (with methodology endorsed by the FWG) is delivered by industry for the targeted area; </w:t>
            </w:r>
          </w:p>
          <w:p w14:paraId="160CD35D" w14:textId="77777777" w:rsidR="009B1B92" w:rsidRPr="009B1B92" w:rsidRDefault="009B1B92" w:rsidP="009B1B92">
            <w:pPr>
              <w:pStyle w:val="BodyText1"/>
              <w:numPr>
                <w:ilvl w:val="0"/>
                <w:numId w:val="15"/>
              </w:numPr>
              <w:spacing w:before="80" w:after="80" w:line="276" w:lineRule="auto"/>
              <w:rPr>
                <w:rFonts w:cs="Arial"/>
              </w:rPr>
            </w:pPr>
            <w:r w:rsidRPr="009B1B92">
              <w:rPr>
                <w:rFonts w:cs="Arial"/>
              </w:rPr>
              <w:t xml:space="preserve">Fishing for species to cease until a resource assessment (with methodology endorsed by the FWG) is delivered by industry and spatially defined catch limit(s) endorsed by the FWG. </w:t>
            </w:r>
          </w:p>
          <w:p w14:paraId="335BB0D0" w14:textId="2DD28355" w:rsidR="009B1B92" w:rsidRPr="009B1B92" w:rsidRDefault="009B1B92" w:rsidP="009B1B92">
            <w:pPr>
              <w:pStyle w:val="BodyText1"/>
              <w:spacing w:before="80" w:after="80" w:line="276" w:lineRule="auto"/>
              <w:rPr>
                <w:rFonts w:cs="Arial"/>
              </w:rPr>
            </w:pPr>
            <w:r w:rsidRPr="009B1B92">
              <w:rPr>
                <w:rFonts w:cs="Arial"/>
              </w:rPr>
              <w:lastRenderedPageBreak/>
              <w:t>Management responses are also outlined in the PMS if any aspect of the memorandum of understanding between fishers and QDAF is not adhered to. An example of this would be allowed effort in each rotation zone exceeding the allowed 15 days per zone, which can be monitored through vessel tracking.</w:t>
            </w:r>
          </w:p>
        </w:tc>
      </w:tr>
      <w:tr w:rsidR="0002308E" w:rsidRPr="00A94147" w14:paraId="0E049826" w14:textId="77777777" w:rsidTr="00301606">
        <w:trPr>
          <w:cantSplit/>
        </w:trPr>
        <w:tc>
          <w:tcPr>
            <w:tcW w:w="1532" w:type="pct"/>
            <w:shd w:val="clear" w:color="auto" w:fill="FFC000"/>
          </w:tcPr>
          <w:p w14:paraId="5369C8C2" w14:textId="77777777" w:rsidR="0002308E" w:rsidRPr="00A94147" w:rsidRDefault="0002308E" w:rsidP="007F171B">
            <w:pPr>
              <w:spacing w:before="80" w:after="80" w:line="276" w:lineRule="auto"/>
              <w:rPr>
                <w:rFonts w:cs="Arial"/>
                <w:highlight w:val="yellow"/>
              </w:rPr>
            </w:pPr>
            <w:r w:rsidRPr="000C7574">
              <w:rPr>
                <w:rFonts w:cs="Arial"/>
                <w:b/>
                <w:i/>
              </w:rPr>
              <w:lastRenderedPageBreak/>
              <w:t xml:space="preserve">1.1.7 </w:t>
            </w:r>
            <w:r w:rsidRPr="000C7574">
              <w:rPr>
                <w:rFonts w:cs="Arial"/>
              </w:rPr>
              <w:t>There are management strategies in place capable of controlling the level of take.</w:t>
            </w:r>
          </w:p>
        </w:tc>
        <w:tc>
          <w:tcPr>
            <w:tcW w:w="3468" w:type="pct"/>
            <w:shd w:val="clear" w:color="auto" w:fill="auto"/>
          </w:tcPr>
          <w:p w14:paraId="6DB94C6D" w14:textId="1039A0D7" w:rsidR="009B1B92" w:rsidRPr="00AD50BC" w:rsidRDefault="009B1B92" w:rsidP="009B1B92">
            <w:pPr>
              <w:spacing w:before="80" w:after="80" w:line="276" w:lineRule="auto"/>
              <w:rPr>
                <w:rFonts w:cs="Arial"/>
                <w:b/>
              </w:rPr>
            </w:pPr>
            <w:r>
              <w:rPr>
                <w:rFonts w:cs="Arial"/>
                <w:b/>
              </w:rPr>
              <w:t>Partly m</w:t>
            </w:r>
            <w:r w:rsidRPr="00AD50BC">
              <w:rPr>
                <w:rFonts w:cs="Arial"/>
                <w:b/>
              </w:rPr>
              <w:t xml:space="preserve">eets – </w:t>
            </w:r>
            <w:r w:rsidR="00AB1B6C">
              <w:rPr>
                <w:rFonts w:cs="Arial"/>
                <w:b/>
              </w:rPr>
              <w:t>Harvest controls are likely to be effective</w:t>
            </w:r>
          </w:p>
          <w:p w14:paraId="78B5D7F2" w14:textId="69302DE3" w:rsidR="009B1B92" w:rsidRDefault="009B1B92" w:rsidP="009B1B92">
            <w:pPr>
              <w:spacing w:before="80" w:after="80" w:line="276" w:lineRule="auto"/>
              <w:rPr>
                <w:rFonts w:cs="Arial"/>
              </w:rPr>
            </w:pPr>
            <w:r w:rsidRPr="00AD50BC">
              <w:rPr>
                <w:rFonts w:cs="Arial"/>
              </w:rPr>
              <w:t>Harvest is controlled by limits on the number of licences available to fish in the fishery</w:t>
            </w:r>
            <w:r>
              <w:rPr>
                <w:rFonts w:cs="Arial"/>
              </w:rPr>
              <w:t xml:space="preserve"> (18), limits on the number of fishers (10) and boats (5) able to fish under each licence, </w:t>
            </w:r>
            <w:r w:rsidRPr="00AD50BC">
              <w:rPr>
                <w:rFonts w:cs="Arial"/>
              </w:rPr>
              <w:t>as well as limits on where and when the licences can be used, size limits</w:t>
            </w:r>
            <w:r>
              <w:rPr>
                <w:rFonts w:cs="Arial"/>
              </w:rPr>
              <w:t xml:space="preserve"> (except for Black </w:t>
            </w:r>
            <w:proofErr w:type="spellStart"/>
            <w:r>
              <w:rPr>
                <w:rFonts w:cs="Arial"/>
              </w:rPr>
              <w:t>Teatfish</w:t>
            </w:r>
            <w:proofErr w:type="spellEnd"/>
            <w:r>
              <w:rPr>
                <w:rFonts w:cs="Arial"/>
              </w:rPr>
              <w:t>)</w:t>
            </w:r>
            <w:r w:rsidRPr="00AD50BC">
              <w:rPr>
                <w:rFonts w:cs="Arial"/>
              </w:rPr>
              <w:t xml:space="preserve"> and catch limits for different species</w:t>
            </w:r>
            <w:r>
              <w:rPr>
                <w:rFonts w:cs="Arial"/>
              </w:rPr>
              <w:t>.</w:t>
            </w:r>
            <w:r w:rsidR="00154C4A">
              <w:rPr>
                <w:rFonts w:cs="Arial"/>
              </w:rPr>
              <w:t xml:space="preserve"> Some of these arrangements are specified in t</w:t>
            </w:r>
            <w:r w:rsidR="00154C4A">
              <w:t xml:space="preserve">he Queensland </w:t>
            </w:r>
            <w:hyperlink r:id="rId41" w:history="1">
              <w:r w:rsidR="00154C4A" w:rsidRPr="005338FE">
                <w:rPr>
                  <w:rStyle w:val="Hyperlink"/>
                  <w:i/>
                  <w:iCs/>
                </w:rPr>
                <w:t>Fisheries (Commercial Fisheries)</w:t>
              </w:r>
              <w:r w:rsidR="00154C4A">
                <w:rPr>
                  <w:rStyle w:val="Hyperlink"/>
                  <w:i/>
                  <w:iCs/>
                </w:rPr>
                <w:t xml:space="preserve"> </w:t>
              </w:r>
              <w:r w:rsidR="00154C4A" w:rsidRPr="005338FE">
                <w:rPr>
                  <w:rStyle w:val="Hyperlink"/>
                  <w:i/>
                  <w:iCs/>
                </w:rPr>
                <w:t>Regulation 2019</w:t>
              </w:r>
            </w:hyperlink>
            <w:r w:rsidR="00154C4A">
              <w:rPr>
                <w:rStyle w:val="Hyperlink"/>
                <w:rFonts w:cs="Arial"/>
                <w:u w:val="none"/>
              </w:rPr>
              <w:t xml:space="preserve">, </w:t>
            </w:r>
            <w:r w:rsidR="00154C4A">
              <w:rPr>
                <w:rFonts w:cs="Arial"/>
              </w:rPr>
              <w:t>while other arrangements are in permit conditions</w:t>
            </w:r>
            <w:r w:rsidR="00AF0142">
              <w:rPr>
                <w:rFonts w:cs="Arial"/>
              </w:rPr>
              <w:t xml:space="preserve"> or outlined in the</w:t>
            </w:r>
            <w:r w:rsidR="00154C4A">
              <w:rPr>
                <w:rFonts w:cs="Arial"/>
              </w:rPr>
              <w:t xml:space="preserve"> </w:t>
            </w:r>
            <w:hyperlink r:id="rId42" w:history="1">
              <w:r w:rsidR="00154C4A" w:rsidRPr="00E23762">
                <w:rPr>
                  <w:rStyle w:val="Hyperlink"/>
                  <w:rFonts w:cs="Arial"/>
                </w:rPr>
                <w:t>Performance Measurement System</w:t>
              </w:r>
            </w:hyperlink>
            <w:r w:rsidR="00154C4A" w:rsidRPr="00E23762">
              <w:rPr>
                <w:rFonts w:cs="Arial"/>
              </w:rPr>
              <w:t xml:space="preserve"> (PMS)</w:t>
            </w:r>
            <w:r w:rsidR="00154C4A">
              <w:rPr>
                <w:rFonts w:cs="Arial"/>
              </w:rPr>
              <w:t xml:space="preserve"> and</w:t>
            </w:r>
            <w:r w:rsidR="00AF0142">
              <w:rPr>
                <w:rFonts w:cs="Arial"/>
              </w:rPr>
              <w:t xml:space="preserve"> the </w:t>
            </w:r>
            <w:r w:rsidR="00154C4A" w:rsidDel="00AF0142">
              <w:rPr>
                <w:rFonts w:cs="Arial"/>
              </w:rPr>
              <w:t xml:space="preserve"> </w:t>
            </w:r>
            <w:r w:rsidR="00154C4A">
              <w:rPr>
                <w:rFonts w:cs="Arial"/>
              </w:rPr>
              <w:t xml:space="preserve">memorandum of understanding (MOU) between fishers and QDAF. </w:t>
            </w:r>
          </w:p>
          <w:p w14:paraId="732A63E9" w14:textId="2FD6C6B1" w:rsidR="009B1B92" w:rsidRDefault="009B1B92" w:rsidP="009B1B92">
            <w:pPr>
              <w:pStyle w:val="BodyText1"/>
              <w:spacing w:before="80" w:after="80" w:line="276" w:lineRule="auto"/>
              <w:rPr>
                <w:rFonts w:cs="Arial"/>
              </w:rPr>
            </w:pPr>
            <w:r>
              <w:rPr>
                <w:rFonts w:cs="Arial"/>
              </w:rPr>
              <w:t xml:space="preserve">QDAF’s </w:t>
            </w:r>
            <w:hyperlink r:id="rId43" w:history="1">
              <w:r w:rsidRPr="00E23762">
                <w:rPr>
                  <w:rStyle w:val="Hyperlink"/>
                  <w:rFonts w:cs="Arial"/>
                </w:rPr>
                <w:t>Performance Measurement System</w:t>
              </w:r>
            </w:hyperlink>
            <w:r w:rsidRPr="00E23762">
              <w:rPr>
                <w:rFonts w:cs="Arial"/>
              </w:rPr>
              <w:t xml:space="preserve"> (PMS) </w:t>
            </w:r>
            <w:r>
              <w:rPr>
                <w:rFonts w:cs="Arial"/>
              </w:rPr>
              <w:t xml:space="preserve">is designed to ensure </w:t>
            </w:r>
            <w:r w:rsidRPr="00E23762">
              <w:rPr>
                <w:rFonts w:cs="Arial"/>
              </w:rPr>
              <w:t xml:space="preserve">catches </w:t>
            </w:r>
            <w:r>
              <w:rPr>
                <w:rFonts w:cs="Arial"/>
              </w:rPr>
              <w:t xml:space="preserve">are </w:t>
            </w:r>
            <w:r w:rsidRPr="00E23762">
              <w:rPr>
                <w:rFonts w:cs="Arial"/>
              </w:rPr>
              <w:t>no more than 10</w:t>
            </w:r>
            <w:r>
              <w:rPr>
                <w:rFonts w:cs="Arial"/>
              </w:rPr>
              <w:t xml:space="preserve"> per cent</w:t>
            </w:r>
            <w:r w:rsidRPr="00E23762">
              <w:rPr>
                <w:rFonts w:cs="Arial"/>
              </w:rPr>
              <w:t xml:space="preserve"> of </w:t>
            </w:r>
            <w:r>
              <w:rPr>
                <w:rFonts w:cs="Arial"/>
              </w:rPr>
              <w:t xml:space="preserve">the </w:t>
            </w:r>
            <w:r w:rsidRPr="00E23762">
              <w:rPr>
                <w:rFonts w:cs="Arial"/>
              </w:rPr>
              <w:t xml:space="preserve">estimated biomass </w:t>
            </w:r>
            <w:r>
              <w:rPr>
                <w:rFonts w:cs="Arial"/>
              </w:rPr>
              <w:t xml:space="preserve">and for </w:t>
            </w:r>
            <w:r w:rsidRPr="00E23762">
              <w:rPr>
                <w:rFonts w:cs="Arial"/>
              </w:rPr>
              <w:t xml:space="preserve">biomass </w:t>
            </w:r>
            <w:r>
              <w:rPr>
                <w:rFonts w:cs="Arial"/>
              </w:rPr>
              <w:t xml:space="preserve">to </w:t>
            </w:r>
            <w:r w:rsidRPr="00E23762">
              <w:rPr>
                <w:rFonts w:cs="Arial"/>
              </w:rPr>
              <w:t xml:space="preserve">not fall by </w:t>
            </w:r>
            <w:r>
              <w:rPr>
                <w:rFonts w:cs="Arial"/>
              </w:rPr>
              <w:t xml:space="preserve">more than </w:t>
            </w:r>
            <w:r w:rsidRPr="00E23762">
              <w:rPr>
                <w:rFonts w:cs="Arial"/>
              </w:rPr>
              <w:t>15</w:t>
            </w:r>
            <w:r>
              <w:rPr>
                <w:rFonts w:cs="Arial"/>
              </w:rPr>
              <w:t xml:space="preserve"> per cent</w:t>
            </w:r>
            <w:r w:rsidR="00AB1B6C">
              <w:rPr>
                <w:rFonts w:cs="Arial"/>
              </w:rPr>
              <w:t xml:space="preserve"> </w:t>
            </w:r>
            <w:r w:rsidR="00AF0142">
              <w:rPr>
                <w:rFonts w:cs="Arial"/>
              </w:rPr>
              <w:t>between surveys. This relies on there being regular stock surveys</w:t>
            </w:r>
            <w:r w:rsidR="00AB1B6C">
              <w:rPr>
                <w:rFonts w:cs="Arial"/>
              </w:rPr>
              <w:t>, which there are not at present</w:t>
            </w:r>
            <w:r w:rsidRPr="00E23762">
              <w:rPr>
                <w:rFonts w:cs="Arial"/>
              </w:rPr>
              <w:t xml:space="preserve">. </w:t>
            </w:r>
          </w:p>
          <w:p w14:paraId="3C47CB5E" w14:textId="77777777" w:rsidR="009B1B92" w:rsidRDefault="009B1B92" w:rsidP="009B1B92">
            <w:pPr>
              <w:pStyle w:val="BodyText1"/>
              <w:spacing w:before="80" w:after="80" w:line="276" w:lineRule="auto"/>
              <w:rPr>
                <w:rFonts w:cs="Arial"/>
              </w:rPr>
            </w:pPr>
            <w:r w:rsidRPr="00E23762">
              <w:rPr>
                <w:rFonts w:cs="Arial"/>
              </w:rPr>
              <w:t xml:space="preserve">The PMS </w:t>
            </w:r>
            <w:r>
              <w:rPr>
                <w:rFonts w:cs="Arial"/>
              </w:rPr>
              <w:t>specifies ‘</w:t>
            </w:r>
            <w:r w:rsidRPr="00E23762">
              <w:rPr>
                <w:rFonts w:cs="Arial"/>
              </w:rPr>
              <w:t>review reference points</w:t>
            </w:r>
            <w:r>
              <w:rPr>
                <w:rFonts w:cs="Arial"/>
              </w:rPr>
              <w:t>’</w:t>
            </w:r>
            <w:r w:rsidRPr="00E23762">
              <w:rPr>
                <w:rFonts w:cs="Arial"/>
              </w:rPr>
              <w:t xml:space="preserve"> </w:t>
            </w:r>
            <w:r>
              <w:rPr>
                <w:rFonts w:cs="Arial"/>
              </w:rPr>
              <w:t>or ‘</w:t>
            </w:r>
            <w:r w:rsidRPr="00E23762">
              <w:rPr>
                <w:rFonts w:cs="Arial"/>
              </w:rPr>
              <w:t>catch triggers</w:t>
            </w:r>
            <w:r>
              <w:rPr>
                <w:rFonts w:cs="Arial"/>
              </w:rPr>
              <w:t>’</w:t>
            </w:r>
            <w:r w:rsidRPr="00E23762">
              <w:rPr>
                <w:rFonts w:cs="Arial"/>
              </w:rPr>
              <w:t xml:space="preserve"> which outlines the permissible amount of catch for each species</w:t>
            </w:r>
            <w:r>
              <w:rPr>
                <w:rFonts w:cs="Arial"/>
              </w:rPr>
              <w:t xml:space="preserve"> before further investigation is required. These catch triggers are reflected in the conditions of each fishing permit and effectively limit catch to these specified amounts.</w:t>
            </w:r>
          </w:p>
          <w:p w14:paraId="2951BA61" w14:textId="77777777" w:rsidR="009B1B92" w:rsidRPr="00E23762" w:rsidRDefault="009B1B92" w:rsidP="009B1B92">
            <w:pPr>
              <w:pStyle w:val="BodyText1"/>
              <w:spacing w:before="80" w:after="80" w:line="276" w:lineRule="auto"/>
              <w:rPr>
                <w:rFonts w:cs="Arial"/>
              </w:rPr>
            </w:pPr>
            <w:r w:rsidRPr="00E23762">
              <w:rPr>
                <w:rFonts w:cs="Arial"/>
              </w:rPr>
              <w:t xml:space="preserve">There are a variety of management responses outlined in the PMS, which would be applied by QDAF on a case-by-case basis if a review reference point was triggered. The management responses are listed below from least to most severe. </w:t>
            </w:r>
          </w:p>
          <w:p w14:paraId="3F67DDED" w14:textId="77777777" w:rsidR="009B1B92" w:rsidRPr="00E23762" w:rsidRDefault="009B1B92" w:rsidP="009B1B92">
            <w:pPr>
              <w:pStyle w:val="BodyText1"/>
              <w:numPr>
                <w:ilvl w:val="0"/>
                <w:numId w:val="15"/>
              </w:numPr>
              <w:spacing w:before="80" w:after="80" w:line="276" w:lineRule="auto"/>
              <w:rPr>
                <w:rFonts w:cs="Arial"/>
              </w:rPr>
            </w:pPr>
            <w:r w:rsidRPr="00E23762">
              <w:rPr>
                <w:rFonts w:cs="Arial"/>
              </w:rPr>
              <w:t xml:space="preserve">Increase the review reference </w:t>
            </w:r>
            <w:proofErr w:type="gramStart"/>
            <w:r w:rsidRPr="00E23762">
              <w:rPr>
                <w:rFonts w:cs="Arial"/>
              </w:rPr>
              <w:t>point;</w:t>
            </w:r>
            <w:proofErr w:type="gramEnd"/>
            <w:r w:rsidRPr="00E23762">
              <w:rPr>
                <w:rFonts w:cs="Arial"/>
              </w:rPr>
              <w:t xml:space="preserve"> </w:t>
            </w:r>
          </w:p>
          <w:p w14:paraId="0EB999E7" w14:textId="1356ED62" w:rsidR="009B1B92" w:rsidRPr="00E23762" w:rsidRDefault="009B1B92" w:rsidP="009B1B92">
            <w:pPr>
              <w:pStyle w:val="BodyText1"/>
              <w:numPr>
                <w:ilvl w:val="0"/>
                <w:numId w:val="15"/>
              </w:numPr>
              <w:spacing w:before="80" w:after="80" w:line="276" w:lineRule="auto"/>
              <w:rPr>
                <w:rFonts w:cs="Arial"/>
              </w:rPr>
            </w:pPr>
            <w:r w:rsidRPr="00E23762">
              <w:rPr>
                <w:rFonts w:cs="Arial"/>
              </w:rPr>
              <w:t xml:space="preserve">Commit to intervention/further action if a </w:t>
            </w:r>
            <w:r w:rsidR="00FA0F9F">
              <w:rPr>
                <w:rFonts w:cs="Arial"/>
              </w:rPr>
              <w:t>review reference point (</w:t>
            </w:r>
            <w:r w:rsidRPr="00E23762">
              <w:rPr>
                <w:rFonts w:cs="Arial"/>
              </w:rPr>
              <w:t>RRP</w:t>
            </w:r>
            <w:r w:rsidR="00FA0F9F">
              <w:rPr>
                <w:rFonts w:cs="Arial"/>
              </w:rPr>
              <w:t>)</w:t>
            </w:r>
            <w:r w:rsidRPr="00E23762">
              <w:rPr>
                <w:rFonts w:cs="Arial"/>
              </w:rPr>
              <w:t xml:space="preserve"> is reached in a subsequent </w:t>
            </w:r>
            <w:proofErr w:type="gramStart"/>
            <w:r w:rsidRPr="00E23762">
              <w:rPr>
                <w:rFonts w:cs="Arial"/>
              </w:rPr>
              <w:t>year;</w:t>
            </w:r>
            <w:proofErr w:type="gramEnd"/>
            <w:r w:rsidRPr="00E23762">
              <w:rPr>
                <w:rFonts w:cs="Arial"/>
              </w:rPr>
              <w:t xml:space="preserve"> </w:t>
            </w:r>
          </w:p>
          <w:p w14:paraId="0151ED5E" w14:textId="4B2DEB15" w:rsidR="009B1B92" w:rsidRPr="00E23762" w:rsidRDefault="009B1B92" w:rsidP="009B1B92">
            <w:pPr>
              <w:pStyle w:val="BodyText1"/>
              <w:numPr>
                <w:ilvl w:val="0"/>
                <w:numId w:val="15"/>
              </w:numPr>
              <w:spacing w:before="80" w:after="80" w:line="276" w:lineRule="auto"/>
              <w:rPr>
                <w:rFonts w:cs="Arial"/>
              </w:rPr>
            </w:pPr>
            <w:r w:rsidRPr="00E23762">
              <w:rPr>
                <w:rFonts w:cs="Arial"/>
              </w:rPr>
              <w:t xml:space="preserve">Allow fishing above RRP to continue for next quota year and require that it remain below RRP after that until a resource assessment is delivered by industry and spatially defined catch limit(s) endorsed by the </w:t>
            </w:r>
            <w:r w:rsidR="00FA0F9F">
              <w:rPr>
                <w:rFonts w:cs="Arial"/>
              </w:rPr>
              <w:t>Fishery Working Group (</w:t>
            </w:r>
            <w:r w:rsidRPr="00E23762">
              <w:rPr>
                <w:rFonts w:cs="Arial"/>
              </w:rPr>
              <w:t>FWG</w:t>
            </w:r>
            <w:proofErr w:type="gramStart"/>
            <w:r w:rsidR="00FA0F9F">
              <w:rPr>
                <w:rFonts w:cs="Arial"/>
              </w:rPr>
              <w:t>)</w:t>
            </w:r>
            <w:r w:rsidRPr="00E23762">
              <w:rPr>
                <w:rFonts w:cs="Arial"/>
              </w:rPr>
              <w:t>;</w:t>
            </w:r>
            <w:proofErr w:type="gramEnd"/>
            <w:r w:rsidRPr="00E23762">
              <w:rPr>
                <w:rFonts w:cs="Arial"/>
              </w:rPr>
              <w:t xml:space="preserve"> </w:t>
            </w:r>
          </w:p>
          <w:p w14:paraId="3F0BD656" w14:textId="77777777" w:rsidR="009B1B92" w:rsidRPr="00E23762" w:rsidRDefault="009B1B92" w:rsidP="009B1B92">
            <w:pPr>
              <w:pStyle w:val="BodyText1"/>
              <w:numPr>
                <w:ilvl w:val="0"/>
                <w:numId w:val="15"/>
              </w:numPr>
              <w:spacing w:before="80" w:after="80" w:line="276" w:lineRule="auto"/>
              <w:rPr>
                <w:rFonts w:cs="Arial"/>
              </w:rPr>
            </w:pPr>
            <w:r w:rsidRPr="00E23762">
              <w:rPr>
                <w:rFonts w:cs="Arial"/>
              </w:rPr>
              <w:t xml:space="preserve">Fishing to return to levels below RRP until a resource assessment (with methodology endorsed by the FWG) is delivered by industry and spatially defined catch limit(s) endorsed by the </w:t>
            </w:r>
            <w:proofErr w:type="gramStart"/>
            <w:r w:rsidRPr="00E23762">
              <w:rPr>
                <w:rFonts w:cs="Arial"/>
              </w:rPr>
              <w:t>FWG;</w:t>
            </w:r>
            <w:proofErr w:type="gramEnd"/>
            <w:r w:rsidRPr="00E23762">
              <w:rPr>
                <w:rFonts w:cs="Arial"/>
              </w:rPr>
              <w:t xml:space="preserve"> </w:t>
            </w:r>
          </w:p>
          <w:p w14:paraId="442A7B02" w14:textId="77777777" w:rsidR="009B1B92" w:rsidRPr="00E23762" w:rsidRDefault="009B1B92" w:rsidP="009B1B92">
            <w:pPr>
              <w:pStyle w:val="BodyText1"/>
              <w:numPr>
                <w:ilvl w:val="0"/>
                <w:numId w:val="15"/>
              </w:numPr>
              <w:spacing w:before="80" w:after="80" w:line="276" w:lineRule="auto"/>
              <w:rPr>
                <w:rFonts w:cs="Arial"/>
              </w:rPr>
            </w:pPr>
            <w:r w:rsidRPr="00E23762">
              <w:rPr>
                <w:rFonts w:cs="Arial"/>
              </w:rPr>
              <w:t xml:space="preserve">Fishing for species to cease in certain area(s) (key targeted area(s)) and fishing in all other areas to continue below RRP while a resource assessment (with methodology endorsed by the FWG) is delivered by industry for the targeted area; </w:t>
            </w:r>
          </w:p>
          <w:p w14:paraId="2CBDD1E5" w14:textId="77777777" w:rsidR="009B1B92" w:rsidRPr="00E23762" w:rsidRDefault="009B1B92" w:rsidP="009B1B92">
            <w:pPr>
              <w:pStyle w:val="BodyText1"/>
              <w:numPr>
                <w:ilvl w:val="0"/>
                <w:numId w:val="15"/>
              </w:numPr>
              <w:spacing w:before="80" w:after="80" w:line="276" w:lineRule="auto"/>
              <w:rPr>
                <w:rFonts w:cs="Arial"/>
              </w:rPr>
            </w:pPr>
            <w:r w:rsidRPr="00E23762">
              <w:rPr>
                <w:rFonts w:cs="Arial"/>
              </w:rPr>
              <w:t xml:space="preserve">Fishing for species to cease until a resource assessment (with methodology endorsed by the FWG) is delivered by industry and spatially defined catch limit(s) endorsed by the FWG. </w:t>
            </w:r>
          </w:p>
          <w:p w14:paraId="092A13B0" w14:textId="77777777" w:rsidR="009B1B92" w:rsidRPr="00E23762" w:rsidRDefault="009B1B92" w:rsidP="009B1B92">
            <w:pPr>
              <w:pStyle w:val="BodyText1"/>
              <w:spacing w:before="80" w:after="80" w:line="276" w:lineRule="auto"/>
              <w:rPr>
                <w:rFonts w:cs="Arial"/>
              </w:rPr>
            </w:pPr>
            <w:r w:rsidRPr="00E23762">
              <w:rPr>
                <w:rFonts w:cs="Arial"/>
              </w:rPr>
              <w:lastRenderedPageBreak/>
              <w:t xml:space="preserve">Management responses are also outlined in the PMS if any aspect of the </w:t>
            </w:r>
            <w:r>
              <w:rPr>
                <w:rFonts w:cs="Arial"/>
              </w:rPr>
              <w:t xml:space="preserve">memorandum of understanding between fishers and QDAF </w:t>
            </w:r>
            <w:r w:rsidRPr="00E23762">
              <w:rPr>
                <w:rFonts w:cs="Arial"/>
              </w:rPr>
              <w:t xml:space="preserve">is not adhered to. An example of this would be allowed effort in each rotation zone exceeding the allowed 15 days per zone, which can be monitored through vessel tracking. </w:t>
            </w:r>
          </w:p>
          <w:p w14:paraId="2E420415" w14:textId="5D914958" w:rsidR="009B1B92" w:rsidRPr="00E23762" w:rsidRDefault="009B1B92" w:rsidP="009B1B92">
            <w:pPr>
              <w:pStyle w:val="BodyText1"/>
              <w:spacing w:before="80" w:after="80" w:line="276" w:lineRule="auto"/>
              <w:rPr>
                <w:rFonts w:cs="Arial"/>
              </w:rPr>
            </w:pPr>
            <w:r w:rsidRPr="00E23762">
              <w:rPr>
                <w:rFonts w:cs="Arial"/>
              </w:rPr>
              <w:t xml:space="preserve">The PMS was subject to </w:t>
            </w:r>
            <w:hyperlink r:id="rId44" w:history="1">
              <w:r w:rsidR="00F952C7" w:rsidRPr="00F952C7">
                <w:rPr>
                  <w:rStyle w:val="Hyperlink"/>
                  <w:rFonts w:cs="Arial"/>
                </w:rPr>
                <w:t>Management Strategy Evaluation</w:t>
              </w:r>
            </w:hyperlink>
            <w:r w:rsidRPr="00E23762">
              <w:rPr>
                <w:rFonts w:cs="Arial"/>
              </w:rPr>
              <w:t xml:space="preserve"> </w:t>
            </w:r>
            <w:r w:rsidR="00B1657D">
              <w:rPr>
                <w:rFonts w:cs="Arial"/>
              </w:rPr>
              <w:t xml:space="preserve">undertaken by </w:t>
            </w:r>
            <w:r w:rsidRPr="00E23762">
              <w:rPr>
                <w:rFonts w:cs="Arial"/>
              </w:rPr>
              <w:t xml:space="preserve">the </w:t>
            </w:r>
            <w:r w:rsidR="004D20AD">
              <w:rPr>
                <w:rFonts w:cs="Arial"/>
              </w:rPr>
              <w:t>FRDC and</w:t>
            </w:r>
            <w:r w:rsidRPr="00E23762">
              <w:rPr>
                <w:rFonts w:cs="Arial"/>
              </w:rPr>
              <w:t xml:space="preserve"> CSIRO, and the management regime was found to be working effectively in mitigating sustainability risks from fishing</w:t>
            </w:r>
            <w:r w:rsidR="00B1657D">
              <w:rPr>
                <w:rFonts w:cs="Arial"/>
              </w:rPr>
              <w:t xml:space="preserve"> </w:t>
            </w:r>
            <w:r w:rsidR="00B1657D" w:rsidRPr="000C7574">
              <w:rPr>
                <w:rFonts w:cs="Arial"/>
              </w:rPr>
              <w:t>(</w:t>
            </w:r>
            <w:hyperlink r:id="rId45" w:history="1">
              <w:r w:rsidR="00B1657D" w:rsidRPr="000C7574">
                <w:rPr>
                  <w:rStyle w:val="Hyperlink"/>
                  <w:rFonts w:cs="Arial"/>
                </w:rPr>
                <w:t>Skewes et al. 2014</w:t>
              </w:r>
            </w:hyperlink>
            <w:r w:rsidR="00B1657D" w:rsidRPr="000C7574">
              <w:rPr>
                <w:rFonts w:cs="Arial"/>
              </w:rPr>
              <w:t>)</w:t>
            </w:r>
            <w:r w:rsidRPr="00E23762">
              <w:rPr>
                <w:rFonts w:cs="Arial"/>
              </w:rPr>
              <w:t>.</w:t>
            </w:r>
          </w:p>
          <w:p w14:paraId="35A3557F" w14:textId="77777777" w:rsidR="009B1B92" w:rsidRPr="00E23762" w:rsidRDefault="009B1B92" w:rsidP="009B1B92">
            <w:pPr>
              <w:pStyle w:val="BodyText1"/>
              <w:spacing w:before="80" w:after="80" w:line="276" w:lineRule="auto"/>
              <w:rPr>
                <w:rFonts w:cs="Arial"/>
              </w:rPr>
            </w:pPr>
            <w:r w:rsidRPr="00E23762">
              <w:rPr>
                <w:rFonts w:cs="Arial"/>
              </w:rPr>
              <w:t xml:space="preserve">QDAF is progressing further fisheries reform to make management of this fishery more efficient and streamlined. These changes require legislative reform and are being considered by government as part of a broader Queensland fisheries reform process. </w:t>
            </w:r>
          </w:p>
          <w:p w14:paraId="5613C7FF" w14:textId="77777777" w:rsidR="009B1B92" w:rsidRPr="00E23762" w:rsidRDefault="009B1B92" w:rsidP="009B1B92">
            <w:pPr>
              <w:pStyle w:val="BodyText1"/>
              <w:spacing w:before="80" w:after="80" w:line="276" w:lineRule="auto"/>
              <w:rPr>
                <w:rFonts w:cs="Arial"/>
              </w:rPr>
            </w:pPr>
            <w:r w:rsidRPr="00E23762">
              <w:rPr>
                <w:rFonts w:cs="Arial"/>
              </w:rPr>
              <w:t xml:space="preserve">The proposed reforms for the Sea Cucumber Fishery include: </w:t>
            </w:r>
          </w:p>
          <w:p w14:paraId="4FEC59D4" w14:textId="77777777" w:rsidR="009B1B92" w:rsidRPr="00E23762" w:rsidRDefault="009B1B92" w:rsidP="009B1B92">
            <w:pPr>
              <w:pStyle w:val="BodyText1"/>
              <w:numPr>
                <w:ilvl w:val="0"/>
                <w:numId w:val="16"/>
              </w:numPr>
              <w:spacing w:before="80" w:after="80" w:line="276" w:lineRule="auto"/>
              <w:rPr>
                <w:rFonts w:cs="Arial"/>
              </w:rPr>
            </w:pPr>
            <w:r w:rsidRPr="00E23762">
              <w:rPr>
                <w:rFonts w:cs="Arial"/>
              </w:rPr>
              <w:t xml:space="preserve">making the minimum size limits part of an industry standard operating procedure </w:t>
            </w:r>
          </w:p>
          <w:p w14:paraId="393EEBD7" w14:textId="77777777" w:rsidR="009B1B92" w:rsidRPr="00E23762" w:rsidRDefault="009B1B92" w:rsidP="009B1B92">
            <w:pPr>
              <w:pStyle w:val="BodyText1"/>
              <w:numPr>
                <w:ilvl w:val="0"/>
                <w:numId w:val="16"/>
              </w:numPr>
              <w:spacing w:before="80" w:after="80" w:line="276" w:lineRule="auto"/>
              <w:rPr>
                <w:rFonts w:cs="Arial"/>
              </w:rPr>
            </w:pPr>
            <w:r w:rsidRPr="00E23762">
              <w:rPr>
                <w:rFonts w:cs="Arial"/>
              </w:rPr>
              <w:t>making total allowable catch limits as declared quotas in legislation instead of licence conditions; and</w:t>
            </w:r>
          </w:p>
          <w:p w14:paraId="3DEA5812" w14:textId="77777777" w:rsidR="009B1B92" w:rsidRPr="00E23762" w:rsidRDefault="009B1B92" w:rsidP="009B1B92">
            <w:pPr>
              <w:pStyle w:val="BodyText1"/>
              <w:numPr>
                <w:ilvl w:val="0"/>
                <w:numId w:val="16"/>
              </w:numPr>
              <w:spacing w:before="80" w:after="80" w:line="276" w:lineRule="auto"/>
              <w:rPr>
                <w:rFonts w:cs="Arial"/>
              </w:rPr>
            </w:pPr>
            <w:r w:rsidRPr="00E23762">
              <w:rPr>
                <w:rFonts w:cs="Arial"/>
              </w:rPr>
              <w:t xml:space="preserve">creating a harvest strategy which covers: </w:t>
            </w:r>
          </w:p>
          <w:p w14:paraId="62417085" w14:textId="39DE6161" w:rsidR="009B1B92" w:rsidRPr="00E23762" w:rsidRDefault="009B1B92" w:rsidP="009E3132">
            <w:pPr>
              <w:pStyle w:val="BodyText1"/>
              <w:numPr>
                <w:ilvl w:val="1"/>
                <w:numId w:val="16"/>
              </w:numPr>
              <w:spacing w:before="80" w:after="80" w:line="276" w:lineRule="auto"/>
              <w:ind w:left="1025"/>
              <w:rPr>
                <w:rFonts w:cs="Arial"/>
              </w:rPr>
            </w:pPr>
            <w:r w:rsidRPr="00E23762">
              <w:rPr>
                <w:rFonts w:cs="Arial"/>
              </w:rPr>
              <w:t xml:space="preserve">the </w:t>
            </w:r>
            <w:r w:rsidR="00CE7D9E" w:rsidRPr="00D05B14">
              <w:rPr>
                <w:rFonts w:cs="Arial"/>
              </w:rPr>
              <w:t>Rotational Zoning S</w:t>
            </w:r>
            <w:r w:rsidR="00CE7D9E">
              <w:rPr>
                <w:rFonts w:cs="Arial"/>
              </w:rPr>
              <w:t>trategy</w:t>
            </w:r>
            <w:r w:rsidRPr="00E23762">
              <w:rPr>
                <w:rFonts w:cs="Arial"/>
              </w:rPr>
              <w:t xml:space="preserve"> aspect of the MOU</w:t>
            </w:r>
          </w:p>
          <w:p w14:paraId="0386912F" w14:textId="77777777" w:rsidR="009B1B92" w:rsidRDefault="009B1B92" w:rsidP="009E3132">
            <w:pPr>
              <w:pStyle w:val="BodyText1"/>
              <w:numPr>
                <w:ilvl w:val="1"/>
                <w:numId w:val="16"/>
              </w:numPr>
              <w:spacing w:before="80" w:after="80" w:line="276" w:lineRule="auto"/>
              <w:ind w:left="1025"/>
              <w:rPr>
                <w:rFonts w:cs="Arial"/>
              </w:rPr>
            </w:pPr>
            <w:r w:rsidRPr="00E23762">
              <w:rPr>
                <w:rFonts w:cs="Arial"/>
              </w:rPr>
              <w:t>sectoral catch shares</w:t>
            </w:r>
          </w:p>
          <w:p w14:paraId="5C7C7D02" w14:textId="77777777" w:rsidR="009B1B92" w:rsidRDefault="009B1B92" w:rsidP="009E3132">
            <w:pPr>
              <w:pStyle w:val="BodyText1"/>
              <w:numPr>
                <w:ilvl w:val="1"/>
                <w:numId w:val="16"/>
              </w:numPr>
              <w:spacing w:before="80" w:after="80" w:line="276" w:lineRule="auto"/>
              <w:ind w:left="1025"/>
              <w:rPr>
                <w:rFonts w:cs="Arial"/>
              </w:rPr>
            </w:pPr>
            <w:r w:rsidRPr="00AD24CF">
              <w:rPr>
                <w:rFonts w:cs="Arial"/>
              </w:rPr>
              <w:t>catch triggers for tier 2 species and the management responses currently outlined in the PMS.</w:t>
            </w:r>
          </w:p>
          <w:p w14:paraId="2ED493C3" w14:textId="77777777" w:rsidR="009B1B92" w:rsidRPr="009A3F6F" w:rsidRDefault="009B1B92" w:rsidP="009B1B92">
            <w:pPr>
              <w:spacing w:before="80" w:after="80" w:line="276" w:lineRule="auto"/>
              <w:rPr>
                <w:rFonts w:cs="Arial"/>
              </w:rPr>
            </w:pPr>
            <w:r w:rsidRPr="009A3F6F">
              <w:rPr>
                <w:rFonts w:cs="Arial"/>
              </w:rPr>
              <w:t>Commercial fishers are required to report landed catch and effort to QDAF through logbooks and other quota reporting systems.</w:t>
            </w:r>
          </w:p>
          <w:p w14:paraId="2C35781B" w14:textId="77777777" w:rsidR="009B1B92" w:rsidRPr="009A3F6F" w:rsidRDefault="009B1B92" w:rsidP="009B1B92">
            <w:pPr>
              <w:spacing w:before="80" w:after="80" w:line="276" w:lineRule="auto"/>
              <w:rPr>
                <w:rFonts w:cs="Arial"/>
                <w:lang w:val="en"/>
              </w:rPr>
            </w:pPr>
            <w:r w:rsidRPr="009A3F6F">
              <w:rPr>
                <w:rFonts w:cs="Arial"/>
              </w:rPr>
              <w:t xml:space="preserve">Species that are subject to catch limits must be reported using QDAF’s Automated Integrated Voice Response (AIVR) system. The AIVR system requires fishers to report their catch prior to landing, and this helps to facilitate compliance inspections and enforcement of catch limits. </w:t>
            </w:r>
            <w:r w:rsidRPr="009A3F6F">
              <w:rPr>
                <w:rFonts w:cs="Arial"/>
                <w:lang w:val="en"/>
              </w:rPr>
              <w:t>Mandatory use of Vessel Monitoring Systems (VMS) also provide information to QDAF about vessel locations and activities.</w:t>
            </w:r>
          </w:p>
          <w:p w14:paraId="20A1EB0F" w14:textId="33BF56BE" w:rsidR="00843907" w:rsidRDefault="009B1B92" w:rsidP="009B1B92">
            <w:pPr>
              <w:spacing w:before="80" w:after="80" w:line="276" w:lineRule="auto"/>
              <w:rPr>
                <w:rFonts w:cs="Arial"/>
              </w:rPr>
            </w:pPr>
            <w:r w:rsidRPr="009A3F6F">
              <w:rPr>
                <w:rFonts w:cs="Arial"/>
              </w:rPr>
              <w:t xml:space="preserve">Catch can also be verified using the </w:t>
            </w:r>
            <w:proofErr w:type="spellStart"/>
            <w:r w:rsidRPr="009A3F6F">
              <w:rPr>
                <w:rFonts w:cs="Arial"/>
              </w:rPr>
              <w:t>Beche</w:t>
            </w:r>
            <w:proofErr w:type="spellEnd"/>
            <w:r w:rsidRPr="009A3F6F">
              <w:rPr>
                <w:rFonts w:cs="Arial"/>
              </w:rPr>
              <w:t>-de-</w:t>
            </w:r>
            <w:proofErr w:type="spellStart"/>
            <w:r w:rsidRPr="009A3F6F">
              <w:rPr>
                <w:rFonts w:cs="Arial"/>
              </w:rPr>
              <w:t>mer</w:t>
            </w:r>
            <w:proofErr w:type="spellEnd"/>
            <w:r w:rsidRPr="009A3F6F">
              <w:rPr>
                <w:rFonts w:cs="Arial"/>
              </w:rPr>
              <w:t xml:space="preserve"> Buyers Reporting Logbook (</w:t>
            </w:r>
            <w:hyperlink r:id="rId46" w:history="1">
              <w:r w:rsidR="004E78FF" w:rsidRPr="004E78FF">
                <w:rPr>
                  <w:rStyle w:val="Hyperlink"/>
                  <w:rFonts w:cs="Arial"/>
                  <w:szCs w:val="20"/>
                  <w:lang w:eastAsia="en-AU"/>
                </w:rPr>
                <w:t>BB02</w:t>
              </w:r>
            </w:hyperlink>
            <w:r w:rsidRPr="009A3F6F">
              <w:rPr>
                <w:rFonts w:cs="Arial"/>
              </w:rPr>
              <w:t xml:space="preserve">). These logbooks </w:t>
            </w:r>
            <w:r w:rsidR="003D2956">
              <w:rPr>
                <w:rFonts w:cs="Arial"/>
              </w:rPr>
              <w:t xml:space="preserve">provide more </w:t>
            </w:r>
            <w:r w:rsidRPr="009A3F6F">
              <w:rPr>
                <w:rFonts w:cs="Arial"/>
              </w:rPr>
              <w:t>accurate logs of weighed processed product</w:t>
            </w:r>
            <w:r w:rsidR="003D2956">
              <w:rPr>
                <w:rFonts w:cs="Arial"/>
              </w:rPr>
              <w:t xml:space="preserve"> than </w:t>
            </w:r>
            <w:proofErr w:type="gramStart"/>
            <w:r w:rsidR="003D2956">
              <w:rPr>
                <w:rFonts w:cs="Arial"/>
              </w:rPr>
              <w:t>fishers</w:t>
            </w:r>
            <w:proofErr w:type="gramEnd"/>
            <w:r w:rsidR="003D2956">
              <w:rPr>
                <w:rFonts w:cs="Arial"/>
              </w:rPr>
              <w:t xml:space="preserve"> </w:t>
            </w:r>
            <w:r w:rsidRPr="009A3F6F">
              <w:rPr>
                <w:rFonts w:cs="Arial"/>
              </w:rPr>
              <w:t>logbook</w:t>
            </w:r>
            <w:r w:rsidR="003D2956">
              <w:rPr>
                <w:rFonts w:cs="Arial"/>
              </w:rPr>
              <w:t>s</w:t>
            </w:r>
            <w:r w:rsidRPr="009A3F6F">
              <w:rPr>
                <w:rFonts w:cs="Arial"/>
              </w:rPr>
              <w:t xml:space="preserve"> or AIVR </w:t>
            </w:r>
            <w:r w:rsidRPr="003D2956">
              <w:rPr>
                <w:rFonts w:cs="Arial"/>
              </w:rPr>
              <w:t>reported weights</w:t>
            </w:r>
            <w:r w:rsidR="003D2956">
              <w:rPr>
                <w:rFonts w:cs="Arial"/>
              </w:rPr>
              <w:t>, and are important for monitoring catches against catch limits</w:t>
            </w:r>
            <w:r w:rsidRPr="003D2956">
              <w:rPr>
                <w:rFonts w:cs="Arial"/>
              </w:rPr>
              <w:t>.</w:t>
            </w:r>
          </w:p>
          <w:p w14:paraId="3A9F5820" w14:textId="02DD0224" w:rsidR="00C159FF" w:rsidRPr="00A94147" w:rsidRDefault="00C159FF" w:rsidP="009B1B92">
            <w:pPr>
              <w:spacing w:before="80" w:after="80" w:line="276" w:lineRule="auto"/>
              <w:rPr>
                <w:rFonts w:cs="Arial"/>
                <w:highlight w:val="yellow"/>
              </w:rPr>
            </w:pPr>
            <w:r w:rsidRPr="003D2956">
              <w:rPr>
                <w:rFonts w:cs="Arial"/>
              </w:rPr>
              <w:t xml:space="preserve">Species minimum size limits are prescribed in the memorandum of understanding between the Queensland Sea Cucumber Industry Association and QDAF, and most of these (except Black </w:t>
            </w:r>
            <w:proofErr w:type="spellStart"/>
            <w:r w:rsidRPr="003D2956">
              <w:rPr>
                <w:rFonts w:cs="Arial"/>
              </w:rPr>
              <w:t>Teatfish</w:t>
            </w:r>
            <w:proofErr w:type="spellEnd"/>
            <w:r w:rsidRPr="003D2956">
              <w:rPr>
                <w:rFonts w:cs="Arial"/>
              </w:rPr>
              <w:t xml:space="preserve">) are also detailed in permit conditions. However, size limits are difficult to enforce for sea cucumbers </w:t>
            </w:r>
            <w:r w:rsidRPr="003D2956">
              <w:rPr>
                <w:rFonts w:cs="Arial"/>
              </w:rPr>
              <w:lastRenderedPageBreak/>
              <w:t>due to their body form. Dimensions including total length vary considerably depending on water content, recent feeding</w:t>
            </w:r>
            <w:r w:rsidR="003C7C92" w:rsidRPr="003D2956">
              <w:rPr>
                <w:rFonts w:cs="Arial"/>
              </w:rPr>
              <w:t xml:space="preserve"> and</w:t>
            </w:r>
            <w:r w:rsidRPr="003D2956">
              <w:rPr>
                <w:rFonts w:cs="Arial"/>
              </w:rPr>
              <w:t xml:space="preserve"> how they are being held. The fishery is however highly selective</w:t>
            </w:r>
            <w:r w:rsidR="007D14FA" w:rsidRPr="003D2956">
              <w:rPr>
                <w:rFonts w:cs="Arial"/>
              </w:rPr>
              <w:t>,</w:t>
            </w:r>
            <w:r w:rsidRPr="003D2956">
              <w:rPr>
                <w:rFonts w:cs="Arial"/>
              </w:rPr>
              <w:t xml:space="preserve"> and fishers generally avoid collecting specimens close to the minimum size</w:t>
            </w:r>
            <w:r w:rsidR="00DE41F0" w:rsidRPr="003D2956">
              <w:rPr>
                <w:rFonts w:cs="Arial"/>
              </w:rPr>
              <w:t xml:space="preserve"> (QDAF pers comm 1 September 2020).</w:t>
            </w:r>
          </w:p>
        </w:tc>
      </w:tr>
      <w:tr w:rsidR="0002308E" w:rsidRPr="00A94147" w14:paraId="100A4FFE" w14:textId="77777777" w:rsidTr="00BE61B6">
        <w:trPr>
          <w:cantSplit/>
        </w:trPr>
        <w:tc>
          <w:tcPr>
            <w:tcW w:w="1532" w:type="pct"/>
            <w:shd w:val="clear" w:color="auto" w:fill="auto"/>
          </w:tcPr>
          <w:p w14:paraId="614D9915" w14:textId="77777777" w:rsidR="0002308E" w:rsidRPr="00BE61B6" w:rsidRDefault="0002308E" w:rsidP="007F171B">
            <w:pPr>
              <w:spacing w:before="80" w:after="80" w:line="276" w:lineRule="auto"/>
              <w:rPr>
                <w:rFonts w:cs="Arial"/>
              </w:rPr>
            </w:pPr>
            <w:r w:rsidRPr="00BE61B6">
              <w:rPr>
                <w:rFonts w:cs="Arial"/>
                <w:b/>
                <w:i/>
              </w:rPr>
              <w:lastRenderedPageBreak/>
              <w:t xml:space="preserve">1.1.8 </w:t>
            </w:r>
            <w:r w:rsidRPr="00BE61B6">
              <w:rPr>
                <w:rFonts w:cs="Arial"/>
              </w:rPr>
              <w:t>Fishing is conducted in a manner that does not threaten stocks of by-product species.</w:t>
            </w:r>
          </w:p>
        </w:tc>
        <w:tc>
          <w:tcPr>
            <w:tcW w:w="3468" w:type="pct"/>
            <w:shd w:val="clear" w:color="auto" w:fill="auto"/>
          </w:tcPr>
          <w:p w14:paraId="695C2BD4" w14:textId="2643C06B" w:rsidR="00CF40DA" w:rsidRPr="00BE61B6" w:rsidRDefault="009B1B92" w:rsidP="007F171B">
            <w:pPr>
              <w:spacing w:before="80" w:after="80" w:line="276" w:lineRule="auto"/>
              <w:rPr>
                <w:rFonts w:cs="Arial"/>
                <w:b/>
              </w:rPr>
            </w:pPr>
            <w:r w:rsidRPr="00BE61B6">
              <w:rPr>
                <w:rFonts w:cs="Arial"/>
                <w:b/>
              </w:rPr>
              <w:t>Not applicable</w:t>
            </w:r>
            <w:r w:rsidR="0002308E" w:rsidRPr="00BE61B6">
              <w:rPr>
                <w:rFonts w:cs="Arial"/>
                <w:b/>
              </w:rPr>
              <w:t xml:space="preserve"> –</w:t>
            </w:r>
            <w:r w:rsidRPr="00BE61B6">
              <w:rPr>
                <w:rFonts w:cs="Arial"/>
                <w:b/>
              </w:rPr>
              <w:t xml:space="preserve"> the fishery is a hand-collection fishery and is therefore extremely targeted (without bycatch or </w:t>
            </w:r>
            <w:proofErr w:type="spellStart"/>
            <w:r w:rsidRPr="00BE61B6">
              <w:rPr>
                <w:rFonts w:cs="Arial"/>
                <w:b/>
              </w:rPr>
              <w:t>byproduct</w:t>
            </w:r>
            <w:proofErr w:type="spellEnd"/>
            <w:r w:rsidRPr="00BE61B6">
              <w:rPr>
                <w:rFonts w:cs="Arial"/>
                <w:b/>
              </w:rPr>
              <w:t>)</w:t>
            </w:r>
          </w:p>
        </w:tc>
      </w:tr>
      <w:tr w:rsidR="0002308E" w:rsidRPr="00A94147" w14:paraId="4C8262A8" w14:textId="77777777" w:rsidTr="00740F71">
        <w:trPr>
          <w:cantSplit/>
        </w:trPr>
        <w:tc>
          <w:tcPr>
            <w:tcW w:w="1532" w:type="pct"/>
            <w:shd w:val="clear" w:color="auto" w:fill="92D050"/>
          </w:tcPr>
          <w:p w14:paraId="76AB6CEE" w14:textId="77777777" w:rsidR="0002308E" w:rsidRPr="003D2956" w:rsidRDefault="0002308E" w:rsidP="007F171B">
            <w:pPr>
              <w:spacing w:before="80" w:after="80" w:line="276" w:lineRule="auto"/>
              <w:rPr>
                <w:rFonts w:cs="Arial"/>
              </w:rPr>
            </w:pPr>
            <w:r w:rsidRPr="003D2956">
              <w:rPr>
                <w:rFonts w:cs="Arial"/>
                <w:b/>
                <w:i/>
              </w:rPr>
              <w:t xml:space="preserve">1.1.9 </w:t>
            </w:r>
            <w:r w:rsidRPr="003D2956">
              <w:rPr>
                <w:rFonts w:cs="Arial"/>
              </w:rPr>
              <w:t>The management response, considering uncertainties in the assessment and precautionary management actions, has a high chance of achieving the objective.</w:t>
            </w:r>
          </w:p>
        </w:tc>
        <w:tc>
          <w:tcPr>
            <w:tcW w:w="3468" w:type="pct"/>
            <w:shd w:val="clear" w:color="auto" w:fill="auto"/>
          </w:tcPr>
          <w:p w14:paraId="297EE65E" w14:textId="77777777" w:rsidR="0002308E" w:rsidRPr="003D2956" w:rsidRDefault="0002308E" w:rsidP="007F171B">
            <w:pPr>
              <w:spacing w:before="80" w:after="80" w:line="276" w:lineRule="auto"/>
              <w:rPr>
                <w:rFonts w:cs="Arial"/>
                <w:b/>
              </w:rPr>
            </w:pPr>
            <w:r w:rsidRPr="003D2956">
              <w:rPr>
                <w:rFonts w:cs="Arial"/>
                <w:b/>
              </w:rPr>
              <w:t>Meets – subject to conditions</w:t>
            </w:r>
          </w:p>
          <w:p w14:paraId="04585A07" w14:textId="7E0F893E" w:rsidR="0002308E" w:rsidRPr="00A94147" w:rsidRDefault="0002308E" w:rsidP="009B1B92">
            <w:pPr>
              <w:spacing w:before="80" w:after="80" w:line="276" w:lineRule="auto"/>
              <w:rPr>
                <w:rFonts w:cs="Arial"/>
                <w:highlight w:val="yellow"/>
              </w:rPr>
            </w:pPr>
            <w:r w:rsidRPr="003D2956">
              <w:rPr>
                <w:rFonts w:cs="Arial"/>
              </w:rPr>
              <w:t>The management arrangements</w:t>
            </w:r>
            <w:r w:rsidR="009B1B92" w:rsidRPr="003D2956">
              <w:rPr>
                <w:rFonts w:cs="Arial"/>
              </w:rPr>
              <w:t xml:space="preserve"> are sufficiently robust</w:t>
            </w:r>
            <w:r w:rsidR="008224FF" w:rsidRPr="003D2956">
              <w:rPr>
                <w:rFonts w:cs="Arial"/>
              </w:rPr>
              <w:t xml:space="preserve"> for the period of the proposed approval</w:t>
            </w:r>
            <w:r w:rsidR="000E14AE" w:rsidRPr="003D2956">
              <w:rPr>
                <w:rFonts w:cs="Arial"/>
              </w:rPr>
              <w:t>. However, there are currently no stock assessments for any species in the fishery and very little</w:t>
            </w:r>
            <w:r w:rsidR="009B1B92" w:rsidRPr="003D2956">
              <w:rPr>
                <w:rFonts w:cs="Arial"/>
              </w:rPr>
              <w:t xml:space="preserve"> information on the </w:t>
            </w:r>
            <w:r w:rsidR="000E14AE" w:rsidRPr="003D2956">
              <w:rPr>
                <w:rFonts w:cs="Arial"/>
              </w:rPr>
              <w:t xml:space="preserve">biology, </w:t>
            </w:r>
            <w:proofErr w:type="gramStart"/>
            <w:r w:rsidR="000E14AE" w:rsidRPr="003D2956">
              <w:rPr>
                <w:rFonts w:cs="Arial"/>
              </w:rPr>
              <w:t>density</w:t>
            </w:r>
            <w:proofErr w:type="gramEnd"/>
            <w:r w:rsidR="000E14AE" w:rsidRPr="003D2956">
              <w:rPr>
                <w:rFonts w:cs="Arial"/>
              </w:rPr>
              <w:t xml:space="preserve"> or biomass of the </w:t>
            </w:r>
            <w:r w:rsidR="009B1B92" w:rsidRPr="003D2956">
              <w:rPr>
                <w:rFonts w:cs="Arial"/>
              </w:rPr>
              <w:t xml:space="preserve">stocks. </w:t>
            </w:r>
            <w:r w:rsidRPr="003D2956">
              <w:rPr>
                <w:rFonts w:cs="Arial"/>
              </w:rPr>
              <w:t xml:space="preserve">The Department </w:t>
            </w:r>
            <w:r w:rsidR="000E14AE" w:rsidRPr="003D2956">
              <w:rPr>
                <w:rFonts w:cs="Arial"/>
              </w:rPr>
              <w:t>recommends condition</w:t>
            </w:r>
            <w:r w:rsidR="003D2956" w:rsidRPr="003D2956">
              <w:rPr>
                <w:rFonts w:cs="Arial"/>
              </w:rPr>
              <w:t>s</w:t>
            </w:r>
            <w:r w:rsidR="000E14AE" w:rsidRPr="003D2956">
              <w:rPr>
                <w:rFonts w:cs="Arial"/>
              </w:rPr>
              <w:t xml:space="preserve"> </w:t>
            </w:r>
            <w:r w:rsidR="003D2956" w:rsidRPr="003D2956">
              <w:rPr>
                <w:rFonts w:cs="Arial"/>
              </w:rPr>
              <w:t>4-7</w:t>
            </w:r>
            <w:r w:rsidR="000E14AE" w:rsidRPr="003D2956">
              <w:rPr>
                <w:rFonts w:cs="Arial"/>
              </w:rPr>
              <w:t xml:space="preserve"> be attached to the </w:t>
            </w:r>
            <w:r w:rsidRPr="003D2956">
              <w:rPr>
                <w:rFonts w:cs="Arial"/>
              </w:rPr>
              <w:t xml:space="preserve">proposed Part 13A approval to </w:t>
            </w:r>
            <w:r w:rsidR="000E14AE" w:rsidRPr="003D2956">
              <w:rPr>
                <w:rFonts w:cs="Arial"/>
              </w:rPr>
              <w:t xml:space="preserve">improve understanding of the stocks and to </w:t>
            </w:r>
            <w:r w:rsidRPr="003D2956">
              <w:rPr>
                <w:rFonts w:cs="Arial"/>
              </w:rPr>
              <w:t xml:space="preserve">ensure management </w:t>
            </w:r>
            <w:r w:rsidR="000E14AE" w:rsidRPr="003D2956">
              <w:rPr>
                <w:rFonts w:cs="Arial"/>
              </w:rPr>
              <w:t>arrangements remain effective.</w:t>
            </w:r>
            <w:r w:rsidR="000E14AE" w:rsidRPr="007110A2">
              <w:rPr>
                <w:rFonts w:cs="Arial"/>
              </w:rPr>
              <w:t xml:space="preserve"> </w:t>
            </w:r>
            <w:r w:rsidR="000E14AE" w:rsidRPr="00AE5829">
              <w:rPr>
                <w:rFonts w:cs="Arial"/>
              </w:rPr>
              <w:t xml:space="preserve">These conditions are targeted at CITES-listed Black and White </w:t>
            </w:r>
            <w:proofErr w:type="spellStart"/>
            <w:r w:rsidR="000E14AE" w:rsidRPr="00AE5829">
              <w:rPr>
                <w:rFonts w:cs="Arial"/>
              </w:rPr>
              <w:t>Teatfish</w:t>
            </w:r>
            <w:proofErr w:type="spellEnd"/>
            <w:r w:rsidR="000E14AE" w:rsidRPr="00AE5829">
              <w:rPr>
                <w:rFonts w:cs="Arial"/>
              </w:rPr>
              <w:t xml:space="preserve"> species but </w:t>
            </w:r>
            <w:r w:rsidR="003D2956" w:rsidRPr="00AE5829">
              <w:rPr>
                <w:rFonts w:cs="Arial"/>
              </w:rPr>
              <w:t xml:space="preserve">could </w:t>
            </w:r>
            <w:r w:rsidR="000E14AE" w:rsidRPr="00AE5829">
              <w:rPr>
                <w:rFonts w:cs="Arial"/>
              </w:rPr>
              <w:t xml:space="preserve">be extended to remaining species in </w:t>
            </w:r>
            <w:r w:rsidRPr="00AE5829">
              <w:rPr>
                <w:rFonts w:cs="Arial"/>
              </w:rPr>
              <w:t xml:space="preserve">the fishery </w:t>
            </w:r>
            <w:r w:rsidR="003D2956" w:rsidRPr="00AE5829">
              <w:rPr>
                <w:rFonts w:cs="Arial"/>
              </w:rPr>
              <w:t>in future</w:t>
            </w:r>
            <w:r w:rsidRPr="00AE5829">
              <w:rPr>
                <w:rFonts w:cs="Arial"/>
              </w:rPr>
              <w:t>.</w:t>
            </w:r>
          </w:p>
        </w:tc>
      </w:tr>
      <w:tr w:rsidR="0002308E" w:rsidRPr="00A94147" w14:paraId="12C5F837" w14:textId="77777777" w:rsidTr="00796D99">
        <w:trPr>
          <w:cantSplit/>
        </w:trPr>
        <w:tc>
          <w:tcPr>
            <w:tcW w:w="5000" w:type="pct"/>
            <w:gridSpan w:val="2"/>
            <w:shd w:val="clear" w:color="auto" w:fill="B6DDE8"/>
          </w:tcPr>
          <w:p w14:paraId="410FB600" w14:textId="77777777" w:rsidR="0002308E" w:rsidRPr="00BE61B6" w:rsidRDefault="0002308E" w:rsidP="007F171B">
            <w:pPr>
              <w:spacing w:before="80" w:after="80" w:line="276" w:lineRule="auto"/>
              <w:rPr>
                <w:rFonts w:cs="Arial"/>
                <w:b/>
              </w:rPr>
            </w:pPr>
            <w:r w:rsidRPr="00BE61B6">
              <w:rPr>
                <w:rFonts w:cs="Arial"/>
                <w:b/>
              </w:rPr>
              <w:t xml:space="preserve">Objective 2 - </w:t>
            </w:r>
            <w:r w:rsidRPr="00BE61B6">
              <w:rPr>
                <w:rFonts w:cs="Arial"/>
              </w:rPr>
              <w:t xml:space="preserve">Where the fished stock(s) are below a defined reference point, the fishery will be managed to promote recovery to ecologically viable stock levels within nominated timeframes. </w:t>
            </w:r>
          </w:p>
        </w:tc>
      </w:tr>
      <w:tr w:rsidR="0002308E" w:rsidRPr="00A94147" w14:paraId="7F06F122" w14:textId="77777777" w:rsidTr="00796D99">
        <w:trPr>
          <w:cantSplit/>
        </w:trPr>
        <w:tc>
          <w:tcPr>
            <w:tcW w:w="5000" w:type="pct"/>
            <w:gridSpan w:val="2"/>
            <w:shd w:val="clear" w:color="auto" w:fill="DAEEF3"/>
          </w:tcPr>
          <w:p w14:paraId="4FD02421" w14:textId="77777777" w:rsidR="0002308E" w:rsidRPr="00BE61B6" w:rsidRDefault="0002308E" w:rsidP="007F171B">
            <w:pPr>
              <w:spacing w:before="80" w:after="80" w:line="276" w:lineRule="auto"/>
              <w:rPr>
                <w:rFonts w:cs="Arial"/>
                <w:b/>
                <w:i/>
              </w:rPr>
            </w:pPr>
            <w:r w:rsidRPr="00BE61B6">
              <w:rPr>
                <w:rFonts w:cs="Arial"/>
                <w:b/>
                <w:i/>
              </w:rPr>
              <w:t xml:space="preserve">Management responses </w:t>
            </w:r>
          </w:p>
        </w:tc>
      </w:tr>
      <w:tr w:rsidR="0002308E" w:rsidRPr="00A94147" w14:paraId="46E816E8" w14:textId="77777777" w:rsidTr="00740F71">
        <w:trPr>
          <w:cantSplit/>
        </w:trPr>
        <w:tc>
          <w:tcPr>
            <w:tcW w:w="1532" w:type="pct"/>
            <w:tcBorders>
              <w:bottom w:val="single" w:sz="4" w:space="0" w:color="auto"/>
            </w:tcBorders>
          </w:tcPr>
          <w:p w14:paraId="485D9BD0" w14:textId="77777777" w:rsidR="0002308E" w:rsidRPr="00BE61B6" w:rsidRDefault="0002308E" w:rsidP="007F171B">
            <w:pPr>
              <w:spacing w:before="80" w:after="80" w:line="276" w:lineRule="auto"/>
              <w:rPr>
                <w:rFonts w:cs="Arial"/>
              </w:rPr>
            </w:pPr>
            <w:r w:rsidRPr="00BE61B6">
              <w:rPr>
                <w:rFonts w:cs="Arial"/>
                <w:b/>
                <w:i/>
              </w:rPr>
              <w:t xml:space="preserve">1.2.1 </w:t>
            </w:r>
            <w:r w:rsidRPr="00BE61B6">
              <w:rPr>
                <w:rFonts w:cs="Arial"/>
              </w:rPr>
              <w:t xml:space="preserve">A precautionary recovery strategy is in place specifying management actions, or staged management responses, which are linked to reference points. The recovery strategy should apply until the stock </w:t>
            </w:r>
            <w:proofErr w:type="gramStart"/>
            <w:r w:rsidRPr="00BE61B6">
              <w:rPr>
                <w:rFonts w:cs="Arial"/>
              </w:rPr>
              <w:t>recovers, and</w:t>
            </w:r>
            <w:proofErr w:type="gramEnd"/>
            <w:r w:rsidRPr="00BE61B6">
              <w:rPr>
                <w:rFonts w:cs="Arial"/>
              </w:rPr>
              <w:t xml:space="preserve"> should aim for recovery within a specific time period appropriate to the biology of the stock.</w:t>
            </w:r>
          </w:p>
        </w:tc>
        <w:tc>
          <w:tcPr>
            <w:tcW w:w="3468" w:type="pct"/>
            <w:vMerge w:val="restart"/>
            <w:shd w:val="clear" w:color="auto" w:fill="auto"/>
          </w:tcPr>
          <w:p w14:paraId="4A2F5B25" w14:textId="77777777" w:rsidR="0002308E" w:rsidRPr="00BE61B6" w:rsidRDefault="0002308E" w:rsidP="007F171B">
            <w:pPr>
              <w:spacing w:before="80" w:after="80" w:line="276" w:lineRule="auto"/>
              <w:rPr>
                <w:rFonts w:cs="Arial"/>
                <w:b/>
              </w:rPr>
            </w:pPr>
            <w:r w:rsidRPr="00BE61B6">
              <w:rPr>
                <w:rFonts w:cs="Arial"/>
                <w:b/>
              </w:rPr>
              <w:t>Not applicable</w:t>
            </w:r>
          </w:p>
          <w:p w14:paraId="15C87974" w14:textId="5CC9C408" w:rsidR="0002308E" w:rsidRPr="00BE61B6" w:rsidRDefault="009B1B92" w:rsidP="007F171B">
            <w:pPr>
              <w:spacing w:before="80" w:after="80" w:line="276" w:lineRule="auto"/>
              <w:rPr>
                <w:rFonts w:cs="Arial"/>
              </w:rPr>
            </w:pPr>
            <w:r w:rsidRPr="00BE61B6">
              <w:rPr>
                <w:rFonts w:cs="Arial"/>
              </w:rPr>
              <w:t>N</w:t>
            </w:r>
            <w:r w:rsidR="0035549D" w:rsidRPr="00BE61B6">
              <w:rPr>
                <w:rFonts w:cs="Arial"/>
              </w:rPr>
              <w:t xml:space="preserve">o </w:t>
            </w:r>
            <w:r w:rsidR="0002308E" w:rsidRPr="00BE61B6">
              <w:rPr>
                <w:rFonts w:cs="Arial"/>
              </w:rPr>
              <w:t xml:space="preserve">stocks in the </w:t>
            </w:r>
            <w:r w:rsidR="000930C1" w:rsidRPr="00BE61B6">
              <w:rPr>
                <w:rFonts w:cs="Arial"/>
              </w:rPr>
              <w:t xml:space="preserve">Queensland </w:t>
            </w:r>
            <w:r w:rsidR="00BF3D43">
              <w:rPr>
                <w:rFonts w:cs="Arial"/>
              </w:rPr>
              <w:t>Sea Cucumber Fishery (East Coast)</w:t>
            </w:r>
            <w:r w:rsidR="00DA4AEA" w:rsidRPr="00BE61B6">
              <w:rPr>
                <w:rFonts w:cs="Arial"/>
              </w:rPr>
              <w:t xml:space="preserve"> have been identified as overfished</w:t>
            </w:r>
            <w:r w:rsidR="00BE61B6" w:rsidRPr="00BE61B6">
              <w:rPr>
                <w:rFonts w:cs="Arial"/>
              </w:rPr>
              <w:t>.</w:t>
            </w:r>
          </w:p>
        </w:tc>
      </w:tr>
      <w:tr w:rsidR="0002308E" w:rsidRPr="00A94147" w14:paraId="461E41F1" w14:textId="77777777" w:rsidTr="00740F71">
        <w:trPr>
          <w:cantSplit/>
        </w:trPr>
        <w:tc>
          <w:tcPr>
            <w:tcW w:w="1532" w:type="pct"/>
            <w:tcBorders>
              <w:bottom w:val="single" w:sz="4" w:space="0" w:color="auto"/>
            </w:tcBorders>
          </w:tcPr>
          <w:p w14:paraId="50C38BDC" w14:textId="77777777" w:rsidR="0002308E" w:rsidRPr="00BE61B6" w:rsidRDefault="0002308E" w:rsidP="007F171B">
            <w:pPr>
              <w:spacing w:before="80" w:after="80" w:line="276" w:lineRule="auto"/>
              <w:rPr>
                <w:rFonts w:cs="Arial"/>
              </w:rPr>
            </w:pPr>
            <w:r w:rsidRPr="00BE61B6">
              <w:rPr>
                <w:rFonts w:cs="Arial"/>
                <w:b/>
                <w:i/>
              </w:rPr>
              <w:lastRenderedPageBreak/>
              <w:t xml:space="preserve">1.2.2 </w:t>
            </w:r>
            <w:r w:rsidRPr="00BE61B6">
              <w:rPr>
                <w:rFonts w:cs="Arial"/>
              </w:rPr>
              <w:t>If the stock is estimated as being at or below the biological and / or effort bottom line, management responses such as a zero targeted catch, temporary fishery closure or a ‘whole of fishery’ effort or quota reduction are implemented.</w:t>
            </w:r>
          </w:p>
        </w:tc>
        <w:tc>
          <w:tcPr>
            <w:tcW w:w="3468" w:type="pct"/>
            <w:vMerge/>
            <w:tcBorders>
              <w:bottom w:val="single" w:sz="4" w:space="0" w:color="auto"/>
            </w:tcBorders>
            <w:shd w:val="clear" w:color="auto" w:fill="auto"/>
          </w:tcPr>
          <w:p w14:paraId="78D95EFE" w14:textId="77777777" w:rsidR="0002308E" w:rsidRPr="00BE61B6" w:rsidRDefault="0002308E" w:rsidP="007F171B">
            <w:pPr>
              <w:spacing w:before="80" w:after="80" w:line="276" w:lineRule="auto"/>
              <w:rPr>
                <w:rFonts w:cs="Arial"/>
              </w:rPr>
            </w:pPr>
          </w:p>
        </w:tc>
      </w:tr>
      <w:tr w:rsidR="0002308E" w:rsidRPr="00A94147" w14:paraId="20E0ADF0" w14:textId="77777777" w:rsidTr="00796D99">
        <w:trPr>
          <w:cantSplit/>
        </w:trPr>
        <w:tc>
          <w:tcPr>
            <w:tcW w:w="5000" w:type="pct"/>
            <w:gridSpan w:val="2"/>
            <w:tcBorders>
              <w:top w:val="single" w:sz="4" w:space="0" w:color="auto"/>
            </w:tcBorders>
            <w:shd w:val="clear" w:color="auto" w:fill="B2A1C7"/>
          </w:tcPr>
          <w:p w14:paraId="11D48435" w14:textId="77777777" w:rsidR="0002308E" w:rsidRPr="00BE61B6" w:rsidRDefault="0002308E" w:rsidP="007F171B">
            <w:pPr>
              <w:autoSpaceDE w:val="0"/>
              <w:autoSpaceDN w:val="0"/>
              <w:adjustRightInd w:val="0"/>
              <w:spacing w:before="80" w:after="80" w:line="276" w:lineRule="auto"/>
              <w:rPr>
                <w:rFonts w:cs="Arial"/>
              </w:rPr>
            </w:pPr>
            <w:r w:rsidRPr="00BE61B6">
              <w:rPr>
                <w:rFonts w:cs="Arial"/>
                <w:b/>
              </w:rPr>
              <w:t xml:space="preserve">PRINCIPLE 2 - </w:t>
            </w:r>
            <w:r w:rsidRPr="00BE61B6">
              <w:rPr>
                <w:rFonts w:cs="Arial"/>
              </w:rPr>
              <w:t xml:space="preserve">Fishing operations should be managed to minimise their impact on the structure, productivity, </w:t>
            </w:r>
            <w:proofErr w:type="gramStart"/>
            <w:r w:rsidRPr="00BE61B6">
              <w:rPr>
                <w:rFonts w:cs="Arial"/>
              </w:rPr>
              <w:t>function</w:t>
            </w:r>
            <w:proofErr w:type="gramEnd"/>
            <w:r w:rsidRPr="00BE61B6">
              <w:rPr>
                <w:rFonts w:cs="Arial"/>
              </w:rPr>
              <w:t xml:space="preserve"> and biological diversity of the ecosystem.</w:t>
            </w:r>
          </w:p>
        </w:tc>
      </w:tr>
      <w:tr w:rsidR="0002308E" w:rsidRPr="00A94147" w14:paraId="794A95C1" w14:textId="77777777" w:rsidTr="00796D99">
        <w:trPr>
          <w:cantSplit/>
        </w:trPr>
        <w:tc>
          <w:tcPr>
            <w:tcW w:w="5000" w:type="pct"/>
            <w:gridSpan w:val="2"/>
            <w:shd w:val="clear" w:color="auto" w:fill="CCC0D9"/>
          </w:tcPr>
          <w:p w14:paraId="667D8B01" w14:textId="77777777" w:rsidR="0002308E" w:rsidRPr="00BE61B6" w:rsidRDefault="0002308E" w:rsidP="007F171B">
            <w:pPr>
              <w:autoSpaceDE w:val="0"/>
              <w:autoSpaceDN w:val="0"/>
              <w:adjustRightInd w:val="0"/>
              <w:spacing w:before="80" w:after="80" w:line="276" w:lineRule="auto"/>
              <w:rPr>
                <w:rFonts w:cs="Arial"/>
              </w:rPr>
            </w:pPr>
            <w:r w:rsidRPr="00BE61B6">
              <w:rPr>
                <w:rFonts w:cs="Arial"/>
                <w:b/>
              </w:rPr>
              <w:t xml:space="preserve">Objective 1 - </w:t>
            </w:r>
            <w:r w:rsidRPr="00BE61B6">
              <w:rPr>
                <w:rFonts w:cs="Arial"/>
              </w:rPr>
              <w:t>The fishery is conducted in a manner that does not threaten bycatch species.</w:t>
            </w:r>
          </w:p>
        </w:tc>
      </w:tr>
      <w:tr w:rsidR="0002308E" w:rsidRPr="00A94147" w14:paraId="25D251DE" w14:textId="77777777" w:rsidTr="00796D99">
        <w:trPr>
          <w:cantSplit/>
        </w:trPr>
        <w:tc>
          <w:tcPr>
            <w:tcW w:w="5000" w:type="pct"/>
            <w:gridSpan w:val="2"/>
            <w:shd w:val="clear" w:color="auto" w:fill="E5DFEC"/>
          </w:tcPr>
          <w:p w14:paraId="3D5FF8A3" w14:textId="77777777" w:rsidR="0002308E" w:rsidRPr="00BE61B6" w:rsidRDefault="0002308E" w:rsidP="007F171B">
            <w:pPr>
              <w:spacing w:before="80" w:after="80" w:line="276" w:lineRule="auto"/>
              <w:rPr>
                <w:rFonts w:cs="Arial"/>
                <w:b/>
                <w:i/>
              </w:rPr>
            </w:pPr>
            <w:r w:rsidRPr="00BE61B6">
              <w:rPr>
                <w:rFonts w:cs="Arial"/>
                <w:b/>
                <w:i/>
              </w:rPr>
              <w:t>Information requirements</w:t>
            </w:r>
          </w:p>
        </w:tc>
      </w:tr>
      <w:tr w:rsidR="00123246" w:rsidRPr="00A94147" w14:paraId="0F296080" w14:textId="77777777" w:rsidTr="00BE61B6">
        <w:trPr>
          <w:cantSplit/>
        </w:trPr>
        <w:tc>
          <w:tcPr>
            <w:tcW w:w="1532" w:type="pct"/>
            <w:shd w:val="clear" w:color="auto" w:fill="auto"/>
          </w:tcPr>
          <w:p w14:paraId="109B8486" w14:textId="77777777" w:rsidR="00123246" w:rsidRPr="00BE61B6" w:rsidRDefault="00123246" w:rsidP="007F171B">
            <w:pPr>
              <w:spacing w:before="80" w:after="80" w:line="276" w:lineRule="auto"/>
              <w:rPr>
                <w:rFonts w:cs="Arial"/>
              </w:rPr>
            </w:pPr>
            <w:r w:rsidRPr="00BE61B6">
              <w:rPr>
                <w:rFonts w:cs="Arial"/>
                <w:b/>
                <w:i/>
              </w:rPr>
              <w:t xml:space="preserve">2.1.1 </w:t>
            </w:r>
            <w:r w:rsidRPr="00BE61B6">
              <w:rPr>
                <w:rFonts w:cs="Arial"/>
              </w:rPr>
              <w:t>Reliable information, appropriate to the scale of the fishery, is collected on the composition and abundance of bycatch.</w:t>
            </w:r>
          </w:p>
        </w:tc>
        <w:tc>
          <w:tcPr>
            <w:tcW w:w="3468" w:type="pct"/>
            <w:vMerge w:val="restart"/>
            <w:shd w:val="clear" w:color="auto" w:fill="auto"/>
          </w:tcPr>
          <w:p w14:paraId="65447AD6" w14:textId="4E6F7E0E" w:rsidR="00123246" w:rsidRPr="00BE61B6" w:rsidRDefault="00123246" w:rsidP="007F171B">
            <w:pPr>
              <w:spacing w:before="80" w:after="80" w:line="276" w:lineRule="auto"/>
              <w:rPr>
                <w:rFonts w:cs="Arial"/>
              </w:rPr>
            </w:pPr>
            <w:r w:rsidRPr="00BE61B6">
              <w:rPr>
                <w:rFonts w:cs="Arial"/>
                <w:b/>
              </w:rPr>
              <w:t xml:space="preserve">Not applicable – the fishery is a hand-collection fishery and is therefore extremely targeted (without bycatch or </w:t>
            </w:r>
            <w:proofErr w:type="spellStart"/>
            <w:r w:rsidRPr="00BE61B6">
              <w:rPr>
                <w:rFonts w:cs="Arial"/>
                <w:b/>
              </w:rPr>
              <w:t>byproduct</w:t>
            </w:r>
            <w:proofErr w:type="spellEnd"/>
            <w:r w:rsidRPr="00BE61B6">
              <w:rPr>
                <w:rFonts w:cs="Arial"/>
                <w:b/>
              </w:rPr>
              <w:t>)</w:t>
            </w:r>
          </w:p>
        </w:tc>
      </w:tr>
      <w:tr w:rsidR="00123246" w:rsidRPr="00A94147" w14:paraId="4704A8E9" w14:textId="77777777" w:rsidTr="00123246">
        <w:trPr>
          <w:cantSplit/>
        </w:trPr>
        <w:tc>
          <w:tcPr>
            <w:tcW w:w="1532" w:type="pct"/>
            <w:shd w:val="clear" w:color="auto" w:fill="E5DFEC"/>
          </w:tcPr>
          <w:p w14:paraId="12F4276F" w14:textId="77777777" w:rsidR="00123246" w:rsidRPr="00BE61B6" w:rsidRDefault="00123246" w:rsidP="00974ECA">
            <w:pPr>
              <w:keepNext/>
              <w:spacing w:before="80" w:after="80" w:line="276" w:lineRule="auto"/>
              <w:rPr>
                <w:rFonts w:cs="Arial"/>
                <w:b/>
                <w:i/>
              </w:rPr>
            </w:pPr>
            <w:r w:rsidRPr="00BE61B6">
              <w:rPr>
                <w:rFonts w:cs="Arial"/>
                <w:b/>
                <w:i/>
              </w:rPr>
              <w:t xml:space="preserve">Assessment </w:t>
            </w:r>
          </w:p>
        </w:tc>
        <w:tc>
          <w:tcPr>
            <w:tcW w:w="3468" w:type="pct"/>
            <w:vMerge/>
            <w:shd w:val="clear" w:color="auto" w:fill="E5DFEC"/>
          </w:tcPr>
          <w:p w14:paraId="4167D289" w14:textId="71387741" w:rsidR="00123246" w:rsidRPr="00BE61B6" w:rsidRDefault="00123246" w:rsidP="007F171B">
            <w:pPr>
              <w:spacing w:before="80" w:after="80" w:line="276" w:lineRule="auto"/>
              <w:rPr>
                <w:rFonts w:cs="Arial"/>
                <w:b/>
                <w:i/>
              </w:rPr>
            </w:pPr>
          </w:p>
        </w:tc>
      </w:tr>
      <w:tr w:rsidR="00123246" w:rsidRPr="00A94147" w14:paraId="5A18D3B6" w14:textId="77777777" w:rsidTr="00BE61B6">
        <w:trPr>
          <w:cantSplit/>
        </w:trPr>
        <w:tc>
          <w:tcPr>
            <w:tcW w:w="1532" w:type="pct"/>
            <w:shd w:val="clear" w:color="auto" w:fill="auto"/>
          </w:tcPr>
          <w:p w14:paraId="18D0D601" w14:textId="77777777" w:rsidR="00123246" w:rsidRPr="00BE61B6" w:rsidRDefault="00123246" w:rsidP="007F171B">
            <w:pPr>
              <w:spacing w:before="80" w:after="80" w:line="276" w:lineRule="auto"/>
              <w:rPr>
                <w:rFonts w:cs="Arial"/>
              </w:rPr>
            </w:pPr>
            <w:r w:rsidRPr="00BE61B6">
              <w:rPr>
                <w:rFonts w:cs="Arial"/>
                <w:b/>
                <w:i/>
              </w:rPr>
              <w:t xml:space="preserve">2.1.2 </w:t>
            </w:r>
            <w:r w:rsidRPr="00BE61B6">
              <w:rPr>
                <w:rFonts w:cs="Arial"/>
              </w:rPr>
              <w:t>There is a risk analysis of the bycatch with respect to its vulnerability to fishing.</w:t>
            </w:r>
          </w:p>
        </w:tc>
        <w:tc>
          <w:tcPr>
            <w:tcW w:w="3468" w:type="pct"/>
            <w:vMerge/>
            <w:shd w:val="clear" w:color="auto" w:fill="auto"/>
          </w:tcPr>
          <w:p w14:paraId="0FD78513" w14:textId="7EC59E60" w:rsidR="00123246" w:rsidRPr="00BE61B6" w:rsidRDefault="00123246" w:rsidP="007F171B">
            <w:pPr>
              <w:spacing w:before="80" w:after="80" w:line="276" w:lineRule="auto"/>
              <w:rPr>
                <w:rFonts w:cs="Arial"/>
              </w:rPr>
            </w:pPr>
          </w:p>
        </w:tc>
      </w:tr>
      <w:tr w:rsidR="00123246" w:rsidRPr="00A94147" w14:paraId="6DAE9F23" w14:textId="77777777" w:rsidTr="00123246">
        <w:trPr>
          <w:cantSplit/>
        </w:trPr>
        <w:tc>
          <w:tcPr>
            <w:tcW w:w="1532" w:type="pct"/>
            <w:shd w:val="clear" w:color="auto" w:fill="E5DFEC"/>
          </w:tcPr>
          <w:p w14:paraId="10964E20" w14:textId="77777777" w:rsidR="00123246" w:rsidRPr="00BE61B6" w:rsidRDefault="00123246" w:rsidP="007F171B">
            <w:pPr>
              <w:spacing w:before="80" w:after="80" w:line="276" w:lineRule="auto"/>
              <w:rPr>
                <w:rFonts w:cs="Arial"/>
                <w:b/>
                <w:i/>
              </w:rPr>
            </w:pPr>
            <w:r w:rsidRPr="00BE61B6">
              <w:rPr>
                <w:rFonts w:cs="Arial"/>
                <w:b/>
                <w:i/>
              </w:rPr>
              <w:t>Management responses</w:t>
            </w:r>
          </w:p>
        </w:tc>
        <w:tc>
          <w:tcPr>
            <w:tcW w:w="3468" w:type="pct"/>
            <w:vMerge/>
            <w:shd w:val="clear" w:color="auto" w:fill="E5DFEC"/>
          </w:tcPr>
          <w:p w14:paraId="057ED499" w14:textId="04944A28" w:rsidR="00123246" w:rsidRPr="00BE61B6" w:rsidRDefault="00123246" w:rsidP="007F171B">
            <w:pPr>
              <w:spacing w:before="80" w:after="80" w:line="276" w:lineRule="auto"/>
              <w:rPr>
                <w:rFonts w:cs="Arial"/>
                <w:b/>
                <w:i/>
              </w:rPr>
            </w:pPr>
          </w:p>
        </w:tc>
      </w:tr>
      <w:tr w:rsidR="00123246" w:rsidRPr="00A94147" w14:paraId="6286685D" w14:textId="77777777" w:rsidTr="00BE61B6">
        <w:trPr>
          <w:cantSplit/>
        </w:trPr>
        <w:tc>
          <w:tcPr>
            <w:tcW w:w="1532" w:type="pct"/>
            <w:shd w:val="clear" w:color="auto" w:fill="auto"/>
          </w:tcPr>
          <w:p w14:paraId="5F1BEC56" w14:textId="77777777" w:rsidR="00123246" w:rsidRPr="00BE61B6" w:rsidRDefault="00123246" w:rsidP="007F171B">
            <w:pPr>
              <w:spacing w:before="80" w:after="80" w:line="276" w:lineRule="auto"/>
              <w:rPr>
                <w:rFonts w:cs="Arial"/>
              </w:rPr>
            </w:pPr>
            <w:r w:rsidRPr="00BE61B6">
              <w:rPr>
                <w:rFonts w:cs="Arial"/>
                <w:b/>
                <w:i/>
              </w:rPr>
              <w:t xml:space="preserve">2.1.3 </w:t>
            </w:r>
            <w:r w:rsidRPr="00BE61B6">
              <w:rPr>
                <w:rFonts w:cs="Arial"/>
              </w:rPr>
              <w:t xml:space="preserve">Measures are in place to avoid capture and mortality of bycatch species unless it is determined that the level of catch is sustainable (except in relation to endangered, </w:t>
            </w:r>
            <w:proofErr w:type="gramStart"/>
            <w:r w:rsidRPr="00BE61B6">
              <w:rPr>
                <w:rFonts w:cs="Arial"/>
              </w:rPr>
              <w:t>threatened</w:t>
            </w:r>
            <w:proofErr w:type="gramEnd"/>
            <w:r w:rsidRPr="00BE61B6">
              <w:rPr>
                <w:rFonts w:cs="Arial"/>
              </w:rPr>
              <w:t xml:space="preserve"> or protected species). Steps must be taken to develop suitable technology if none is available.</w:t>
            </w:r>
          </w:p>
        </w:tc>
        <w:tc>
          <w:tcPr>
            <w:tcW w:w="3468" w:type="pct"/>
            <w:vMerge/>
            <w:shd w:val="clear" w:color="auto" w:fill="auto"/>
          </w:tcPr>
          <w:p w14:paraId="6DC610FB" w14:textId="1E7A2A31" w:rsidR="00123246" w:rsidRPr="00BE61B6" w:rsidRDefault="00123246" w:rsidP="007F171B">
            <w:pPr>
              <w:spacing w:before="80" w:after="80" w:line="276" w:lineRule="auto"/>
              <w:rPr>
                <w:rFonts w:cs="Arial"/>
              </w:rPr>
            </w:pPr>
          </w:p>
        </w:tc>
      </w:tr>
      <w:tr w:rsidR="00123246" w:rsidRPr="00A94147" w14:paraId="55AA6AED" w14:textId="77777777" w:rsidTr="00BE61B6">
        <w:trPr>
          <w:cantSplit/>
        </w:trPr>
        <w:tc>
          <w:tcPr>
            <w:tcW w:w="1532" w:type="pct"/>
            <w:shd w:val="clear" w:color="auto" w:fill="auto"/>
          </w:tcPr>
          <w:p w14:paraId="595EA94D" w14:textId="77777777" w:rsidR="00123246" w:rsidRPr="00BE61B6" w:rsidRDefault="00123246" w:rsidP="007F171B">
            <w:pPr>
              <w:spacing w:before="80" w:after="80" w:line="276" w:lineRule="auto"/>
              <w:rPr>
                <w:rFonts w:cs="Arial"/>
              </w:rPr>
            </w:pPr>
            <w:r w:rsidRPr="00BE61B6">
              <w:rPr>
                <w:rFonts w:cs="Arial"/>
                <w:b/>
                <w:i/>
              </w:rPr>
              <w:t xml:space="preserve">2.1.4 </w:t>
            </w:r>
            <w:r w:rsidRPr="00BE61B6">
              <w:rPr>
                <w:rFonts w:cs="Arial"/>
              </w:rPr>
              <w:t xml:space="preserve">An indicator group of bycatch species is monitored. </w:t>
            </w:r>
          </w:p>
        </w:tc>
        <w:tc>
          <w:tcPr>
            <w:tcW w:w="3468" w:type="pct"/>
            <w:vMerge/>
            <w:shd w:val="clear" w:color="auto" w:fill="auto"/>
          </w:tcPr>
          <w:p w14:paraId="0FDE13CD" w14:textId="3C71659C" w:rsidR="00123246" w:rsidRPr="00BE61B6" w:rsidRDefault="00123246" w:rsidP="007F171B">
            <w:pPr>
              <w:spacing w:before="80" w:after="80" w:line="276" w:lineRule="auto"/>
              <w:rPr>
                <w:rFonts w:cs="Arial"/>
              </w:rPr>
            </w:pPr>
          </w:p>
        </w:tc>
      </w:tr>
      <w:tr w:rsidR="004944D6" w:rsidRPr="00A94147" w14:paraId="030CA347" w14:textId="77777777" w:rsidTr="007772EF">
        <w:trPr>
          <w:cantSplit/>
        </w:trPr>
        <w:tc>
          <w:tcPr>
            <w:tcW w:w="1532" w:type="pct"/>
            <w:shd w:val="clear" w:color="auto" w:fill="auto"/>
          </w:tcPr>
          <w:p w14:paraId="05D4DC92" w14:textId="77777777" w:rsidR="004944D6" w:rsidRPr="00A94147" w:rsidRDefault="004944D6" w:rsidP="007F171B">
            <w:pPr>
              <w:spacing w:before="80" w:after="80" w:line="276" w:lineRule="auto"/>
              <w:rPr>
                <w:rFonts w:cs="Arial"/>
                <w:i/>
                <w:highlight w:val="yellow"/>
              </w:rPr>
            </w:pPr>
            <w:r w:rsidRPr="007772EF">
              <w:rPr>
                <w:rFonts w:cs="Arial"/>
                <w:b/>
                <w:i/>
              </w:rPr>
              <w:lastRenderedPageBreak/>
              <w:t xml:space="preserve">2.1.5 </w:t>
            </w:r>
            <w:r w:rsidRPr="007772EF">
              <w:rPr>
                <w:rFonts w:cs="Arial"/>
              </w:rPr>
              <w:t>There are decision rules that trigger additional management measures when there are significant perturbations in the indicator species numbers</w:t>
            </w:r>
            <w:r w:rsidRPr="007772EF">
              <w:rPr>
                <w:rFonts w:cs="Arial"/>
                <w:i/>
              </w:rPr>
              <w:t xml:space="preserve">. </w:t>
            </w:r>
          </w:p>
        </w:tc>
        <w:tc>
          <w:tcPr>
            <w:tcW w:w="3468" w:type="pct"/>
            <w:vMerge w:val="restart"/>
            <w:shd w:val="clear" w:color="auto" w:fill="auto"/>
          </w:tcPr>
          <w:p w14:paraId="54F2D61B" w14:textId="38F2EA25" w:rsidR="004944D6" w:rsidRPr="007772EF" w:rsidRDefault="004944D6" w:rsidP="007F171B">
            <w:pPr>
              <w:spacing w:before="80" w:after="80" w:line="276" w:lineRule="auto"/>
              <w:rPr>
                <w:rFonts w:cs="Arial"/>
              </w:rPr>
            </w:pPr>
            <w:r w:rsidRPr="00BE61B6">
              <w:rPr>
                <w:rFonts w:cs="Arial"/>
                <w:b/>
              </w:rPr>
              <w:t xml:space="preserve">Not applicable – the fishery is a hand-collection fishery and is therefore extremely targeted (without bycatch or </w:t>
            </w:r>
            <w:proofErr w:type="spellStart"/>
            <w:r w:rsidRPr="00BE61B6">
              <w:rPr>
                <w:rFonts w:cs="Arial"/>
                <w:b/>
              </w:rPr>
              <w:t>byproduct</w:t>
            </w:r>
            <w:proofErr w:type="spellEnd"/>
            <w:r w:rsidRPr="00BE61B6">
              <w:rPr>
                <w:rFonts w:cs="Arial"/>
                <w:b/>
              </w:rPr>
              <w:t>)</w:t>
            </w:r>
          </w:p>
        </w:tc>
      </w:tr>
      <w:tr w:rsidR="004944D6" w:rsidRPr="00A94147" w14:paraId="6627E5B2" w14:textId="77777777" w:rsidTr="007772EF">
        <w:trPr>
          <w:cantSplit/>
        </w:trPr>
        <w:tc>
          <w:tcPr>
            <w:tcW w:w="1532" w:type="pct"/>
            <w:shd w:val="clear" w:color="auto" w:fill="auto"/>
          </w:tcPr>
          <w:p w14:paraId="16E09517" w14:textId="77777777" w:rsidR="004944D6" w:rsidRPr="007772EF" w:rsidRDefault="004944D6" w:rsidP="007F171B">
            <w:pPr>
              <w:spacing w:before="80" w:after="80" w:line="276" w:lineRule="auto"/>
              <w:rPr>
                <w:rFonts w:cs="Arial"/>
              </w:rPr>
            </w:pPr>
            <w:r w:rsidRPr="007772EF">
              <w:rPr>
                <w:rFonts w:cs="Arial"/>
                <w:b/>
                <w:i/>
              </w:rPr>
              <w:t xml:space="preserve">2.1.6 </w:t>
            </w:r>
            <w:r w:rsidRPr="007772EF">
              <w:rPr>
                <w:rFonts w:cs="Arial"/>
              </w:rPr>
              <w:t>The management response, considering uncertainties in the assessment and precautionary management actions, has a high chance of achieving the objective.</w:t>
            </w:r>
          </w:p>
        </w:tc>
        <w:tc>
          <w:tcPr>
            <w:tcW w:w="3468" w:type="pct"/>
            <w:vMerge/>
            <w:shd w:val="clear" w:color="auto" w:fill="auto"/>
          </w:tcPr>
          <w:p w14:paraId="46AFED1A" w14:textId="10A1DA70" w:rsidR="004944D6" w:rsidRPr="007772EF" w:rsidRDefault="004944D6" w:rsidP="007F171B">
            <w:pPr>
              <w:spacing w:before="80" w:after="80" w:line="276" w:lineRule="auto"/>
              <w:rPr>
                <w:rFonts w:cs="Arial"/>
              </w:rPr>
            </w:pPr>
          </w:p>
        </w:tc>
      </w:tr>
      <w:tr w:rsidR="0002308E" w:rsidRPr="00A94147" w14:paraId="5C7E4D9E" w14:textId="77777777" w:rsidTr="00796D99">
        <w:trPr>
          <w:cantSplit/>
        </w:trPr>
        <w:tc>
          <w:tcPr>
            <w:tcW w:w="5000" w:type="pct"/>
            <w:gridSpan w:val="2"/>
            <w:shd w:val="clear" w:color="auto" w:fill="CCC0D9"/>
          </w:tcPr>
          <w:p w14:paraId="23A3C30B" w14:textId="77777777" w:rsidR="0002308E" w:rsidRPr="00BE61B6" w:rsidRDefault="0002308E" w:rsidP="009D2C9E">
            <w:pPr>
              <w:keepNext/>
              <w:spacing w:before="80" w:after="80" w:line="276" w:lineRule="auto"/>
              <w:rPr>
                <w:rFonts w:cs="Arial"/>
                <w:b/>
              </w:rPr>
            </w:pPr>
            <w:r w:rsidRPr="00BE61B6">
              <w:rPr>
                <w:rFonts w:cs="Arial"/>
                <w:b/>
              </w:rPr>
              <w:t xml:space="preserve">Objective 2 – </w:t>
            </w:r>
            <w:r w:rsidRPr="00BE61B6">
              <w:rPr>
                <w:rFonts w:cs="Arial"/>
              </w:rPr>
              <w:t xml:space="preserve">The fishery is conducted in a manner that avoids mortality of, or injuries to, endangered, </w:t>
            </w:r>
            <w:proofErr w:type="gramStart"/>
            <w:r w:rsidRPr="00BE61B6">
              <w:rPr>
                <w:rFonts w:cs="Arial"/>
              </w:rPr>
              <w:t>threatened</w:t>
            </w:r>
            <w:proofErr w:type="gramEnd"/>
            <w:r w:rsidRPr="00BE61B6">
              <w:rPr>
                <w:rFonts w:cs="Arial"/>
              </w:rPr>
              <w:t xml:space="preserve"> or protected species and avoids or minimises impacts on threatened ecological communities.</w:t>
            </w:r>
          </w:p>
        </w:tc>
      </w:tr>
      <w:tr w:rsidR="0002308E" w:rsidRPr="00A94147" w14:paraId="36F7D859" w14:textId="77777777" w:rsidTr="00796D99">
        <w:trPr>
          <w:cantSplit/>
        </w:trPr>
        <w:tc>
          <w:tcPr>
            <w:tcW w:w="5000" w:type="pct"/>
            <w:gridSpan w:val="2"/>
            <w:shd w:val="clear" w:color="auto" w:fill="E5DFEC"/>
          </w:tcPr>
          <w:p w14:paraId="74749151" w14:textId="77777777" w:rsidR="0002308E" w:rsidRPr="00BE61B6" w:rsidRDefault="0002308E" w:rsidP="009D2C9E">
            <w:pPr>
              <w:keepNext/>
              <w:spacing w:before="80" w:after="80" w:line="276" w:lineRule="auto"/>
              <w:rPr>
                <w:rFonts w:cs="Arial"/>
              </w:rPr>
            </w:pPr>
            <w:r w:rsidRPr="00BE61B6">
              <w:rPr>
                <w:rFonts w:cs="Arial"/>
                <w:b/>
                <w:i/>
              </w:rPr>
              <w:t xml:space="preserve">Information requirements </w:t>
            </w:r>
          </w:p>
        </w:tc>
      </w:tr>
      <w:tr w:rsidR="00F30079" w:rsidRPr="00A94147" w14:paraId="3FAEB4C2" w14:textId="77777777" w:rsidTr="00D720FA">
        <w:trPr>
          <w:cantSplit/>
        </w:trPr>
        <w:tc>
          <w:tcPr>
            <w:tcW w:w="1532" w:type="pct"/>
            <w:shd w:val="clear" w:color="auto" w:fill="92D050"/>
          </w:tcPr>
          <w:p w14:paraId="2234A4A3" w14:textId="77777777" w:rsidR="00F30079" w:rsidRPr="00BE61B6" w:rsidRDefault="00F30079" w:rsidP="00D720FA">
            <w:pPr>
              <w:spacing w:before="80" w:after="80" w:line="276" w:lineRule="auto"/>
              <w:rPr>
                <w:rFonts w:cs="Arial"/>
              </w:rPr>
            </w:pPr>
            <w:r w:rsidRPr="00BE61B6">
              <w:rPr>
                <w:rFonts w:cs="Arial"/>
                <w:b/>
                <w:i/>
              </w:rPr>
              <w:t xml:space="preserve">2.2.1 </w:t>
            </w:r>
            <w:r w:rsidRPr="00BE61B6">
              <w:rPr>
                <w:rFonts w:cs="Arial"/>
              </w:rPr>
              <w:t xml:space="preserve">Reliable information is collected on the interaction with endangered, </w:t>
            </w:r>
            <w:proofErr w:type="gramStart"/>
            <w:r w:rsidRPr="00BE61B6">
              <w:rPr>
                <w:rFonts w:cs="Arial"/>
              </w:rPr>
              <w:t>threatened</w:t>
            </w:r>
            <w:proofErr w:type="gramEnd"/>
            <w:r w:rsidRPr="00BE61B6">
              <w:rPr>
                <w:rFonts w:cs="Arial"/>
              </w:rPr>
              <w:t xml:space="preserve"> or protected species and threatened ecological communities. </w:t>
            </w:r>
          </w:p>
        </w:tc>
        <w:tc>
          <w:tcPr>
            <w:tcW w:w="3468" w:type="pct"/>
            <w:shd w:val="clear" w:color="auto" w:fill="auto"/>
          </w:tcPr>
          <w:p w14:paraId="589CBA3C" w14:textId="77777777" w:rsidR="00F30079" w:rsidRPr="00BE61B6" w:rsidRDefault="00F30079" w:rsidP="00D720FA">
            <w:pPr>
              <w:spacing w:before="80" w:after="80" w:line="276" w:lineRule="auto"/>
              <w:rPr>
                <w:rFonts w:cs="Arial"/>
                <w:b/>
              </w:rPr>
            </w:pPr>
            <w:r w:rsidRPr="00BE61B6">
              <w:rPr>
                <w:rFonts w:cs="Arial"/>
                <w:b/>
              </w:rPr>
              <w:t xml:space="preserve">Meets – logbooks used for reporting and risks to </w:t>
            </w:r>
            <w:proofErr w:type="gramStart"/>
            <w:r w:rsidRPr="00BE61B6">
              <w:rPr>
                <w:rFonts w:cs="Arial"/>
                <w:b/>
              </w:rPr>
              <w:t>protected</w:t>
            </w:r>
            <w:proofErr w:type="gramEnd"/>
            <w:r w:rsidRPr="00BE61B6">
              <w:rPr>
                <w:rFonts w:cs="Arial"/>
                <w:b/>
              </w:rPr>
              <w:t xml:space="preserve"> species are likely very low</w:t>
            </w:r>
          </w:p>
          <w:p w14:paraId="0FA17268" w14:textId="693DE323" w:rsidR="00F30079" w:rsidRPr="00BE61B6" w:rsidRDefault="00F30079" w:rsidP="00D720FA">
            <w:pPr>
              <w:spacing w:before="80" w:after="80" w:line="276" w:lineRule="auto"/>
              <w:rPr>
                <w:rFonts w:cs="Arial"/>
              </w:rPr>
            </w:pPr>
            <w:r>
              <w:rPr>
                <w:rFonts w:cs="Arial"/>
              </w:rPr>
              <w:t xml:space="preserve">Fishers are required to report all interactions with protected species using QDAF approved SOCI logbooks. </w:t>
            </w:r>
          </w:p>
        </w:tc>
      </w:tr>
      <w:tr w:rsidR="00F30079" w:rsidRPr="00A94147" w14:paraId="7A2D9EA4" w14:textId="77777777" w:rsidTr="00796D99">
        <w:trPr>
          <w:cantSplit/>
        </w:trPr>
        <w:tc>
          <w:tcPr>
            <w:tcW w:w="5000" w:type="pct"/>
            <w:gridSpan w:val="2"/>
            <w:shd w:val="clear" w:color="auto" w:fill="E5DFEC"/>
          </w:tcPr>
          <w:p w14:paraId="32296C54" w14:textId="143AECA9" w:rsidR="00F30079" w:rsidRPr="00BE61B6" w:rsidRDefault="00F30079" w:rsidP="009D2C9E">
            <w:pPr>
              <w:keepNext/>
              <w:spacing w:before="80" w:after="80" w:line="276" w:lineRule="auto"/>
              <w:rPr>
                <w:rFonts w:cs="Arial"/>
                <w:b/>
                <w:i/>
              </w:rPr>
            </w:pPr>
            <w:r w:rsidRPr="00E02D89">
              <w:rPr>
                <w:rFonts w:cs="Arial"/>
                <w:b/>
                <w:i/>
              </w:rPr>
              <w:t>Assessments</w:t>
            </w:r>
          </w:p>
        </w:tc>
      </w:tr>
      <w:tr w:rsidR="0002308E" w:rsidRPr="00A94147" w14:paraId="38B6D6DC" w14:textId="77777777" w:rsidTr="00F30079">
        <w:trPr>
          <w:cantSplit/>
        </w:trPr>
        <w:tc>
          <w:tcPr>
            <w:tcW w:w="1532" w:type="pct"/>
            <w:shd w:val="clear" w:color="auto" w:fill="FFC000"/>
          </w:tcPr>
          <w:p w14:paraId="7C1CE319" w14:textId="770DA8BD" w:rsidR="0002308E" w:rsidRPr="0040722E" w:rsidRDefault="00F30079" w:rsidP="007F171B">
            <w:pPr>
              <w:spacing w:before="80" w:after="80" w:line="276" w:lineRule="auto"/>
              <w:rPr>
                <w:rFonts w:cs="Arial"/>
              </w:rPr>
            </w:pPr>
            <w:r w:rsidRPr="00E02D89">
              <w:rPr>
                <w:rFonts w:cs="Arial"/>
                <w:b/>
                <w:i/>
              </w:rPr>
              <w:t xml:space="preserve">2.2.2 </w:t>
            </w:r>
            <w:r w:rsidRPr="00E02D89">
              <w:rPr>
                <w:rFonts w:cs="Arial"/>
              </w:rPr>
              <w:t xml:space="preserve">There is an assessment of the impact of the fishery on endangered, </w:t>
            </w:r>
            <w:proofErr w:type="gramStart"/>
            <w:r w:rsidRPr="00E02D89">
              <w:rPr>
                <w:rFonts w:cs="Arial"/>
              </w:rPr>
              <w:t>threatened</w:t>
            </w:r>
            <w:proofErr w:type="gramEnd"/>
            <w:r w:rsidRPr="00E02D89">
              <w:rPr>
                <w:rFonts w:cs="Arial"/>
              </w:rPr>
              <w:t xml:space="preserve"> or protected species.</w:t>
            </w:r>
          </w:p>
        </w:tc>
        <w:tc>
          <w:tcPr>
            <w:tcW w:w="3468" w:type="pct"/>
            <w:shd w:val="clear" w:color="auto" w:fill="auto"/>
          </w:tcPr>
          <w:p w14:paraId="1E8FE4E6" w14:textId="1165FBD8" w:rsidR="00F30079" w:rsidRPr="00BE61B6" w:rsidRDefault="00F30079" w:rsidP="00F30079">
            <w:pPr>
              <w:spacing w:before="80" w:after="80" w:line="276" w:lineRule="auto"/>
              <w:rPr>
                <w:rFonts w:cs="Arial"/>
                <w:b/>
              </w:rPr>
            </w:pPr>
            <w:r>
              <w:rPr>
                <w:rFonts w:cs="Arial"/>
                <w:b/>
              </w:rPr>
              <w:t>Partly m</w:t>
            </w:r>
            <w:r w:rsidRPr="00BE61B6">
              <w:rPr>
                <w:rFonts w:cs="Arial"/>
                <w:b/>
              </w:rPr>
              <w:t xml:space="preserve">eets – </w:t>
            </w:r>
            <w:r>
              <w:rPr>
                <w:rFonts w:cs="Arial"/>
                <w:b/>
              </w:rPr>
              <w:t>although there is no formal ecological risk assessment, risks are likely negligible</w:t>
            </w:r>
          </w:p>
          <w:p w14:paraId="0E2B9319" w14:textId="063FAF67" w:rsidR="0002308E" w:rsidRPr="0040722E" w:rsidRDefault="00F30079" w:rsidP="000A47F6">
            <w:pPr>
              <w:spacing w:before="80" w:after="80" w:line="276" w:lineRule="auto"/>
              <w:rPr>
                <w:rFonts w:cs="Arial"/>
              </w:rPr>
            </w:pPr>
            <w:r>
              <w:rPr>
                <w:rFonts w:cs="Arial"/>
              </w:rPr>
              <w:t xml:space="preserve">Although there is no independent data collection to validate the reports, and no </w:t>
            </w:r>
            <w:r w:rsidRPr="00BE61B6">
              <w:rPr>
                <w:rFonts w:cs="Arial"/>
              </w:rPr>
              <w:t xml:space="preserve">ecological risk assessment </w:t>
            </w:r>
            <w:r>
              <w:rPr>
                <w:rFonts w:cs="Arial"/>
              </w:rPr>
              <w:t xml:space="preserve">for the fishery, the </w:t>
            </w:r>
            <w:r w:rsidRPr="00BE61B6">
              <w:rPr>
                <w:rFonts w:cs="Arial"/>
              </w:rPr>
              <w:t xml:space="preserve">risks to protected species are likely to be extremely low and limited to boat strikes and possible disturbance from anchoring and transit. There are also no threatened ecological communities identified </w:t>
            </w:r>
            <w:proofErr w:type="gramStart"/>
            <w:r w:rsidRPr="00BE61B6">
              <w:rPr>
                <w:rFonts w:cs="Arial"/>
              </w:rPr>
              <w:t>in the area of</w:t>
            </w:r>
            <w:proofErr w:type="gramEnd"/>
            <w:r w:rsidRPr="00BE61B6">
              <w:rPr>
                <w:rFonts w:cs="Arial"/>
              </w:rPr>
              <w:t xml:space="preserve"> the fishery.</w:t>
            </w:r>
          </w:p>
        </w:tc>
      </w:tr>
      <w:tr w:rsidR="00F30079" w:rsidRPr="00A94147" w14:paraId="1DDCC6F2" w14:textId="77777777" w:rsidTr="00540602">
        <w:trPr>
          <w:cantSplit/>
        </w:trPr>
        <w:tc>
          <w:tcPr>
            <w:tcW w:w="1532" w:type="pct"/>
            <w:shd w:val="clear" w:color="auto" w:fill="auto"/>
          </w:tcPr>
          <w:p w14:paraId="024129EE" w14:textId="477CCA28" w:rsidR="00F30079" w:rsidRPr="0040722E" w:rsidRDefault="00F30079" w:rsidP="00F30079">
            <w:pPr>
              <w:spacing w:before="80" w:after="80" w:line="276" w:lineRule="auto"/>
              <w:rPr>
                <w:rFonts w:cs="Arial"/>
                <w:b/>
                <w:i/>
              </w:rPr>
            </w:pPr>
            <w:r w:rsidRPr="0040722E">
              <w:rPr>
                <w:rFonts w:cs="Arial"/>
                <w:b/>
                <w:i/>
              </w:rPr>
              <w:t xml:space="preserve">2.2.3 </w:t>
            </w:r>
            <w:r w:rsidRPr="0040722E">
              <w:rPr>
                <w:rFonts w:cs="Arial"/>
              </w:rPr>
              <w:t xml:space="preserve">There is an assessment of the impact of the fishery on threatened ecological communities. </w:t>
            </w:r>
          </w:p>
        </w:tc>
        <w:tc>
          <w:tcPr>
            <w:tcW w:w="3468" w:type="pct"/>
            <w:shd w:val="clear" w:color="auto" w:fill="auto"/>
          </w:tcPr>
          <w:p w14:paraId="19644A69" w14:textId="45DB30DF" w:rsidR="00F30079" w:rsidRPr="0040722E" w:rsidRDefault="00F30079" w:rsidP="00F30079">
            <w:pPr>
              <w:spacing w:before="80" w:after="80" w:line="276" w:lineRule="auto"/>
              <w:rPr>
                <w:rFonts w:cs="Arial"/>
                <w:b/>
              </w:rPr>
            </w:pPr>
            <w:r w:rsidRPr="0040722E">
              <w:rPr>
                <w:rFonts w:cs="Arial"/>
                <w:b/>
              </w:rPr>
              <w:t xml:space="preserve">Not applicable – no threatened ecological communities identified </w:t>
            </w:r>
            <w:proofErr w:type="gramStart"/>
            <w:r w:rsidRPr="0040722E">
              <w:rPr>
                <w:rFonts w:cs="Arial"/>
                <w:b/>
              </w:rPr>
              <w:t>in the area of</w:t>
            </w:r>
            <w:proofErr w:type="gramEnd"/>
            <w:r w:rsidRPr="0040722E">
              <w:rPr>
                <w:rFonts w:cs="Arial"/>
                <w:b/>
              </w:rPr>
              <w:t xml:space="preserve"> the fishery</w:t>
            </w:r>
          </w:p>
          <w:p w14:paraId="37875B83" w14:textId="77777777" w:rsidR="00F30079" w:rsidRPr="0040722E" w:rsidRDefault="00F30079" w:rsidP="00F30079">
            <w:pPr>
              <w:spacing w:before="80" w:after="80" w:line="276" w:lineRule="auto"/>
              <w:rPr>
                <w:rFonts w:cs="Arial"/>
              </w:rPr>
            </w:pPr>
            <w:r w:rsidRPr="0040722E">
              <w:rPr>
                <w:rFonts w:cs="Arial"/>
              </w:rPr>
              <w:t xml:space="preserve">There have been no threatened ecological communities identified </w:t>
            </w:r>
            <w:proofErr w:type="gramStart"/>
            <w:r w:rsidRPr="0040722E">
              <w:rPr>
                <w:rFonts w:cs="Arial"/>
              </w:rPr>
              <w:t>in the area of</w:t>
            </w:r>
            <w:proofErr w:type="gramEnd"/>
            <w:r w:rsidRPr="0040722E">
              <w:rPr>
                <w:rFonts w:cs="Arial"/>
              </w:rPr>
              <w:t xml:space="preserve"> the fishery.</w:t>
            </w:r>
          </w:p>
          <w:p w14:paraId="18F22E09" w14:textId="5ECE815C" w:rsidR="00F30079" w:rsidRPr="0040722E" w:rsidRDefault="00F30079" w:rsidP="00F30079">
            <w:pPr>
              <w:spacing w:before="80" w:after="80" w:line="276" w:lineRule="auto"/>
              <w:rPr>
                <w:rFonts w:cs="Arial"/>
                <w:b/>
              </w:rPr>
            </w:pPr>
            <w:r w:rsidRPr="0040722E">
              <w:rPr>
                <w:rFonts w:cs="Arial"/>
              </w:rPr>
              <w:t xml:space="preserve">Marine habitats more broadly were identified as being at intermediate risk from the fishery and are being considered through QDAF’s </w:t>
            </w:r>
            <w:hyperlink r:id="rId47" w:history="1">
              <w:r w:rsidRPr="0040722E">
                <w:rPr>
                  <w:rStyle w:val="Hyperlink"/>
                  <w:rFonts w:cs="Arial"/>
                  <w:i/>
                  <w:iCs/>
                </w:rPr>
                <w:t>Fisheries Queensland Monitoring and Research Plan</w:t>
              </w:r>
            </w:hyperlink>
            <w:r w:rsidRPr="0040722E">
              <w:rPr>
                <w:rFonts w:cs="Arial"/>
              </w:rPr>
              <w:t xml:space="preserve">. However, the latest published </w:t>
            </w:r>
            <w:hyperlink r:id="rId48" w:history="1">
              <w:r w:rsidRPr="0040722E">
                <w:rPr>
                  <w:rStyle w:val="Hyperlink"/>
                  <w:rFonts w:cs="Arial"/>
                </w:rPr>
                <w:t>Monitoring and Research Plan</w:t>
              </w:r>
            </w:hyperlink>
            <w:r w:rsidRPr="0040722E">
              <w:rPr>
                <w:rFonts w:cs="Arial"/>
              </w:rPr>
              <w:t xml:space="preserve"> does not extend beyond 2017-2018 and so does not include any measures derived from the 2019 ecological risk assessment (</w:t>
            </w:r>
            <w:hyperlink r:id="rId49" w:history="1">
              <w:r w:rsidRPr="0040722E">
                <w:rPr>
                  <w:rStyle w:val="Hyperlink"/>
                  <w:rFonts w:cs="Arial"/>
                  <w:bCs/>
                  <w:lang w:eastAsia="en-AU"/>
                </w:rPr>
                <w:t>Jacobsen et al. 2019b</w:t>
              </w:r>
            </w:hyperlink>
            <w:r w:rsidRPr="0040722E">
              <w:rPr>
                <w:rFonts w:cs="Arial"/>
              </w:rPr>
              <w:t>)</w:t>
            </w:r>
            <w:r w:rsidRPr="0040722E">
              <w:t>.</w:t>
            </w:r>
          </w:p>
        </w:tc>
      </w:tr>
      <w:tr w:rsidR="00F30079" w:rsidRPr="00A94147" w14:paraId="76CE0D16" w14:textId="77777777" w:rsidTr="00796D99">
        <w:trPr>
          <w:cantSplit/>
        </w:trPr>
        <w:tc>
          <w:tcPr>
            <w:tcW w:w="5000" w:type="pct"/>
            <w:gridSpan w:val="2"/>
            <w:shd w:val="clear" w:color="auto" w:fill="E5DFEC"/>
          </w:tcPr>
          <w:p w14:paraId="595D9947" w14:textId="77777777" w:rsidR="00F30079" w:rsidRPr="0040722E" w:rsidRDefault="00F30079" w:rsidP="00F30079">
            <w:pPr>
              <w:spacing w:before="80" w:after="80" w:line="276" w:lineRule="auto"/>
              <w:rPr>
                <w:rFonts w:cs="Arial"/>
                <w:b/>
                <w:i/>
              </w:rPr>
            </w:pPr>
            <w:r w:rsidRPr="0040722E">
              <w:rPr>
                <w:rFonts w:cs="Arial"/>
                <w:b/>
                <w:i/>
              </w:rPr>
              <w:lastRenderedPageBreak/>
              <w:t xml:space="preserve">Management responses </w:t>
            </w:r>
          </w:p>
        </w:tc>
      </w:tr>
      <w:tr w:rsidR="00F30079" w:rsidRPr="00A94147" w14:paraId="43CDC291" w14:textId="77777777" w:rsidTr="00740F71">
        <w:trPr>
          <w:cantSplit/>
        </w:trPr>
        <w:tc>
          <w:tcPr>
            <w:tcW w:w="1532" w:type="pct"/>
            <w:shd w:val="clear" w:color="auto" w:fill="FFC000"/>
          </w:tcPr>
          <w:p w14:paraId="59D8EC18" w14:textId="33067E78" w:rsidR="00F30079" w:rsidRPr="0040722E" w:rsidRDefault="00F30079" w:rsidP="00F30079">
            <w:pPr>
              <w:spacing w:before="80" w:after="80" w:line="276" w:lineRule="auto"/>
              <w:rPr>
                <w:rFonts w:cs="Arial"/>
              </w:rPr>
            </w:pPr>
            <w:r w:rsidRPr="0040722E">
              <w:rPr>
                <w:rFonts w:cs="Arial"/>
                <w:b/>
                <w:i/>
              </w:rPr>
              <w:t xml:space="preserve">2.2.4 </w:t>
            </w:r>
            <w:r w:rsidRPr="0040722E">
              <w:rPr>
                <w:rFonts w:cs="Arial"/>
              </w:rPr>
              <w:t xml:space="preserve">There are measures in place to avoid capture and/or mortality of endangered, </w:t>
            </w:r>
            <w:proofErr w:type="gramStart"/>
            <w:r w:rsidRPr="0040722E">
              <w:rPr>
                <w:rFonts w:cs="Arial"/>
              </w:rPr>
              <w:t>threatened</w:t>
            </w:r>
            <w:proofErr w:type="gramEnd"/>
            <w:r w:rsidRPr="0040722E">
              <w:rPr>
                <w:rFonts w:cs="Arial"/>
              </w:rPr>
              <w:t xml:space="preserve"> or protected species.</w:t>
            </w:r>
          </w:p>
        </w:tc>
        <w:tc>
          <w:tcPr>
            <w:tcW w:w="3468" w:type="pct"/>
            <w:shd w:val="clear" w:color="auto" w:fill="auto"/>
          </w:tcPr>
          <w:p w14:paraId="4A8729D1" w14:textId="04EEAC3D" w:rsidR="00F30079" w:rsidRPr="0040722E" w:rsidRDefault="00F30079" w:rsidP="00F30079">
            <w:pPr>
              <w:spacing w:before="80" w:after="80" w:line="276" w:lineRule="auto"/>
              <w:rPr>
                <w:rFonts w:cs="Arial"/>
                <w:b/>
              </w:rPr>
            </w:pPr>
            <w:r w:rsidRPr="0040722E">
              <w:rPr>
                <w:rFonts w:cs="Arial"/>
                <w:b/>
              </w:rPr>
              <w:t>Partly meets – although there is no ecological risk assessment</w:t>
            </w:r>
            <w:r>
              <w:rPr>
                <w:rFonts w:cs="Arial"/>
                <w:b/>
              </w:rPr>
              <w:t xml:space="preserve"> to determine risks and direct risk mitigation, </w:t>
            </w:r>
            <w:r w:rsidRPr="0040722E">
              <w:rPr>
                <w:rFonts w:cs="Arial"/>
                <w:b/>
              </w:rPr>
              <w:t>risks to protected species are likely to be extremely low</w:t>
            </w:r>
          </w:p>
          <w:p w14:paraId="0E6495A6" w14:textId="02B9787E" w:rsidR="00F30079" w:rsidRPr="0040722E" w:rsidRDefault="00F30079" w:rsidP="00F30079">
            <w:pPr>
              <w:spacing w:before="80" w:after="80" w:line="276" w:lineRule="auto"/>
              <w:rPr>
                <w:rFonts w:cs="Arial"/>
              </w:rPr>
            </w:pPr>
            <w:r w:rsidRPr="0040722E">
              <w:rPr>
                <w:rFonts w:cs="Arial"/>
              </w:rPr>
              <w:t>Although an ecological risk assessment has not yet been completed for the fishery, the risks to protected species are likely to be extremely low and limited to boat strikes and possible disturbance from anchoring and transit.</w:t>
            </w:r>
          </w:p>
        </w:tc>
      </w:tr>
      <w:tr w:rsidR="00F30079" w:rsidRPr="00A94147" w14:paraId="64FF48F2" w14:textId="77777777" w:rsidTr="00032061">
        <w:trPr>
          <w:cantSplit/>
        </w:trPr>
        <w:tc>
          <w:tcPr>
            <w:tcW w:w="1532" w:type="pct"/>
            <w:shd w:val="clear" w:color="auto" w:fill="auto"/>
          </w:tcPr>
          <w:p w14:paraId="47AE1688" w14:textId="77777777" w:rsidR="00F30079" w:rsidRPr="0040722E" w:rsidRDefault="00F30079" w:rsidP="00F30079">
            <w:pPr>
              <w:spacing w:before="80" w:after="80" w:line="276" w:lineRule="auto"/>
              <w:rPr>
                <w:rFonts w:cs="Arial"/>
              </w:rPr>
            </w:pPr>
            <w:r w:rsidRPr="0040722E">
              <w:rPr>
                <w:rFonts w:cs="Arial"/>
                <w:b/>
                <w:i/>
              </w:rPr>
              <w:t xml:space="preserve">2.2.5 </w:t>
            </w:r>
            <w:r w:rsidRPr="0040722E">
              <w:rPr>
                <w:rFonts w:cs="Arial"/>
              </w:rPr>
              <w:t xml:space="preserve">There are measures in place to avoid impact on threatened ecological communities. </w:t>
            </w:r>
          </w:p>
        </w:tc>
        <w:tc>
          <w:tcPr>
            <w:tcW w:w="3468" w:type="pct"/>
            <w:shd w:val="clear" w:color="auto" w:fill="auto"/>
          </w:tcPr>
          <w:p w14:paraId="2391D080" w14:textId="77777777" w:rsidR="00F30079" w:rsidRPr="0040722E" w:rsidRDefault="00F30079" w:rsidP="00F30079">
            <w:pPr>
              <w:spacing w:before="80" w:after="80" w:line="276" w:lineRule="auto"/>
              <w:rPr>
                <w:rFonts w:cs="Arial"/>
                <w:b/>
              </w:rPr>
            </w:pPr>
            <w:r w:rsidRPr="0040722E">
              <w:rPr>
                <w:rFonts w:cs="Arial"/>
                <w:b/>
              </w:rPr>
              <w:t xml:space="preserve">Not applicable – no threatened ecological communities identified </w:t>
            </w:r>
            <w:proofErr w:type="gramStart"/>
            <w:r w:rsidRPr="0040722E">
              <w:rPr>
                <w:rFonts w:cs="Arial"/>
                <w:b/>
              </w:rPr>
              <w:t>in the area of</w:t>
            </w:r>
            <w:proofErr w:type="gramEnd"/>
            <w:r w:rsidRPr="0040722E">
              <w:rPr>
                <w:rFonts w:cs="Arial"/>
                <w:b/>
              </w:rPr>
              <w:t xml:space="preserve"> the fishery</w:t>
            </w:r>
          </w:p>
          <w:p w14:paraId="2BF8799F" w14:textId="77777777" w:rsidR="00F30079" w:rsidRPr="0040722E" w:rsidRDefault="00F30079" w:rsidP="00F30079">
            <w:pPr>
              <w:spacing w:before="80" w:after="80" w:line="276" w:lineRule="auto"/>
              <w:rPr>
                <w:rFonts w:cs="Arial"/>
              </w:rPr>
            </w:pPr>
            <w:r w:rsidRPr="0040722E">
              <w:rPr>
                <w:rFonts w:cs="Arial"/>
              </w:rPr>
              <w:t xml:space="preserve">There have been no threatened ecological communities identified </w:t>
            </w:r>
            <w:proofErr w:type="gramStart"/>
            <w:r w:rsidRPr="0040722E">
              <w:rPr>
                <w:rFonts w:cs="Arial"/>
              </w:rPr>
              <w:t>in the area of</w:t>
            </w:r>
            <w:proofErr w:type="gramEnd"/>
            <w:r w:rsidRPr="0040722E">
              <w:rPr>
                <w:rFonts w:cs="Arial"/>
              </w:rPr>
              <w:t xml:space="preserve"> the fishery.</w:t>
            </w:r>
          </w:p>
          <w:p w14:paraId="3F9C29E0" w14:textId="5F943CD3" w:rsidR="00F30079" w:rsidRPr="0040722E" w:rsidRDefault="00F30079" w:rsidP="00F30079">
            <w:pPr>
              <w:spacing w:before="80" w:after="80" w:line="276" w:lineRule="auto"/>
              <w:rPr>
                <w:rFonts w:cs="Arial"/>
              </w:rPr>
            </w:pPr>
            <w:r w:rsidRPr="0040722E">
              <w:rPr>
                <w:rFonts w:cs="Arial"/>
              </w:rPr>
              <w:t xml:space="preserve">Marine habitats more broadly were identified as being at intermediate risk from the fishery and are being considered through QDAF’s </w:t>
            </w:r>
            <w:hyperlink r:id="rId50" w:history="1">
              <w:r w:rsidRPr="0040722E">
                <w:rPr>
                  <w:rStyle w:val="Hyperlink"/>
                  <w:rFonts w:cs="Arial"/>
                  <w:i/>
                  <w:iCs/>
                </w:rPr>
                <w:t>Fisheries Queensland Monitoring and Research Plan</w:t>
              </w:r>
            </w:hyperlink>
            <w:r w:rsidRPr="0040722E">
              <w:rPr>
                <w:rFonts w:cs="Arial"/>
              </w:rPr>
              <w:t xml:space="preserve">. However, the latest published </w:t>
            </w:r>
            <w:hyperlink r:id="rId51" w:history="1">
              <w:r w:rsidRPr="0040722E">
                <w:rPr>
                  <w:rStyle w:val="Hyperlink"/>
                  <w:rFonts w:cs="Arial"/>
                </w:rPr>
                <w:t>Monitoring and Research Plan</w:t>
              </w:r>
            </w:hyperlink>
            <w:r w:rsidRPr="0040722E">
              <w:rPr>
                <w:rFonts w:cs="Arial"/>
              </w:rPr>
              <w:t xml:space="preserve"> does not extend beyond 2017-2018 and so does not include any measures derived from the 2019 ecological risk assessment (</w:t>
            </w:r>
            <w:hyperlink r:id="rId52" w:history="1">
              <w:r w:rsidRPr="0040722E">
                <w:rPr>
                  <w:rStyle w:val="Hyperlink"/>
                  <w:rFonts w:cs="Arial"/>
                  <w:bCs/>
                  <w:lang w:eastAsia="en-AU"/>
                </w:rPr>
                <w:t>Jacobsen et al. 2019b</w:t>
              </w:r>
            </w:hyperlink>
            <w:r w:rsidRPr="0040722E">
              <w:rPr>
                <w:rFonts w:cs="Arial"/>
              </w:rPr>
              <w:t>)</w:t>
            </w:r>
            <w:r w:rsidRPr="0040722E">
              <w:t>.</w:t>
            </w:r>
          </w:p>
        </w:tc>
      </w:tr>
      <w:tr w:rsidR="00F30079" w:rsidRPr="00A94147" w14:paraId="157951CF" w14:textId="77777777" w:rsidTr="00740F71">
        <w:trPr>
          <w:cantSplit/>
        </w:trPr>
        <w:tc>
          <w:tcPr>
            <w:tcW w:w="1532" w:type="pct"/>
            <w:shd w:val="clear" w:color="auto" w:fill="FFC000"/>
          </w:tcPr>
          <w:p w14:paraId="309E4C33" w14:textId="77777777" w:rsidR="00F30079" w:rsidRPr="0040722E" w:rsidRDefault="00F30079" w:rsidP="00F30079">
            <w:pPr>
              <w:spacing w:before="80" w:after="80" w:line="276" w:lineRule="auto"/>
              <w:rPr>
                <w:rFonts w:cs="Arial"/>
              </w:rPr>
            </w:pPr>
            <w:r w:rsidRPr="0040722E">
              <w:rPr>
                <w:rFonts w:cs="Arial"/>
                <w:b/>
                <w:i/>
              </w:rPr>
              <w:t xml:space="preserve">2.2.6 </w:t>
            </w:r>
            <w:r w:rsidRPr="0040722E">
              <w:rPr>
                <w:rFonts w:cs="Arial"/>
              </w:rPr>
              <w:t xml:space="preserve">The management response, considering uncertainties in the assessment and precautionary management actions, has a high chance of achieving the objective. </w:t>
            </w:r>
          </w:p>
        </w:tc>
        <w:tc>
          <w:tcPr>
            <w:tcW w:w="3468" w:type="pct"/>
            <w:shd w:val="clear" w:color="auto" w:fill="auto"/>
          </w:tcPr>
          <w:p w14:paraId="63DB533B" w14:textId="4E3D6D7D" w:rsidR="00F30079" w:rsidRPr="0040722E" w:rsidRDefault="00F30079" w:rsidP="00F30079">
            <w:pPr>
              <w:spacing w:before="80" w:after="80" w:line="276" w:lineRule="auto"/>
              <w:rPr>
                <w:rFonts w:cs="Arial"/>
                <w:b/>
              </w:rPr>
            </w:pPr>
            <w:r w:rsidRPr="0040722E">
              <w:rPr>
                <w:rFonts w:cs="Arial"/>
                <w:b/>
              </w:rPr>
              <w:t>Partly meets – likely risks are appropriately managed but formal risk assessments have not been completed.</w:t>
            </w:r>
          </w:p>
          <w:p w14:paraId="373F6102" w14:textId="51402FF3" w:rsidR="00F30079" w:rsidRPr="0040722E" w:rsidRDefault="00F30079" w:rsidP="00F30079">
            <w:pPr>
              <w:spacing w:before="80" w:after="80" w:line="276" w:lineRule="auto"/>
              <w:rPr>
                <w:rFonts w:cs="Arial"/>
              </w:rPr>
            </w:pPr>
            <w:r w:rsidRPr="0040722E">
              <w:rPr>
                <w:rFonts w:cs="Arial"/>
              </w:rPr>
              <w:t>Although an ecological risk assessment has not yet been completed for the fishery, the risks to protected species are likely to be extremely low and limited to boat strikes and possible disturbance from anchoring and transit.</w:t>
            </w:r>
          </w:p>
        </w:tc>
      </w:tr>
      <w:tr w:rsidR="00F30079" w:rsidRPr="00A94147" w14:paraId="57A4BEA2" w14:textId="77777777" w:rsidTr="00796D99">
        <w:trPr>
          <w:cantSplit/>
        </w:trPr>
        <w:tc>
          <w:tcPr>
            <w:tcW w:w="5000" w:type="pct"/>
            <w:gridSpan w:val="2"/>
            <w:shd w:val="clear" w:color="auto" w:fill="CCC0D9"/>
          </w:tcPr>
          <w:p w14:paraId="6A4441FF" w14:textId="1B2E9E6F" w:rsidR="00F30079" w:rsidRPr="0040722E" w:rsidRDefault="00F30079" w:rsidP="00F30079">
            <w:pPr>
              <w:keepNext/>
              <w:spacing w:before="80" w:after="80" w:line="276" w:lineRule="auto"/>
              <w:rPr>
                <w:rFonts w:cs="Arial"/>
                <w:b/>
              </w:rPr>
            </w:pPr>
            <w:r w:rsidRPr="0040722E">
              <w:rPr>
                <w:rFonts w:cs="Arial"/>
                <w:b/>
              </w:rPr>
              <w:lastRenderedPageBreak/>
              <w:t xml:space="preserve">Objective 3 – </w:t>
            </w:r>
            <w:r w:rsidRPr="0040722E">
              <w:rPr>
                <w:rFonts w:cs="Arial"/>
              </w:rPr>
              <w:t>The fishery is conducted, in a manner that minimises the impact of fishing operations on the ecosystem generally.</w:t>
            </w:r>
          </w:p>
        </w:tc>
      </w:tr>
      <w:tr w:rsidR="00F30079" w:rsidRPr="00A94147" w14:paraId="2F368CA0" w14:textId="77777777" w:rsidTr="00796D99">
        <w:trPr>
          <w:cantSplit/>
        </w:trPr>
        <w:tc>
          <w:tcPr>
            <w:tcW w:w="5000" w:type="pct"/>
            <w:gridSpan w:val="2"/>
            <w:shd w:val="clear" w:color="auto" w:fill="E5DFEC"/>
          </w:tcPr>
          <w:p w14:paraId="66323560" w14:textId="77777777" w:rsidR="00F30079" w:rsidRPr="0040722E" w:rsidRDefault="00F30079" w:rsidP="00F30079">
            <w:pPr>
              <w:keepNext/>
              <w:spacing w:before="80" w:after="80" w:line="276" w:lineRule="auto"/>
              <w:rPr>
                <w:rFonts w:cs="Arial"/>
                <w:b/>
                <w:i/>
              </w:rPr>
            </w:pPr>
            <w:r w:rsidRPr="0040722E">
              <w:rPr>
                <w:rFonts w:cs="Arial"/>
                <w:b/>
                <w:i/>
              </w:rPr>
              <w:t xml:space="preserve">Information requirements </w:t>
            </w:r>
          </w:p>
        </w:tc>
      </w:tr>
      <w:tr w:rsidR="00F30079" w:rsidRPr="00A94147" w14:paraId="0DE641FD" w14:textId="77777777" w:rsidTr="00740F71">
        <w:trPr>
          <w:cantSplit/>
        </w:trPr>
        <w:tc>
          <w:tcPr>
            <w:tcW w:w="1532" w:type="pct"/>
            <w:shd w:val="clear" w:color="auto" w:fill="FF0000"/>
          </w:tcPr>
          <w:p w14:paraId="5ABDAD6A" w14:textId="77777777" w:rsidR="00F30079" w:rsidRPr="0040722E" w:rsidRDefault="00F30079" w:rsidP="00F30079">
            <w:pPr>
              <w:spacing w:before="80" w:after="80" w:line="276" w:lineRule="auto"/>
              <w:rPr>
                <w:rFonts w:cs="Arial"/>
              </w:rPr>
            </w:pPr>
            <w:r w:rsidRPr="0040722E">
              <w:rPr>
                <w:rFonts w:cs="Arial"/>
                <w:b/>
              </w:rPr>
              <w:t xml:space="preserve">2.3.1 </w:t>
            </w:r>
            <w:r w:rsidRPr="0040722E">
              <w:rPr>
                <w:rFonts w:cs="Arial"/>
              </w:rPr>
              <w:t xml:space="preserve">Information appropriate for the analysis in 2.3.2 is collated and/or collected covering the fishery’s impact on the ecosystem and environment generally. </w:t>
            </w:r>
          </w:p>
        </w:tc>
        <w:tc>
          <w:tcPr>
            <w:tcW w:w="3468" w:type="pct"/>
            <w:shd w:val="clear" w:color="auto" w:fill="auto"/>
          </w:tcPr>
          <w:p w14:paraId="39B2ACCD" w14:textId="47C6F2E8" w:rsidR="00F30079" w:rsidRPr="0040722E" w:rsidRDefault="00F30079" w:rsidP="00F30079">
            <w:pPr>
              <w:spacing w:before="80" w:after="80" w:line="276" w:lineRule="auto"/>
              <w:rPr>
                <w:rFonts w:cs="Arial"/>
                <w:b/>
              </w:rPr>
            </w:pPr>
            <w:r w:rsidRPr="0040722E">
              <w:rPr>
                <w:rFonts w:cs="Arial"/>
                <w:b/>
              </w:rPr>
              <w:t>Does not meet – no data collection in place for ecosystem and environmental impacts</w:t>
            </w:r>
          </w:p>
          <w:p w14:paraId="7DFB5E9A" w14:textId="77777777" w:rsidR="00F30079" w:rsidRDefault="00F30079" w:rsidP="00F30079">
            <w:pPr>
              <w:spacing w:before="80" w:after="80" w:line="276" w:lineRule="auto"/>
              <w:rPr>
                <w:rFonts w:cs="Arial"/>
              </w:rPr>
            </w:pPr>
            <w:bookmarkStart w:id="26" w:name="_Hlk48042783"/>
            <w:r>
              <w:rPr>
                <w:rFonts w:cs="Arial"/>
              </w:rPr>
              <w:t>T</w:t>
            </w:r>
            <w:r w:rsidRPr="0040722E">
              <w:rPr>
                <w:rFonts w:cs="Arial"/>
              </w:rPr>
              <w:t>here is no ongoing information collected on the fishery’s impact on the ecosystem or environment generally</w:t>
            </w:r>
            <w:bookmarkEnd w:id="26"/>
            <w:r>
              <w:rPr>
                <w:rFonts w:cs="Arial"/>
              </w:rPr>
              <w:t xml:space="preserve">. </w:t>
            </w:r>
            <w:r w:rsidRPr="00C5423F">
              <w:rPr>
                <w:rFonts w:cs="Arial"/>
              </w:rPr>
              <w:t>The feeding, bioturbation and carbonate processing undertaken by sea</w:t>
            </w:r>
            <w:r>
              <w:rPr>
                <w:rFonts w:cs="Arial"/>
              </w:rPr>
              <w:t xml:space="preserve"> cucumbers </w:t>
            </w:r>
            <w:r w:rsidRPr="00C5423F">
              <w:rPr>
                <w:rFonts w:cs="Arial"/>
              </w:rPr>
              <w:t>plays</w:t>
            </w:r>
            <w:r>
              <w:rPr>
                <w:rFonts w:cs="Arial"/>
              </w:rPr>
              <w:t xml:space="preserve"> an important ecological role </w:t>
            </w:r>
            <w:r w:rsidRPr="00C5423F">
              <w:rPr>
                <w:rFonts w:cs="Arial"/>
              </w:rPr>
              <w:t>in</w:t>
            </w:r>
            <w:r w:rsidRPr="000C7574">
              <w:rPr>
                <w:rFonts w:cs="Arial"/>
              </w:rPr>
              <w:t xml:space="preserve"> the health of sediment habitats and ecosystem health more broadly. Therefore </w:t>
            </w:r>
            <w:r>
              <w:rPr>
                <w:rFonts w:cs="Arial"/>
              </w:rPr>
              <w:t>overfishing, including localised depletion may have significant impacts on ecosystem health. Risk mitigation should (and does) include measures to avoid overfishing and localised depletion.</w:t>
            </w:r>
          </w:p>
          <w:p w14:paraId="5F7E5DED" w14:textId="7A55B61E" w:rsidR="00F30079" w:rsidRPr="0040722E" w:rsidRDefault="00F30079" w:rsidP="00F30079">
            <w:pPr>
              <w:spacing w:before="80" w:after="80" w:line="276" w:lineRule="auto"/>
              <w:rPr>
                <w:rFonts w:cs="Arial"/>
              </w:rPr>
            </w:pPr>
            <w:r w:rsidRPr="00B36EB6">
              <w:rPr>
                <w:rFonts w:cs="Arial"/>
              </w:rPr>
              <w:t xml:space="preserve">The Department recommends conditions 4-7 be attached to the proposed Part 13A approval to improve understanding of the stocks and to ensure management arrangements remain effective. </w:t>
            </w:r>
            <w:r w:rsidRPr="00AE5829">
              <w:rPr>
                <w:rFonts w:cs="Arial"/>
              </w:rPr>
              <w:t xml:space="preserve">These conditions are targeted at CITES-listed Black and White </w:t>
            </w:r>
            <w:proofErr w:type="spellStart"/>
            <w:r w:rsidRPr="00AE5829">
              <w:rPr>
                <w:rFonts w:cs="Arial"/>
              </w:rPr>
              <w:t>Teatfish</w:t>
            </w:r>
            <w:proofErr w:type="spellEnd"/>
            <w:r w:rsidRPr="00AE5829">
              <w:rPr>
                <w:rFonts w:cs="Arial"/>
              </w:rPr>
              <w:t xml:space="preserve"> species but could be extended to remaining species in the fishery in future.</w:t>
            </w:r>
          </w:p>
        </w:tc>
      </w:tr>
      <w:tr w:rsidR="00F30079" w:rsidRPr="00A94147" w14:paraId="68A3A1D7" w14:textId="77777777" w:rsidTr="00796D99">
        <w:trPr>
          <w:cantSplit/>
        </w:trPr>
        <w:tc>
          <w:tcPr>
            <w:tcW w:w="5000" w:type="pct"/>
            <w:gridSpan w:val="2"/>
            <w:shd w:val="clear" w:color="auto" w:fill="E5DFEC"/>
          </w:tcPr>
          <w:p w14:paraId="557E482C" w14:textId="77777777" w:rsidR="00F30079" w:rsidRPr="000C1ADC" w:rsidRDefault="00F30079" w:rsidP="00F30079">
            <w:pPr>
              <w:spacing w:before="80" w:after="80" w:line="276" w:lineRule="auto"/>
              <w:rPr>
                <w:rFonts w:cs="Arial"/>
              </w:rPr>
            </w:pPr>
            <w:r w:rsidRPr="000C1ADC">
              <w:rPr>
                <w:rFonts w:cs="Arial"/>
                <w:b/>
                <w:i/>
              </w:rPr>
              <w:t>Assessment</w:t>
            </w:r>
          </w:p>
        </w:tc>
      </w:tr>
      <w:tr w:rsidR="00F30079" w:rsidRPr="00A94147" w14:paraId="2B87692C" w14:textId="77777777" w:rsidTr="00C9211D">
        <w:trPr>
          <w:cantSplit/>
        </w:trPr>
        <w:tc>
          <w:tcPr>
            <w:tcW w:w="1532" w:type="pct"/>
            <w:shd w:val="clear" w:color="auto" w:fill="FFC000"/>
          </w:tcPr>
          <w:p w14:paraId="6884977C" w14:textId="77777777" w:rsidR="00F30079" w:rsidRPr="000C1ADC" w:rsidRDefault="00F30079" w:rsidP="00F30079">
            <w:pPr>
              <w:spacing w:before="80" w:after="80" w:line="276" w:lineRule="auto"/>
              <w:rPr>
                <w:rFonts w:cs="Arial"/>
              </w:rPr>
            </w:pPr>
            <w:r w:rsidRPr="000C1ADC">
              <w:rPr>
                <w:rFonts w:cs="Arial"/>
                <w:b/>
              </w:rPr>
              <w:lastRenderedPageBreak/>
              <w:t xml:space="preserve">2.3.2 </w:t>
            </w:r>
            <w:r w:rsidRPr="000C1ADC">
              <w:rPr>
                <w:rFonts w:cs="Arial"/>
              </w:rPr>
              <w:t>Information is collected and a risk analysis, appropriate to the scale of the fishery and its potential impacts, is conducted into the susceptibility of each of the following ecosystem components to the fishery.</w:t>
            </w:r>
          </w:p>
          <w:p w14:paraId="41B45CD8" w14:textId="77777777" w:rsidR="00F30079" w:rsidRPr="000C1ADC" w:rsidRDefault="00F30079" w:rsidP="00F30079">
            <w:pPr>
              <w:spacing w:before="80" w:after="80" w:line="276" w:lineRule="auto"/>
              <w:rPr>
                <w:rFonts w:cs="Arial"/>
              </w:rPr>
            </w:pPr>
            <w:r w:rsidRPr="000C1ADC">
              <w:rPr>
                <w:rFonts w:cs="Arial"/>
              </w:rPr>
              <w:t>1. Impacts on ecological communities</w:t>
            </w:r>
          </w:p>
          <w:p w14:paraId="3F5A9A6B" w14:textId="77777777" w:rsidR="00F30079" w:rsidRPr="000C1ADC" w:rsidRDefault="00F30079" w:rsidP="00F30079">
            <w:pPr>
              <w:spacing w:before="80" w:after="80" w:line="276" w:lineRule="auto"/>
              <w:rPr>
                <w:rFonts w:cs="Arial"/>
              </w:rPr>
            </w:pPr>
            <w:r w:rsidRPr="000C1ADC">
              <w:rPr>
                <w:rFonts w:cs="Arial"/>
              </w:rPr>
              <w:t>• Benthic communities</w:t>
            </w:r>
          </w:p>
          <w:p w14:paraId="11E2CD72" w14:textId="77777777" w:rsidR="00F30079" w:rsidRPr="000C1ADC" w:rsidRDefault="00F30079" w:rsidP="00F30079">
            <w:pPr>
              <w:spacing w:before="80" w:after="80" w:line="276" w:lineRule="auto"/>
              <w:rPr>
                <w:rFonts w:cs="Arial"/>
              </w:rPr>
            </w:pPr>
            <w:r w:rsidRPr="000C1ADC">
              <w:rPr>
                <w:rFonts w:cs="Arial"/>
              </w:rPr>
              <w:t xml:space="preserve">• Ecologically related, </w:t>
            </w:r>
            <w:proofErr w:type="gramStart"/>
            <w:r w:rsidRPr="000C1ADC">
              <w:rPr>
                <w:rFonts w:cs="Arial"/>
              </w:rPr>
              <w:t>associated</w:t>
            </w:r>
            <w:proofErr w:type="gramEnd"/>
            <w:r w:rsidRPr="000C1ADC">
              <w:rPr>
                <w:rFonts w:cs="Arial"/>
              </w:rPr>
              <w:t xml:space="preserve"> or dependent species</w:t>
            </w:r>
          </w:p>
          <w:p w14:paraId="44F04855" w14:textId="77777777" w:rsidR="00F30079" w:rsidRPr="000C1ADC" w:rsidRDefault="00F30079" w:rsidP="00F30079">
            <w:pPr>
              <w:spacing w:before="80" w:after="80" w:line="276" w:lineRule="auto"/>
              <w:rPr>
                <w:rFonts w:cs="Arial"/>
              </w:rPr>
            </w:pPr>
            <w:r w:rsidRPr="000C1ADC">
              <w:rPr>
                <w:rFonts w:cs="Arial"/>
              </w:rPr>
              <w:t>• Water column communities</w:t>
            </w:r>
          </w:p>
          <w:p w14:paraId="5113CE61" w14:textId="77777777" w:rsidR="00F30079" w:rsidRPr="000C1ADC" w:rsidRDefault="00F30079" w:rsidP="00F30079">
            <w:pPr>
              <w:spacing w:before="80" w:after="80" w:line="276" w:lineRule="auto"/>
              <w:rPr>
                <w:rFonts w:cs="Arial"/>
              </w:rPr>
            </w:pPr>
            <w:r w:rsidRPr="000C1ADC">
              <w:rPr>
                <w:rFonts w:cs="Arial"/>
              </w:rPr>
              <w:t>2. Impacts on food chains</w:t>
            </w:r>
          </w:p>
          <w:p w14:paraId="7FE12F7C" w14:textId="77777777" w:rsidR="00F30079" w:rsidRPr="000C1ADC" w:rsidRDefault="00F30079" w:rsidP="00F30079">
            <w:pPr>
              <w:spacing w:before="80" w:after="80" w:line="276" w:lineRule="auto"/>
              <w:rPr>
                <w:rFonts w:cs="Arial"/>
              </w:rPr>
            </w:pPr>
            <w:r w:rsidRPr="000C1ADC">
              <w:rPr>
                <w:rFonts w:cs="Arial"/>
              </w:rPr>
              <w:t>• Structure</w:t>
            </w:r>
          </w:p>
          <w:p w14:paraId="7CE7967D" w14:textId="77777777" w:rsidR="00F30079" w:rsidRPr="000C1ADC" w:rsidRDefault="00F30079" w:rsidP="00F30079">
            <w:pPr>
              <w:spacing w:before="80" w:after="80" w:line="276" w:lineRule="auto"/>
              <w:rPr>
                <w:rFonts w:cs="Arial"/>
              </w:rPr>
            </w:pPr>
            <w:r w:rsidRPr="000C1ADC">
              <w:rPr>
                <w:rFonts w:cs="Arial"/>
              </w:rPr>
              <w:t>• Productivity/flows</w:t>
            </w:r>
          </w:p>
          <w:p w14:paraId="5B852FB8" w14:textId="77777777" w:rsidR="00F30079" w:rsidRPr="000C1ADC" w:rsidRDefault="00F30079" w:rsidP="00F30079">
            <w:pPr>
              <w:spacing w:before="80" w:after="80" w:line="276" w:lineRule="auto"/>
              <w:rPr>
                <w:rFonts w:cs="Arial"/>
              </w:rPr>
            </w:pPr>
            <w:r w:rsidRPr="000C1ADC">
              <w:rPr>
                <w:rFonts w:cs="Arial"/>
              </w:rPr>
              <w:t>3. Impacts on the physical environment</w:t>
            </w:r>
          </w:p>
          <w:p w14:paraId="1F849EDB" w14:textId="77777777" w:rsidR="00F30079" w:rsidRPr="000C1ADC" w:rsidRDefault="00F30079" w:rsidP="00F30079">
            <w:pPr>
              <w:spacing w:before="80" w:after="80" w:line="276" w:lineRule="auto"/>
              <w:rPr>
                <w:rFonts w:cs="Arial"/>
              </w:rPr>
            </w:pPr>
            <w:r w:rsidRPr="000C1ADC">
              <w:rPr>
                <w:rFonts w:cs="Arial"/>
              </w:rPr>
              <w:t>• Physical habitat</w:t>
            </w:r>
          </w:p>
          <w:p w14:paraId="3DCEF872" w14:textId="77777777" w:rsidR="00F30079" w:rsidRPr="000C1ADC" w:rsidRDefault="00F30079" w:rsidP="00F30079">
            <w:pPr>
              <w:spacing w:before="80" w:after="80" w:line="276" w:lineRule="auto"/>
              <w:rPr>
                <w:rFonts w:cs="Arial"/>
              </w:rPr>
            </w:pPr>
            <w:r w:rsidRPr="000C1ADC">
              <w:rPr>
                <w:rFonts w:cs="Arial"/>
              </w:rPr>
              <w:t>• Water quality</w:t>
            </w:r>
          </w:p>
        </w:tc>
        <w:tc>
          <w:tcPr>
            <w:tcW w:w="3468" w:type="pct"/>
            <w:shd w:val="clear" w:color="auto" w:fill="auto"/>
          </w:tcPr>
          <w:p w14:paraId="481E12CB" w14:textId="53524FBD" w:rsidR="00F30079" w:rsidRPr="000C1ADC" w:rsidRDefault="00F30079" w:rsidP="00F30079">
            <w:pPr>
              <w:spacing w:before="80" w:after="80" w:line="276" w:lineRule="auto"/>
              <w:rPr>
                <w:rFonts w:cs="Arial"/>
                <w:b/>
              </w:rPr>
            </w:pPr>
            <w:r>
              <w:rPr>
                <w:rFonts w:cs="Arial"/>
                <w:b/>
              </w:rPr>
              <w:t xml:space="preserve">Partly meets - </w:t>
            </w:r>
            <w:r w:rsidRPr="000C1ADC">
              <w:rPr>
                <w:rFonts w:cs="Arial"/>
                <w:b/>
              </w:rPr>
              <w:t xml:space="preserve">No </w:t>
            </w:r>
            <w:r>
              <w:rPr>
                <w:rFonts w:cs="Arial"/>
                <w:b/>
              </w:rPr>
              <w:t xml:space="preserve">ecosystem </w:t>
            </w:r>
            <w:r w:rsidRPr="000C1ADC">
              <w:rPr>
                <w:rFonts w:cs="Arial"/>
                <w:b/>
              </w:rPr>
              <w:t xml:space="preserve">data is </w:t>
            </w:r>
            <w:r>
              <w:rPr>
                <w:rFonts w:cs="Arial"/>
                <w:b/>
              </w:rPr>
              <w:t>collected</w:t>
            </w:r>
            <w:r w:rsidRPr="000C1ADC">
              <w:rPr>
                <w:rFonts w:cs="Arial"/>
                <w:b/>
              </w:rPr>
              <w:t xml:space="preserve"> </w:t>
            </w:r>
            <w:r>
              <w:rPr>
                <w:rFonts w:cs="Arial"/>
                <w:b/>
              </w:rPr>
              <w:t>but advice is obtained for the Great Barrier Reef, from the Great Barrier Reef Marine Park Authority</w:t>
            </w:r>
          </w:p>
          <w:p w14:paraId="10B103A7" w14:textId="77777777" w:rsidR="00F30079" w:rsidRPr="000C1ADC" w:rsidRDefault="00F30079" w:rsidP="00F30079">
            <w:pPr>
              <w:spacing w:before="80" w:after="80" w:line="276" w:lineRule="auto"/>
              <w:rPr>
                <w:rFonts w:cs="Arial"/>
              </w:rPr>
            </w:pPr>
            <w:bookmarkStart w:id="27" w:name="_Hlk48042825"/>
            <w:r w:rsidRPr="000C1ADC">
              <w:rPr>
                <w:rFonts w:cs="Arial"/>
              </w:rPr>
              <w:t xml:space="preserve">There is no ongoing information collected on the fishery’s impact on the ecosystem or environment and there has been no ecological risk assessment for the fishery. However, risks are likely to be very low provided stocks are not overfished and the ecological functions performed by these species are not jeopardised. </w:t>
            </w:r>
          </w:p>
          <w:bookmarkEnd w:id="27"/>
          <w:p w14:paraId="3991DAE6" w14:textId="13631C4E" w:rsidR="00F30079" w:rsidRPr="000C1ADC" w:rsidRDefault="00F30079" w:rsidP="00F30079">
            <w:pPr>
              <w:spacing w:before="80" w:after="80" w:line="276" w:lineRule="auto"/>
              <w:rPr>
                <w:rFonts w:cs="Arial"/>
              </w:rPr>
            </w:pPr>
            <w:r>
              <w:t xml:space="preserve">The Great Barrier Reef Marine Park Authority (GBRMPA) are represented in the Sea Cucumber Fishery Working Group and provide advice on management of the marine park. This input includes the latest advice on the impacts of climate change and natural disasters on the Great Barrier Reef. QDAF also attends the annual GBRMPA pre-summer workshop to consider latest risk assessments for predictions of coral bleaching, rainfall events, </w:t>
            </w:r>
            <w:proofErr w:type="gramStart"/>
            <w:r>
              <w:t>cyclones</w:t>
            </w:r>
            <w:proofErr w:type="gramEnd"/>
            <w:r>
              <w:t xml:space="preserve"> and Crown of Thorns Starfish outbreaks. Responses to climatic events are incorporated into GBRMPA’s Reef Incident Response Plan. The draft harvest strategy for the fishery acknowledges that climate change impacts need to be considered in management arrangements for the fishery. Climate effects on management of the Great Barrier Reef and its species are also incorporated into broad planning documents such as Great Barrier Reef Outlook, Reef 2050 and the development of the </w:t>
            </w:r>
            <w:r w:rsidRPr="00C9211D">
              <w:rPr>
                <w:lang w:val="en"/>
              </w:rPr>
              <w:t>Reef 2050 Integrated Monitoring and Reporting Program</w:t>
            </w:r>
            <w:r>
              <w:t>. QDAF participates in all these processes.</w:t>
            </w:r>
          </w:p>
        </w:tc>
      </w:tr>
      <w:tr w:rsidR="00F30079" w:rsidRPr="00A94147" w14:paraId="4C528271" w14:textId="77777777" w:rsidTr="00796D99">
        <w:trPr>
          <w:cantSplit/>
          <w:trHeight w:val="77"/>
        </w:trPr>
        <w:tc>
          <w:tcPr>
            <w:tcW w:w="5000" w:type="pct"/>
            <w:gridSpan w:val="2"/>
            <w:shd w:val="clear" w:color="auto" w:fill="E5DFEC"/>
          </w:tcPr>
          <w:p w14:paraId="04DA78A2" w14:textId="77777777" w:rsidR="00F30079" w:rsidRPr="000C7574" w:rsidRDefault="00F30079" w:rsidP="00F30079">
            <w:pPr>
              <w:spacing w:before="80" w:after="80" w:line="276" w:lineRule="auto"/>
              <w:rPr>
                <w:rFonts w:cs="Arial"/>
                <w:b/>
                <w:i/>
              </w:rPr>
            </w:pPr>
            <w:r w:rsidRPr="000C7574">
              <w:rPr>
                <w:rFonts w:cs="Arial"/>
                <w:b/>
                <w:i/>
              </w:rPr>
              <w:t>Management responses</w:t>
            </w:r>
          </w:p>
        </w:tc>
      </w:tr>
      <w:tr w:rsidR="00F30079" w:rsidRPr="00A94147" w14:paraId="7FEB370C" w14:textId="77777777" w:rsidTr="00BA2A10">
        <w:trPr>
          <w:cantSplit/>
          <w:trHeight w:val="77"/>
        </w:trPr>
        <w:tc>
          <w:tcPr>
            <w:tcW w:w="1532" w:type="pct"/>
            <w:shd w:val="clear" w:color="auto" w:fill="FFC000"/>
          </w:tcPr>
          <w:p w14:paraId="14630D9C" w14:textId="77777777" w:rsidR="00F30079" w:rsidRPr="000C1ADC" w:rsidRDefault="00F30079" w:rsidP="00F30079">
            <w:pPr>
              <w:spacing w:before="80" w:after="80" w:line="276" w:lineRule="auto"/>
              <w:rPr>
                <w:rFonts w:cs="Arial"/>
              </w:rPr>
            </w:pPr>
            <w:r w:rsidRPr="000C1ADC">
              <w:rPr>
                <w:rFonts w:cs="Arial"/>
                <w:b/>
                <w:i/>
              </w:rPr>
              <w:lastRenderedPageBreak/>
              <w:t xml:space="preserve">2.3.3 </w:t>
            </w:r>
            <w:r w:rsidRPr="000C1ADC">
              <w:rPr>
                <w:rFonts w:cs="Arial"/>
              </w:rPr>
              <w:t>Management actions are in place to ensure significant damage to ecosystems does not arise from the impacts described in 2.3.1.</w:t>
            </w:r>
          </w:p>
        </w:tc>
        <w:tc>
          <w:tcPr>
            <w:tcW w:w="3468" w:type="pct"/>
            <w:shd w:val="clear" w:color="auto" w:fill="auto"/>
          </w:tcPr>
          <w:p w14:paraId="370DC402" w14:textId="17C9EC9D" w:rsidR="00F30079" w:rsidRPr="000C1ADC" w:rsidRDefault="00F30079" w:rsidP="00F30079">
            <w:pPr>
              <w:spacing w:before="80" w:after="80" w:line="276" w:lineRule="auto"/>
              <w:rPr>
                <w:rFonts w:cs="Arial"/>
                <w:b/>
              </w:rPr>
            </w:pPr>
            <w:r w:rsidRPr="000C1ADC">
              <w:rPr>
                <w:rFonts w:cs="Arial"/>
                <w:b/>
              </w:rPr>
              <w:t xml:space="preserve">Partly meets – </w:t>
            </w:r>
            <w:r>
              <w:rPr>
                <w:rFonts w:cs="Arial"/>
                <w:b/>
              </w:rPr>
              <w:t>a management framework is in place but there has been no ecological risk assessment</w:t>
            </w:r>
          </w:p>
          <w:p w14:paraId="3C6F9218" w14:textId="77777777" w:rsidR="00F30079" w:rsidRPr="000C1ADC" w:rsidRDefault="00F30079" w:rsidP="00F30079">
            <w:pPr>
              <w:pStyle w:val="BodyText1"/>
              <w:spacing w:before="80" w:after="80" w:line="276" w:lineRule="auto"/>
              <w:rPr>
                <w:rFonts w:cs="Arial"/>
              </w:rPr>
            </w:pPr>
            <w:r w:rsidRPr="000C1ADC">
              <w:rPr>
                <w:rFonts w:cs="Arial"/>
              </w:rPr>
              <w:t xml:space="preserve">QDAF’s </w:t>
            </w:r>
            <w:hyperlink r:id="rId53" w:history="1">
              <w:r w:rsidRPr="000C1ADC">
                <w:rPr>
                  <w:rStyle w:val="Hyperlink"/>
                  <w:rFonts w:cs="Arial"/>
                </w:rPr>
                <w:t>Performance Measurement System</w:t>
              </w:r>
            </w:hyperlink>
            <w:r w:rsidRPr="000C1ADC">
              <w:rPr>
                <w:rFonts w:cs="Arial"/>
              </w:rPr>
              <w:t xml:space="preserve"> (PMS) includes objectives, performance indicators, performance measures and management responses designed to:</w:t>
            </w:r>
          </w:p>
          <w:p w14:paraId="1F446A5A" w14:textId="77777777" w:rsidR="00F30079" w:rsidRPr="000C1ADC" w:rsidRDefault="00F30079" w:rsidP="00F30079">
            <w:pPr>
              <w:pStyle w:val="BodyText1"/>
              <w:numPr>
                <w:ilvl w:val="0"/>
                <w:numId w:val="14"/>
              </w:numPr>
              <w:spacing w:before="80" w:after="80" w:line="276" w:lineRule="auto"/>
              <w:rPr>
                <w:rFonts w:cs="Arial"/>
              </w:rPr>
            </w:pPr>
            <w:r w:rsidRPr="000C1ADC">
              <w:rPr>
                <w:rFonts w:cs="Arial"/>
              </w:rPr>
              <w:t xml:space="preserve">Maintain stocks at sustainable levels, minimise risks of unsustainable harvest and recover stocks that are considered to have been fished to below sustainable </w:t>
            </w:r>
            <w:proofErr w:type="gramStart"/>
            <w:r w:rsidRPr="000C1ADC">
              <w:rPr>
                <w:rFonts w:cs="Arial"/>
              </w:rPr>
              <w:t>levels;</w:t>
            </w:r>
            <w:proofErr w:type="gramEnd"/>
          </w:p>
          <w:p w14:paraId="1EB0CB0D" w14:textId="77777777" w:rsidR="00F30079" w:rsidRPr="000C1ADC" w:rsidRDefault="00F30079" w:rsidP="00F30079">
            <w:pPr>
              <w:pStyle w:val="BodyText1"/>
              <w:numPr>
                <w:ilvl w:val="0"/>
                <w:numId w:val="14"/>
              </w:numPr>
              <w:spacing w:before="80" w:after="80" w:line="276" w:lineRule="auto"/>
              <w:rPr>
                <w:rFonts w:cs="Arial"/>
              </w:rPr>
            </w:pPr>
            <w:r w:rsidRPr="000C1ADC">
              <w:rPr>
                <w:rFonts w:cs="Arial"/>
              </w:rPr>
              <w:t xml:space="preserve">Protect endangered and threatened </w:t>
            </w:r>
            <w:proofErr w:type="gramStart"/>
            <w:r w:rsidRPr="000C1ADC">
              <w:rPr>
                <w:rFonts w:cs="Arial"/>
              </w:rPr>
              <w:t>species;</w:t>
            </w:r>
            <w:proofErr w:type="gramEnd"/>
          </w:p>
          <w:p w14:paraId="7F6A68B7" w14:textId="77777777" w:rsidR="00F30079" w:rsidRPr="000C1ADC" w:rsidRDefault="00F30079" w:rsidP="00F30079">
            <w:pPr>
              <w:pStyle w:val="BodyText1"/>
              <w:numPr>
                <w:ilvl w:val="0"/>
                <w:numId w:val="14"/>
              </w:numPr>
              <w:spacing w:before="80" w:after="80" w:line="276" w:lineRule="auto"/>
              <w:rPr>
                <w:rFonts w:cs="Arial"/>
              </w:rPr>
            </w:pPr>
            <w:r w:rsidRPr="000C1ADC">
              <w:rPr>
                <w:rFonts w:cs="Arial"/>
              </w:rPr>
              <w:t>Minimise fishery impacts on the ecosystem; and</w:t>
            </w:r>
          </w:p>
          <w:p w14:paraId="3040411F" w14:textId="77777777" w:rsidR="00F30079" w:rsidRPr="000C1ADC" w:rsidRDefault="00F30079" w:rsidP="00F30079">
            <w:pPr>
              <w:pStyle w:val="BodyText1"/>
              <w:numPr>
                <w:ilvl w:val="0"/>
                <w:numId w:val="14"/>
              </w:numPr>
              <w:spacing w:before="80" w:after="80" w:line="276" w:lineRule="auto"/>
              <w:rPr>
                <w:rFonts w:cs="Arial"/>
              </w:rPr>
            </w:pPr>
            <w:r w:rsidRPr="000C1ADC">
              <w:rPr>
                <w:rFonts w:cs="Arial"/>
              </w:rPr>
              <w:t>Ensure adequate compliance.</w:t>
            </w:r>
          </w:p>
          <w:p w14:paraId="6E404E34" w14:textId="77777777" w:rsidR="00F30079" w:rsidRDefault="00F30079" w:rsidP="00F30079">
            <w:pPr>
              <w:spacing w:before="80" w:after="80" w:line="276" w:lineRule="auto"/>
            </w:pPr>
            <w:r w:rsidRPr="000C1ADC">
              <w:rPr>
                <w:rFonts w:cs="Arial"/>
              </w:rPr>
              <w:t xml:space="preserve">The impacts on marine habitats are being further investigated through QDAF’s </w:t>
            </w:r>
            <w:hyperlink r:id="rId54" w:history="1">
              <w:r w:rsidRPr="000C1ADC">
                <w:rPr>
                  <w:rStyle w:val="Hyperlink"/>
                  <w:rFonts w:cs="Arial"/>
                  <w:i/>
                  <w:iCs/>
                </w:rPr>
                <w:t>Fisheries Queensland Monitoring and Research Plan</w:t>
              </w:r>
            </w:hyperlink>
            <w:r w:rsidRPr="000C1ADC">
              <w:rPr>
                <w:rFonts w:cs="Arial"/>
              </w:rPr>
              <w:t xml:space="preserve">. However, the latest published </w:t>
            </w:r>
            <w:hyperlink r:id="rId55" w:history="1">
              <w:r w:rsidRPr="000C1ADC">
                <w:rPr>
                  <w:rStyle w:val="Hyperlink"/>
                  <w:rFonts w:cs="Arial"/>
                </w:rPr>
                <w:t>Monitoring and Research Plan</w:t>
              </w:r>
            </w:hyperlink>
            <w:r w:rsidRPr="000C1ADC">
              <w:rPr>
                <w:rFonts w:cs="Arial"/>
              </w:rPr>
              <w:t xml:space="preserve"> does not extend beyond 2017-2018 and so does not include any measures derived from the 2019 ecological risk assessment (</w:t>
            </w:r>
            <w:hyperlink r:id="rId56" w:history="1">
              <w:r w:rsidRPr="000C1ADC">
                <w:rPr>
                  <w:rStyle w:val="Hyperlink"/>
                  <w:rFonts w:cs="Arial"/>
                  <w:bCs/>
                  <w:lang w:eastAsia="en-AU"/>
                </w:rPr>
                <w:t>Jacobsen et al. 2019b</w:t>
              </w:r>
            </w:hyperlink>
            <w:r w:rsidRPr="000C1ADC">
              <w:rPr>
                <w:rFonts w:cs="Arial"/>
              </w:rPr>
              <w:t>)</w:t>
            </w:r>
            <w:r w:rsidRPr="000C1ADC">
              <w:t>.</w:t>
            </w:r>
          </w:p>
          <w:p w14:paraId="26254C42" w14:textId="628AC355" w:rsidR="00F30079" w:rsidRPr="000C1ADC" w:rsidRDefault="00F30079" w:rsidP="00F30079">
            <w:pPr>
              <w:spacing w:before="80" w:after="80" w:line="276" w:lineRule="auto"/>
              <w:rPr>
                <w:rFonts w:cs="Arial"/>
              </w:rPr>
            </w:pPr>
            <w:r w:rsidRPr="00B36EB6">
              <w:rPr>
                <w:rFonts w:cs="Arial"/>
              </w:rPr>
              <w:t xml:space="preserve">The Department recommends conditions 4-7 be attached to the proposed Part 13A approval to improve understanding of the stocks and to ensure management arrangements remain effective. </w:t>
            </w:r>
            <w:r w:rsidRPr="00AE5829">
              <w:rPr>
                <w:rFonts w:cs="Arial"/>
              </w:rPr>
              <w:t xml:space="preserve">These conditions are targeted at CITES-listed Black and White </w:t>
            </w:r>
            <w:proofErr w:type="spellStart"/>
            <w:r w:rsidRPr="00AE5829">
              <w:rPr>
                <w:rFonts w:cs="Arial"/>
              </w:rPr>
              <w:t>Teatfish</w:t>
            </w:r>
            <w:proofErr w:type="spellEnd"/>
            <w:r w:rsidRPr="00AE5829">
              <w:rPr>
                <w:rFonts w:cs="Arial"/>
              </w:rPr>
              <w:t xml:space="preserve"> species but could be extended to remaining species in the fishery in future.</w:t>
            </w:r>
          </w:p>
        </w:tc>
      </w:tr>
      <w:tr w:rsidR="00F30079" w:rsidRPr="00A94147" w14:paraId="78C75D33" w14:textId="77777777" w:rsidTr="009C4B37">
        <w:trPr>
          <w:cantSplit/>
        </w:trPr>
        <w:tc>
          <w:tcPr>
            <w:tcW w:w="1532" w:type="pct"/>
            <w:shd w:val="clear" w:color="auto" w:fill="92D050"/>
          </w:tcPr>
          <w:p w14:paraId="7DABB49A" w14:textId="77777777" w:rsidR="00F30079" w:rsidRPr="009C4B37" w:rsidRDefault="00F30079" w:rsidP="00F30079">
            <w:pPr>
              <w:spacing w:before="80" w:after="80" w:line="276" w:lineRule="auto"/>
              <w:rPr>
                <w:rFonts w:cs="Arial"/>
              </w:rPr>
            </w:pPr>
            <w:r w:rsidRPr="009C4B37">
              <w:rPr>
                <w:rFonts w:cs="Arial"/>
                <w:b/>
                <w:i/>
              </w:rPr>
              <w:lastRenderedPageBreak/>
              <w:t xml:space="preserve">2.3.4 </w:t>
            </w:r>
            <w:r w:rsidRPr="009C4B37">
              <w:rPr>
                <w:rFonts w:cs="Arial"/>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468" w:type="pct"/>
            <w:shd w:val="clear" w:color="auto" w:fill="auto"/>
          </w:tcPr>
          <w:p w14:paraId="3F3C71DB" w14:textId="38870C8A" w:rsidR="00F30079" w:rsidRPr="009C4B37" w:rsidRDefault="00F30079" w:rsidP="00F30079">
            <w:pPr>
              <w:spacing w:before="80" w:after="80" w:line="276" w:lineRule="auto"/>
              <w:rPr>
                <w:rFonts w:cs="Arial"/>
                <w:b/>
              </w:rPr>
            </w:pPr>
            <w:r w:rsidRPr="009C4B37">
              <w:rPr>
                <w:rFonts w:cs="Arial"/>
                <w:b/>
              </w:rPr>
              <w:t>Meets – Decision rules, management triggers and monitoring are in place</w:t>
            </w:r>
          </w:p>
          <w:p w14:paraId="51BB79B1" w14:textId="470ACFD8" w:rsidR="00F30079" w:rsidRPr="009C4B37" w:rsidRDefault="00F30079" w:rsidP="00F30079">
            <w:pPr>
              <w:pStyle w:val="BodyText1"/>
              <w:spacing w:before="80" w:after="80" w:line="276" w:lineRule="auto"/>
              <w:rPr>
                <w:rFonts w:cs="Arial"/>
              </w:rPr>
            </w:pPr>
            <w:r w:rsidRPr="009C4B37">
              <w:rPr>
                <w:rFonts w:cs="Arial"/>
              </w:rPr>
              <w:t>Although there has been no ecological risk assessment, the greatest risk to the ecology is likely to arise from stocks being overfished and their ecological functions being compromised.</w:t>
            </w:r>
          </w:p>
          <w:p w14:paraId="0C2E1CB2" w14:textId="2E7582A5" w:rsidR="00F30079" w:rsidRPr="009C4B37" w:rsidRDefault="00F30079" w:rsidP="00F30079">
            <w:pPr>
              <w:pStyle w:val="BodyText1"/>
              <w:spacing w:before="80" w:after="80" w:line="276" w:lineRule="auto"/>
              <w:rPr>
                <w:rFonts w:cs="Arial"/>
              </w:rPr>
            </w:pPr>
            <w:r w:rsidRPr="009C4B37">
              <w:rPr>
                <w:rFonts w:cs="Arial"/>
              </w:rPr>
              <w:t xml:space="preserve">QDAF’s </w:t>
            </w:r>
            <w:hyperlink r:id="rId57" w:history="1">
              <w:r w:rsidRPr="009C4B37">
                <w:rPr>
                  <w:rStyle w:val="Hyperlink"/>
                  <w:rFonts w:cs="Arial"/>
                </w:rPr>
                <w:t>Performance Measurement System</w:t>
              </w:r>
            </w:hyperlink>
            <w:r w:rsidRPr="009C4B37">
              <w:rPr>
                <w:rFonts w:cs="Arial"/>
              </w:rPr>
              <w:t xml:space="preserve"> (PMS) is designed to ensure catches are no more than 10 per cent of the estimated biomass and for biomass to not fall by more than 15 per cent</w:t>
            </w:r>
            <w:r>
              <w:rPr>
                <w:rFonts w:cs="Arial"/>
              </w:rPr>
              <w:t xml:space="preserve"> between regular stock surveys</w:t>
            </w:r>
            <w:r w:rsidRPr="009C4B37">
              <w:rPr>
                <w:rFonts w:cs="Arial"/>
              </w:rPr>
              <w:t>.</w:t>
            </w:r>
            <w:r>
              <w:rPr>
                <w:rFonts w:cs="Arial"/>
              </w:rPr>
              <w:t xml:space="preserve"> These regular stock surveys have not been undertaken.</w:t>
            </w:r>
            <w:r w:rsidRPr="009C4B37">
              <w:rPr>
                <w:rFonts w:cs="Arial"/>
              </w:rPr>
              <w:t xml:space="preserve"> </w:t>
            </w:r>
          </w:p>
          <w:p w14:paraId="600FA072" w14:textId="77777777" w:rsidR="00F30079" w:rsidRPr="009C4B37" w:rsidRDefault="00F30079" w:rsidP="00F30079">
            <w:pPr>
              <w:pStyle w:val="BodyText1"/>
              <w:spacing w:before="80" w:after="80" w:line="276" w:lineRule="auto"/>
              <w:rPr>
                <w:rFonts w:cs="Arial"/>
              </w:rPr>
            </w:pPr>
            <w:r w:rsidRPr="009C4B37">
              <w:rPr>
                <w:rFonts w:cs="Arial"/>
              </w:rPr>
              <w:t>The PMS specifies ‘review reference points’ or ‘catch triggers’ which outlines the permissible amount of catch for each species before further investigation is required. These catch triggers are reflected in the conditions of each fishing permit and effectively limit catch to these specified amounts.</w:t>
            </w:r>
          </w:p>
          <w:p w14:paraId="528B0FB4" w14:textId="77777777" w:rsidR="00F30079" w:rsidRPr="009C4B37" w:rsidRDefault="00F30079" w:rsidP="00F30079">
            <w:pPr>
              <w:pStyle w:val="BodyText1"/>
              <w:spacing w:before="80" w:after="80" w:line="276" w:lineRule="auto"/>
              <w:rPr>
                <w:rFonts w:cs="Arial"/>
              </w:rPr>
            </w:pPr>
            <w:r w:rsidRPr="009C4B37">
              <w:rPr>
                <w:rFonts w:cs="Arial"/>
              </w:rPr>
              <w:t xml:space="preserve">There are a variety of management responses outlined in the PMS, which would be applied by QDAF on a case-by-case basis if a review reference point was triggered. The management responses are listed below from least to most severe. </w:t>
            </w:r>
          </w:p>
          <w:p w14:paraId="3BE64182" w14:textId="77777777" w:rsidR="00F30079" w:rsidRPr="009C4B37" w:rsidRDefault="00F30079" w:rsidP="00F30079">
            <w:pPr>
              <w:pStyle w:val="BodyText1"/>
              <w:numPr>
                <w:ilvl w:val="0"/>
                <w:numId w:val="15"/>
              </w:numPr>
              <w:spacing w:before="80" w:after="80" w:line="276" w:lineRule="auto"/>
              <w:rPr>
                <w:rFonts w:cs="Arial"/>
              </w:rPr>
            </w:pPr>
            <w:r w:rsidRPr="009C4B37">
              <w:rPr>
                <w:rFonts w:cs="Arial"/>
              </w:rPr>
              <w:t xml:space="preserve">Increase the review reference </w:t>
            </w:r>
            <w:proofErr w:type="gramStart"/>
            <w:r w:rsidRPr="009C4B37">
              <w:rPr>
                <w:rFonts w:cs="Arial"/>
              </w:rPr>
              <w:t>point;</w:t>
            </w:r>
            <w:proofErr w:type="gramEnd"/>
            <w:r w:rsidRPr="009C4B37">
              <w:rPr>
                <w:rFonts w:cs="Arial"/>
              </w:rPr>
              <w:t xml:space="preserve"> </w:t>
            </w:r>
          </w:p>
          <w:p w14:paraId="0B6BFF42" w14:textId="17D38930" w:rsidR="00F30079" w:rsidRPr="009C4B37" w:rsidRDefault="00F30079" w:rsidP="00F30079">
            <w:pPr>
              <w:pStyle w:val="BodyText1"/>
              <w:numPr>
                <w:ilvl w:val="0"/>
                <w:numId w:val="15"/>
              </w:numPr>
              <w:spacing w:before="80" w:after="80" w:line="276" w:lineRule="auto"/>
              <w:rPr>
                <w:rFonts w:cs="Arial"/>
              </w:rPr>
            </w:pPr>
            <w:r w:rsidRPr="009C4B37">
              <w:rPr>
                <w:rFonts w:cs="Arial"/>
              </w:rPr>
              <w:t xml:space="preserve">Commit to intervention/further action if a </w:t>
            </w:r>
            <w:r w:rsidR="00FA0F9F">
              <w:rPr>
                <w:rFonts w:cs="Arial"/>
              </w:rPr>
              <w:t>review reference point (</w:t>
            </w:r>
            <w:r w:rsidRPr="009C4B37">
              <w:rPr>
                <w:rFonts w:cs="Arial"/>
              </w:rPr>
              <w:t>RRP</w:t>
            </w:r>
            <w:r w:rsidR="00FA0F9F">
              <w:rPr>
                <w:rFonts w:cs="Arial"/>
              </w:rPr>
              <w:t>)</w:t>
            </w:r>
            <w:r w:rsidRPr="009C4B37">
              <w:rPr>
                <w:rFonts w:cs="Arial"/>
              </w:rPr>
              <w:t xml:space="preserve"> is reached in a subsequent </w:t>
            </w:r>
            <w:proofErr w:type="gramStart"/>
            <w:r w:rsidRPr="009C4B37">
              <w:rPr>
                <w:rFonts w:cs="Arial"/>
              </w:rPr>
              <w:t>year;</w:t>
            </w:r>
            <w:proofErr w:type="gramEnd"/>
            <w:r w:rsidRPr="009C4B37">
              <w:rPr>
                <w:rFonts w:cs="Arial"/>
              </w:rPr>
              <w:t xml:space="preserve"> </w:t>
            </w:r>
          </w:p>
          <w:p w14:paraId="492C3116" w14:textId="49DDFE64" w:rsidR="00F30079" w:rsidRPr="009C4B37" w:rsidRDefault="00F30079" w:rsidP="00F30079">
            <w:pPr>
              <w:pStyle w:val="BodyText1"/>
              <w:numPr>
                <w:ilvl w:val="0"/>
                <w:numId w:val="15"/>
              </w:numPr>
              <w:spacing w:before="80" w:after="80" w:line="276" w:lineRule="auto"/>
              <w:rPr>
                <w:rFonts w:cs="Arial"/>
              </w:rPr>
            </w:pPr>
            <w:r w:rsidRPr="009C4B37">
              <w:rPr>
                <w:rFonts w:cs="Arial"/>
              </w:rPr>
              <w:t xml:space="preserve">Allow fishing above RRP to continue for next quota year and require that it remain below RRP after that until a resource assessment is delivered by industry and spatially defined catch limit(s) endorsed by the </w:t>
            </w:r>
            <w:r w:rsidR="00FA0F9F">
              <w:rPr>
                <w:rFonts w:cs="Arial"/>
              </w:rPr>
              <w:t>Fishery Working Group (</w:t>
            </w:r>
            <w:r w:rsidRPr="009C4B37">
              <w:rPr>
                <w:rFonts w:cs="Arial"/>
              </w:rPr>
              <w:t>FWG</w:t>
            </w:r>
            <w:proofErr w:type="gramStart"/>
            <w:r w:rsidR="00FA0F9F">
              <w:rPr>
                <w:rFonts w:cs="Arial"/>
              </w:rPr>
              <w:t>)</w:t>
            </w:r>
            <w:r w:rsidRPr="009C4B37">
              <w:rPr>
                <w:rFonts w:cs="Arial"/>
              </w:rPr>
              <w:t>;</w:t>
            </w:r>
            <w:proofErr w:type="gramEnd"/>
            <w:r w:rsidRPr="009C4B37">
              <w:rPr>
                <w:rFonts w:cs="Arial"/>
              </w:rPr>
              <w:t xml:space="preserve"> </w:t>
            </w:r>
          </w:p>
          <w:p w14:paraId="3F63F5FB" w14:textId="77777777" w:rsidR="00F30079" w:rsidRPr="009C4B37" w:rsidRDefault="00F30079" w:rsidP="00F30079">
            <w:pPr>
              <w:pStyle w:val="BodyText1"/>
              <w:numPr>
                <w:ilvl w:val="0"/>
                <w:numId w:val="15"/>
              </w:numPr>
              <w:spacing w:before="80" w:after="80" w:line="276" w:lineRule="auto"/>
              <w:rPr>
                <w:rFonts w:cs="Arial"/>
              </w:rPr>
            </w:pPr>
            <w:r w:rsidRPr="009C4B37">
              <w:rPr>
                <w:rFonts w:cs="Arial"/>
              </w:rPr>
              <w:t xml:space="preserve">Fishing to return to levels below RRP until a resource assessment (with methodology endorsed by the FWG) is delivered by industry and spatially defined catch limit(s) endorsed by the </w:t>
            </w:r>
            <w:proofErr w:type="gramStart"/>
            <w:r w:rsidRPr="009C4B37">
              <w:rPr>
                <w:rFonts w:cs="Arial"/>
              </w:rPr>
              <w:t>FWG;</w:t>
            </w:r>
            <w:proofErr w:type="gramEnd"/>
            <w:r w:rsidRPr="009C4B37">
              <w:rPr>
                <w:rFonts w:cs="Arial"/>
              </w:rPr>
              <w:t xml:space="preserve"> </w:t>
            </w:r>
          </w:p>
          <w:p w14:paraId="78E0619E" w14:textId="77777777" w:rsidR="00F30079" w:rsidRPr="009C4B37" w:rsidRDefault="00F30079" w:rsidP="00F30079">
            <w:pPr>
              <w:pStyle w:val="BodyText1"/>
              <w:numPr>
                <w:ilvl w:val="0"/>
                <w:numId w:val="15"/>
              </w:numPr>
              <w:spacing w:before="80" w:after="80" w:line="276" w:lineRule="auto"/>
              <w:rPr>
                <w:rFonts w:cs="Arial"/>
              </w:rPr>
            </w:pPr>
            <w:r w:rsidRPr="009C4B37">
              <w:rPr>
                <w:rFonts w:cs="Arial"/>
              </w:rPr>
              <w:t xml:space="preserve">Fishing for species to cease in certain area(s) (key targeted area(s)) and fishing in all other areas to continue below RRP while a resource assessment (with methodology endorsed by the FWG) is delivered by industry for the targeted area; </w:t>
            </w:r>
          </w:p>
          <w:p w14:paraId="530DD685" w14:textId="77777777" w:rsidR="00F30079" w:rsidRPr="009C4B37" w:rsidRDefault="00F30079" w:rsidP="00F30079">
            <w:pPr>
              <w:pStyle w:val="BodyText1"/>
              <w:numPr>
                <w:ilvl w:val="0"/>
                <w:numId w:val="15"/>
              </w:numPr>
              <w:spacing w:before="80" w:after="80" w:line="276" w:lineRule="auto"/>
              <w:rPr>
                <w:rFonts w:cs="Arial"/>
              </w:rPr>
            </w:pPr>
            <w:r w:rsidRPr="009C4B37">
              <w:rPr>
                <w:rFonts w:cs="Arial"/>
              </w:rPr>
              <w:t xml:space="preserve">Fishing for species to cease until a resource assessment (with methodology endorsed by the FWG) is delivered by industry and spatially defined catch limit(s) endorsed by the FWG. </w:t>
            </w:r>
          </w:p>
          <w:p w14:paraId="1D66CF5E" w14:textId="67A81959" w:rsidR="00F30079" w:rsidRPr="009C4B37" w:rsidRDefault="00F30079" w:rsidP="00F30079">
            <w:pPr>
              <w:spacing w:before="80" w:after="80" w:line="276" w:lineRule="auto"/>
              <w:rPr>
                <w:rFonts w:cs="Arial"/>
              </w:rPr>
            </w:pPr>
            <w:r w:rsidRPr="009C4B37">
              <w:rPr>
                <w:rFonts w:cs="Arial"/>
              </w:rPr>
              <w:t>Management responses are also outlined in the PMS if any aspect of the memorandum of understanding between fishers and QDAF is not adhered to. An example of this would be allowed effort in each rotation zone exceeding the allowed 15 days per zone, which can be monitored through vessel tracking.</w:t>
            </w:r>
          </w:p>
          <w:p w14:paraId="544511C4" w14:textId="76196ABC" w:rsidR="00F30079" w:rsidRPr="009C4B37" w:rsidRDefault="00F30079" w:rsidP="00F30079">
            <w:pPr>
              <w:spacing w:before="80" w:after="80" w:line="276" w:lineRule="auto"/>
              <w:rPr>
                <w:rFonts w:cs="Arial"/>
              </w:rPr>
            </w:pPr>
            <w:r w:rsidRPr="009C4B37">
              <w:rPr>
                <w:rFonts w:cs="Arial"/>
              </w:rPr>
              <w:lastRenderedPageBreak/>
              <w:t xml:space="preserve">The impacts on marine habitats are being further investigated through QDAF’s </w:t>
            </w:r>
            <w:hyperlink r:id="rId58" w:history="1">
              <w:r w:rsidRPr="009C4B37">
                <w:rPr>
                  <w:rStyle w:val="Hyperlink"/>
                  <w:rFonts w:cs="Arial"/>
                  <w:i/>
                  <w:iCs/>
                </w:rPr>
                <w:t>Fisheries Queensland Monitoring and Research Plan</w:t>
              </w:r>
            </w:hyperlink>
            <w:r w:rsidRPr="009C4B37">
              <w:rPr>
                <w:rFonts w:cs="Arial"/>
              </w:rPr>
              <w:t xml:space="preserve">. However, the latest published </w:t>
            </w:r>
            <w:hyperlink r:id="rId59" w:history="1">
              <w:r w:rsidRPr="009C4B37">
                <w:rPr>
                  <w:rStyle w:val="Hyperlink"/>
                  <w:rFonts w:cs="Arial"/>
                </w:rPr>
                <w:t>Monitoring and Research Plan</w:t>
              </w:r>
            </w:hyperlink>
            <w:r w:rsidRPr="009C4B37">
              <w:rPr>
                <w:rFonts w:cs="Arial"/>
              </w:rPr>
              <w:t xml:space="preserve"> does not extend beyond 2017-2018 and so does not include any measures derived from the 2019 ecological risk assessment (</w:t>
            </w:r>
            <w:hyperlink r:id="rId60" w:history="1">
              <w:r w:rsidRPr="009C4B37">
                <w:rPr>
                  <w:rStyle w:val="Hyperlink"/>
                  <w:rFonts w:cs="Arial"/>
                  <w:bCs/>
                  <w:lang w:eastAsia="en-AU"/>
                </w:rPr>
                <w:t>Jacobsen et al. 2019b</w:t>
              </w:r>
            </w:hyperlink>
            <w:r w:rsidRPr="009C4B37">
              <w:rPr>
                <w:rFonts w:cs="Arial"/>
              </w:rPr>
              <w:t>)</w:t>
            </w:r>
            <w:r w:rsidRPr="009C4B37">
              <w:t>.</w:t>
            </w:r>
          </w:p>
        </w:tc>
      </w:tr>
      <w:tr w:rsidR="00F30079" w:rsidRPr="00A94147" w14:paraId="358C4D33" w14:textId="77777777" w:rsidTr="00F9657A">
        <w:trPr>
          <w:cantSplit/>
        </w:trPr>
        <w:tc>
          <w:tcPr>
            <w:tcW w:w="1532" w:type="pct"/>
            <w:shd w:val="clear" w:color="auto" w:fill="FFC000"/>
          </w:tcPr>
          <w:p w14:paraId="134F54EE" w14:textId="77777777" w:rsidR="00F30079" w:rsidRPr="009C4B37" w:rsidRDefault="00F30079" w:rsidP="00F30079">
            <w:pPr>
              <w:spacing w:before="80" w:after="80" w:line="276" w:lineRule="auto"/>
              <w:rPr>
                <w:rFonts w:cs="Arial"/>
              </w:rPr>
            </w:pPr>
            <w:r w:rsidRPr="009C4B37">
              <w:rPr>
                <w:rFonts w:cs="Arial"/>
                <w:b/>
                <w:i/>
              </w:rPr>
              <w:lastRenderedPageBreak/>
              <w:t>2.3.5</w:t>
            </w:r>
            <w:r w:rsidRPr="009C4B37">
              <w:rPr>
                <w:rFonts w:cs="Arial"/>
              </w:rPr>
              <w:t xml:space="preserve"> The management response, considering uncertainties in the assessment and precautionary management actions, has a high chance of achieving the objective.</w:t>
            </w:r>
          </w:p>
        </w:tc>
        <w:tc>
          <w:tcPr>
            <w:tcW w:w="3468" w:type="pct"/>
            <w:shd w:val="clear" w:color="auto" w:fill="auto"/>
          </w:tcPr>
          <w:p w14:paraId="6579FB69" w14:textId="2FF8EB3E" w:rsidR="00F30079" w:rsidRPr="009C4B37" w:rsidRDefault="00F30079" w:rsidP="00F30079">
            <w:pPr>
              <w:spacing w:before="80" w:after="80" w:line="276" w:lineRule="auto"/>
              <w:rPr>
                <w:rFonts w:cs="Arial"/>
                <w:b/>
              </w:rPr>
            </w:pPr>
            <w:r>
              <w:rPr>
                <w:rFonts w:cs="Arial"/>
                <w:b/>
              </w:rPr>
              <w:t>Partly m</w:t>
            </w:r>
            <w:r w:rsidRPr="009C4B37">
              <w:rPr>
                <w:rFonts w:cs="Arial"/>
                <w:b/>
              </w:rPr>
              <w:t xml:space="preserve">eets – Fishery is conducted in a manner that minimises its’ impact on the </w:t>
            </w:r>
            <w:proofErr w:type="gramStart"/>
            <w:r w:rsidRPr="009C4B37">
              <w:rPr>
                <w:rFonts w:cs="Arial"/>
                <w:b/>
              </w:rPr>
              <w:t>ecosystem</w:t>
            </w:r>
            <w:proofErr w:type="gramEnd"/>
            <w:r>
              <w:rPr>
                <w:rFonts w:cs="Arial"/>
                <w:b/>
              </w:rPr>
              <w:t xml:space="preserve"> but information collection could be improved</w:t>
            </w:r>
          </w:p>
          <w:p w14:paraId="7A0F3C61" w14:textId="3A99B0C9" w:rsidR="00F30079" w:rsidRPr="009C4B37" w:rsidRDefault="00F30079" w:rsidP="00F30079">
            <w:pPr>
              <w:spacing w:before="80" w:after="80" w:line="276" w:lineRule="auto"/>
              <w:rPr>
                <w:rFonts w:cs="Arial"/>
              </w:rPr>
            </w:pPr>
            <w:r w:rsidRPr="009C4B37">
              <w:rPr>
                <w:rFonts w:cs="Arial"/>
              </w:rPr>
              <w:t>The Department is satisfied, based on available information, that the fishery is conducted, in a manner that minimises the impact of fishing operations on the ecosystem generally.</w:t>
            </w:r>
          </w:p>
        </w:tc>
      </w:tr>
    </w:tbl>
    <w:p w14:paraId="28368C55" w14:textId="77777777" w:rsidR="000B1D68" w:rsidRPr="00A94147" w:rsidRDefault="000B1D68" w:rsidP="007F171B">
      <w:pPr>
        <w:spacing w:before="0" w:after="0" w:line="276" w:lineRule="auto"/>
        <w:rPr>
          <w:rFonts w:cs="Arial"/>
          <w:b/>
          <w:caps/>
          <w:sz w:val="24"/>
          <w:highlight w:val="yellow"/>
        </w:rPr>
      </w:pPr>
      <w:r w:rsidRPr="00A94147">
        <w:rPr>
          <w:highlight w:val="yellow"/>
        </w:rPr>
        <w:br w:type="page"/>
      </w:r>
    </w:p>
    <w:p w14:paraId="3F0B8578" w14:textId="26C49D30" w:rsidR="006B6EF9" w:rsidRPr="009C4B37" w:rsidRDefault="006B6EF9" w:rsidP="007F171B">
      <w:pPr>
        <w:pStyle w:val="Heading1"/>
        <w:spacing w:after="120"/>
        <w:rPr>
          <w:rFonts w:ascii="Arial" w:hAnsi="Arial"/>
        </w:rPr>
      </w:pPr>
      <w:bookmarkStart w:id="28" w:name="_Toc51057520"/>
      <w:r w:rsidRPr="009C4B37">
        <w:rPr>
          <w:rFonts w:ascii="Arial" w:hAnsi="Arial"/>
        </w:rPr>
        <w:lastRenderedPageBreak/>
        <w:t>Section</w:t>
      </w:r>
      <w:r w:rsidR="0027138D" w:rsidRPr="009C4B37">
        <w:rPr>
          <w:rFonts w:ascii="Arial" w:hAnsi="Arial"/>
        </w:rPr>
        <w:t xml:space="preserve"> </w:t>
      </w:r>
      <w:r w:rsidR="00983B2B" w:rsidRPr="009C4B37">
        <w:rPr>
          <w:rFonts w:ascii="Arial" w:hAnsi="Arial"/>
        </w:rPr>
        <w:t>4</w:t>
      </w:r>
      <w:r w:rsidR="00223C3E" w:rsidRPr="009C4B37">
        <w:rPr>
          <w:rFonts w:ascii="Arial" w:hAnsi="Arial"/>
        </w:rPr>
        <w:t xml:space="preserve">: </w:t>
      </w:r>
      <w:r w:rsidRPr="009C4B37">
        <w:rPr>
          <w:rFonts w:ascii="Arial" w:hAnsi="Arial"/>
        </w:rPr>
        <w:t xml:space="preserve">Assessment </w:t>
      </w:r>
      <w:r w:rsidR="00282EA0" w:rsidRPr="009C4B37">
        <w:rPr>
          <w:rFonts w:ascii="Arial" w:hAnsi="Arial"/>
        </w:rPr>
        <w:t>Against the EPBC Act</w:t>
      </w:r>
      <w:bookmarkEnd w:id="28"/>
    </w:p>
    <w:p w14:paraId="690C012B" w14:textId="211A946B" w:rsidR="00F73C73" w:rsidRPr="009C4B37" w:rsidRDefault="009F053A" w:rsidP="007F171B">
      <w:pPr>
        <w:spacing w:before="0" w:after="0" w:line="276" w:lineRule="auto"/>
        <w:rPr>
          <w:rFonts w:cs="Arial"/>
        </w:rPr>
      </w:pPr>
      <w:r w:rsidRPr="009C4B37">
        <w:rPr>
          <w:rFonts w:cs="Arial"/>
        </w:rPr>
        <w:t xml:space="preserve">The table below is not a complete or exact representation of the EPBC Act. It is intended </w:t>
      </w:r>
      <w:r w:rsidR="007361FC" w:rsidRPr="009C4B37">
        <w:rPr>
          <w:rFonts w:cs="Arial"/>
        </w:rPr>
        <w:t xml:space="preserve">to show that the </w:t>
      </w:r>
      <w:r w:rsidRPr="009C4B37">
        <w:rPr>
          <w:rFonts w:cs="Arial"/>
        </w:rPr>
        <w:t xml:space="preserve">relevant sections and components of the EPBC Act </w:t>
      </w:r>
      <w:r w:rsidR="00897628" w:rsidRPr="009C4B37">
        <w:rPr>
          <w:rFonts w:cs="Arial"/>
        </w:rPr>
        <w:t xml:space="preserve">have been </w:t>
      </w:r>
      <w:r w:rsidR="00A665B9" w:rsidRPr="009C4B37">
        <w:rPr>
          <w:rFonts w:cs="Arial"/>
        </w:rPr>
        <w:t>considered</w:t>
      </w:r>
      <w:r w:rsidR="00897628" w:rsidRPr="009C4B37">
        <w:rPr>
          <w:rFonts w:cs="Arial"/>
        </w:rPr>
        <w:t xml:space="preserve"> in the formulation of </w:t>
      </w:r>
      <w:r w:rsidRPr="009C4B37">
        <w:rPr>
          <w:rFonts w:cs="Arial"/>
        </w:rPr>
        <w:t xml:space="preserve">advice on the fishery in relation to decisions under Part 13 and Part 13A. </w:t>
      </w:r>
    </w:p>
    <w:p w14:paraId="63A4FE7E" w14:textId="4BABCD6D" w:rsidR="009F053A" w:rsidRPr="009C4B37" w:rsidRDefault="009F053A" w:rsidP="007F171B">
      <w:pPr>
        <w:pStyle w:val="Heading2"/>
        <w:spacing w:line="276" w:lineRule="auto"/>
      </w:pPr>
      <w:bookmarkStart w:id="29" w:name="_Toc51057521"/>
      <w:r w:rsidRPr="009C4B37">
        <w:t xml:space="preserve">Part 12 </w:t>
      </w:r>
      <w:r w:rsidR="00F73C73" w:rsidRPr="009C4B37">
        <w:t>– Identifying and monitoring biodiversity and making bioregional plans</w:t>
      </w:r>
      <w:bookmarkEnd w:id="29"/>
    </w:p>
    <w:tbl>
      <w:tblPr>
        <w:tblStyle w:val="TableGrid"/>
        <w:tblW w:w="5000" w:type="pct"/>
        <w:tblLook w:val="04A0" w:firstRow="1" w:lastRow="0" w:firstColumn="1" w:lastColumn="0" w:noHBand="0" w:noVBand="1"/>
      </w:tblPr>
      <w:tblGrid>
        <w:gridCol w:w="4391"/>
        <w:gridCol w:w="10395"/>
      </w:tblGrid>
      <w:tr w:rsidR="009F053A" w:rsidRPr="009C4B37" w14:paraId="503FF0BC" w14:textId="77777777" w:rsidTr="00813955">
        <w:trPr>
          <w:cnfStyle w:val="100000000000" w:firstRow="1" w:lastRow="0" w:firstColumn="0" w:lastColumn="0" w:oddVBand="0" w:evenVBand="0" w:oddHBand="0" w:evenHBand="0" w:firstRowFirstColumn="0" w:firstRowLastColumn="0" w:lastRowFirstColumn="0" w:lastRowLastColumn="0"/>
          <w:cantSplit/>
        </w:trPr>
        <w:tc>
          <w:tcPr>
            <w:tcW w:w="1485" w:type="pct"/>
            <w:shd w:val="clear" w:color="auto" w:fill="D9D9D9" w:themeFill="background1" w:themeFillShade="D9"/>
            <w:vAlign w:val="center"/>
          </w:tcPr>
          <w:p w14:paraId="4BC41F5C" w14:textId="35615BB6" w:rsidR="009F053A" w:rsidRPr="009C4B37" w:rsidRDefault="00400844" w:rsidP="007F171B">
            <w:pPr>
              <w:spacing w:before="80" w:after="80" w:line="276" w:lineRule="auto"/>
              <w:ind w:left="426" w:hanging="426"/>
              <w:contextualSpacing/>
              <w:jc w:val="center"/>
              <w:rPr>
                <w:rFonts w:cs="Arial"/>
                <w:b/>
              </w:rPr>
            </w:pPr>
            <w:r w:rsidRPr="009C4B37">
              <w:rPr>
                <w:rFonts w:cs="Arial"/>
                <w:b/>
              </w:rPr>
              <w:t>Section 176 Bioregional Plans</w:t>
            </w:r>
          </w:p>
        </w:tc>
        <w:tc>
          <w:tcPr>
            <w:tcW w:w="3515" w:type="pct"/>
            <w:shd w:val="clear" w:color="auto" w:fill="D9D9D9" w:themeFill="background1" w:themeFillShade="D9"/>
            <w:vAlign w:val="center"/>
          </w:tcPr>
          <w:p w14:paraId="3DF3E25D" w14:textId="77777777" w:rsidR="009F053A" w:rsidRPr="009C4B37" w:rsidRDefault="009F053A" w:rsidP="007F171B">
            <w:pPr>
              <w:keepNext/>
              <w:spacing w:before="80" w:after="80" w:line="276" w:lineRule="auto"/>
              <w:contextualSpacing/>
              <w:jc w:val="center"/>
              <w:rPr>
                <w:rFonts w:cs="Arial"/>
                <w:b/>
              </w:rPr>
            </w:pPr>
            <w:r w:rsidRPr="009C4B37">
              <w:rPr>
                <w:rFonts w:cs="Arial"/>
                <w:b/>
              </w:rPr>
              <w:t>Comment</w:t>
            </w:r>
          </w:p>
        </w:tc>
      </w:tr>
      <w:tr w:rsidR="009F053A" w:rsidRPr="009C4B37" w14:paraId="50519DE6" w14:textId="77777777" w:rsidTr="006A2B1A">
        <w:trPr>
          <w:cnfStyle w:val="000000100000" w:firstRow="0" w:lastRow="0" w:firstColumn="0" w:lastColumn="0" w:oddVBand="0" w:evenVBand="0" w:oddHBand="1" w:evenHBand="0" w:firstRowFirstColumn="0" w:firstRowLastColumn="0" w:lastRowFirstColumn="0" w:lastRowLastColumn="0"/>
          <w:cantSplit/>
        </w:trPr>
        <w:tc>
          <w:tcPr>
            <w:tcW w:w="1485" w:type="pct"/>
            <w:shd w:val="clear" w:color="auto" w:fill="92D050"/>
          </w:tcPr>
          <w:p w14:paraId="2F4C8136" w14:textId="42CD7580" w:rsidR="00D40B13" w:rsidRPr="009C4B37" w:rsidRDefault="00557756" w:rsidP="007F171B">
            <w:pPr>
              <w:pStyle w:val="ListNumber"/>
              <w:spacing w:before="80" w:after="80"/>
              <w:rPr>
                <w:sz w:val="22"/>
                <w:szCs w:val="22"/>
              </w:rPr>
            </w:pPr>
            <w:r w:rsidRPr="009C4B37">
              <w:rPr>
                <w:sz w:val="22"/>
                <w:szCs w:val="22"/>
              </w:rPr>
              <w:t>(5)</w:t>
            </w:r>
            <w:r w:rsidRPr="009C4B37">
              <w:rPr>
                <w:sz w:val="22"/>
                <w:szCs w:val="22"/>
              </w:rPr>
              <w:tab/>
            </w:r>
            <w:r w:rsidR="009F053A" w:rsidRPr="009C4B37">
              <w:rPr>
                <w:sz w:val="22"/>
                <w:szCs w:val="22"/>
              </w:rPr>
              <w:t>Minister must have regard to relevant bioregional plans</w:t>
            </w:r>
          </w:p>
        </w:tc>
        <w:tc>
          <w:tcPr>
            <w:tcW w:w="3515" w:type="pct"/>
            <w:shd w:val="clear" w:color="auto" w:fill="auto"/>
          </w:tcPr>
          <w:p w14:paraId="1D600EEE" w14:textId="3FD8D9C7" w:rsidR="002F564A" w:rsidRPr="009C4B37" w:rsidRDefault="006A2B1A" w:rsidP="007F171B">
            <w:pPr>
              <w:spacing w:before="80" w:after="80" w:line="276" w:lineRule="auto"/>
              <w:contextualSpacing/>
              <w:rPr>
                <w:rFonts w:cs="Arial"/>
                <w:b/>
              </w:rPr>
            </w:pPr>
            <w:r w:rsidRPr="009C4B37">
              <w:rPr>
                <w:rFonts w:cs="Arial"/>
                <w:b/>
              </w:rPr>
              <w:t>M</w:t>
            </w:r>
            <w:r w:rsidR="004F43E3" w:rsidRPr="009C4B37">
              <w:rPr>
                <w:rFonts w:cs="Arial"/>
                <w:b/>
              </w:rPr>
              <w:t>eets</w:t>
            </w:r>
            <w:r w:rsidRPr="009C4B37">
              <w:rPr>
                <w:rFonts w:cs="Arial"/>
                <w:b/>
              </w:rPr>
              <w:t xml:space="preserve"> – relevant bioregional plans have been considered in this assessment</w:t>
            </w:r>
          </w:p>
          <w:p w14:paraId="015B42D7" w14:textId="6DB7E028" w:rsidR="00A71287" w:rsidRPr="009C4B37" w:rsidRDefault="00050450" w:rsidP="007F171B">
            <w:pPr>
              <w:spacing w:before="80" w:after="80" w:line="276" w:lineRule="auto"/>
              <w:rPr>
                <w:rFonts w:cs="Arial"/>
                <w:lang w:eastAsia="en-AU"/>
              </w:rPr>
            </w:pPr>
            <w:r w:rsidRPr="009C4B37">
              <w:rPr>
                <w:rFonts w:cs="Arial"/>
              </w:rPr>
              <w:t xml:space="preserve">The </w:t>
            </w:r>
            <w:hyperlink r:id="rId61" w:history="1">
              <w:r w:rsidRPr="009C4B37">
                <w:rPr>
                  <w:rStyle w:val="Hyperlink"/>
                  <w:rFonts w:eastAsia="Times New Roman" w:cs="Arial"/>
                  <w:i/>
                  <w:lang w:eastAsia="en-AU"/>
                </w:rPr>
                <w:t>Marine bioregional plan for the Temperate East Marine Region 2012</w:t>
              </w:r>
            </w:hyperlink>
            <w:r w:rsidRPr="009C4B37">
              <w:rPr>
                <w:rFonts w:eastAsia="Times New Roman" w:cs="Arial"/>
                <w:lang w:eastAsia="en-AU"/>
              </w:rPr>
              <w:t xml:space="preserve"> </w:t>
            </w:r>
            <w:r w:rsidRPr="009C4B37">
              <w:rPr>
                <w:rFonts w:cs="Arial"/>
              </w:rPr>
              <w:t>has been considered in prepar</w:t>
            </w:r>
            <w:r w:rsidR="00A33D7D" w:rsidRPr="009C4B37">
              <w:rPr>
                <w:rFonts w:cs="Arial"/>
              </w:rPr>
              <w:t>ing</w:t>
            </w:r>
            <w:r w:rsidRPr="009C4B37" w:rsidDel="00A33D7D">
              <w:rPr>
                <w:rFonts w:cs="Arial"/>
              </w:rPr>
              <w:t xml:space="preserve"> </w:t>
            </w:r>
            <w:r w:rsidRPr="009C4B37">
              <w:rPr>
                <w:rFonts w:cs="Arial"/>
              </w:rPr>
              <w:t xml:space="preserve">advice in relation to decisions under section 303DC and section 303FN. </w:t>
            </w:r>
            <w:r w:rsidR="00D02AB8" w:rsidRPr="009C4B37">
              <w:rPr>
                <w:rFonts w:eastAsia="Times New Roman" w:cs="Arial"/>
                <w:lang w:eastAsia="en-AU"/>
              </w:rPr>
              <w:t>The</w:t>
            </w:r>
            <w:r w:rsidRPr="009C4B37">
              <w:rPr>
                <w:rFonts w:eastAsia="Times New Roman" w:cs="Arial"/>
                <w:lang w:eastAsia="en-AU"/>
              </w:rPr>
              <w:t xml:space="preserve"> bioregional plan </w:t>
            </w:r>
            <w:r w:rsidR="00D02AB8" w:rsidRPr="009C4B37">
              <w:rPr>
                <w:rFonts w:eastAsia="Times New Roman" w:cs="Arial"/>
                <w:lang w:eastAsia="en-AU"/>
              </w:rPr>
              <w:t xml:space="preserve">identified </w:t>
            </w:r>
            <w:r w:rsidR="00A71287" w:rsidRPr="009C4B37">
              <w:rPr>
                <w:rFonts w:cs="Arial"/>
                <w:lang w:eastAsia="en-AU"/>
              </w:rPr>
              <w:t>four</w:t>
            </w:r>
            <w:r w:rsidR="00D02AB8" w:rsidRPr="009C4B37">
              <w:rPr>
                <w:rFonts w:cs="Arial"/>
                <w:lang w:eastAsia="en-AU"/>
              </w:rPr>
              <w:t xml:space="preserve"> key ecological features present </w:t>
            </w:r>
            <w:proofErr w:type="gramStart"/>
            <w:r w:rsidR="00D02AB8" w:rsidRPr="009C4B37">
              <w:rPr>
                <w:rFonts w:cs="Arial"/>
                <w:lang w:eastAsia="en-AU"/>
              </w:rPr>
              <w:t>in the area of</w:t>
            </w:r>
            <w:proofErr w:type="gramEnd"/>
            <w:r w:rsidR="00D02AB8" w:rsidRPr="009C4B37">
              <w:rPr>
                <w:rFonts w:cs="Arial"/>
                <w:lang w:eastAsia="en-AU"/>
              </w:rPr>
              <w:t xml:space="preserve"> the fishery. These are </w:t>
            </w:r>
            <w:r w:rsidR="00A71287" w:rsidRPr="009C4B37">
              <w:rPr>
                <w:rFonts w:cs="Arial"/>
                <w:lang w:eastAsia="en-AU"/>
              </w:rPr>
              <w:t xml:space="preserve">shelf rocky reefs, the canyons on the eastern continental slope, the </w:t>
            </w:r>
            <w:proofErr w:type="spellStart"/>
            <w:r w:rsidR="00A71287" w:rsidRPr="009C4B37">
              <w:rPr>
                <w:rFonts w:cs="Arial"/>
                <w:lang w:eastAsia="en-AU"/>
              </w:rPr>
              <w:t>Tasmantid</w:t>
            </w:r>
            <w:proofErr w:type="spellEnd"/>
            <w:r w:rsidR="00A71287" w:rsidRPr="009C4B37">
              <w:rPr>
                <w:rFonts w:cs="Arial"/>
                <w:lang w:eastAsia="en-AU"/>
              </w:rPr>
              <w:t xml:space="preserve"> seamount chain and the upwelling off Fraser Island. </w:t>
            </w:r>
          </w:p>
          <w:p w14:paraId="1C7D7BC3" w14:textId="5CB76ECA" w:rsidR="00952FB9" w:rsidRPr="009C4B37" w:rsidRDefault="00952FB9" w:rsidP="00952FB9">
            <w:pPr>
              <w:spacing w:before="80" w:after="80" w:line="276" w:lineRule="auto"/>
              <w:rPr>
                <w:rFonts w:cs="Arial"/>
                <w:bCs/>
                <w:lang w:eastAsia="en-AU"/>
              </w:rPr>
            </w:pPr>
            <w:r w:rsidRPr="009C4B37">
              <w:rPr>
                <w:rFonts w:cs="Arial"/>
                <w:bCs/>
                <w:lang w:eastAsia="en-AU"/>
              </w:rPr>
              <w:t xml:space="preserve">Extraction of living resources by commercial fishing was identified as a pressure </w:t>
            </w:r>
            <w:r w:rsidRPr="009C4B37">
              <w:rPr>
                <w:rFonts w:cs="Arial"/>
                <w:lang w:eastAsia="en-AU"/>
              </w:rPr>
              <w:t xml:space="preserve">of potential concern </w:t>
            </w:r>
            <w:r w:rsidRPr="009C4B37">
              <w:rPr>
                <w:rFonts w:cs="Arial"/>
                <w:bCs/>
                <w:lang w:eastAsia="en-AU"/>
              </w:rPr>
              <w:t xml:space="preserve">operating on these key ecological features. However, the </w:t>
            </w:r>
            <w:r w:rsidRPr="009C4B37">
              <w:rPr>
                <w:rFonts w:cs="Arial"/>
                <w:lang w:eastAsia="en-AU"/>
              </w:rPr>
              <w:t>marine bioregional plan notes that its’ assessment was conservative in the context of active fisheries management</w:t>
            </w:r>
            <w:r w:rsidRPr="009C4B37">
              <w:rPr>
                <w:rFonts w:cs="Arial"/>
                <w:bCs/>
                <w:lang w:eastAsia="en-AU"/>
              </w:rPr>
              <w:t>.</w:t>
            </w:r>
          </w:p>
          <w:p w14:paraId="421F5358" w14:textId="2428EBD4" w:rsidR="00952FB9" w:rsidRPr="009C4B37" w:rsidRDefault="00952FB9" w:rsidP="00952FB9">
            <w:pPr>
              <w:spacing w:before="80" w:after="80" w:line="276" w:lineRule="auto"/>
              <w:rPr>
                <w:rFonts w:cs="Arial"/>
                <w:bCs/>
                <w:lang w:eastAsia="en-AU"/>
              </w:rPr>
            </w:pPr>
            <w:r w:rsidRPr="009C4B37">
              <w:rPr>
                <w:rFonts w:cs="Arial"/>
                <w:bCs/>
                <w:lang w:eastAsia="en-AU"/>
              </w:rPr>
              <w:t>Bycatch by commercial fishing was also identified as a pressure of potential concern operating on the key ecological features, with bycatch of marine turtles and dugong also listed as a regional concern.</w:t>
            </w:r>
            <w:r w:rsidR="00FA6AF2">
              <w:rPr>
                <w:rFonts w:cs="Arial"/>
                <w:bCs/>
                <w:lang w:eastAsia="en-AU"/>
              </w:rPr>
              <w:t xml:space="preserve"> Bycatch is not applicable in this highly selective hand-collection fishery.</w:t>
            </w:r>
          </w:p>
          <w:p w14:paraId="08C7BA9C" w14:textId="7ACE4D87" w:rsidR="00952FB9" w:rsidRPr="009C4B37" w:rsidRDefault="00A33D7D" w:rsidP="007F171B">
            <w:pPr>
              <w:spacing w:before="80" w:after="80" w:line="276" w:lineRule="auto"/>
              <w:rPr>
                <w:rFonts w:cs="Arial"/>
              </w:rPr>
            </w:pPr>
            <w:r w:rsidRPr="009C4B37">
              <w:rPr>
                <w:rFonts w:cs="Arial"/>
              </w:rPr>
              <w:t xml:space="preserve">In addition to the four </w:t>
            </w:r>
            <w:r w:rsidRPr="009C4B37">
              <w:rPr>
                <w:rFonts w:cs="Arial"/>
                <w:lang w:eastAsia="en-AU"/>
              </w:rPr>
              <w:t xml:space="preserve">key ecological features, </w:t>
            </w:r>
            <w:r w:rsidRPr="009C4B37">
              <w:rPr>
                <w:rFonts w:cs="Arial"/>
              </w:rPr>
              <w:t>t</w:t>
            </w:r>
            <w:r w:rsidR="00A71287" w:rsidRPr="009C4B37">
              <w:rPr>
                <w:rFonts w:cs="Arial"/>
              </w:rPr>
              <w:t>he marine bioregional plan also</w:t>
            </w:r>
            <w:r w:rsidR="00A71287" w:rsidRPr="009C4B37" w:rsidDel="00A33D7D">
              <w:rPr>
                <w:rFonts w:cs="Arial"/>
              </w:rPr>
              <w:t xml:space="preserve"> </w:t>
            </w:r>
            <w:r w:rsidRPr="009C4B37">
              <w:rPr>
                <w:rFonts w:cs="Arial"/>
              </w:rPr>
              <w:t xml:space="preserve">identified </w:t>
            </w:r>
            <w:r w:rsidR="00A71287" w:rsidRPr="009C4B37">
              <w:rPr>
                <w:rFonts w:cs="Arial"/>
              </w:rPr>
              <w:t>biologically important areas for White Sharks (</w:t>
            </w:r>
            <w:r w:rsidR="00AA3B1A" w:rsidRPr="009C4B37">
              <w:rPr>
                <w:rFonts w:cs="Arial"/>
                <w:i/>
              </w:rPr>
              <w:t>Carcharodon </w:t>
            </w:r>
            <w:proofErr w:type="spellStart"/>
            <w:r w:rsidR="0029048A" w:rsidRPr="009C4B37">
              <w:rPr>
                <w:rFonts w:cs="Arial"/>
                <w:i/>
              </w:rPr>
              <w:t>carchar</w:t>
            </w:r>
            <w:r w:rsidR="00CD3D11" w:rsidRPr="009C4B37">
              <w:rPr>
                <w:rFonts w:cs="Arial"/>
                <w:i/>
              </w:rPr>
              <w:t>ias</w:t>
            </w:r>
            <w:proofErr w:type="spellEnd"/>
            <w:r w:rsidR="00A71287" w:rsidRPr="009C4B37">
              <w:rPr>
                <w:rFonts w:cs="Arial"/>
              </w:rPr>
              <w:t>) and areas of distribution and known aggregation sites for Grey Nurse Sharks (</w:t>
            </w:r>
            <w:r w:rsidR="00AA3B1A" w:rsidRPr="009C4B37">
              <w:rPr>
                <w:rFonts w:cs="Arial"/>
                <w:i/>
              </w:rPr>
              <w:t>Carcharias </w:t>
            </w:r>
            <w:proofErr w:type="spellStart"/>
            <w:r w:rsidR="0094198B" w:rsidRPr="009C4B37">
              <w:rPr>
                <w:rFonts w:cs="Arial"/>
                <w:i/>
              </w:rPr>
              <w:t>t</w:t>
            </w:r>
            <w:r w:rsidR="00CD3D11" w:rsidRPr="009C4B37">
              <w:rPr>
                <w:rFonts w:cs="Arial"/>
                <w:i/>
              </w:rPr>
              <w:t>aurus</w:t>
            </w:r>
            <w:proofErr w:type="spellEnd"/>
            <w:r w:rsidR="00A71287" w:rsidRPr="009C4B37">
              <w:rPr>
                <w:rFonts w:cs="Arial"/>
              </w:rPr>
              <w:t xml:space="preserve">) within the area of the fishery. </w:t>
            </w:r>
            <w:r w:rsidR="00FA6AF2">
              <w:rPr>
                <w:rFonts w:cs="Arial"/>
              </w:rPr>
              <w:t>These species are not expected to be impacted in any way by the fishery.</w:t>
            </w:r>
          </w:p>
          <w:p w14:paraId="2077BC10" w14:textId="77777777" w:rsidR="007C0E0C" w:rsidRDefault="004005FE" w:rsidP="007F171B">
            <w:pPr>
              <w:spacing w:before="80" w:after="80" w:line="276" w:lineRule="auto"/>
              <w:rPr>
                <w:rFonts w:cs="Arial"/>
              </w:rPr>
            </w:pPr>
            <w:r w:rsidRPr="009C4B37">
              <w:rPr>
                <w:rFonts w:cs="Arial"/>
              </w:rPr>
              <w:t>Available information indicates that a</w:t>
            </w:r>
            <w:r w:rsidR="006D2A12" w:rsidRPr="009C4B37">
              <w:rPr>
                <w:rFonts w:cs="Arial"/>
              </w:rPr>
              <w:t xml:space="preserve">n action taken by an individual fisher, acting in accordance with the management regime for the </w:t>
            </w:r>
            <w:r w:rsidR="00C845BD" w:rsidRPr="009C4B37">
              <w:rPr>
                <w:rFonts w:cs="Arial"/>
              </w:rPr>
              <w:t>fishery</w:t>
            </w:r>
            <w:r w:rsidR="00ED4BEB" w:rsidRPr="009C4B37">
              <w:rPr>
                <w:rFonts w:cs="Arial"/>
              </w:rPr>
              <w:t>,</w:t>
            </w:r>
            <w:r w:rsidR="006D2A12" w:rsidRPr="009C4B37">
              <w:rPr>
                <w:rFonts w:cs="Arial"/>
              </w:rPr>
              <w:t xml:space="preserve"> is unlikely to have a significant impact on the key ecological features, biologically important areas or other matters identified in the Temperate East Marine Bioregional Plan.</w:t>
            </w:r>
            <w:r w:rsidR="00E4027D" w:rsidRPr="009C4B37">
              <w:rPr>
                <w:rFonts w:cs="Arial"/>
              </w:rPr>
              <w:t xml:space="preserve"> </w:t>
            </w:r>
            <w:r w:rsidR="007C0E0C" w:rsidRPr="009C4B37">
              <w:rPr>
                <w:rFonts w:cs="Arial"/>
              </w:rPr>
              <w:t>There is also unlikely to be any significant impact on the Coral Sea Marine Park</w:t>
            </w:r>
            <w:r w:rsidR="009C4B37" w:rsidRPr="009C4B37">
              <w:rPr>
                <w:rFonts w:cs="Arial"/>
              </w:rPr>
              <w:t>.</w:t>
            </w:r>
          </w:p>
          <w:p w14:paraId="6852ECC1" w14:textId="3021DA49" w:rsidR="007C0E0C" w:rsidRPr="009C4B37" w:rsidRDefault="002E4AC8" w:rsidP="007F171B">
            <w:pPr>
              <w:spacing w:before="80" w:after="80" w:line="276" w:lineRule="auto"/>
              <w:rPr>
                <w:rFonts w:cs="Arial"/>
                <w:bCs/>
                <w:lang w:eastAsia="en-AU"/>
              </w:rPr>
            </w:pPr>
            <w:r>
              <w:rPr>
                <w:rFonts w:cs="Arial"/>
                <w:bCs/>
              </w:rPr>
              <w:t>The management of the fishery, supported by the conditions on the proposed Part 13A approval</w:t>
            </w:r>
            <w:r w:rsidR="00DE17FA">
              <w:rPr>
                <w:rFonts w:cs="Arial"/>
                <w:bCs/>
              </w:rPr>
              <w:t>,</w:t>
            </w:r>
            <w:r>
              <w:rPr>
                <w:rFonts w:cs="Arial"/>
                <w:bCs/>
              </w:rPr>
              <w:t xml:space="preserve"> are also consistent with the principles outlined in the Australian Government’s </w:t>
            </w:r>
            <w:hyperlink r:id="rId62" w:history="1">
              <w:r w:rsidRPr="002E4AC8">
                <w:rPr>
                  <w:rStyle w:val="Hyperlink"/>
                  <w:rFonts w:cs="Arial"/>
                  <w:bCs/>
                </w:rPr>
                <w:t>Reef 2050 Plan</w:t>
              </w:r>
            </w:hyperlink>
            <w:r>
              <w:rPr>
                <w:rFonts w:cs="Arial"/>
                <w:bCs/>
              </w:rPr>
              <w:t>.</w:t>
            </w:r>
            <w:r w:rsidR="00DE17FA">
              <w:rPr>
                <w:rFonts w:cs="Arial"/>
                <w:bCs/>
              </w:rPr>
              <w:t xml:space="preserve"> Management seeks to m</w:t>
            </w:r>
            <w:r w:rsidR="00DE17FA" w:rsidRPr="00DE17FA">
              <w:rPr>
                <w:rFonts w:cs="Arial"/>
                <w:bCs/>
              </w:rPr>
              <w:t>aintain and enhanc</w:t>
            </w:r>
            <w:r w:rsidR="00DE17FA">
              <w:rPr>
                <w:rFonts w:cs="Arial"/>
                <w:bCs/>
              </w:rPr>
              <w:t>e</w:t>
            </w:r>
            <w:r w:rsidR="00DE17FA" w:rsidRPr="00DE17FA">
              <w:rPr>
                <w:rFonts w:cs="Arial"/>
                <w:bCs/>
              </w:rPr>
              <w:t xml:space="preserve"> </w:t>
            </w:r>
            <w:r w:rsidR="00DE17FA">
              <w:rPr>
                <w:rFonts w:cs="Arial"/>
                <w:bCs/>
              </w:rPr>
              <w:t xml:space="preserve">the values of the reef </w:t>
            </w:r>
            <w:r w:rsidR="00DE17FA" w:rsidRPr="00DE17FA">
              <w:rPr>
                <w:rFonts w:cs="Arial"/>
                <w:bCs/>
              </w:rPr>
              <w:t xml:space="preserve">in </w:t>
            </w:r>
            <w:r w:rsidR="00DE17FA">
              <w:rPr>
                <w:rFonts w:cs="Arial"/>
                <w:bCs/>
              </w:rPr>
              <w:t xml:space="preserve">its </w:t>
            </w:r>
            <w:r w:rsidR="00DE17FA" w:rsidRPr="00DE17FA">
              <w:rPr>
                <w:rFonts w:cs="Arial"/>
                <w:bCs/>
              </w:rPr>
              <w:t>action</w:t>
            </w:r>
            <w:r w:rsidR="00DE17FA">
              <w:rPr>
                <w:rFonts w:cs="Arial"/>
                <w:bCs/>
              </w:rPr>
              <w:t>s, b</w:t>
            </w:r>
            <w:r w:rsidR="00DE17FA" w:rsidRPr="00DE17FA">
              <w:rPr>
                <w:rFonts w:cs="Arial"/>
                <w:bCs/>
              </w:rPr>
              <w:t>as</w:t>
            </w:r>
            <w:r w:rsidR="00DE17FA">
              <w:rPr>
                <w:rFonts w:cs="Arial"/>
                <w:bCs/>
              </w:rPr>
              <w:t>es</w:t>
            </w:r>
            <w:r w:rsidR="00DE17FA" w:rsidRPr="00DE17FA">
              <w:rPr>
                <w:rFonts w:cs="Arial"/>
                <w:bCs/>
              </w:rPr>
              <w:t xml:space="preserve"> decisions on the best available science</w:t>
            </w:r>
            <w:r w:rsidR="00DE17FA">
              <w:rPr>
                <w:rFonts w:cs="Arial"/>
                <w:bCs/>
              </w:rPr>
              <w:t>, d</w:t>
            </w:r>
            <w:r w:rsidR="00DE17FA" w:rsidRPr="00DE17FA">
              <w:rPr>
                <w:rFonts w:cs="Arial"/>
                <w:bCs/>
              </w:rPr>
              <w:t>eliver</w:t>
            </w:r>
            <w:r w:rsidR="00DE17FA">
              <w:rPr>
                <w:rFonts w:cs="Arial"/>
                <w:bCs/>
              </w:rPr>
              <w:t>s</w:t>
            </w:r>
            <w:r w:rsidR="00DE17FA" w:rsidRPr="00DE17FA">
              <w:rPr>
                <w:rFonts w:cs="Arial"/>
                <w:bCs/>
              </w:rPr>
              <w:t xml:space="preserve"> a net benefit to the ecosystem</w:t>
            </w:r>
            <w:r w:rsidR="00DE17FA">
              <w:rPr>
                <w:rFonts w:cs="Arial"/>
                <w:bCs/>
              </w:rPr>
              <w:t xml:space="preserve"> and a</w:t>
            </w:r>
            <w:r w:rsidR="00DE17FA" w:rsidRPr="00DE17FA">
              <w:rPr>
                <w:rFonts w:cs="Arial"/>
                <w:bCs/>
              </w:rPr>
              <w:t>dop</w:t>
            </w:r>
            <w:r w:rsidR="00DE17FA">
              <w:rPr>
                <w:rFonts w:cs="Arial"/>
                <w:bCs/>
              </w:rPr>
              <w:t>ts</w:t>
            </w:r>
            <w:r w:rsidR="00DE17FA" w:rsidRPr="00DE17FA">
              <w:rPr>
                <w:rFonts w:cs="Arial"/>
                <w:bCs/>
              </w:rPr>
              <w:t xml:space="preserve"> a partnership approach to management.</w:t>
            </w:r>
          </w:p>
        </w:tc>
      </w:tr>
    </w:tbl>
    <w:p w14:paraId="6F9840FF" w14:textId="7820FBF1" w:rsidR="009F053A" w:rsidRPr="009C4B37" w:rsidRDefault="009F053A" w:rsidP="007F171B">
      <w:pPr>
        <w:pStyle w:val="Heading2"/>
        <w:spacing w:before="0" w:line="276" w:lineRule="auto"/>
        <w:rPr>
          <w:sz w:val="24"/>
          <w:szCs w:val="24"/>
        </w:rPr>
      </w:pPr>
      <w:bookmarkStart w:id="30" w:name="_Toc51057522"/>
      <w:r w:rsidRPr="009C4B37">
        <w:rPr>
          <w:sz w:val="24"/>
          <w:szCs w:val="24"/>
        </w:rPr>
        <w:lastRenderedPageBreak/>
        <w:t>Part 13</w:t>
      </w:r>
      <w:r w:rsidR="00C83B59" w:rsidRPr="009C4B37">
        <w:rPr>
          <w:sz w:val="24"/>
          <w:szCs w:val="24"/>
        </w:rPr>
        <w:t xml:space="preserve"> </w:t>
      </w:r>
      <w:r w:rsidR="00F73C73" w:rsidRPr="009C4B37">
        <w:rPr>
          <w:sz w:val="24"/>
          <w:szCs w:val="24"/>
        </w:rPr>
        <w:t>– Species and communities</w:t>
      </w:r>
      <w:bookmarkEnd w:id="30"/>
    </w:p>
    <w:tbl>
      <w:tblPr>
        <w:tblStyle w:val="TableGrid"/>
        <w:tblW w:w="5000" w:type="pct"/>
        <w:tblLook w:val="04A0" w:firstRow="1" w:lastRow="0" w:firstColumn="1" w:lastColumn="0" w:noHBand="0" w:noVBand="1"/>
      </w:tblPr>
      <w:tblGrid>
        <w:gridCol w:w="4391"/>
        <w:gridCol w:w="10395"/>
      </w:tblGrid>
      <w:tr w:rsidR="00400844" w:rsidRPr="009C4B37" w14:paraId="65C1624E" w14:textId="77777777" w:rsidTr="00813955">
        <w:trPr>
          <w:cnfStyle w:val="100000000000" w:firstRow="1" w:lastRow="0" w:firstColumn="0" w:lastColumn="0" w:oddVBand="0" w:evenVBand="0" w:oddHBand="0" w:evenHBand="0" w:firstRowFirstColumn="0" w:firstRowLastColumn="0" w:lastRowFirstColumn="0" w:lastRowLastColumn="0"/>
          <w:cantSplit/>
        </w:trPr>
        <w:tc>
          <w:tcPr>
            <w:tcW w:w="1485" w:type="pct"/>
            <w:shd w:val="clear" w:color="auto" w:fill="D9D9D9" w:themeFill="background1" w:themeFillShade="D9"/>
          </w:tcPr>
          <w:p w14:paraId="585CA78D" w14:textId="135A2D18" w:rsidR="00400844" w:rsidRPr="009C4B37" w:rsidRDefault="00400844" w:rsidP="007F171B">
            <w:pPr>
              <w:spacing w:before="80" w:after="80" w:line="276" w:lineRule="auto"/>
              <w:ind w:left="425" w:hanging="425"/>
              <w:contextualSpacing/>
              <w:jc w:val="center"/>
              <w:rPr>
                <w:rFonts w:cs="Arial"/>
                <w:b/>
              </w:rPr>
            </w:pPr>
            <w:r w:rsidRPr="009C4B37">
              <w:rPr>
                <w:rFonts w:cs="Arial"/>
                <w:b/>
              </w:rPr>
              <w:t xml:space="preserve">Accreditable plan, </w:t>
            </w:r>
            <w:proofErr w:type="gramStart"/>
            <w:r w:rsidRPr="009C4B37">
              <w:rPr>
                <w:rFonts w:cs="Arial"/>
                <w:b/>
              </w:rPr>
              <w:t>regime</w:t>
            </w:r>
            <w:proofErr w:type="gramEnd"/>
            <w:r w:rsidRPr="009C4B37">
              <w:rPr>
                <w:rFonts w:cs="Arial"/>
                <w:b/>
              </w:rPr>
              <w:t xml:space="preserve"> or </w:t>
            </w:r>
            <w:r w:rsidRPr="009C4B37" w:rsidDel="00D915C9">
              <w:rPr>
                <w:rFonts w:cs="Arial"/>
                <w:b/>
              </w:rPr>
              <w:t>policy</w:t>
            </w:r>
            <w:r w:rsidR="00D915C9" w:rsidRPr="009C4B37">
              <w:rPr>
                <w:rFonts w:cs="Arial"/>
                <w:b/>
              </w:rPr>
              <w:br/>
            </w:r>
            <w:r w:rsidRPr="009C4B37">
              <w:rPr>
                <w:rFonts w:cs="Arial"/>
                <w:b/>
              </w:rPr>
              <w:t>(Division</w:t>
            </w:r>
            <w:r w:rsidR="00F74F9B" w:rsidRPr="009C4B37">
              <w:rPr>
                <w:rFonts w:cs="Arial"/>
                <w:b/>
              </w:rPr>
              <w:t>s</w:t>
            </w:r>
            <w:r w:rsidRPr="009C4B37">
              <w:rPr>
                <w:rFonts w:cs="Arial"/>
                <w:b/>
              </w:rPr>
              <w:t xml:space="preserve"> 1</w:t>
            </w:r>
            <w:r w:rsidR="00F74F9B" w:rsidRPr="009C4B37">
              <w:rPr>
                <w:rFonts w:cs="Arial"/>
                <w:b/>
              </w:rPr>
              <w:t>,</w:t>
            </w:r>
            <w:r w:rsidRPr="009C4B37">
              <w:rPr>
                <w:rFonts w:cs="Arial"/>
                <w:b/>
              </w:rPr>
              <w:t xml:space="preserve"> 2, 3</w:t>
            </w:r>
            <w:r w:rsidR="00F74F9B" w:rsidRPr="009C4B37">
              <w:rPr>
                <w:rFonts w:cs="Arial"/>
                <w:b/>
              </w:rPr>
              <w:t xml:space="preserve"> and </w:t>
            </w:r>
            <w:r w:rsidRPr="009C4B37">
              <w:rPr>
                <w:rFonts w:cs="Arial"/>
                <w:b/>
              </w:rPr>
              <w:t>4)</w:t>
            </w:r>
          </w:p>
        </w:tc>
        <w:tc>
          <w:tcPr>
            <w:tcW w:w="3515" w:type="pct"/>
            <w:shd w:val="clear" w:color="auto" w:fill="D9D9D9" w:themeFill="background1" w:themeFillShade="D9"/>
            <w:vAlign w:val="center"/>
          </w:tcPr>
          <w:p w14:paraId="7594BA70" w14:textId="77777777" w:rsidR="00400844" w:rsidRPr="009C4B37" w:rsidRDefault="00400844" w:rsidP="007F171B">
            <w:pPr>
              <w:spacing w:before="80" w:after="80" w:line="276" w:lineRule="auto"/>
              <w:contextualSpacing/>
              <w:jc w:val="center"/>
              <w:rPr>
                <w:rFonts w:cs="Arial"/>
                <w:b/>
              </w:rPr>
            </w:pPr>
            <w:r w:rsidRPr="009C4B37">
              <w:rPr>
                <w:rFonts w:cs="Arial"/>
                <w:b/>
              </w:rPr>
              <w:t>Comment</w:t>
            </w:r>
          </w:p>
        </w:tc>
      </w:tr>
      <w:tr w:rsidR="009F053A" w:rsidRPr="00A94147" w14:paraId="3F60E2B3" w14:textId="77777777" w:rsidTr="008903BD">
        <w:trPr>
          <w:cnfStyle w:val="000000100000" w:firstRow="0" w:lastRow="0" w:firstColumn="0" w:lastColumn="0" w:oddVBand="0" w:evenVBand="0" w:oddHBand="1" w:evenHBand="0" w:firstRowFirstColumn="0" w:firstRowLastColumn="0" w:lastRowFirstColumn="0" w:lastRowLastColumn="0"/>
          <w:cantSplit/>
        </w:trPr>
        <w:tc>
          <w:tcPr>
            <w:tcW w:w="1485" w:type="pct"/>
            <w:shd w:val="clear" w:color="auto" w:fill="92D050"/>
          </w:tcPr>
          <w:p w14:paraId="6A489138" w14:textId="3DD159A7" w:rsidR="00D915C9" w:rsidRPr="009C4B37" w:rsidRDefault="00F74F9B" w:rsidP="007F171B">
            <w:pPr>
              <w:pStyle w:val="ListNumber2"/>
              <w:spacing w:before="80" w:after="80"/>
              <w:ind w:left="0" w:firstLine="0"/>
              <w:rPr>
                <w:sz w:val="22"/>
                <w:szCs w:val="22"/>
              </w:rPr>
            </w:pPr>
            <w:r w:rsidRPr="009C4B37">
              <w:rPr>
                <w:sz w:val="22"/>
                <w:szCs w:val="22"/>
              </w:rPr>
              <w:t xml:space="preserve">Sections </w:t>
            </w:r>
            <w:r w:rsidR="009F053A" w:rsidRPr="009C4B37">
              <w:rPr>
                <w:sz w:val="22"/>
                <w:szCs w:val="22"/>
              </w:rPr>
              <w:t>208A(1)(a-e), 222A(1)(a-e), 245(1)(a-e</w:t>
            </w:r>
            <w:r w:rsidRPr="009C4B37">
              <w:rPr>
                <w:sz w:val="22"/>
                <w:szCs w:val="22"/>
              </w:rPr>
              <w:t xml:space="preserve">) and </w:t>
            </w:r>
            <w:r w:rsidR="009F053A" w:rsidRPr="009C4B37">
              <w:rPr>
                <w:sz w:val="22"/>
                <w:szCs w:val="22"/>
              </w:rPr>
              <w:t>265(1)(a-e)</w:t>
            </w:r>
          </w:p>
          <w:p w14:paraId="1446C689" w14:textId="77777777" w:rsidR="00F74F9B" w:rsidRPr="009C4B37" w:rsidRDefault="00F74F9B" w:rsidP="007F171B">
            <w:pPr>
              <w:pStyle w:val="ListNumber2"/>
              <w:spacing w:before="80" w:after="80"/>
              <w:ind w:left="0" w:firstLine="0"/>
              <w:rPr>
                <w:sz w:val="22"/>
                <w:szCs w:val="22"/>
              </w:rPr>
            </w:pPr>
          </w:p>
          <w:p w14:paraId="10E1301B" w14:textId="4876E548" w:rsidR="00D40B13" w:rsidRPr="009C4B37" w:rsidRDefault="009F053A" w:rsidP="007F171B">
            <w:pPr>
              <w:pStyle w:val="ListNumber2"/>
              <w:spacing w:before="80" w:after="80"/>
              <w:ind w:left="0" w:firstLine="0"/>
              <w:rPr>
                <w:sz w:val="22"/>
                <w:szCs w:val="22"/>
              </w:rPr>
            </w:pPr>
            <w:r w:rsidRPr="009C4B37">
              <w:rPr>
                <w:sz w:val="22"/>
                <w:szCs w:val="22"/>
              </w:rPr>
              <w:t xml:space="preserve">Does the fishery have an accreditable plan of management, </w:t>
            </w:r>
            <w:r w:rsidR="00C40AD0" w:rsidRPr="009C4B37">
              <w:rPr>
                <w:sz w:val="22"/>
                <w:szCs w:val="22"/>
              </w:rPr>
              <w:t>regime</w:t>
            </w:r>
            <w:r w:rsidRPr="009C4B37">
              <w:rPr>
                <w:sz w:val="22"/>
                <w:szCs w:val="22"/>
              </w:rPr>
              <w:t xml:space="preserve"> or policy? </w:t>
            </w:r>
          </w:p>
        </w:tc>
        <w:tc>
          <w:tcPr>
            <w:tcW w:w="3515" w:type="pct"/>
            <w:shd w:val="clear" w:color="auto" w:fill="auto"/>
          </w:tcPr>
          <w:p w14:paraId="65BF3569" w14:textId="16E59D03" w:rsidR="002F564A" w:rsidRPr="009C4B37" w:rsidRDefault="00E565BF" w:rsidP="000C7574">
            <w:pPr>
              <w:spacing w:before="0" w:line="276" w:lineRule="auto"/>
              <w:contextualSpacing/>
              <w:rPr>
                <w:rFonts w:cs="Arial"/>
                <w:b/>
              </w:rPr>
            </w:pPr>
            <w:r w:rsidRPr="009C4B37">
              <w:rPr>
                <w:rFonts w:cs="Arial"/>
                <w:b/>
              </w:rPr>
              <w:t>M</w:t>
            </w:r>
            <w:r w:rsidR="002F564A" w:rsidRPr="009C4B37">
              <w:rPr>
                <w:rFonts w:cs="Arial"/>
                <w:b/>
              </w:rPr>
              <w:t>eets</w:t>
            </w:r>
            <w:r w:rsidR="006A2B1A" w:rsidRPr="009C4B37">
              <w:rPr>
                <w:rFonts w:cs="Arial"/>
                <w:b/>
              </w:rPr>
              <w:t xml:space="preserve"> – accreditable management regime is in place</w:t>
            </w:r>
          </w:p>
          <w:p w14:paraId="4BE70E00" w14:textId="31862280" w:rsidR="000B1D68" w:rsidRPr="009C4B37" w:rsidRDefault="005C0E17" w:rsidP="000C7574">
            <w:pPr>
              <w:spacing w:before="0" w:line="276" w:lineRule="auto"/>
              <w:contextualSpacing/>
              <w:rPr>
                <w:rFonts w:cs="Arial"/>
              </w:rPr>
            </w:pPr>
            <w:r w:rsidRPr="009C4B37">
              <w:rPr>
                <w:rFonts w:cs="Arial"/>
              </w:rPr>
              <w:t>T</w:t>
            </w:r>
            <w:r w:rsidR="004F43E3" w:rsidRPr="009C4B37">
              <w:rPr>
                <w:rFonts w:cs="Arial"/>
              </w:rPr>
              <w:t xml:space="preserve">here </w:t>
            </w:r>
            <w:r w:rsidR="00317609" w:rsidRPr="009C4B37">
              <w:rPr>
                <w:rFonts w:cs="Arial"/>
              </w:rPr>
              <w:t>is</w:t>
            </w:r>
            <w:r w:rsidR="004F43E3" w:rsidRPr="009C4B37">
              <w:rPr>
                <w:rFonts w:cs="Arial"/>
              </w:rPr>
              <w:t xml:space="preserve"> </w:t>
            </w:r>
            <w:r w:rsidR="00317609" w:rsidRPr="009C4B37">
              <w:rPr>
                <w:rFonts w:cs="Arial"/>
              </w:rPr>
              <w:t>an accreditable management regime</w:t>
            </w:r>
            <w:r w:rsidR="009B6A40" w:rsidRPr="009C4B37">
              <w:rPr>
                <w:rFonts w:cs="Arial"/>
              </w:rPr>
              <w:t xml:space="preserve"> </w:t>
            </w:r>
            <w:r w:rsidR="00E565BF" w:rsidRPr="009C4B37">
              <w:rPr>
                <w:rFonts w:cs="Arial"/>
              </w:rPr>
              <w:t xml:space="preserve">for the </w:t>
            </w:r>
            <w:r w:rsidR="006A2B1A" w:rsidRPr="009C4B37">
              <w:rPr>
                <w:rFonts w:cs="Arial"/>
              </w:rPr>
              <w:t xml:space="preserve">fishery </w:t>
            </w:r>
            <w:r w:rsidR="009B6A40" w:rsidRPr="009C4B37">
              <w:rPr>
                <w:rFonts w:cs="Arial"/>
              </w:rPr>
              <w:t xml:space="preserve">outlined in the Queensland </w:t>
            </w:r>
            <w:r w:rsidR="009B6A40" w:rsidRPr="009C4B37">
              <w:rPr>
                <w:rFonts w:cs="Arial"/>
                <w:i/>
              </w:rPr>
              <w:t>Fisheries Act 1994</w:t>
            </w:r>
            <w:r w:rsidR="009B6A40" w:rsidRPr="009C4B37">
              <w:rPr>
                <w:rFonts w:cs="Arial"/>
              </w:rPr>
              <w:t>, Fisheries (General) Regulation 2019, Fisheries (Commercial Fisheries) Regulation 2019</w:t>
            </w:r>
            <w:r w:rsidR="00503B72">
              <w:rPr>
                <w:rFonts w:cs="Arial"/>
              </w:rPr>
              <w:t xml:space="preserve"> and the </w:t>
            </w:r>
            <w:r w:rsidR="009B6A40" w:rsidRPr="009C4B37">
              <w:rPr>
                <w:rFonts w:cs="Arial"/>
              </w:rPr>
              <w:t>Fisheries Declaration 2019</w:t>
            </w:r>
            <w:r w:rsidR="00546023" w:rsidRPr="009C4B37">
              <w:rPr>
                <w:rFonts w:cs="Arial"/>
              </w:rPr>
              <w:t>.</w:t>
            </w:r>
            <w:r w:rsidRPr="009C4B37">
              <w:rPr>
                <w:rFonts w:cs="Arial"/>
              </w:rPr>
              <w:t xml:space="preserve"> </w:t>
            </w:r>
          </w:p>
          <w:p w14:paraId="29FF3A00" w14:textId="21BC95DA" w:rsidR="00546023" w:rsidRPr="009C4B37" w:rsidRDefault="006A2B1A" w:rsidP="000C7574">
            <w:pPr>
              <w:spacing w:before="0" w:line="276" w:lineRule="auto"/>
              <w:contextualSpacing/>
              <w:rPr>
                <w:rFonts w:cs="Arial"/>
              </w:rPr>
            </w:pPr>
            <w:r w:rsidRPr="009C4B37">
              <w:rPr>
                <w:rFonts w:cs="Arial"/>
              </w:rPr>
              <w:t>Management arrangements are also contained in the</w:t>
            </w:r>
            <w:r w:rsidR="009C4B37" w:rsidRPr="009C4B37">
              <w:t xml:space="preserve"> </w:t>
            </w:r>
            <w:hyperlink r:id="rId63" w:history="1">
              <w:r w:rsidR="009C4B37" w:rsidRPr="00CB03BA">
                <w:rPr>
                  <w:rStyle w:val="Hyperlink"/>
                </w:rPr>
                <w:t xml:space="preserve">Performance </w:t>
              </w:r>
              <w:r w:rsidR="00057934" w:rsidRPr="00CB03BA">
                <w:rPr>
                  <w:rStyle w:val="Hyperlink"/>
                  <w:rFonts w:cs="Arial"/>
                </w:rPr>
                <w:t>Measurement</w:t>
              </w:r>
              <w:r w:rsidR="009C4B37" w:rsidRPr="00CB03BA">
                <w:rPr>
                  <w:rStyle w:val="Hyperlink"/>
                </w:rPr>
                <w:t xml:space="preserve"> </w:t>
              </w:r>
              <w:r w:rsidR="00057934" w:rsidRPr="00CB03BA">
                <w:rPr>
                  <w:rStyle w:val="Hyperlink"/>
                </w:rPr>
                <w:t>System</w:t>
              </w:r>
            </w:hyperlink>
            <w:r w:rsidR="00CB03BA">
              <w:t xml:space="preserve"> and in a memorandum of understanding between the </w:t>
            </w:r>
            <w:r w:rsidR="00CB03BA" w:rsidRPr="00503B72">
              <w:rPr>
                <w:lang w:val="en-US"/>
              </w:rPr>
              <w:t>Queensland Sea Cucumber Association</w:t>
            </w:r>
            <w:r w:rsidR="00CB03BA" w:rsidRPr="009C4B37">
              <w:t xml:space="preserve"> </w:t>
            </w:r>
            <w:r w:rsidR="00CB03BA">
              <w:t>and QDAF.</w:t>
            </w:r>
            <w:r w:rsidR="00503B72">
              <w:t xml:space="preserve"> QDAF and </w:t>
            </w:r>
            <w:r w:rsidR="00CB03BA">
              <w:t>t</w:t>
            </w:r>
            <w:r w:rsidR="009E2DBB">
              <w:t>he Great Barrier Reef Marine Park Authority</w:t>
            </w:r>
            <w:r w:rsidR="00CB03BA">
              <w:t xml:space="preserve"> also</w:t>
            </w:r>
            <w:r w:rsidR="00E37D7E">
              <w:t xml:space="preserve"> </w:t>
            </w:r>
            <w:r w:rsidR="00503B72">
              <w:t xml:space="preserve">issue </w:t>
            </w:r>
            <w:r w:rsidR="009C4B37" w:rsidRPr="009C4B37">
              <w:t>permit</w:t>
            </w:r>
            <w:r w:rsidR="00CB03BA">
              <w:t>s that include management actions in the</w:t>
            </w:r>
            <w:r w:rsidR="009C4B37" w:rsidRPr="009C4B37">
              <w:t xml:space="preserve"> conditions</w:t>
            </w:r>
            <w:r w:rsidR="00503B72">
              <w:t>.</w:t>
            </w:r>
          </w:p>
        </w:tc>
      </w:tr>
      <w:tr w:rsidR="00F74F9B" w:rsidRPr="00A94147" w14:paraId="018A2BE2" w14:textId="77777777" w:rsidTr="00CE2F6E">
        <w:trPr>
          <w:cnfStyle w:val="000000010000" w:firstRow="0" w:lastRow="0" w:firstColumn="0" w:lastColumn="0" w:oddVBand="0" w:evenVBand="0" w:oddHBand="0" w:evenHBand="1" w:firstRowFirstColumn="0" w:firstRowLastColumn="0" w:lastRowFirstColumn="0" w:lastRowLastColumn="0"/>
          <w:cantSplit/>
        </w:trPr>
        <w:tc>
          <w:tcPr>
            <w:tcW w:w="1485" w:type="pct"/>
            <w:shd w:val="clear" w:color="auto" w:fill="92D050"/>
          </w:tcPr>
          <w:p w14:paraId="47F0B756" w14:textId="77777777" w:rsidR="00F74F9B" w:rsidRPr="0046263A" w:rsidRDefault="00F74F9B" w:rsidP="007F171B">
            <w:pPr>
              <w:pStyle w:val="ListNumber2"/>
              <w:spacing w:before="80" w:after="80"/>
              <w:ind w:left="0" w:firstLine="0"/>
              <w:rPr>
                <w:sz w:val="22"/>
                <w:szCs w:val="22"/>
              </w:rPr>
            </w:pPr>
            <w:r w:rsidRPr="0046263A">
              <w:rPr>
                <w:sz w:val="22"/>
                <w:szCs w:val="22"/>
              </w:rPr>
              <w:t>Sections 208A (f) and (g), 222A (f) and (g), 245 (f) and (g) and 265 (f) and (g)</w:t>
            </w:r>
          </w:p>
          <w:p w14:paraId="036F79D6" w14:textId="77777777" w:rsidR="00D03E76" w:rsidRPr="0046263A" w:rsidRDefault="00D03E76" w:rsidP="007F171B">
            <w:pPr>
              <w:pStyle w:val="ListNumber2"/>
              <w:spacing w:before="80" w:after="80"/>
              <w:ind w:left="0" w:firstLine="0"/>
              <w:rPr>
                <w:sz w:val="22"/>
                <w:szCs w:val="22"/>
              </w:rPr>
            </w:pPr>
          </w:p>
          <w:p w14:paraId="5207A44C" w14:textId="5CE20737" w:rsidR="00D03E76" w:rsidRPr="0046263A" w:rsidRDefault="00D03E76" w:rsidP="00D03E76">
            <w:pPr>
              <w:pStyle w:val="ListNumber2"/>
              <w:spacing w:before="80" w:after="80"/>
              <w:ind w:left="0" w:firstLine="0"/>
              <w:rPr>
                <w:sz w:val="22"/>
                <w:szCs w:val="22"/>
              </w:rPr>
            </w:pPr>
            <w:r w:rsidRPr="0046263A">
              <w:rPr>
                <w:sz w:val="22"/>
                <w:szCs w:val="22"/>
              </w:rPr>
              <w:t xml:space="preserve">(f)  </w:t>
            </w:r>
            <w:r w:rsidRPr="0046263A">
              <w:rPr>
                <w:sz w:val="22"/>
                <w:szCs w:val="22"/>
              </w:rPr>
              <w:tab/>
              <w:t>the plan, regime or policy requires persons engaged in fishing under the plan, regime or policy to take all reasonable steps to ensure that cetaceans are not killed or injured as a result of the fishing; and</w:t>
            </w:r>
          </w:p>
          <w:p w14:paraId="5BA2DAED" w14:textId="20DAC320" w:rsidR="00D03E76" w:rsidRPr="0046263A" w:rsidRDefault="00D03E76" w:rsidP="007F171B">
            <w:pPr>
              <w:pStyle w:val="ListNumber2"/>
              <w:spacing w:before="80" w:after="80"/>
              <w:ind w:left="0" w:firstLine="0"/>
            </w:pPr>
            <w:r w:rsidRPr="0046263A">
              <w:rPr>
                <w:sz w:val="22"/>
                <w:szCs w:val="22"/>
              </w:rPr>
              <w:t xml:space="preserve">(g)  </w:t>
            </w:r>
            <w:r w:rsidRPr="0046263A">
              <w:rPr>
                <w:sz w:val="22"/>
                <w:szCs w:val="22"/>
              </w:rPr>
              <w:tab/>
              <w:t>the fishery to which the plan, regime or policy relates does not, or is not likely to, adversely affect the survival or recovery in nature of a threatened species, or conservation status of any other protected species or a population of that species.</w:t>
            </w:r>
          </w:p>
        </w:tc>
        <w:tc>
          <w:tcPr>
            <w:tcW w:w="3515" w:type="pct"/>
            <w:shd w:val="clear" w:color="auto" w:fill="auto"/>
          </w:tcPr>
          <w:p w14:paraId="2C8C33C2" w14:textId="6B948A27" w:rsidR="00F74F9B" w:rsidRPr="0046263A" w:rsidRDefault="00CE2F6E" w:rsidP="007F171B">
            <w:pPr>
              <w:spacing w:before="80" w:after="80" w:line="276" w:lineRule="auto"/>
              <w:contextualSpacing/>
              <w:rPr>
                <w:rFonts w:cs="Arial"/>
                <w:b/>
              </w:rPr>
            </w:pPr>
            <w:r>
              <w:rPr>
                <w:rFonts w:cs="Arial"/>
                <w:b/>
              </w:rPr>
              <w:t>M</w:t>
            </w:r>
            <w:r w:rsidR="00F74F9B" w:rsidRPr="0046263A">
              <w:rPr>
                <w:rFonts w:cs="Arial"/>
                <w:b/>
              </w:rPr>
              <w:t>eets</w:t>
            </w:r>
          </w:p>
          <w:p w14:paraId="50714415" w14:textId="77777777" w:rsidR="009C4B37" w:rsidRPr="0046263A" w:rsidRDefault="009C4B37" w:rsidP="00F04415">
            <w:pPr>
              <w:spacing w:before="80" w:after="80" w:line="276" w:lineRule="auto"/>
              <w:contextualSpacing/>
              <w:rPr>
                <w:rFonts w:cs="Arial"/>
              </w:rPr>
            </w:pPr>
            <w:r w:rsidRPr="0046263A">
              <w:rPr>
                <w:rFonts w:cs="Arial"/>
              </w:rPr>
              <w:t>Although there is no ecological risk assessment to quantify the risks to protected species, the risks are likely to be very low and limited to boat strikes and disturbance by moving or anchoring boats.</w:t>
            </w:r>
          </w:p>
          <w:p w14:paraId="11B5ABBD" w14:textId="1F8B884A" w:rsidR="00F74F9B" w:rsidRPr="0046263A" w:rsidRDefault="009C4B37" w:rsidP="007F171B">
            <w:pPr>
              <w:spacing w:before="80" w:after="80" w:line="276" w:lineRule="auto"/>
              <w:contextualSpacing/>
              <w:rPr>
                <w:rFonts w:cs="Arial"/>
              </w:rPr>
            </w:pPr>
            <w:r w:rsidRPr="0046263A">
              <w:rPr>
                <w:rFonts w:cs="Arial"/>
              </w:rPr>
              <w:t xml:space="preserve">Fishers are required to report all interactions </w:t>
            </w:r>
            <w:r w:rsidR="00A8304B">
              <w:rPr>
                <w:rFonts w:cs="Arial"/>
              </w:rPr>
              <w:t>with protected species</w:t>
            </w:r>
            <w:r w:rsidR="0005582B">
              <w:rPr>
                <w:rFonts w:cs="Arial"/>
              </w:rPr>
              <w:t>,</w:t>
            </w:r>
            <w:r w:rsidRPr="0046263A">
              <w:rPr>
                <w:rFonts w:cs="Arial"/>
              </w:rPr>
              <w:t xml:space="preserve"> and QDAF’s </w:t>
            </w:r>
            <w:hyperlink r:id="rId64" w:history="1">
              <w:r w:rsidRPr="0046263A">
                <w:rPr>
                  <w:rStyle w:val="Hyperlink"/>
                  <w:rFonts w:cs="Arial"/>
                </w:rPr>
                <w:t>Performance Measurement System</w:t>
              </w:r>
            </w:hyperlink>
            <w:r w:rsidRPr="0046263A">
              <w:rPr>
                <w:rFonts w:cs="Arial"/>
              </w:rPr>
              <w:t xml:space="preserve"> is designed to (amongst other things) p</w:t>
            </w:r>
            <w:r w:rsidRPr="009C4B37">
              <w:rPr>
                <w:rFonts w:cs="Arial"/>
              </w:rPr>
              <w:t>rotect endangered and threatened species</w:t>
            </w:r>
            <w:r w:rsidRPr="0046263A">
              <w:rPr>
                <w:rFonts w:cs="Arial"/>
              </w:rPr>
              <w:t>, m</w:t>
            </w:r>
            <w:r w:rsidRPr="009C4B37">
              <w:rPr>
                <w:rFonts w:cs="Arial"/>
              </w:rPr>
              <w:t>inimise fishery impacts on the ecosystem and</w:t>
            </w:r>
            <w:r w:rsidRPr="0046263A">
              <w:rPr>
                <w:rFonts w:cs="Arial"/>
              </w:rPr>
              <w:t xml:space="preserve"> e</w:t>
            </w:r>
            <w:r w:rsidRPr="009C4B37">
              <w:rPr>
                <w:rFonts w:cs="Arial"/>
              </w:rPr>
              <w:t>nsure adequate compliance</w:t>
            </w:r>
            <w:r w:rsidRPr="0046263A">
              <w:rPr>
                <w:rFonts w:cs="Arial"/>
              </w:rPr>
              <w:t>.</w:t>
            </w:r>
          </w:p>
        </w:tc>
      </w:tr>
      <w:tr w:rsidR="002270E2" w:rsidRPr="00A94147" w14:paraId="38F85BF9" w14:textId="77777777" w:rsidTr="007323CB">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D9D9D9" w:themeFill="background1" w:themeFillShade="D9"/>
          </w:tcPr>
          <w:p w14:paraId="3492B986" w14:textId="734C1029" w:rsidR="00F74F9B" w:rsidRPr="0046263A" w:rsidRDefault="002270E2" w:rsidP="007F171B">
            <w:pPr>
              <w:spacing w:before="80" w:after="80" w:line="276" w:lineRule="auto"/>
              <w:ind w:left="426" w:hanging="426"/>
              <w:contextualSpacing/>
              <w:jc w:val="center"/>
              <w:rPr>
                <w:rFonts w:cs="Arial"/>
                <w:b/>
              </w:rPr>
            </w:pPr>
            <w:r w:rsidRPr="0046263A">
              <w:rPr>
                <w:rFonts w:cs="Arial"/>
                <w:b/>
              </w:rPr>
              <w:t xml:space="preserve">Conditions </w:t>
            </w:r>
            <w:r w:rsidR="00151ECD" w:rsidRPr="0046263A">
              <w:rPr>
                <w:rFonts w:cs="Arial"/>
                <w:b/>
              </w:rPr>
              <w:t>regarding</w:t>
            </w:r>
            <w:r w:rsidRPr="0046263A">
              <w:rPr>
                <w:rFonts w:cs="Arial"/>
                <w:b/>
              </w:rPr>
              <w:t xml:space="preserve"> accreditation of plans, </w:t>
            </w:r>
            <w:proofErr w:type="gramStart"/>
            <w:r w:rsidRPr="0046263A">
              <w:rPr>
                <w:rFonts w:cs="Arial"/>
                <w:b/>
              </w:rPr>
              <w:t>regimes</w:t>
            </w:r>
            <w:proofErr w:type="gramEnd"/>
            <w:r w:rsidRPr="0046263A">
              <w:rPr>
                <w:rFonts w:cs="Arial"/>
                <w:b/>
              </w:rPr>
              <w:t xml:space="preserve"> and policies</w:t>
            </w:r>
          </w:p>
          <w:p w14:paraId="5E44D132" w14:textId="1FB31754" w:rsidR="002270E2" w:rsidRPr="0046263A" w:rsidRDefault="00F74F9B" w:rsidP="007F171B">
            <w:pPr>
              <w:spacing w:before="80" w:after="80" w:line="276" w:lineRule="auto"/>
              <w:ind w:left="426" w:hanging="426"/>
              <w:contextualSpacing/>
              <w:jc w:val="center"/>
              <w:rPr>
                <w:rFonts w:cs="Arial"/>
                <w:b/>
              </w:rPr>
            </w:pPr>
            <w:r w:rsidRPr="0046263A">
              <w:rPr>
                <w:rFonts w:cs="Arial"/>
                <w:b/>
              </w:rPr>
              <w:t>Section 303AA</w:t>
            </w:r>
          </w:p>
        </w:tc>
        <w:tc>
          <w:tcPr>
            <w:tcW w:w="3515" w:type="pct"/>
            <w:shd w:val="clear" w:color="auto" w:fill="D9D9D9" w:themeFill="background1" w:themeFillShade="D9"/>
            <w:vAlign w:val="center"/>
          </w:tcPr>
          <w:p w14:paraId="111A4C93" w14:textId="77777777" w:rsidR="002270E2" w:rsidRPr="0046263A" w:rsidRDefault="002270E2" w:rsidP="007F171B">
            <w:pPr>
              <w:spacing w:before="80" w:after="80" w:line="276" w:lineRule="auto"/>
              <w:contextualSpacing/>
              <w:jc w:val="center"/>
              <w:rPr>
                <w:rFonts w:cs="Arial"/>
                <w:b/>
              </w:rPr>
            </w:pPr>
            <w:r w:rsidRPr="0046263A">
              <w:rPr>
                <w:rFonts w:cs="Arial"/>
                <w:b/>
              </w:rPr>
              <w:t>Comment</w:t>
            </w:r>
          </w:p>
        </w:tc>
      </w:tr>
      <w:tr w:rsidR="002270E2" w:rsidRPr="00A94147" w14:paraId="7E9F03C7" w14:textId="77777777" w:rsidTr="00A21651">
        <w:trPr>
          <w:cnfStyle w:val="000000010000" w:firstRow="0" w:lastRow="0" w:firstColumn="0" w:lastColumn="0" w:oddVBand="0" w:evenVBand="0" w:oddHBand="0" w:evenHBand="1" w:firstRowFirstColumn="0" w:firstRowLastColumn="0" w:lastRowFirstColumn="0" w:lastRowLastColumn="0"/>
        </w:trPr>
        <w:tc>
          <w:tcPr>
            <w:tcW w:w="1485" w:type="pct"/>
            <w:shd w:val="clear" w:color="auto" w:fill="92D050"/>
          </w:tcPr>
          <w:p w14:paraId="2AED3E9E" w14:textId="77777777" w:rsidR="002270E2" w:rsidRPr="0046263A" w:rsidRDefault="002270E2" w:rsidP="007F171B">
            <w:pPr>
              <w:pStyle w:val="ListNumber"/>
              <w:spacing w:before="80" w:after="80"/>
              <w:rPr>
                <w:sz w:val="22"/>
                <w:szCs w:val="22"/>
              </w:rPr>
            </w:pPr>
            <w:r w:rsidRPr="0046263A">
              <w:rPr>
                <w:sz w:val="22"/>
                <w:szCs w:val="22"/>
              </w:rPr>
              <w:t>(1)</w:t>
            </w:r>
            <w:r w:rsidRPr="0046263A">
              <w:rPr>
                <w:sz w:val="22"/>
                <w:szCs w:val="22"/>
              </w:rPr>
              <w:tab/>
              <w:t xml:space="preserve">This section applies to an accreditation of a plan, </w:t>
            </w:r>
            <w:proofErr w:type="gramStart"/>
            <w:r w:rsidRPr="0046263A">
              <w:rPr>
                <w:sz w:val="22"/>
                <w:szCs w:val="22"/>
              </w:rPr>
              <w:t>regime</w:t>
            </w:r>
            <w:proofErr w:type="gramEnd"/>
            <w:r w:rsidRPr="0046263A">
              <w:rPr>
                <w:sz w:val="22"/>
                <w:szCs w:val="22"/>
              </w:rPr>
              <w:t xml:space="preserve"> or </w:t>
            </w:r>
            <w:r w:rsidRPr="0046263A">
              <w:rPr>
                <w:sz w:val="22"/>
                <w:szCs w:val="22"/>
              </w:rPr>
              <w:lastRenderedPageBreak/>
              <w:t>policy under section 208A, 222A, 245 or 265.</w:t>
            </w:r>
          </w:p>
        </w:tc>
        <w:tc>
          <w:tcPr>
            <w:tcW w:w="3515" w:type="pct"/>
          </w:tcPr>
          <w:p w14:paraId="6A880119" w14:textId="26AEA716" w:rsidR="002270E2" w:rsidRPr="0046263A" w:rsidRDefault="002270E2" w:rsidP="007F171B">
            <w:pPr>
              <w:spacing w:before="80" w:after="80" w:line="276" w:lineRule="auto"/>
              <w:contextualSpacing/>
              <w:rPr>
                <w:rFonts w:cs="Arial"/>
              </w:rPr>
            </w:pPr>
            <w:r w:rsidRPr="0046263A">
              <w:rPr>
                <w:rFonts w:cs="Arial"/>
              </w:rPr>
              <w:lastRenderedPageBreak/>
              <w:t xml:space="preserve">The Department recommends that the management regime for the </w:t>
            </w:r>
            <w:r w:rsidR="00A21651" w:rsidRPr="0046263A">
              <w:rPr>
                <w:rFonts w:cs="Arial"/>
              </w:rPr>
              <w:t xml:space="preserve">fishery </w:t>
            </w:r>
            <w:r w:rsidRPr="0046263A">
              <w:rPr>
                <w:rFonts w:cs="Arial"/>
              </w:rPr>
              <w:t>be accredited under sections 208A, 222A, 245 and 265</w:t>
            </w:r>
            <w:r w:rsidR="00E225FC" w:rsidRPr="0046263A">
              <w:rPr>
                <w:rFonts w:cs="Arial"/>
              </w:rPr>
              <w:t xml:space="preserve"> of the EPBC Act</w:t>
            </w:r>
            <w:r w:rsidRPr="0046263A">
              <w:rPr>
                <w:rFonts w:cs="Arial"/>
              </w:rPr>
              <w:t>.</w:t>
            </w:r>
          </w:p>
        </w:tc>
      </w:tr>
      <w:tr w:rsidR="002270E2" w:rsidRPr="00A94147" w14:paraId="139872EA" w14:textId="77777777" w:rsidTr="00CE2F6E">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92D050"/>
          </w:tcPr>
          <w:p w14:paraId="3560F87B" w14:textId="77777777" w:rsidR="002270E2" w:rsidRPr="0046263A" w:rsidRDefault="002270E2" w:rsidP="007F171B">
            <w:pPr>
              <w:pStyle w:val="ListNumber"/>
              <w:spacing w:before="80" w:after="80"/>
              <w:rPr>
                <w:sz w:val="22"/>
                <w:szCs w:val="22"/>
              </w:rPr>
            </w:pPr>
            <w:r w:rsidRPr="0046263A">
              <w:rPr>
                <w:sz w:val="22"/>
                <w:szCs w:val="22"/>
              </w:rPr>
              <w:t>(2)</w:t>
            </w:r>
            <w:r w:rsidRPr="0046263A">
              <w:rPr>
                <w:sz w:val="22"/>
                <w:szCs w:val="22"/>
              </w:rPr>
              <w:tab/>
              <w:t xml:space="preserve">The Minister may accredit a plan, </w:t>
            </w:r>
            <w:proofErr w:type="gramStart"/>
            <w:r w:rsidRPr="0046263A">
              <w:rPr>
                <w:sz w:val="22"/>
                <w:szCs w:val="22"/>
              </w:rPr>
              <w:t>regime</w:t>
            </w:r>
            <w:proofErr w:type="gramEnd"/>
            <w:r w:rsidRPr="0046263A">
              <w:rPr>
                <w:sz w:val="22"/>
                <w:szCs w:val="22"/>
              </w:rPr>
              <w:t xml:space="preserve"> or policy under that section even though he or she considers that the plan, regime or policy should be accredited only:</w:t>
            </w:r>
          </w:p>
          <w:p w14:paraId="64296504" w14:textId="77777777" w:rsidR="002270E2" w:rsidRPr="0046263A" w:rsidRDefault="002270E2" w:rsidP="007F171B">
            <w:pPr>
              <w:pStyle w:val="ListNumber2"/>
              <w:spacing w:before="80" w:after="80"/>
              <w:rPr>
                <w:sz w:val="22"/>
                <w:szCs w:val="22"/>
              </w:rPr>
            </w:pPr>
            <w:r w:rsidRPr="0046263A">
              <w:rPr>
                <w:sz w:val="22"/>
                <w:szCs w:val="22"/>
              </w:rPr>
              <w:t>(a)</w:t>
            </w:r>
            <w:r w:rsidRPr="0046263A">
              <w:rPr>
                <w:sz w:val="22"/>
                <w:szCs w:val="22"/>
              </w:rPr>
              <w:tab/>
              <w:t>during a particular period; or</w:t>
            </w:r>
          </w:p>
          <w:p w14:paraId="23153E98" w14:textId="77777777" w:rsidR="002270E2" w:rsidRPr="0046263A" w:rsidRDefault="002270E2" w:rsidP="007F171B">
            <w:pPr>
              <w:pStyle w:val="ListNumber2"/>
              <w:spacing w:before="80" w:after="80"/>
              <w:rPr>
                <w:sz w:val="22"/>
                <w:szCs w:val="22"/>
              </w:rPr>
            </w:pPr>
            <w:r w:rsidRPr="0046263A">
              <w:rPr>
                <w:sz w:val="22"/>
                <w:szCs w:val="22"/>
              </w:rPr>
              <w:t>(b)</w:t>
            </w:r>
            <w:r w:rsidRPr="0046263A">
              <w:rPr>
                <w:sz w:val="22"/>
                <w:szCs w:val="22"/>
              </w:rPr>
              <w:tab/>
              <w:t>while certain circumstances exist; or</w:t>
            </w:r>
          </w:p>
          <w:p w14:paraId="010F1587" w14:textId="639A2A9E" w:rsidR="002270E2" w:rsidRPr="0046263A" w:rsidRDefault="004F3E26" w:rsidP="007F171B">
            <w:pPr>
              <w:pStyle w:val="ListNumber2"/>
              <w:spacing w:before="80" w:after="80"/>
              <w:rPr>
                <w:sz w:val="22"/>
                <w:szCs w:val="22"/>
              </w:rPr>
            </w:pPr>
            <w:r w:rsidRPr="0046263A">
              <w:rPr>
                <w:sz w:val="22"/>
                <w:szCs w:val="22"/>
              </w:rPr>
              <w:t>(c)</w:t>
            </w:r>
            <w:r w:rsidR="002270E2" w:rsidRPr="0046263A">
              <w:rPr>
                <w:sz w:val="22"/>
                <w:szCs w:val="22"/>
              </w:rPr>
              <w:tab/>
              <w:t>while a certain condition is complied with.</w:t>
            </w:r>
          </w:p>
          <w:p w14:paraId="3AB99A62" w14:textId="77777777" w:rsidR="002270E2" w:rsidRPr="0046263A" w:rsidRDefault="002270E2" w:rsidP="007F171B">
            <w:pPr>
              <w:spacing w:before="80" w:after="80" w:line="276" w:lineRule="auto"/>
              <w:contextualSpacing/>
              <w:rPr>
                <w:rFonts w:cs="Arial"/>
              </w:rPr>
            </w:pPr>
            <w:r w:rsidRPr="0046263A">
              <w:rPr>
                <w:rFonts w:cs="Arial"/>
              </w:rPr>
              <w:t xml:space="preserve">In such a case, the instrument of accreditation is to specify the period, </w:t>
            </w:r>
            <w:proofErr w:type="gramStart"/>
            <w:r w:rsidRPr="0046263A">
              <w:rPr>
                <w:rFonts w:cs="Arial"/>
              </w:rPr>
              <w:t>circumstances</w:t>
            </w:r>
            <w:proofErr w:type="gramEnd"/>
            <w:r w:rsidRPr="0046263A">
              <w:rPr>
                <w:rFonts w:cs="Arial"/>
              </w:rPr>
              <w:t xml:space="preserve"> or condition.</w:t>
            </w:r>
          </w:p>
        </w:tc>
        <w:tc>
          <w:tcPr>
            <w:tcW w:w="3515" w:type="pct"/>
          </w:tcPr>
          <w:p w14:paraId="7D64803C" w14:textId="46924394" w:rsidR="002270E2" w:rsidRPr="0046263A" w:rsidRDefault="00CE2F6E" w:rsidP="007F171B">
            <w:pPr>
              <w:spacing w:before="80" w:after="80" w:line="276" w:lineRule="auto"/>
              <w:contextualSpacing/>
              <w:rPr>
                <w:rFonts w:cs="Arial"/>
                <w:lang w:eastAsia="en-AU"/>
              </w:rPr>
            </w:pPr>
            <w:r>
              <w:rPr>
                <w:rFonts w:cs="Arial"/>
              </w:rPr>
              <w:t>Conditions are not considered necessary to</w:t>
            </w:r>
            <w:r w:rsidR="002270E2" w:rsidRPr="0046263A">
              <w:rPr>
                <w:rFonts w:cs="Arial"/>
              </w:rPr>
              <w:t xml:space="preserve"> satisfy the requirements of sections 208A, 222A, 245, and 265</w:t>
            </w:r>
            <w:r w:rsidR="000966D4" w:rsidRPr="0046263A">
              <w:rPr>
                <w:rFonts w:cs="Arial"/>
              </w:rPr>
              <w:t xml:space="preserve"> of the EPBC Act</w:t>
            </w:r>
            <w:r w:rsidR="00603F78" w:rsidRPr="0046263A">
              <w:rPr>
                <w:rFonts w:cs="Arial"/>
                <w:lang w:eastAsia="en-AU"/>
              </w:rPr>
              <w:t>.</w:t>
            </w:r>
          </w:p>
        </w:tc>
      </w:tr>
    </w:tbl>
    <w:p w14:paraId="6CD68BF5" w14:textId="77777777" w:rsidR="00475A65" w:rsidRPr="00A94147" w:rsidRDefault="00475A65" w:rsidP="007F171B">
      <w:pPr>
        <w:spacing w:before="0" w:after="0" w:line="276" w:lineRule="auto"/>
        <w:rPr>
          <w:rFonts w:cs="Arial"/>
          <w:b/>
          <w:highlight w:val="yellow"/>
        </w:rPr>
      </w:pPr>
      <w:r w:rsidRPr="00A94147">
        <w:rPr>
          <w:highlight w:val="yellow"/>
        </w:rPr>
        <w:br w:type="page"/>
      </w:r>
    </w:p>
    <w:p w14:paraId="7CF63A23" w14:textId="3C59189E" w:rsidR="009D5019" w:rsidRPr="0046263A" w:rsidRDefault="009D5019" w:rsidP="007F171B">
      <w:pPr>
        <w:pStyle w:val="Heading2"/>
        <w:spacing w:before="0" w:line="276" w:lineRule="auto"/>
        <w:rPr>
          <w:sz w:val="24"/>
          <w:szCs w:val="24"/>
        </w:rPr>
      </w:pPr>
      <w:bookmarkStart w:id="31" w:name="_Toc51057523"/>
      <w:r w:rsidRPr="0046263A">
        <w:rPr>
          <w:sz w:val="24"/>
          <w:szCs w:val="24"/>
        </w:rPr>
        <w:lastRenderedPageBreak/>
        <w:t>Part 13A</w:t>
      </w:r>
      <w:r w:rsidR="007F1ABC" w:rsidRPr="0046263A">
        <w:rPr>
          <w:sz w:val="24"/>
          <w:szCs w:val="24"/>
        </w:rPr>
        <w:t xml:space="preserve"> </w:t>
      </w:r>
      <w:r w:rsidR="00F73C73" w:rsidRPr="0046263A">
        <w:rPr>
          <w:sz w:val="24"/>
          <w:szCs w:val="24"/>
        </w:rPr>
        <w:t>– International movement of wildlife specimens</w:t>
      </w:r>
      <w:bookmarkEnd w:id="31"/>
    </w:p>
    <w:tbl>
      <w:tblPr>
        <w:tblStyle w:val="TableGrid"/>
        <w:tblW w:w="5000" w:type="pct"/>
        <w:tblLook w:val="04A0" w:firstRow="1" w:lastRow="0" w:firstColumn="1" w:lastColumn="0" w:noHBand="0" w:noVBand="1"/>
      </w:tblPr>
      <w:tblGrid>
        <w:gridCol w:w="4391"/>
        <w:gridCol w:w="10395"/>
      </w:tblGrid>
      <w:tr w:rsidR="00151ECD" w:rsidRPr="0046263A" w14:paraId="71332680" w14:textId="77777777" w:rsidTr="00151ECD">
        <w:trPr>
          <w:cnfStyle w:val="100000000000" w:firstRow="1" w:lastRow="0" w:firstColumn="0" w:lastColumn="0" w:oddVBand="0" w:evenVBand="0" w:oddHBand="0" w:evenHBand="0" w:firstRowFirstColumn="0" w:firstRowLastColumn="0" w:lastRowFirstColumn="0" w:lastRowLastColumn="0"/>
        </w:trPr>
        <w:tc>
          <w:tcPr>
            <w:tcW w:w="1485" w:type="pct"/>
            <w:shd w:val="clear" w:color="auto" w:fill="D9D9D9" w:themeFill="background1" w:themeFillShade="D9"/>
          </w:tcPr>
          <w:p w14:paraId="1F306BB4" w14:textId="115B0717" w:rsidR="00151ECD" w:rsidRPr="0046263A" w:rsidRDefault="00151ECD" w:rsidP="007F171B">
            <w:pPr>
              <w:spacing w:before="80" w:after="80" w:line="276" w:lineRule="auto"/>
              <w:ind w:left="426" w:hanging="426"/>
              <w:contextualSpacing/>
              <w:jc w:val="center"/>
              <w:rPr>
                <w:rFonts w:cs="Arial"/>
                <w:b/>
              </w:rPr>
            </w:pPr>
            <w:r w:rsidRPr="0046263A">
              <w:rPr>
                <w:rFonts w:cs="Arial"/>
                <w:b/>
              </w:rPr>
              <w:t>Section 303BA Objects of Part 13A</w:t>
            </w:r>
          </w:p>
        </w:tc>
        <w:tc>
          <w:tcPr>
            <w:tcW w:w="3515" w:type="pct"/>
            <w:shd w:val="clear" w:color="auto" w:fill="D9D9D9" w:themeFill="background1" w:themeFillShade="D9"/>
            <w:vAlign w:val="center"/>
          </w:tcPr>
          <w:p w14:paraId="1FA0A6FE" w14:textId="77777777" w:rsidR="00151ECD" w:rsidRPr="0046263A" w:rsidRDefault="00151ECD" w:rsidP="007F171B">
            <w:pPr>
              <w:spacing w:before="80" w:after="80" w:line="276" w:lineRule="auto"/>
              <w:contextualSpacing/>
              <w:jc w:val="center"/>
              <w:rPr>
                <w:rFonts w:cs="Arial"/>
                <w:b/>
              </w:rPr>
            </w:pPr>
            <w:r w:rsidRPr="0046263A">
              <w:rPr>
                <w:rFonts w:cs="Arial"/>
                <w:b/>
              </w:rPr>
              <w:t>Comment</w:t>
            </w:r>
          </w:p>
        </w:tc>
      </w:tr>
    </w:tbl>
    <w:tbl>
      <w:tblPr>
        <w:tblStyle w:val="TableGrid1"/>
        <w:tblW w:w="5000" w:type="pct"/>
        <w:tblLook w:val="04A0" w:firstRow="1" w:lastRow="0" w:firstColumn="1" w:lastColumn="0" w:noHBand="0" w:noVBand="1"/>
      </w:tblPr>
      <w:tblGrid>
        <w:gridCol w:w="4391"/>
        <w:gridCol w:w="10395"/>
      </w:tblGrid>
      <w:tr w:rsidR="001C70CA" w:rsidRPr="0046263A" w14:paraId="2C296CF2" w14:textId="77777777" w:rsidTr="009131DE">
        <w:trPr>
          <w:cnfStyle w:val="100000000000" w:firstRow="1" w:lastRow="0" w:firstColumn="0" w:lastColumn="0" w:oddVBand="0" w:evenVBand="0" w:oddHBand="0" w:evenHBand="0" w:firstRowFirstColumn="0" w:firstRowLastColumn="0" w:lastRowFirstColumn="0" w:lastRowLastColumn="0"/>
          <w:cantSplit/>
        </w:trPr>
        <w:tc>
          <w:tcPr>
            <w:tcW w:w="1485" w:type="pct"/>
            <w:tcBorders>
              <w:bottom w:val="single" w:sz="4" w:space="0" w:color="auto"/>
            </w:tcBorders>
            <w:shd w:val="clear" w:color="auto" w:fill="92D050"/>
          </w:tcPr>
          <w:p w14:paraId="214AF701" w14:textId="48F00C58" w:rsidR="001C70CA" w:rsidRPr="0046263A" w:rsidRDefault="001C70CA" w:rsidP="007F171B">
            <w:pPr>
              <w:pStyle w:val="ListNumber"/>
              <w:spacing w:before="80" w:after="80"/>
              <w:rPr>
                <w:sz w:val="22"/>
                <w:szCs w:val="22"/>
              </w:rPr>
            </w:pPr>
            <w:r w:rsidRPr="0046263A">
              <w:rPr>
                <w:sz w:val="22"/>
                <w:szCs w:val="22"/>
              </w:rPr>
              <w:t>(1)</w:t>
            </w:r>
            <w:r w:rsidRPr="0046263A">
              <w:rPr>
                <w:sz w:val="22"/>
                <w:szCs w:val="22"/>
              </w:rPr>
              <w:tab/>
              <w:t>The objects of this Part are as follows:</w:t>
            </w:r>
          </w:p>
          <w:p w14:paraId="53F2A16D" w14:textId="7F2BF5AB" w:rsidR="001C70CA" w:rsidRPr="0046263A" w:rsidRDefault="001C70CA" w:rsidP="007F171B">
            <w:pPr>
              <w:pStyle w:val="ListNumber2"/>
              <w:spacing w:before="80" w:after="80"/>
              <w:rPr>
                <w:sz w:val="22"/>
                <w:szCs w:val="22"/>
              </w:rPr>
            </w:pPr>
            <w:r w:rsidRPr="0046263A">
              <w:rPr>
                <w:sz w:val="22"/>
                <w:szCs w:val="22"/>
              </w:rPr>
              <w:t>(a)</w:t>
            </w:r>
            <w:r w:rsidRPr="0046263A">
              <w:rPr>
                <w:sz w:val="22"/>
                <w:szCs w:val="22"/>
              </w:rPr>
              <w:tab/>
              <w:t>to ensure that Australia complies with its obligations under CITES and the Biodiversity Convention;</w:t>
            </w:r>
          </w:p>
          <w:p w14:paraId="1E27B80E" w14:textId="1B22B1A9" w:rsidR="001C70CA" w:rsidRPr="0046263A" w:rsidRDefault="001C70CA" w:rsidP="007F171B">
            <w:pPr>
              <w:pStyle w:val="ListNumber2"/>
              <w:spacing w:before="80" w:after="80"/>
              <w:rPr>
                <w:sz w:val="22"/>
                <w:szCs w:val="22"/>
              </w:rPr>
            </w:pPr>
            <w:r w:rsidRPr="0046263A">
              <w:rPr>
                <w:sz w:val="22"/>
                <w:szCs w:val="22"/>
              </w:rPr>
              <w:t>(b)</w:t>
            </w:r>
            <w:r w:rsidRPr="0046263A">
              <w:rPr>
                <w:sz w:val="22"/>
                <w:szCs w:val="22"/>
              </w:rPr>
              <w:tab/>
              <w:t>to protect wildlife that may be adversely affected by trade;</w:t>
            </w:r>
          </w:p>
          <w:p w14:paraId="0BD3A59F" w14:textId="415FDD8B" w:rsidR="001C70CA" w:rsidRPr="0046263A" w:rsidRDefault="00475A65" w:rsidP="007F171B">
            <w:pPr>
              <w:pStyle w:val="ListNumber2"/>
              <w:spacing w:before="80" w:after="80"/>
              <w:rPr>
                <w:sz w:val="22"/>
                <w:szCs w:val="22"/>
              </w:rPr>
            </w:pPr>
            <w:r w:rsidRPr="0046263A">
              <w:rPr>
                <w:sz w:val="22"/>
                <w:szCs w:val="22"/>
              </w:rPr>
              <w:t>(c)</w:t>
            </w:r>
            <w:r w:rsidR="001C70CA" w:rsidRPr="0046263A">
              <w:rPr>
                <w:sz w:val="22"/>
                <w:szCs w:val="22"/>
              </w:rPr>
              <w:tab/>
              <w:t>to promote the conservation of biodiversity in Australia and other countries;</w:t>
            </w:r>
          </w:p>
          <w:p w14:paraId="51856DBF" w14:textId="77777777" w:rsidR="001C70CA" w:rsidRPr="0046263A" w:rsidRDefault="001C70CA" w:rsidP="007F171B">
            <w:pPr>
              <w:pStyle w:val="ListNumber2"/>
              <w:spacing w:before="80" w:after="80"/>
              <w:rPr>
                <w:sz w:val="22"/>
                <w:szCs w:val="22"/>
              </w:rPr>
            </w:pPr>
            <w:r w:rsidRPr="0046263A">
              <w:rPr>
                <w:sz w:val="22"/>
                <w:szCs w:val="22"/>
              </w:rPr>
              <w:t>(d)</w:t>
            </w:r>
            <w:r w:rsidRPr="0046263A">
              <w:rPr>
                <w:sz w:val="22"/>
                <w:szCs w:val="22"/>
              </w:rPr>
              <w:tab/>
              <w:t>to ensure that any commercial utilisation of Australian native wildlife for the purposes of export is managed in an ecologically sustainable way;</w:t>
            </w:r>
          </w:p>
          <w:p w14:paraId="06D01FF1" w14:textId="3BAEA368" w:rsidR="001C70CA" w:rsidRPr="0046263A" w:rsidRDefault="00475A65" w:rsidP="007F171B">
            <w:pPr>
              <w:pStyle w:val="ListNumber2"/>
              <w:spacing w:before="80" w:after="80"/>
              <w:rPr>
                <w:sz w:val="22"/>
                <w:szCs w:val="22"/>
              </w:rPr>
            </w:pPr>
            <w:r w:rsidRPr="0046263A">
              <w:rPr>
                <w:sz w:val="22"/>
                <w:szCs w:val="22"/>
              </w:rPr>
              <w:t>(e)</w:t>
            </w:r>
            <w:r w:rsidR="001C70CA" w:rsidRPr="0046263A">
              <w:rPr>
                <w:sz w:val="22"/>
                <w:szCs w:val="22"/>
              </w:rPr>
              <w:tab/>
              <w:t>to promote the humane treatment of wildlife;</w:t>
            </w:r>
          </w:p>
          <w:p w14:paraId="79661513" w14:textId="77777777" w:rsidR="001C70CA" w:rsidRPr="0046263A" w:rsidRDefault="001C70CA" w:rsidP="007F171B">
            <w:pPr>
              <w:pStyle w:val="ListNumber2"/>
              <w:spacing w:before="80" w:after="80"/>
              <w:rPr>
                <w:sz w:val="22"/>
                <w:szCs w:val="22"/>
              </w:rPr>
            </w:pPr>
            <w:r w:rsidRPr="0046263A">
              <w:rPr>
                <w:sz w:val="22"/>
                <w:szCs w:val="22"/>
              </w:rPr>
              <w:t>(f)</w:t>
            </w:r>
            <w:r w:rsidRPr="0046263A">
              <w:rPr>
                <w:sz w:val="22"/>
                <w:szCs w:val="22"/>
              </w:rPr>
              <w:tab/>
              <w:t>to ensure ethical conduct during any research associated with the utilisation of wildlife; and</w:t>
            </w:r>
          </w:p>
          <w:p w14:paraId="4E62EAB3" w14:textId="5C436067" w:rsidR="001C70CA" w:rsidRPr="0046263A" w:rsidRDefault="001C70CA" w:rsidP="007F171B">
            <w:pPr>
              <w:pStyle w:val="ListNumber2"/>
              <w:spacing w:before="80" w:after="80"/>
              <w:rPr>
                <w:sz w:val="22"/>
                <w:szCs w:val="22"/>
              </w:rPr>
            </w:pPr>
            <w:r w:rsidRPr="0046263A">
              <w:rPr>
                <w:sz w:val="22"/>
                <w:szCs w:val="22"/>
              </w:rPr>
              <w:t>(h)</w:t>
            </w:r>
            <w:r w:rsidRPr="0046263A">
              <w:rPr>
                <w:sz w:val="22"/>
                <w:szCs w:val="22"/>
              </w:rPr>
              <w:tab/>
              <w:t>to ensure the precautionary principle is taken into account in making decisions relating to the utilisation of wildlife.</w:t>
            </w:r>
          </w:p>
        </w:tc>
        <w:tc>
          <w:tcPr>
            <w:tcW w:w="3515" w:type="pct"/>
            <w:tcBorders>
              <w:bottom w:val="single" w:sz="4" w:space="0" w:color="auto"/>
            </w:tcBorders>
            <w:shd w:val="clear" w:color="auto" w:fill="auto"/>
          </w:tcPr>
          <w:p w14:paraId="63AE0F15" w14:textId="69F46A7F" w:rsidR="001C70CA" w:rsidRPr="0046263A" w:rsidRDefault="001C70CA" w:rsidP="007F171B">
            <w:pPr>
              <w:spacing w:before="80" w:after="80" w:line="276" w:lineRule="auto"/>
              <w:contextualSpacing/>
              <w:rPr>
                <w:rFonts w:cs="Arial"/>
              </w:rPr>
            </w:pPr>
            <w:r w:rsidRPr="0046263A">
              <w:rPr>
                <w:rFonts w:cs="Arial"/>
              </w:rPr>
              <w:t xml:space="preserve">The management arrangements for the </w:t>
            </w:r>
            <w:r w:rsidR="00751D35" w:rsidRPr="0046263A">
              <w:rPr>
                <w:rFonts w:cs="Arial"/>
              </w:rPr>
              <w:t xml:space="preserve">fishery </w:t>
            </w:r>
            <w:r w:rsidRPr="0046263A">
              <w:rPr>
                <w:rFonts w:cs="Arial"/>
              </w:rPr>
              <w:t xml:space="preserve">have been assessed </w:t>
            </w:r>
            <w:r w:rsidR="006D1DF8" w:rsidRPr="0046263A">
              <w:rPr>
                <w:rFonts w:cs="Arial"/>
              </w:rPr>
              <w:t xml:space="preserve">and found to be </w:t>
            </w:r>
            <w:r w:rsidRPr="0046263A">
              <w:rPr>
                <w:rFonts w:cs="Arial"/>
              </w:rPr>
              <w:t>consistent with the general guidance provided in the objects of Part 13A</w:t>
            </w:r>
            <w:r w:rsidR="0046263A" w:rsidRPr="0046263A">
              <w:rPr>
                <w:rFonts w:cs="Arial"/>
              </w:rPr>
              <w:t>.</w:t>
            </w:r>
          </w:p>
          <w:p w14:paraId="278579AA" w14:textId="227EAD65" w:rsidR="001C70CA" w:rsidRPr="0046263A" w:rsidRDefault="0046263A" w:rsidP="0046263A">
            <w:pPr>
              <w:pStyle w:val="ListBullet"/>
              <w:numPr>
                <w:ilvl w:val="0"/>
                <w:numId w:val="0"/>
              </w:numPr>
              <w:spacing w:before="80" w:after="80"/>
              <w:rPr>
                <w:sz w:val="22"/>
                <w:szCs w:val="22"/>
              </w:rPr>
            </w:pPr>
            <w:r w:rsidRPr="0046263A">
              <w:rPr>
                <w:sz w:val="22"/>
                <w:szCs w:val="22"/>
              </w:rPr>
              <w:t>T</w:t>
            </w:r>
            <w:r w:rsidR="001C70CA" w:rsidRPr="0046263A">
              <w:rPr>
                <w:sz w:val="22"/>
                <w:szCs w:val="22"/>
              </w:rPr>
              <w:t>he fishery</w:t>
            </w:r>
            <w:r w:rsidRPr="0046263A">
              <w:rPr>
                <w:sz w:val="22"/>
                <w:szCs w:val="22"/>
              </w:rPr>
              <w:t xml:space="preserve">’s </w:t>
            </w:r>
            <w:r w:rsidR="001C70CA" w:rsidRPr="0046263A">
              <w:rPr>
                <w:sz w:val="22"/>
                <w:szCs w:val="22"/>
              </w:rPr>
              <w:t xml:space="preserve">harvest </w:t>
            </w:r>
            <w:r w:rsidRPr="0046263A">
              <w:rPr>
                <w:sz w:val="22"/>
                <w:szCs w:val="22"/>
              </w:rPr>
              <w:t xml:space="preserve">of species listed under the </w:t>
            </w:r>
            <w:r w:rsidR="001C70CA" w:rsidRPr="0046263A">
              <w:rPr>
                <w:sz w:val="22"/>
                <w:szCs w:val="22"/>
              </w:rPr>
              <w:t xml:space="preserve">Convention on International Trade in Endangered Species of Wild Fauna and Flora (CITES) </w:t>
            </w:r>
            <w:r w:rsidRPr="0046263A">
              <w:rPr>
                <w:sz w:val="22"/>
                <w:szCs w:val="22"/>
              </w:rPr>
              <w:t>has been assessed and is considered sustainable</w:t>
            </w:r>
            <w:r w:rsidR="00FD5CE0">
              <w:rPr>
                <w:sz w:val="22"/>
                <w:szCs w:val="22"/>
              </w:rPr>
              <w:t xml:space="preserve"> and unlikely to have a detrimental impact on the species’ survival in the wild</w:t>
            </w:r>
            <w:r w:rsidR="000648BC">
              <w:rPr>
                <w:sz w:val="22"/>
                <w:szCs w:val="22"/>
              </w:rPr>
              <w:t xml:space="preserve"> for the duration of the declaration</w:t>
            </w:r>
            <w:r w:rsidRPr="0046263A">
              <w:rPr>
                <w:sz w:val="22"/>
                <w:szCs w:val="22"/>
              </w:rPr>
              <w:t>.</w:t>
            </w:r>
          </w:p>
          <w:p w14:paraId="46992ADA" w14:textId="4EC9CA9B" w:rsidR="001C70CA" w:rsidRPr="0046263A" w:rsidRDefault="0046263A" w:rsidP="0046263A">
            <w:pPr>
              <w:pStyle w:val="ListBullet"/>
              <w:numPr>
                <w:ilvl w:val="0"/>
                <w:numId w:val="0"/>
              </w:numPr>
              <w:spacing w:before="80" w:after="80"/>
              <w:rPr>
                <w:sz w:val="22"/>
                <w:szCs w:val="22"/>
              </w:rPr>
            </w:pPr>
            <w:r w:rsidRPr="0046263A">
              <w:rPr>
                <w:sz w:val="22"/>
                <w:szCs w:val="22"/>
              </w:rPr>
              <w:t>T</w:t>
            </w:r>
            <w:r w:rsidR="001C70CA" w:rsidRPr="0046263A">
              <w:rPr>
                <w:sz w:val="22"/>
                <w:szCs w:val="22"/>
              </w:rPr>
              <w:t>here are management arrangements in place to ensure that the resource is being managed in an ecologically sustainable way</w:t>
            </w:r>
            <w:r w:rsidRPr="0046263A">
              <w:rPr>
                <w:sz w:val="22"/>
                <w:szCs w:val="22"/>
              </w:rPr>
              <w:t>.</w:t>
            </w:r>
          </w:p>
          <w:p w14:paraId="7D0DBA98" w14:textId="3FBCC75D" w:rsidR="001C70CA" w:rsidRPr="0046263A" w:rsidRDefault="0046263A" w:rsidP="0046263A">
            <w:pPr>
              <w:pStyle w:val="ListBullet"/>
              <w:numPr>
                <w:ilvl w:val="0"/>
                <w:numId w:val="0"/>
              </w:numPr>
              <w:spacing w:before="80" w:after="80"/>
              <w:rPr>
                <w:sz w:val="22"/>
                <w:szCs w:val="22"/>
              </w:rPr>
            </w:pPr>
            <w:r w:rsidRPr="0046263A">
              <w:rPr>
                <w:sz w:val="22"/>
                <w:szCs w:val="22"/>
              </w:rPr>
              <w:t>T</w:t>
            </w:r>
            <w:r w:rsidR="001C70CA" w:rsidRPr="0046263A">
              <w:rPr>
                <w:sz w:val="22"/>
                <w:szCs w:val="22"/>
              </w:rPr>
              <w:t xml:space="preserve">he operation of the </w:t>
            </w:r>
            <w:r w:rsidR="006D1DF8" w:rsidRPr="0046263A">
              <w:rPr>
                <w:sz w:val="22"/>
                <w:szCs w:val="22"/>
              </w:rPr>
              <w:t xml:space="preserve">fishery </w:t>
            </w:r>
            <w:r w:rsidR="001C70CA" w:rsidRPr="0046263A">
              <w:rPr>
                <w:sz w:val="22"/>
                <w:szCs w:val="22"/>
              </w:rPr>
              <w:t xml:space="preserve">is unlikely to be unsustainable and threaten biodiversity within the next </w:t>
            </w:r>
            <w:r w:rsidR="007772EF">
              <w:rPr>
                <w:sz w:val="22"/>
                <w:szCs w:val="22"/>
              </w:rPr>
              <w:t>12 months</w:t>
            </w:r>
            <w:r w:rsidRPr="0046263A">
              <w:rPr>
                <w:sz w:val="22"/>
                <w:szCs w:val="22"/>
              </w:rPr>
              <w:t>.</w:t>
            </w:r>
          </w:p>
          <w:p w14:paraId="0FEDAD98" w14:textId="4D516258" w:rsidR="000E554C" w:rsidRPr="0046263A" w:rsidRDefault="0046263A" w:rsidP="007F171B">
            <w:pPr>
              <w:pStyle w:val="ListBullet"/>
              <w:numPr>
                <w:ilvl w:val="0"/>
                <w:numId w:val="0"/>
              </w:numPr>
              <w:spacing w:before="80" w:after="120"/>
              <w:rPr>
                <w:sz w:val="22"/>
                <w:szCs w:val="22"/>
              </w:rPr>
            </w:pPr>
            <w:r w:rsidRPr="0046263A">
              <w:rPr>
                <w:sz w:val="22"/>
                <w:szCs w:val="22"/>
              </w:rPr>
              <w:t>T</w:t>
            </w:r>
            <w:r w:rsidR="001C70CA" w:rsidRPr="0046263A">
              <w:rPr>
                <w:sz w:val="22"/>
                <w:szCs w:val="22"/>
              </w:rPr>
              <w:t>he Environment Protection and Biodiversity Conservation Regulations 2000 do not specify fish as a class of animal in relation to the welfare of live specimens.</w:t>
            </w:r>
          </w:p>
        </w:tc>
      </w:tr>
    </w:tbl>
    <w:p w14:paraId="22829BB9" w14:textId="77777777" w:rsidR="001A79D0" w:rsidRDefault="001A79D0">
      <w:r>
        <w:br w:type="page"/>
      </w:r>
    </w:p>
    <w:tbl>
      <w:tblPr>
        <w:tblStyle w:val="TableGrid1"/>
        <w:tblW w:w="5000" w:type="pct"/>
        <w:tblLook w:val="04A0" w:firstRow="1" w:lastRow="0" w:firstColumn="1" w:lastColumn="0" w:noHBand="0" w:noVBand="1"/>
      </w:tblPr>
      <w:tblGrid>
        <w:gridCol w:w="4391"/>
        <w:gridCol w:w="10395"/>
      </w:tblGrid>
      <w:tr w:rsidR="000900EC" w:rsidRPr="0046263A" w14:paraId="6FCD3825" w14:textId="77777777" w:rsidTr="00E21AE7">
        <w:trPr>
          <w:cnfStyle w:val="100000000000" w:firstRow="1" w:lastRow="0" w:firstColumn="0" w:lastColumn="0" w:oddVBand="0" w:evenVBand="0" w:oddHBand="0" w:evenHBand="0" w:firstRowFirstColumn="0" w:firstRowLastColumn="0" w:lastRowFirstColumn="0" w:lastRowLastColumn="0"/>
        </w:trPr>
        <w:tc>
          <w:tcPr>
            <w:tcW w:w="1485" w:type="pct"/>
            <w:shd w:val="clear" w:color="auto" w:fill="D9D9D9" w:themeFill="background1" w:themeFillShade="D9"/>
          </w:tcPr>
          <w:p w14:paraId="586D7DE2" w14:textId="64A4D4BF" w:rsidR="000900EC" w:rsidRPr="0046263A" w:rsidRDefault="000900EC" w:rsidP="007F171B">
            <w:pPr>
              <w:spacing w:before="80" w:after="80" w:line="276" w:lineRule="auto"/>
              <w:ind w:left="426" w:hanging="426"/>
              <w:contextualSpacing/>
              <w:jc w:val="center"/>
              <w:rPr>
                <w:rFonts w:cs="Arial"/>
                <w:b/>
              </w:rPr>
            </w:pPr>
            <w:r w:rsidRPr="0046263A">
              <w:rPr>
                <w:rFonts w:cs="Arial"/>
                <w:b/>
              </w:rPr>
              <w:lastRenderedPageBreak/>
              <w:t>Section 303 CG Minister may issue permits (CITES species)</w:t>
            </w:r>
          </w:p>
        </w:tc>
        <w:tc>
          <w:tcPr>
            <w:tcW w:w="3515" w:type="pct"/>
            <w:shd w:val="clear" w:color="auto" w:fill="D9D9D9" w:themeFill="background1" w:themeFillShade="D9"/>
          </w:tcPr>
          <w:p w14:paraId="7B831BC4" w14:textId="77777777" w:rsidR="000900EC" w:rsidRPr="0046263A" w:rsidRDefault="000900EC" w:rsidP="007F171B">
            <w:pPr>
              <w:spacing w:before="80" w:after="80" w:line="276" w:lineRule="auto"/>
              <w:contextualSpacing/>
              <w:jc w:val="center"/>
              <w:rPr>
                <w:rFonts w:cs="Arial"/>
                <w:b/>
              </w:rPr>
            </w:pPr>
            <w:r w:rsidRPr="0046263A">
              <w:rPr>
                <w:rFonts w:cs="Arial"/>
                <w:b/>
              </w:rPr>
              <w:t>Comment</w:t>
            </w:r>
          </w:p>
        </w:tc>
      </w:tr>
      <w:tr w:rsidR="000900EC" w:rsidRPr="0046263A" w14:paraId="3CB5D2A0" w14:textId="77777777" w:rsidTr="003609E5">
        <w:trPr>
          <w:cnfStyle w:val="000000100000" w:firstRow="0" w:lastRow="0" w:firstColumn="0" w:lastColumn="0" w:oddVBand="0" w:evenVBand="0" w:oddHBand="1" w:evenHBand="0" w:firstRowFirstColumn="0" w:firstRowLastColumn="0" w:lastRowFirstColumn="0" w:lastRowLastColumn="0"/>
        </w:trPr>
        <w:tc>
          <w:tcPr>
            <w:tcW w:w="1485" w:type="pct"/>
            <w:tcBorders>
              <w:bottom w:val="single" w:sz="4" w:space="0" w:color="auto"/>
            </w:tcBorders>
            <w:shd w:val="clear" w:color="auto" w:fill="92D050"/>
          </w:tcPr>
          <w:p w14:paraId="2EEFCCB8" w14:textId="77777777" w:rsidR="000900EC" w:rsidRPr="0046263A" w:rsidRDefault="000900EC" w:rsidP="007F171B">
            <w:pPr>
              <w:pStyle w:val="ListNumber"/>
              <w:spacing w:before="80" w:after="80"/>
              <w:rPr>
                <w:sz w:val="22"/>
                <w:szCs w:val="22"/>
              </w:rPr>
            </w:pPr>
            <w:r w:rsidRPr="0046263A">
              <w:rPr>
                <w:sz w:val="22"/>
                <w:szCs w:val="22"/>
              </w:rPr>
              <w:t>(3)</w:t>
            </w:r>
            <w:r w:rsidRPr="0046263A">
              <w:rPr>
                <w:sz w:val="22"/>
                <w:szCs w:val="22"/>
              </w:rPr>
              <w:tab/>
              <w:t>The Minister must not issue a permit unless the Minister is satisfied that:</w:t>
            </w:r>
          </w:p>
          <w:p w14:paraId="408D6A43" w14:textId="77777777" w:rsidR="000900EC" w:rsidRPr="0046263A" w:rsidRDefault="000900EC" w:rsidP="007F171B">
            <w:pPr>
              <w:pStyle w:val="ListNumber2"/>
              <w:spacing w:before="80" w:after="80"/>
              <w:rPr>
                <w:sz w:val="22"/>
                <w:szCs w:val="22"/>
              </w:rPr>
            </w:pPr>
            <w:r w:rsidRPr="0046263A">
              <w:rPr>
                <w:sz w:val="22"/>
                <w:szCs w:val="22"/>
              </w:rPr>
              <w:t>(a)</w:t>
            </w:r>
            <w:r w:rsidRPr="0046263A">
              <w:rPr>
                <w:sz w:val="22"/>
                <w:szCs w:val="22"/>
              </w:rPr>
              <w:tab/>
              <w:t>the action or actions specified in the permit will not be detrimental to, or contribute to trade which is detrimental to:</w:t>
            </w:r>
          </w:p>
          <w:p w14:paraId="0C3267C1" w14:textId="77777777" w:rsidR="000900EC" w:rsidRPr="0046263A" w:rsidRDefault="000900EC" w:rsidP="007F171B">
            <w:pPr>
              <w:pStyle w:val="ListNumber3"/>
              <w:spacing w:before="80" w:after="80" w:line="276" w:lineRule="auto"/>
              <w:rPr>
                <w:sz w:val="22"/>
                <w:szCs w:val="22"/>
              </w:rPr>
            </w:pPr>
            <w:r w:rsidRPr="0046263A">
              <w:rPr>
                <w:sz w:val="22"/>
                <w:szCs w:val="22"/>
              </w:rPr>
              <w:t>(</w:t>
            </w:r>
            <w:proofErr w:type="spellStart"/>
            <w:r w:rsidRPr="0046263A">
              <w:rPr>
                <w:sz w:val="22"/>
                <w:szCs w:val="22"/>
              </w:rPr>
              <w:t>i</w:t>
            </w:r>
            <w:proofErr w:type="spellEnd"/>
            <w:r w:rsidRPr="0046263A">
              <w:rPr>
                <w:sz w:val="22"/>
                <w:szCs w:val="22"/>
              </w:rPr>
              <w:t>)</w:t>
            </w:r>
            <w:r w:rsidRPr="0046263A">
              <w:rPr>
                <w:sz w:val="22"/>
                <w:szCs w:val="22"/>
              </w:rPr>
              <w:tab/>
              <w:t>the survival of any taxon to which the specimen belongs; or</w:t>
            </w:r>
          </w:p>
          <w:p w14:paraId="04C321AC" w14:textId="77777777" w:rsidR="000900EC" w:rsidRPr="0046263A" w:rsidRDefault="000900EC" w:rsidP="007F171B">
            <w:pPr>
              <w:pStyle w:val="ListNumber3"/>
              <w:spacing w:before="80" w:after="80" w:line="276" w:lineRule="auto"/>
              <w:rPr>
                <w:sz w:val="22"/>
                <w:szCs w:val="22"/>
              </w:rPr>
            </w:pPr>
            <w:r w:rsidRPr="0046263A">
              <w:rPr>
                <w:sz w:val="22"/>
                <w:szCs w:val="22"/>
              </w:rPr>
              <w:t>(ii)</w:t>
            </w:r>
            <w:r w:rsidRPr="0046263A">
              <w:rPr>
                <w:sz w:val="22"/>
                <w:szCs w:val="22"/>
              </w:rPr>
              <w:tab/>
              <w:t>the recovery in nature of any taxon to which the specimen belongs; or</w:t>
            </w:r>
          </w:p>
          <w:p w14:paraId="4CEF6CB2" w14:textId="77777777" w:rsidR="000900EC" w:rsidRPr="0046263A" w:rsidRDefault="000900EC" w:rsidP="007F171B">
            <w:pPr>
              <w:pStyle w:val="ListNumber3"/>
              <w:spacing w:before="80" w:after="80" w:line="276" w:lineRule="auto"/>
              <w:rPr>
                <w:sz w:val="22"/>
                <w:szCs w:val="22"/>
              </w:rPr>
            </w:pPr>
            <w:r w:rsidRPr="0046263A">
              <w:rPr>
                <w:sz w:val="22"/>
                <w:szCs w:val="22"/>
              </w:rPr>
              <w:t>(iii)</w:t>
            </w:r>
            <w:r w:rsidRPr="0046263A">
              <w:rPr>
                <w:sz w:val="22"/>
                <w:szCs w:val="22"/>
              </w:rPr>
              <w:tab/>
              <w:t>any relevant ecosystem (for example, detriment to habitat or biodiversity); and</w:t>
            </w:r>
          </w:p>
        </w:tc>
        <w:tc>
          <w:tcPr>
            <w:tcW w:w="3515" w:type="pct"/>
            <w:tcBorders>
              <w:bottom w:val="single" w:sz="4" w:space="0" w:color="auto"/>
            </w:tcBorders>
          </w:tcPr>
          <w:p w14:paraId="1829BEC2" w14:textId="52B19C96" w:rsidR="000900EC" w:rsidRPr="0046263A" w:rsidRDefault="0046263A" w:rsidP="007F171B">
            <w:pPr>
              <w:spacing w:before="80" w:after="80" w:line="276" w:lineRule="auto"/>
              <w:contextualSpacing/>
              <w:rPr>
                <w:rFonts w:cs="Arial"/>
                <w:b/>
              </w:rPr>
            </w:pPr>
            <w:r w:rsidRPr="0046263A">
              <w:rPr>
                <w:rFonts w:cs="Arial"/>
                <w:b/>
              </w:rPr>
              <w:t>Meets</w:t>
            </w:r>
          </w:p>
          <w:p w14:paraId="06A4035C" w14:textId="69AD1EAB" w:rsidR="0046263A" w:rsidRPr="0046263A" w:rsidRDefault="000900EC" w:rsidP="007F171B">
            <w:pPr>
              <w:spacing w:before="80" w:after="80" w:line="276" w:lineRule="auto"/>
              <w:contextualSpacing/>
              <w:rPr>
                <w:rFonts w:cs="Arial"/>
              </w:rPr>
            </w:pPr>
            <w:r w:rsidRPr="0046263A">
              <w:rPr>
                <w:rFonts w:cs="Arial"/>
              </w:rPr>
              <w:t xml:space="preserve">The </w:t>
            </w:r>
            <w:r w:rsidR="00F93DF5" w:rsidRPr="0046263A">
              <w:rPr>
                <w:rFonts w:cs="Arial"/>
              </w:rPr>
              <w:t xml:space="preserve">fishery </w:t>
            </w:r>
            <w:r w:rsidR="0046263A" w:rsidRPr="0046263A">
              <w:rPr>
                <w:rFonts w:cs="Arial"/>
              </w:rPr>
              <w:t xml:space="preserve">harvests Black </w:t>
            </w:r>
            <w:proofErr w:type="spellStart"/>
            <w:r w:rsidR="0046263A" w:rsidRPr="0046263A">
              <w:rPr>
                <w:rFonts w:cs="Arial"/>
              </w:rPr>
              <w:t>Teatfish</w:t>
            </w:r>
            <w:proofErr w:type="spellEnd"/>
            <w:r w:rsidR="0046263A" w:rsidRPr="0046263A">
              <w:rPr>
                <w:rFonts w:cs="Arial"/>
              </w:rPr>
              <w:t xml:space="preserve"> (</w:t>
            </w:r>
            <w:proofErr w:type="spellStart"/>
            <w:r w:rsidR="0046263A" w:rsidRPr="0046263A">
              <w:rPr>
                <w:rFonts w:cs="Arial"/>
                <w:i/>
                <w:iCs/>
              </w:rPr>
              <w:t>Holothuria</w:t>
            </w:r>
            <w:proofErr w:type="spellEnd"/>
            <w:r w:rsidR="0046263A" w:rsidRPr="0046263A">
              <w:rPr>
                <w:rFonts w:cs="Arial"/>
                <w:i/>
                <w:iCs/>
              </w:rPr>
              <w:t xml:space="preserve"> </w:t>
            </w:r>
            <w:proofErr w:type="spellStart"/>
            <w:r w:rsidR="0046263A" w:rsidRPr="0046263A">
              <w:rPr>
                <w:rFonts w:cs="Arial"/>
                <w:i/>
                <w:iCs/>
              </w:rPr>
              <w:t>whitmaei</w:t>
            </w:r>
            <w:proofErr w:type="spellEnd"/>
            <w:r w:rsidR="0046263A" w:rsidRPr="0046263A">
              <w:rPr>
                <w:rFonts w:cs="Arial"/>
              </w:rPr>
              <w:t xml:space="preserve">) and White </w:t>
            </w:r>
            <w:proofErr w:type="spellStart"/>
            <w:r w:rsidR="0046263A" w:rsidRPr="0046263A">
              <w:rPr>
                <w:rFonts w:cs="Arial"/>
              </w:rPr>
              <w:t>Teatfish</w:t>
            </w:r>
            <w:proofErr w:type="spellEnd"/>
            <w:r w:rsidR="0046263A" w:rsidRPr="0046263A">
              <w:rPr>
                <w:rFonts w:cs="Arial"/>
              </w:rPr>
              <w:t xml:space="preserve"> (</w:t>
            </w:r>
            <w:r w:rsidR="0046263A" w:rsidRPr="0046263A">
              <w:rPr>
                <w:rFonts w:cs="Arial"/>
                <w:i/>
                <w:iCs/>
              </w:rPr>
              <w:t xml:space="preserve">H. </w:t>
            </w:r>
            <w:proofErr w:type="spellStart"/>
            <w:r w:rsidR="0046263A" w:rsidRPr="0046263A">
              <w:rPr>
                <w:rFonts w:cs="Arial"/>
                <w:i/>
                <w:iCs/>
              </w:rPr>
              <w:t>fuscogilva</w:t>
            </w:r>
            <w:proofErr w:type="spellEnd"/>
            <w:r w:rsidR="0046263A" w:rsidRPr="0046263A">
              <w:rPr>
                <w:rFonts w:cs="Arial"/>
              </w:rPr>
              <w:t>) which are both listed in CITES Appendix II.</w:t>
            </w:r>
          </w:p>
          <w:p w14:paraId="1487E701" w14:textId="567D9DA8" w:rsidR="000900EC" w:rsidRPr="0046263A" w:rsidRDefault="0046263A" w:rsidP="007F171B">
            <w:pPr>
              <w:spacing w:before="80" w:after="80" w:line="276" w:lineRule="auto"/>
              <w:contextualSpacing/>
              <w:rPr>
                <w:rFonts w:cs="Arial"/>
                <w:b/>
              </w:rPr>
            </w:pPr>
            <w:r w:rsidRPr="0046263A">
              <w:rPr>
                <w:rFonts w:cs="Arial"/>
              </w:rPr>
              <w:t>The Department’s assessment under the EPBC Act has found that the fishery is likely to be sustainable and not threatened the survival of the species in nature, for the period of the proposed approvals.</w:t>
            </w:r>
          </w:p>
        </w:tc>
      </w:tr>
      <w:tr w:rsidR="000900EC" w:rsidRPr="0046263A" w14:paraId="3790B11C" w14:textId="77777777" w:rsidTr="000900EC">
        <w:trPr>
          <w:cnfStyle w:val="000000010000" w:firstRow="0" w:lastRow="0" w:firstColumn="0" w:lastColumn="0" w:oddVBand="0" w:evenVBand="0" w:oddHBand="0" w:evenHBand="1" w:firstRowFirstColumn="0" w:firstRowLastColumn="0" w:lastRowFirstColumn="0" w:lastRowLastColumn="0"/>
        </w:trPr>
        <w:tc>
          <w:tcPr>
            <w:tcW w:w="1485" w:type="pct"/>
            <w:shd w:val="clear" w:color="auto" w:fill="D9D9D9" w:themeFill="background1" w:themeFillShade="D9"/>
          </w:tcPr>
          <w:p w14:paraId="265E25FC" w14:textId="77777777" w:rsidR="000900EC" w:rsidRPr="0046263A" w:rsidRDefault="000900EC" w:rsidP="007F171B">
            <w:pPr>
              <w:spacing w:before="80" w:after="80" w:line="276" w:lineRule="auto"/>
              <w:ind w:left="426" w:hanging="426"/>
              <w:contextualSpacing/>
              <w:jc w:val="center"/>
              <w:rPr>
                <w:rFonts w:cs="Arial"/>
                <w:b/>
              </w:rPr>
            </w:pPr>
            <w:r w:rsidRPr="0046263A">
              <w:rPr>
                <w:rFonts w:cs="Arial"/>
                <w:b/>
              </w:rPr>
              <w:t>Section 303DC Minister may amend list (</w:t>
            </w:r>
            <w:proofErr w:type="gramStart"/>
            <w:r w:rsidRPr="0046263A">
              <w:rPr>
                <w:rFonts w:cs="Arial"/>
                <w:b/>
              </w:rPr>
              <w:t>non CITES</w:t>
            </w:r>
            <w:proofErr w:type="gramEnd"/>
            <w:r w:rsidRPr="0046263A">
              <w:rPr>
                <w:rFonts w:cs="Arial"/>
                <w:b/>
              </w:rPr>
              <w:t xml:space="preserve"> species)</w:t>
            </w:r>
          </w:p>
        </w:tc>
        <w:tc>
          <w:tcPr>
            <w:tcW w:w="3515" w:type="pct"/>
            <w:shd w:val="clear" w:color="auto" w:fill="D9D9D9" w:themeFill="background1" w:themeFillShade="D9"/>
          </w:tcPr>
          <w:p w14:paraId="04E3F092" w14:textId="77777777" w:rsidR="000900EC" w:rsidRPr="0046263A" w:rsidRDefault="000900EC" w:rsidP="007F171B">
            <w:pPr>
              <w:spacing w:before="80" w:after="80" w:line="276" w:lineRule="auto"/>
              <w:contextualSpacing/>
              <w:jc w:val="center"/>
              <w:rPr>
                <w:rFonts w:cs="Arial"/>
                <w:b/>
              </w:rPr>
            </w:pPr>
            <w:r w:rsidRPr="0046263A">
              <w:rPr>
                <w:rFonts w:cs="Arial"/>
                <w:b/>
              </w:rPr>
              <w:t>Comment</w:t>
            </w:r>
          </w:p>
        </w:tc>
      </w:tr>
      <w:tr w:rsidR="000900EC" w:rsidRPr="0046263A" w14:paraId="00F4C78E" w14:textId="77777777" w:rsidTr="001978A6">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92D050"/>
          </w:tcPr>
          <w:p w14:paraId="44E74F1F" w14:textId="77777777" w:rsidR="000900EC" w:rsidRPr="0046263A" w:rsidRDefault="000900EC" w:rsidP="007F171B">
            <w:pPr>
              <w:pStyle w:val="ListNumber"/>
              <w:spacing w:before="80" w:after="80"/>
              <w:rPr>
                <w:sz w:val="22"/>
                <w:szCs w:val="22"/>
              </w:rPr>
            </w:pPr>
            <w:r w:rsidRPr="0046263A">
              <w:rPr>
                <w:sz w:val="22"/>
                <w:szCs w:val="22"/>
              </w:rPr>
              <w:t>(1)</w:t>
            </w:r>
            <w:r w:rsidRPr="0046263A">
              <w:rPr>
                <w:sz w:val="22"/>
                <w:szCs w:val="22"/>
              </w:rPr>
              <w:tab/>
            </w:r>
            <w:r w:rsidRPr="0046263A">
              <w:rPr>
                <w:sz w:val="22"/>
                <w:szCs w:val="22"/>
              </w:rPr>
              <w:tab/>
              <w:t>The Minister may, by legislative instrument, amend the list referred to in section 303DB [list of exempt native specimens] by:</w:t>
            </w:r>
          </w:p>
          <w:p w14:paraId="78D32AD4" w14:textId="77777777" w:rsidR="000900EC" w:rsidRPr="0046263A" w:rsidRDefault="000900EC" w:rsidP="007F171B">
            <w:pPr>
              <w:pStyle w:val="ListNumber2"/>
              <w:spacing w:before="80" w:after="80"/>
              <w:rPr>
                <w:sz w:val="22"/>
                <w:szCs w:val="22"/>
              </w:rPr>
            </w:pPr>
            <w:r w:rsidRPr="0046263A">
              <w:rPr>
                <w:sz w:val="22"/>
                <w:szCs w:val="22"/>
              </w:rPr>
              <w:t>(a)</w:t>
            </w:r>
            <w:r w:rsidRPr="0046263A">
              <w:rPr>
                <w:sz w:val="22"/>
                <w:szCs w:val="22"/>
              </w:rPr>
              <w:tab/>
              <w:t>doing any of the following:</w:t>
            </w:r>
          </w:p>
          <w:p w14:paraId="581F0DA9" w14:textId="77777777" w:rsidR="000900EC" w:rsidRPr="0046263A" w:rsidRDefault="000900EC" w:rsidP="007F171B">
            <w:pPr>
              <w:pStyle w:val="ListNumber3"/>
              <w:spacing w:before="80" w:after="80" w:line="276" w:lineRule="auto"/>
              <w:rPr>
                <w:sz w:val="22"/>
                <w:szCs w:val="22"/>
              </w:rPr>
            </w:pPr>
            <w:r w:rsidRPr="0046263A">
              <w:rPr>
                <w:sz w:val="22"/>
                <w:szCs w:val="22"/>
              </w:rPr>
              <w:t>(</w:t>
            </w:r>
            <w:proofErr w:type="spellStart"/>
            <w:r w:rsidRPr="0046263A">
              <w:rPr>
                <w:sz w:val="22"/>
                <w:szCs w:val="22"/>
              </w:rPr>
              <w:t>i</w:t>
            </w:r>
            <w:proofErr w:type="spellEnd"/>
            <w:r w:rsidRPr="0046263A">
              <w:rPr>
                <w:sz w:val="22"/>
                <w:szCs w:val="22"/>
              </w:rPr>
              <w:t>)</w:t>
            </w:r>
            <w:r w:rsidRPr="0046263A">
              <w:rPr>
                <w:sz w:val="22"/>
                <w:szCs w:val="22"/>
              </w:rPr>
              <w:tab/>
              <w:t xml:space="preserve">including items in the </w:t>
            </w:r>
            <w:proofErr w:type="gramStart"/>
            <w:r w:rsidRPr="0046263A">
              <w:rPr>
                <w:sz w:val="22"/>
                <w:szCs w:val="22"/>
              </w:rPr>
              <w:t>list;</w:t>
            </w:r>
            <w:proofErr w:type="gramEnd"/>
          </w:p>
          <w:p w14:paraId="3A5BF5F8" w14:textId="77777777" w:rsidR="000900EC" w:rsidRPr="0046263A" w:rsidRDefault="000900EC" w:rsidP="007F171B">
            <w:pPr>
              <w:pStyle w:val="ListNumber3"/>
              <w:spacing w:before="80" w:after="80" w:line="276" w:lineRule="auto"/>
              <w:rPr>
                <w:sz w:val="22"/>
                <w:szCs w:val="22"/>
              </w:rPr>
            </w:pPr>
            <w:r w:rsidRPr="0046263A">
              <w:rPr>
                <w:sz w:val="22"/>
                <w:szCs w:val="22"/>
              </w:rPr>
              <w:t>(ii)</w:t>
            </w:r>
            <w:r w:rsidRPr="0046263A">
              <w:rPr>
                <w:sz w:val="22"/>
                <w:szCs w:val="22"/>
              </w:rPr>
              <w:tab/>
              <w:t xml:space="preserve">deleting items from the </w:t>
            </w:r>
            <w:proofErr w:type="gramStart"/>
            <w:r w:rsidRPr="0046263A">
              <w:rPr>
                <w:sz w:val="22"/>
                <w:szCs w:val="22"/>
              </w:rPr>
              <w:t>list;</w:t>
            </w:r>
            <w:proofErr w:type="gramEnd"/>
          </w:p>
          <w:p w14:paraId="74F8024F" w14:textId="77777777" w:rsidR="000900EC" w:rsidRPr="0046263A" w:rsidRDefault="000900EC" w:rsidP="007F171B">
            <w:pPr>
              <w:pStyle w:val="ListNumber3"/>
              <w:spacing w:before="80" w:after="80" w:line="276" w:lineRule="auto"/>
              <w:rPr>
                <w:sz w:val="22"/>
                <w:szCs w:val="22"/>
              </w:rPr>
            </w:pPr>
            <w:r w:rsidRPr="0046263A">
              <w:rPr>
                <w:sz w:val="22"/>
                <w:szCs w:val="22"/>
              </w:rPr>
              <w:t>(iii)</w:t>
            </w:r>
            <w:r w:rsidRPr="0046263A">
              <w:rPr>
                <w:sz w:val="22"/>
                <w:szCs w:val="22"/>
              </w:rPr>
              <w:tab/>
              <w:t xml:space="preserve">imposing a condition or restriction to which the inclusion of a specimen in the list is </w:t>
            </w:r>
            <w:proofErr w:type="gramStart"/>
            <w:r w:rsidRPr="0046263A">
              <w:rPr>
                <w:sz w:val="22"/>
                <w:szCs w:val="22"/>
              </w:rPr>
              <w:t>subject;</w:t>
            </w:r>
            <w:proofErr w:type="gramEnd"/>
          </w:p>
          <w:p w14:paraId="697D7B05" w14:textId="77777777" w:rsidR="000900EC" w:rsidRPr="0046263A" w:rsidRDefault="000900EC" w:rsidP="007F171B">
            <w:pPr>
              <w:pStyle w:val="ListNumber3"/>
              <w:spacing w:before="80" w:after="80" w:line="276" w:lineRule="auto"/>
              <w:rPr>
                <w:sz w:val="22"/>
                <w:szCs w:val="22"/>
              </w:rPr>
            </w:pPr>
            <w:r w:rsidRPr="0046263A">
              <w:rPr>
                <w:sz w:val="22"/>
                <w:szCs w:val="22"/>
              </w:rPr>
              <w:lastRenderedPageBreak/>
              <w:t>(iv)</w:t>
            </w:r>
            <w:r w:rsidRPr="0046263A">
              <w:rPr>
                <w:sz w:val="22"/>
                <w:szCs w:val="22"/>
              </w:rPr>
              <w:tab/>
              <w:t>varying or revoking a condition or restriction to which the inclusion of a specimen in the list is subject; or</w:t>
            </w:r>
          </w:p>
          <w:p w14:paraId="0DE5656E" w14:textId="77777777" w:rsidR="000900EC" w:rsidRPr="0046263A" w:rsidRDefault="000900EC" w:rsidP="007F171B">
            <w:pPr>
              <w:pStyle w:val="ListNumber2"/>
              <w:spacing w:before="80" w:after="80"/>
              <w:rPr>
                <w:sz w:val="22"/>
                <w:szCs w:val="22"/>
              </w:rPr>
            </w:pPr>
            <w:r w:rsidRPr="0046263A">
              <w:rPr>
                <w:sz w:val="22"/>
                <w:szCs w:val="22"/>
              </w:rPr>
              <w:t>(b)</w:t>
            </w:r>
            <w:r w:rsidRPr="0046263A">
              <w:rPr>
                <w:sz w:val="22"/>
                <w:szCs w:val="22"/>
              </w:rPr>
              <w:tab/>
              <w:t>correcting an inaccuracy or updating the name of a species.</w:t>
            </w:r>
          </w:p>
        </w:tc>
        <w:tc>
          <w:tcPr>
            <w:tcW w:w="3515" w:type="pct"/>
          </w:tcPr>
          <w:p w14:paraId="3470F50B" w14:textId="43725F78" w:rsidR="000900EC" w:rsidRPr="0046263A" w:rsidRDefault="000900EC" w:rsidP="007F171B">
            <w:pPr>
              <w:pStyle w:val="Default"/>
              <w:spacing w:before="80" w:after="80" w:line="276" w:lineRule="auto"/>
              <w:contextualSpacing/>
              <w:rPr>
                <w:rFonts w:ascii="Arial" w:hAnsi="Arial" w:cs="Arial"/>
                <w:color w:val="auto"/>
                <w:sz w:val="22"/>
                <w:szCs w:val="22"/>
              </w:rPr>
            </w:pPr>
            <w:r w:rsidRPr="0046263A">
              <w:rPr>
                <w:rFonts w:ascii="Arial" w:hAnsi="Arial" w:cs="Arial"/>
                <w:color w:val="auto"/>
                <w:sz w:val="22"/>
                <w:szCs w:val="22"/>
              </w:rPr>
              <w:lastRenderedPageBreak/>
              <w:t xml:space="preserve">The Department recommends that specimens that are, or are derived from, fish or invertebrates harvested in the </w:t>
            </w:r>
            <w:r w:rsidR="000930C1" w:rsidRPr="0046263A">
              <w:rPr>
                <w:rFonts w:ascii="Arial" w:hAnsi="Arial" w:cs="Arial"/>
                <w:color w:val="auto"/>
                <w:sz w:val="22"/>
                <w:szCs w:val="22"/>
              </w:rPr>
              <w:t xml:space="preserve">Queensland </w:t>
            </w:r>
            <w:r w:rsidR="00BF3D43">
              <w:rPr>
                <w:rFonts w:ascii="Arial" w:hAnsi="Arial" w:cs="Arial"/>
                <w:color w:val="auto"/>
                <w:sz w:val="22"/>
                <w:szCs w:val="22"/>
              </w:rPr>
              <w:t>Sea Cucumber Fishery (East Coast)</w:t>
            </w:r>
            <w:r w:rsidRPr="0046263A">
              <w:rPr>
                <w:rFonts w:ascii="Arial" w:hAnsi="Arial" w:cs="Arial"/>
                <w:color w:val="auto"/>
                <w:sz w:val="22"/>
                <w:szCs w:val="22"/>
              </w:rPr>
              <w:t>, as defined in the management regime in force under the Queensland Fisheries Act 1994, Fisheries (General) Regulation 2019, Fisheries (Commercial Fisheries) Regulation 2019</w:t>
            </w:r>
            <w:r w:rsidR="00503B72">
              <w:rPr>
                <w:rFonts w:ascii="Arial" w:hAnsi="Arial" w:cs="Arial"/>
                <w:color w:val="auto"/>
                <w:sz w:val="22"/>
                <w:szCs w:val="22"/>
              </w:rPr>
              <w:t xml:space="preserve"> and the</w:t>
            </w:r>
            <w:r w:rsidRPr="0046263A">
              <w:rPr>
                <w:rFonts w:ascii="Arial" w:hAnsi="Arial" w:cs="Arial"/>
                <w:color w:val="auto"/>
                <w:sz w:val="22"/>
                <w:szCs w:val="22"/>
              </w:rPr>
              <w:t xml:space="preserve"> Fisheries Declaration 2019, but not including:</w:t>
            </w:r>
          </w:p>
          <w:p w14:paraId="6C7576CB" w14:textId="3E6309EE" w:rsidR="000900EC" w:rsidRPr="0046263A" w:rsidRDefault="00915887" w:rsidP="007F171B">
            <w:pPr>
              <w:pStyle w:val="ListBullet2"/>
              <w:spacing w:before="80" w:after="80"/>
              <w:rPr>
                <w:rFonts w:cs="Arial"/>
                <w:sz w:val="22"/>
              </w:rPr>
            </w:pPr>
            <w:r w:rsidRPr="0046263A">
              <w:rPr>
                <w:rFonts w:cs="Arial"/>
                <w:sz w:val="22"/>
              </w:rPr>
              <w:t>s</w:t>
            </w:r>
            <w:r w:rsidR="000900EC" w:rsidRPr="0046263A">
              <w:rPr>
                <w:rFonts w:cs="Arial"/>
                <w:sz w:val="22"/>
              </w:rPr>
              <w:t xml:space="preserve">pecimens that belong to taxa listed under section 209 of the EPBC Act (Australia’s list of </w:t>
            </w:r>
            <w:r w:rsidRPr="0046263A">
              <w:rPr>
                <w:rFonts w:cs="Arial"/>
                <w:sz w:val="22"/>
              </w:rPr>
              <w:t>m</w:t>
            </w:r>
            <w:r w:rsidR="000900EC" w:rsidRPr="0046263A">
              <w:rPr>
                <w:rFonts w:cs="Arial"/>
                <w:sz w:val="22"/>
              </w:rPr>
              <w:t xml:space="preserve">igratory </w:t>
            </w:r>
            <w:r w:rsidRPr="0046263A">
              <w:rPr>
                <w:rFonts w:cs="Arial"/>
                <w:sz w:val="22"/>
              </w:rPr>
              <w:t>s</w:t>
            </w:r>
            <w:r w:rsidR="000900EC" w:rsidRPr="0046263A">
              <w:rPr>
                <w:rFonts w:cs="Arial"/>
                <w:sz w:val="22"/>
              </w:rPr>
              <w:t>pecies), or</w:t>
            </w:r>
          </w:p>
          <w:p w14:paraId="715B34BE" w14:textId="59994A08" w:rsidR="000900EC" w:rsidRPr="0046263A" w:rsidRDefault="00915887" w:rsidP="007F171B">
            <w:pPr>
              <w:pStyle w:val="ListBullet2"/>
              <w:spacing w:before="80" w:after="80"/>
              <w:rPr>
                <w:rFonts w:cs="Arial"/>
                <w:sz w:val="22"/>
              </w:rPr>
            </w:pPr>
            <w:r w:rsidRPr="0046263A">
              <w:rPr>
                <w:rFonts w:cs="Arial"/>
                <w:sz w:val="22"/>
              </w:rPr>
              <w:t>s</w:t>
            </w:r>
            <w:r w:rsidR="000900EC" w:rsidRPr="0046263A">
              <w:rPr>
                <w:rFonts w:cs="Arial"/>
                <w:sz w:val="22"/>
              </w:rPr>
              <w:t xml:space="preserve">pecimens that belong to taxa listed under section 248 of the EPBC Act (Australia’s list of </w:t>
            </w:r>
            <w:r w:rsidRPr="0046263A">
              <w:rPr>
                <w:rFonts w:cs="Arial"/>
                <w:sz w:val="22"/>
              </w:rPr>
              <w:t>m</w:t>
            </w:r>
            <w:r w:rsidR="000900EC" w:rsidRPr="0046263A">
              <w:rPr>
                <w:rFonts w:cs="Arial"/>
                <w:sz w:val="22"/>
              </w:rPr>
              <w:t xml:space="preserve">arine </w:t>
            </w:r>
            <w:r w:rsidRPr="0046263A">
              <w:rPr>
                <w:rFonts w:cs="Arial"/>
                <w:sz w:val="22"/>
              </w:rPr>
              <w:t>s</w:t>
            </w:r>
            <w:r w:rsidR="000900EC" w:rsidRPr="0046263A">
              <w:rPr>
                <w:rFonts w:cs="Arial"/>
                <w:sz w:val="22"/>
              </w:rPr>
              <w:t>pecies), or</w:t>
            </w:r>
          </w:p>
          <w:p w14:paraId="5303458C" w14:textId="1FEA05FD" w:rsidR="000900EC" w:rsidRPr="0046263A" w:rsidRDefault="00915887" w:rsidP="007F171B">
            <w:pPr>
              <w:pStyle w:val="ListBullet2"/>
              <w:spacing w:before="80" w:after="80"/>
              <w:rPr>
                <w:rFonts w:cs="Arial"/>
                <w:sz w:val="22"/>
              </w:rPr>
            </w:pPr>
            <w:r w:rsidRPr="0046263A">
              <w:rPr>
                <w:rFonts w:cs="Arial"/>
                <w:sz w:val="22"/>
              </w:rPr>
              <w:t>s</w:t>
            </w:r>
            <w:r w:rsidR="000900EC" w:rsidRPr="0046263A">
              <w:rPr>
                <w:rFonts w:cs="Arial"/>
                <w:sz w:val="22"/>
              </w:rPr>
              <w:t>pecimens that belong to eligible listed threatened species, as defined under section 303BC of the EPBC Act, or</w:t>
            </w:r>
          </w:p>
          <w:p w14:paraId="59E10B4C" w14:textId="1212DCEC" w:rsidR="00915887" w:rsidRPr="0046263A" w:rsidRDefault="00915887" w:rsidP="00915887">
            <w:pPr>
              <w:pStyle w:val="ListBullet2"/>
              <w:spacing w:before="80" w:after="120"/>
              <w:rPr>
                <w:rFonts w:cs="Arial"/>
                <w:sz w:val="22"/>
              </w:rPr>
            </w:pPr>
            <w:r w:rsidRPr="0046263A">
              <w:rPr>
                <w:rFonts w:cs="Arial"/>
                <w:sz w:val="22"/>
              </w:rPr>
              <w:t>s</w:t>
            </w:r>
            <w:r w:rsidR="000900EC" w:rsidRPr="0046263A">
              <w:rPr>
                <w:rFonts w:cs="Arial"/>
                <w:sz w:val="22"/>
              </w:rPr>
              <w:t>pecimens that belong to taxa listed under section 303CA of the EPBC Act (Australia’s CITES List)</w:t>
            </w:r>
          </w:p>
          <w:p w14:paraId="1F3C748B" w14:textId="411F067B" w:rsidR="00BC6EE0" w:rsidRDefault="00915887" w:rsidP="00915887">
            <w:pPr>
              <w:pStyle w:val="ListBullet2"/>
              <w:numPr>
                <w:ilvl w:val="0"/>
                <w:numId w:val="0"/>
              </w:numPr>
              <w:spacing w:before="80" w:after="120"/>
              <w:rPr>
                <w:rFonts w:cs="Arial"/>
                <w:sz w:val="22"/>
              </w:rPr>
            </w:pPr>
            <w:r w:rsidRPr="0046263A">
              <w:rPr>
                <w:rFonts w:cs="Arial"/>
                <w:sz w:val="22"/>
              </w:rPr>
              <w:lastRenderedPageBreak/>
              <w:t>b</w:t>
            </w:r>
            <w:r w:rsidR="000900EC" w:rsidRPr="0046263A">
              <w:rPr>
                <w:rFonts w:cs="Arial"/>
                <w:sz w:val="22"/>
              </w:rPr>
              <w:t xml:space="preserve">e included in the list of exempt native specimens while the </w:t>
            </w:r>
            <w:r w:rsidR="001978A6" w:rsidRPr="0046263A">
              <w:rPr>
                <w:rFonts w:cs="Arial"/>
                <w:sz w:val="22"/>
              </w:rPr>
              <w:t>fishery</w:t>
            </w:r>
            <w:r w:rsidR="000900EC" w:rsidRPr="0046263A">
              <w:rPr>
                <w:rFonts w:cs="Arial"/>
                <w:sz w:val="22"/>
              </w:rPr>
              <w:t xml:space="preserve"> is subject to a declaration as an approved wildlife trade operation.</w:t>
            </w:r>
          </w:p>
          <w:p w14:paraId="10AABBD6" w14:textId="4D7185D5" w:rsidR="000900EC" w:rsidRPr="0046263A" w:rsidRDefault="00BC6EE0" w:rsidP="00915887">
            <w:pPr>
              <w:pStyle w:val="ListBullet2"/>
              <w:numPr>
                <w:ilvl w:val="0"/>
                <w:numId w:val="0"/>
              </w:numPr>
              <w:spacing w:before="80" w:after="120"/>
              <w:rPr>
                <w:rFonts w:cs="Arial"/>
                <w:sz w:val="22"/>
              </w:rPr>
            </w:pPr>
            <w:r>
              <w:rPr>
                <w:rFonts w:cs="Arial"/>
                <w:sz w:val="22"/>
              </w:rPr>
              <w:t xml:space="preserve">CITES-listed species </w:t>
            </w:r>
            <w:r w:rsidR="007124E3">
              <w:rPr>
                <w:rFonts w:cs="Arial"/>
                <w:sz w:val="22"/>
              </w:rPr>
              <w:t>that are approved to be exported</w:t>
            </w:r>
            <w:r>
              <w:rPr>
                <w:rFonts w:cs="Arial"/>
                <w:sz w:val="22"/>
              </w:rPr>
              <w:t xml:space="preserve"> are </w:t>
            </w:r>
            <w:r w:rsidR="007124E3">
              <w:rPr>
                <w:rFonts w:cs="Arial"/>
                <w:sz w:val="22"/>
              </w:rPr>
              <w:t xml:space="preserve">done so </w:t>
            </w:r>
            <w:r>
              <w:rPr>
                <w:rFonts w:cs="Arial"/>
                <w:sz w:val="22"/>
              </w:rPr>
              <w:t xml:space="preserve">under </w:t>
            </w:r>
            <w:r w:rsidR="007124E3">
              <w:rPr>
                <w:rFonts w:cs="Arial"/>
                <w:sz w:val="22"/>
              </w:rPr>
              <w:t xml:space="preserve">the associated </w:t>
            </w:r>
            <w:r>
              <w:rPr>
                <w:rFonts w:cs="Arial"/>
                <w:sz w:val="22"/>
              </w:rPr>
              <w:t>Wildlife Trade Operation approval.</w:t>
            </w:r>
          </w:p>
        </w:tc>
      </w:tr>
      <w:tr w:rsidR="000900EC" w:rsidRPr="0046263A" w14:paraId="6F6ED1E7" w14:textId="77777777" w:rsidTr="000900EC">
        <w:trPr>
          <w:cnfStyle w:val="000000010000" w:firstRow="0" w:lastRow="0" w:firstColumn="0" w:lastColumn="0" w:oddVBand="0" w:evenVBand="0" w:oddHBand="0" w:evenHBand="1" w:firstRowFirstColumn="0" w:firstRowLastColumn="0" w:lastRowFirstColumn="0" w:lastRowLastColumn="0"/>
        </w:trPr>
        <w:tc>
          <w:tcPr>
            <w:tcW w:w="1485" w:type="pct"/>
          </w:tcPr>
          <w:p w14:paraId="499838A6" w14:textId="77777777" w:rsidR="000900EC" w:rsidRPr="0046263A" w:rsidRDefault="000900EC" w:rsidP="007F171B">
            <w:pPr>
              <w:pStyle w:val="ListNumber"/>
              <w:spacing w:before="80" w:after="80"/>
              <w:rPr>
                <w:sz w:val="22"/>
                <w:szCs w:val="22"/>
              </w:rPr>
            </w:pPr>
            <w:r w:rsidRPr="0046263A">
              <w:rPr>
                <w:sz w:val="22"/>
                <w:szCs w:val="22"/>
              </w:rPr>
              <w:lastRenderedPageBreak/>
              <w:t>(1A)</w:t>
            </w:r>
            <w:r w:rsidRPr="0046263A">
              <w:rPr>
                <w:sz w:val="22"/>
                <w:szCs w:val="22"/>
              </w:rPr>
              <w:tab/>
              <w:t>In deciding to amend the LENS, the Minister must rely primarily on outcomes of any assessment under Part 10, Divisions 1 or 2.</w:t>
            </w:r>
          </w:p>
        </w:tc>
        <w:tc>
          <w:tcPr>
            <w:tcW w:w="3515" w:type="pct"/>
          </w:tcPr>
          <w:p w14:paraId="6FC21CA2" w14:textId="77777777" w:rsidR="000900EC" w:rsidRPr="0046263A" w:rsidRDefault="000900EC" w:rsidP="007F171B">
            <w:pPr>
              <w:spacing w:before="80" w:after="80" w:line="276" w:lineRule="auto"/>
              <w:contextualSpacing/>
              <w:rPr>
                <w:rFonts w:cs="Arial"/>
              </w:rPr>
            </w:pPr>
            <w:r w:rsidRPr="0046263A">
              <w:rPr>
                <w:rFonts w:cs="Arial"/>
                <w:b/>
              </w:rPr>
              <w:t xml:space="preserve">Not applicable </w:t>
            </w:r>
          </w:p>
          <w:p w14:paraId="04D1607A" w14:textId="57BD845F" w:rsidR="000900EC" w:rsidRPr="0046263A" w:rsidRDefault="000900EC" w:rsidP="007F171B">
            <w:pPr>
              <w:spacing w:before="80" w:after="80" w:line="276" w:lineRule="auto"/>
              <w:contextualSpacing/>
              <w:rPr>
                <w:rFonts w:cs="Arial"/>
              </w:rPr>
            </w:pPr>
            <w:r w:rsidRPr="0046263A">
              <w:rPr>
                <w:rFonts w:cs="Arial"/>
              </w:rPr>
              <w:t>There has been no request or agreement to assess the fishery under Part 10 Division 1, and the fishery is not managed by the Commonwealth, so Part 10</w:t>
            </w:r>
            <w:r w:rsidR="00282EA0" w:rsidRPr="0046263A">
              <w:rPr>
                <w:rFonts w:cs="Arial"/>
              </w:rPr>
              <w:t>,</w:t>
            </w:r>
            <w:r w:rsidRPr="0046263A">
              <w:rPr>
                <w:rFonts w:cs="Arial"/>
              </w:rPr>
              <w:t xml:space="preserve"> Division 2 does not apply. </w:t>
            </w:r>
          </w:p>
        </w:tc>
      </w:tr>
      <w:tr w:rsidR="000900EC" w:rsidRPr="00A94147" w14:paraId="25629B52" w14:textId="77777777" w:rsidTr="00A5177C">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92D050"/>
          </w:tcPr>
          <w:p w14:paraId="097783DB" w14:textId="77777777" w:rsidR="000900EC" w:rsidRPr="0046263A" w:rsidRDefault="000900EC" w:rsidP="007F171B">
            <w:pPr>
              <w:pStyle w:val="ListNumber"/>
              <w:spacing w:before="80" w:after="80"/>
              <w:rPr>
                <w:sz w:val="22"/>
                <w:szCs w:val="22"/>
              </w:rPr>
            </w:pPr>
            <w:r w:rsidRPr="0046263A">
              <w:rPr>
                <w:sz w:val="22"/>
                <w:szCs w:val="22"/>
              </w:rPr>
              <w:t>(1C)</w:t>
            </w:r>
            <w:r w:rsidRPr="0046263A">
              <w:rPr>
                <w:sz w:val="22"/>
                <w:szCs w:val="22"/>
              </w:rPr>
              <w:tab/>
              <w:t>The above does not limit matters that may be considered when deciding to amend the LENS.</w:t>
            </w:r>
          </w:p>
        </w:tc>
        <w:tc>
          <w:tcPr>
            <w:tcW w:w="3515" w:type="pct"/>
          </w:tcPr>
          <w:p w14:paraId="490A22A1" w14:textId="77777777" w:rsidR="000900EC" w:rsidRPr="0046263A" w:rsidRDefault="000900EC" w:rsidP="007F171B">
            <w:pPr>
              <w:spacing w:before="80" w:after="80" w:line="276" w:lineRule="auto"/>
              <w:contextualSpacing/>
              <w:rPr>
                <w:rFonts w:cs="Arial"/>
                <w:b/>
              </w:rPr>
            </w:pPr>
            <w:r w:rsidRPr="0046263A">
              <w:rPr>
                <w:rFonts w:cs="Arial"/>
                <w:b/>
              </w:rPr>
              <w:t>Meets</w:t>
            </w:r>
          </w:p>
          <w:p w14:paraId="24DF4B90" w14:textId="2468F243" w:rsidR="000900EC" w:rsidRPr="0046263A" w:rsidRDefault="000900EC" w:rsidP="007F171B">
            <w:pPr>
              <w:spacing w:before="80" w:after="80" w:line="276" w:lineRule="auto"/>
              <w:contextualSpacing/>
              <w:rPr>
                <w:rFonts w:cs="Arial"/>
              </w:rPr>
            </w:pPr>
            <w:r w:rsidRPr="0046263A">
              <w:rPr>
                <w:rFonts w:cs="Arial"/>
              </w:rPr>
              <w:t>Although there is no strategic assessment under Part 10 of the EPBC Act, the Department</w:t>
            </w:r>
            <w:r w:rsidR="004005FE" w:rsidRPr="0046263A">
              <w:rPr>
                <w:rFonts w:cs="Arial"/>
              </w:rPr>
              <w:t>’s</w:t>
            </w:r>
            <w:r w:rsidRPr="0046263A">
              <w:rPr>
                <w:rFonts w:cs="Arial"/>
              </w:rPr>
              <w:t xml:space="preserve"> assessment has taken into account all matters relevant to making an informed decision to amend the list of exempt native specimens to include product taken in this fishery.</w:t>
            </w:r>
          </w:p>
        </w:tc>
      </w:tr>
      <w:tr w:rsidR="000900EC" w:rsidRPr="00A94147" w14:paraId="38118D98" w14:textId="77777777" w:rsidTr="00A5177C">
        <w:trPr>
          <w:cnfStyle w:val="000000010000" w:firstRow="0" w:lastRow="0" w:firstColumn="0" w:lastColumn="0" w:oddVBand="0" w:evenVBand="0" w:oddHBand="0" w:evenHBand="1" w:firstRowFirstColumn="0" w:firstRowLastColumn="0" w:lastRowFirstColumn="0" w:lastRowLastColumn="0"/>
        </w:trPr>
        <w:tc>
          <w:tcPr>
            <w:tcW w:w="1485" w:type="pct"/>
            <w:shd w:val="clear" w:color="auto" w:fill="92D050"/>
          </w:tcPr>
          <w:p w14:paraId="52ED619E" w14:textId="77777777" w:rsidR="000900EC" w:rsidRPr="000C7574" w:rsidRDefault="000900EC" w:rsidP="007F171B">
            <w:pPr>
              <w:pStyle w:val="ListNumber"/>
              <w:spacing w:before="80" w:after="80"/>
              <w:rPr>
                <w:sz w:val="22"/>
                <w:szCs w:val="22"/>
              </w:rPr>
            </w:pPr>
            <w:r w:rsidRPr="000C7574">
              <w:rPr>
                <w:sz w:val="22"/>
                <w:szCs w:val="22"/>
              </w:rPr>
              <w:t>(3)</w:t>
            </w:r>
            <w:r w:rsidRPr="000C7574">
              <w:rPr>
                <w:sz w:val="22"/>
                <w:szCs w:val="22"/>
              </w:rPr>
              <w:tab/>
              <w:t>Before amending the LENS, the Minister must consult:</w:t>
            </w:r>
          </w:p>
          <w:p w14:paraId="77C6D984" w14:textId="77777777" w:rsidR="000900EC" w:rsidRPr="000C7574" w:rsidRDefault="000900EC" w:rsidP="007F171B">
            <w:pPr>
              <w:pStyle w:val="ListNumber2"/>
              <w:spacing w:before="80" w:after="80"/>
              <w:rPr>
                <w:sz w:val="22"/>
                <w:szCs w:val="22"/>
              </w:rPr>
            </w:pPr>
            <w:r w:rsidRPr="000C7574">
              <w:rPr>
                <w:sz w:val="22"/>
                <w:szCs w:val="22"/>
              </w:rPr>
              <w:t>(a)</w:t>
            </w:r>
            <w:r w:rsidRPr="000C7574">
              <w:rPr>
                <w:sz w:val="22"/>
                <w:szCs w:val="22"/>
              </w:rPr>
              <w:tab/>
              <w:t>other Minister or Ministers as appropriate; and</w:t>
            </w:r>
          </w:p>
          <w:p w14:paraId="2293851B" w14:textId="77777777" w:rsidR="000900EC" w:rsidRPr="000C7574" w:rsidRDefault="000900EC" w:rsidP="007F171B">
            <w:pPr>
              <w:pStyle w:val="ListNumber2"/>
              <w:spacing w:before="80" w:after="80"/>
              <w:rPr>
                <w:sz w:val="22"/>
                <w:szCs w:val="22"/>
              </w:rPr>
            </w:pPr>
            <w:r w:rsidRPr="000C7574">
              <w:rPr>
                <w:sz w:val="22"/>
                <w:szCs w:val="22"/>
              </w:rPr>
              <w:t>(b)</w:t>
            </w:r>
            <w:r w:rsidRPr="000C7574">
              <w:rPr>
                <w:sz w:val="22"/>
                <w:szCs w:val="22"/>
              </w:rPr>
              <w:tab/>
              <w:t>other Minister or Ministers of each State and self-governing Territory as appropriate; and</w:t>
            </w:r>
          </w:p>
          <w:p w14:paraId="106622DF" w14:textId="77777777" w:rsidR="000900EC" w:rsidRPr="000C7574" w:rsidRDefault="000900EC" w:rsidP="007F171B">
            <w:pPr>
              <w:pStyle w:val="ListNumber2"/>
              <w:spacing w:before="80" w:after="80"/>
              <w:rPr>
                <w:sz w:val="22"/>
                <w:szCs w:val="22"/>
              </w:rPr>
            </w:pPr>
            <w:r w:rsidRPr="000C7574">
              <w:rPr>
                <w:sz w:val="22"/>
                <w:szCs w:val="22"/>
              </w:rPr>
              <w:t>(c)</w:t>
            </w:r>
            <w:r w:rsidRPr="000C7574">
              <w:rPr>
                <w:sz w:val="22"/>
                <w:szCs w:val="22"/>
              </w:rPr>
              <w:tab/>
              <w:t>other persons and organisations as appropriate.</w:t>
            </w:r>
          </w:p>
        </w:tc>
        <w:tc>
          <w:tcPr>
            <w:tcW w:w="3515" w:type="pct"/>
          </w:tcPr>
          <w:p w14:paraId="3954721F" w14:textId="77777777" w:rsidR="000900EC" w:rsidRPr="000C7574" w:rsidRDefault="000900EC" w:rsidP="007F171B">
            <w:pPr>
              <w:spacing w:before="80" w:after="80" w:line="276" w:lineRule="auto"/>
              <w:contextualSpacing/>
              <w:rPr>
                <w:rFonts w:cs="Arial"/>
                <w:b/>
              </w:rPr>
            </w:pPr>
            <w:r w:rsidRPr="000C7574">
              <w:rPr>
                <w:rFonts w:cs="Arial"/>
                <w:b/>
              </w:rPr>
              <w:t>Meets</w:t>
            </w:r>
          </w:p>
          <w:p w14:paraId="7D547FAD" w14:textId="5BA4D18A" w:rsidR="001978A6" w:rsidRPr="000C7574" w:rsidRDefault="000900EC" w:rsidP="00C03342">
            <w:pPr>
              <w:spacing w:before="0" w:line="276" w:lineRule="auto"/>
              <w:contextualSpacing/>
              <w:rPr>
                <w:rFonts w:cs="Arial"/>
              </w:rPr>
            </w:pPr>
            <w:r w:rsidRPr="000C7574">
              <w:rPr>
                <w:rFonts w:cs="Arial"/>
              </w:rPr>
              <w:t xml:space="preserve">The submission from QDAF was made available on the Department’s website from </w:t>
            </w:r>
            <w:r w:rsidR="000F2261" w:rsidRPr="000C7574">
              <w:rPr>
                <w:rFonts w:cs="Arial"/>
              </w:rPr>
              <w:t xml:space="preserve">22 </w:t>
            </w:r>
            <w:r w:rsidR="001978A6" w:rsidRPr="000C7574">
              <w:rPr>
                <w:rFonts w:cs="Arial"/>
              </w:rPr>
              <w:t>July</w:t>
            </w:r>
            <w:r w:rsidRPr="000C7574">
              <w:rPr>
                <w:rFonts w:cs="Arial"/>
              </w:rPr>
              <w:t xml:space="preserve"> to </w:t>
            </w:r>
            <w:r w:rsidR="001978A6" w:rsidRPr="000C7574">
              <w:rPr>
                <w:rFonts w:cs="Arial"/>
              </w:rPr>
              <w:t>2</w:t>
            </w:r>
            <w:r w:rsidR="000F2261" w:rsidRPr="000C7574">
              <w:rPr>
                <w:rFonts w:cs="Arial"/>
              </w:rPr>
              <w:t>1</w:t>
            </w:r>
            <w:r w:rsidRPr="000C7574">
              <w:rPr>
                <w:rFonts w:cs="Arial"/>
              </w:rPr>
              <w:t xml:space="preserve"> </w:t>
            </w:r>
            <w:r w:rsidR="001978A6" w:rsidRPr="000C7574">
              <w:rPr>
                <w:rFonts w:cs="Arial"/>
              </w:rPr>
              <w:t>August</w:t>
            </w:r>
            <w:r w:rsidRPr="000C7574">
              <w:rPr>
                <w:rFonts w:cs="Arial"/>
              </w:rPr>
              <w:t xml:space="preserve"> 2020. </w:t>
            </w:r>
          </w:p>
          <w:p w14:paraId="01E13FA4" w14:textId="7ECFF979" w:rsidR="00C03342" w:rsidRDefault="0046263A" w:rsidP="00C03342">
            <w:pPr>
              <w:tabs>
                <w:tab w:val="left" w:pos="360"/>
              </w:tabs>
              <w:spacing w:before="0" w:line="276" w:lineRule="auto"/>
              <w:rPr>
                <w:rFonts w:cs="Arial"/>
              </w:rPr>
            </w:pPr>
            <w:bookmarkStart w:id="32" w:name="_Hlk49778645"/>
            <w:r w:rsidRPr="000C7574">
              <w:rPr>
                <w:rFonts w:cs="Arial"/>
              </w:rPr>
              <w:t>Six</w:t>
            </w:r>
            <w:r w:rsidR="001978A6" w:rsidRPr="000C7574">
              <w:rPr>
                <w:rFonts w:cs="Arial"/>
              </w:rPr>
              <w:t xml:space="preserve"> </w:t>
            </w:r>
            <w:r w:rsidR="000900EC" w:rsidRPr="000C7574">
              <w:rPr>
                <w:rFonts w:cs="Arial"/>
              </w:rPr>
              <w:t>public submission</w:t>
            </w:r>
            <w:r w:rsidRPr="000C7574">
              <w:rPr>
                <w:rFonts w:cs="Arial"/>
              </w:rPr>
              <w:t>s</w:t>
            </w:r>
            <w:r w:rsidR="000900EC" w:rsidRPr="000C7574">
              <w:rPr>
                <w:rFonts w:cs="Arial"/>
              </w:rPr>
              <w:t xml:space="preserve"> w</w:t>
            </w:r>
            <w:r w:rsidRPr="000C7574">
              <w:rPr>
                <w:rFonts w:cs="Arial"/>
              </w:rPr>
              <w:t>ere</w:t>
            </w:r>
            <w:r w:rsidR="000900EC" w:rsidRPr="000C7574">
              <w:rPr>
                <w:rFonts w:cs="Arial"/>
              </w:rPr>
              <w:t xml:space="preserve"> received which raised concerns regarding</w:t>
            </w:r>
            <w:r w:rsidRPr="000C7574">
              <w:rPr>
                <w:rFonts w:cs="Arial"/>
              </w:rPr>
              <w:t>:</w:t>
            </w:r>
          </w:p>
          <w:p w14:paraId="198D86FC"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t>Global declines of teatfish species and associated IUCN listings</w:t>
            </w:r>
            <w:r>
              <w:rPr>
                <w:rFonts w:cs="Arial"/>
                <w:noProof/>
              </w:rPr>
              <w:t xml:space="preserve"> which informed the CITES listing of the species</w:t>
            </w:r>
            <w:r w:rsidRPr="000F2261">
              <w:rPr>
                <w:rFonts w:cs="Arial"/>
                <w:noProof/>
              </w:rPr>
              <w:t>.</w:t>
            </w:r>
          </w:p>
          <w:p w14:paraId="65803FEB"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t xml:space="preserve">Biology and life-history traits </w:t>
            </w:r>
            <w:r>
              <w:rPr>
                <w:rFonts w:cs="Arial"/>
                <w:noProof/>
              </w:rPr>
              <w:t>of these species not being able to sustain commercial harvest</w:t>
            </w:r>
            <w:r w:rsidRPr="000F2261">
              <w:rPr>
                <w:rFonts w:cs="Arial"/>
                <w:noProof/>
              </w:rPr>
              <w:t>.</w:t>
            </w:r>
          </w:p>
          <w:p w14:paraId="04211A6D"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t>Concerns regarding the survey design used to inform the reopening of fishing for Black Teatfish.</w:t>
            </w:r>
          </w:p>
          <w:p w14:paraId="04FF8B56"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t>The lack of information collected on numbers of individual animals harvested</w:t>
            </w:r>
            <w:r>
              <w:rPr>
                <w:rFonts w:cs="Arial"/>
                <w:noProof/>
              </w:rPr>
              <w:t>.</w:t>
            </w:r>
          </w:p>
          <w:p w14:paraId="5A911D82"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Pr>
                <w:rFonts w:cs="Arial"/>
                <w:noProof/>
              </w:rPr>
              <w:t>A lack of c</w:t>
            </w:r>
            <w:r w:rsidRPr="000F2261">
              <w:rPr>
                <w:rFonts w:cs="Arial"/>
                <w:noProof/>
              </w:rPr>
              <w:t>onsultation undertaken with regard to re-opening of fishing for Black Teatfish.</w:t>
            </w:r>
          </w:p>
          <w:p w14:paraId="0C25F812"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Pr>
                <w:rFonts w:cs="Arial"/>
                <w:noProof/>
              </w:rPr>
              <w:t>Unclear s</w:t>
            </w:r>
            <w:r w:rsidRPr="000F2261">
              <w:rPr>
                <w:rFonts w:cs="Arial"/>
                <w:noProof/>
              </w:rPr>
              <w:t>patial management and the references to ‘zones’ in management arrangements.</w:t>
            </w:r>
          </w:p>
          <w:p w14:paraId="27AA76F9"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t>Logbook design and potential for fishers to report Black Teatfish as ‘other species’.</w:t>
            </w:r>
          </w:p>
          <w:p w14:paraId="51A2FD48"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t xml:space="preserve">Public availability of fishery </w:t>
            </w:r>
            <w:r>
              <w:rPr>
                <w:rFonts w:cs="Arial"/>
                <w:noProof/>
              </w:rPr>
              <w:t>information</w:t>
            </w:r>
            <w:r w:rsidRPr="000F2261">
              <w:rPr>
                <w:rFonts w:cs="Arial"/>
                <w:noProof/>
              </w:rPr>
              <w:t>.</w:t>
            </w:r>
          </w:p>
          <w:p w14:paraId="74DB904A"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lastRenderedPageBreak/>
              <w:t>Recognition of Curryfish as a main target species and understanding of what species are caught and where.</w:t>
            </w:r>
          </w:p>
          <w:p w14:paraId="263B5E9F"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t>The IUCN status of Prickly Redfish and need for specific management attention.</w:t>
            </w:r>
          </w:p>
          <w:p w14:paraId="4EA9B76D"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t>The need for resource surveys for Burrowing Blackfish in the Burrowing Blackfish Zones.</w:t>
            </w:r>
          </w:p>
          <w:p w14:paraId="5FEEBD3E"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t>The need for a harvest strategy for the fishery.</w:t>
            </w:r>
          </w:p>
          <w:p w14:paraId="64DEDBE6"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t>The need for current stock assessments for the fishery.</w:t>
            </w:r>
          </w:p>
          <w:p w14:paraId="54A6E15E"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t>Prospecting arrangements for Burrowing Blackfish and Curryfish</w:t>
            </w:r>
            <w:r>
              <w:rPr>
                <w:rFonts w:cs="Arial"/>
                <w:noProof/>
              </w:rPr>
              <w:t>.</w:t>
            </w:r>
            <w:r w:rsidRPr="000F2261">
              <w:rPr>
                <w:rFonts w:cs="Arial"/>
                <w:noProof/>
              </w:rPr>
              <w:t xml:space="preserve">  </w:t>
            </w:r>
          </w:p>
          <w:p w14:paraId="2120B2AF"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t>The important role Sea Cucumbers play in ecosystem health</w:t>
            </w:r>
            <w:r>
              <w:rPr>
                <w:rFonts w:cs="Arial"/>
                <w:noProof/>
              </w:rPr>
              <w:t xml:space="preserve"> and the impacts that overfishing would have on reef health</w:t>
            </w:r>
            <w:r w:rsidRPr="000F2261">
              <w:rPr>
                <w:rFonts w:cs="Arial"/>
                <w:noProof/>
              </w:rPr>
              <w:t xml:space="preserve">. </w:t>
            </w:r>
          </w:p>
          <w:p w14:paraId="7E73ADC0"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t>Whether there has been an assessment under Section 303FO of the EPBC Act 1999 for White Teatfish and Black Teatfish.</w:t>
            </w:r>
          </w:p>
          <w:p w14:paraId="36DD9836"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t>Whether rising average sea temperatures and associated effects on spawning are considered in managing the fishery.</w:t>
            </w:r>
          </w:p>
          <w:p w14:paraId="6E251406" w14:textId="77777777" w:rsidR="00C03342" w:rsidRPr="000F2261"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t>Whether commercial fishers harvest White Teatfish in the third year of the Burrowing Blackfish harvest cycle.</w:t>
            </w:r>
          </w:p>
          <w:p w14:paraId="47EE3C56" w14:textId="1B8F12F4" w:rsidR="00C03342" w:rsidRPr="00C03342" w:rsidRDefault="00C03342" w:rsidP="00C03342">
            <w:pPr>
              <w:pStyle w:val="ListParagraph"/>
              <w:numPr>
                <w:ilvl w:val="0"/>
                <w:numId w:val="21"/>
              </w:numPr>
              <w:tabs>
                <w:tab w:val="left" w:pos="360"/>
              </w:tabs>
              <w:spacing w:before="0" w:line="276" w:lineRule="auto"/>
              <w:rPr>
                <w:rFonts w:cs="Arial"/>
                <w:noProof/>
              </w:rPr>
            </w:pPr>
            <w:r w:rsidRPr="000F2261">
              <w:rPr>
                <w:rFonts w:cs="Arial"/>
                <w:noProof/>
              </w:rPr>
              <w:t>The scientific basis for the minimum size for burrowing blackfish and apparent lack of regulated size limit for this species.</w:t>
            </w:r>
          </w:p>
          <w:p w14:paraId="79A48865" w14:textId="2607250E" w:rsidR="000900EC" w:rsidRPr="000C7574" w:rsidRDefault="00C452E0" w:rsidP="00C03342">
            <w:pPr>
              <w:spacing w:before="0" w:line="276" w:lineRule="auto"/>
              <w:contextualSpacing/>
              <w:rPr>
                <w:rFonts w:cs="Arial"/>
              </w:rPr>
            </w:pPr>
            <w:r w:rsidRPr="00AE5829">
              <w:rPr>
                <w:rFonts w:cs="Arial"/>
              </w:rPr>
              <w:t>Copies of the public submissions and QDAFs response to the issues raised in these submissions will be provided to the decision maker with this assessment report.</w:t>
            </w:r>
            <w:bookmarkEnd w:id="32"/>
          </w:p>
        </w:tc>
      </w:tr>
      <w:tr w:rsidR="000900EC" w:rsidRPr="00A94147" w14:paraId="41A22B75" w14:textId="77777777" w:rsidTr="000900EC">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D9D9D9" w:themeFill="background1" w:themeFillShade="D9"/>
          </w:tcPr>
          <w:p w14:paraId="10F45AF8" w14:textId="77777777" w:rsidR="000900EC" w:rsidRPr="000C7574" w:rsidRDefault="000900EC" w:rsidP="007F171B">
            <w:pPr>
              <w:spacing w:before="80" w:after="80" w:line="276" w:lineRule="auto"/>
              <w:ind w:left="426" w:hanging="426"/>
              <w:contextualSpacing/>
              <w:jc w:val="center"/>
              <w:rPr>
                <w:rFonts w:cs="Arial"/>
              </w:rPr>
            </w:pPr>
            <w:r w:rsidRPr="000C7574">
              <w:rPr>
                <w:rFonts w:cs="Arial"/>
                <w:b/>
              </w:rPr>
              <w:lastRenderedPageBreak/>
              <w:t>Section 303FN Approved wildlife trade operation</w:t>
            </w:r>
          </w:p>
        </w:tc>
        <w:tc>
          <w:tcPr>
            <w:tcW w:w="3515" w:type="pct"/>
            <w:shd w:val="clear" w:color="auto" w:fill="D9D9D9" w:themeFill="background1" w:themeFillShade="D9"/>
          </w:tcPr>
          <w:p w14:paraId="09529EC9" w14:textId="77777777" w:rsidR="000900EC" w:rsidRPr="000C7574" w:rsidRDefault="000900EC" w:rsidP="007F171B">
            <w:pPr>
              <w:spacing w:before="80" w:after="80" w:line="276" w:lineRule="auto"/>
              <w:contextualSpacing/>
              <w:jc w:val="center"/>
              <w:rPr>
                <w:rFonts w:cs="Arial"/>
                <w:b/>
              </w:rPr>
            </w:pPr>
            <w:r w:rsidRPr="000C7574">
              <w:rPr>
                <w:rFonts w:cs="Arial"/>
                <w:b/>
              </w:rPr>
              <w:t>Comment</w:t>
            </w:r>
          </w:p>
        </w:tc>
      </w:tr>
      <w:tr w:rsidR="008A0A53" w:rsidRPr="00A94147" w14:paraId="734E84DB" w14:textId="77777777" w:rsidTr="002B7265">
        <w:trPr>
          <w:cnfStyle w:val="000000010000" w:firstRow="0" w:lastRow="0" w:firstColumn="0" w:lastColumn="0" w:oddVBand="0" w:evenVBand="0" w:oddHBand="0" w:evenHBand="1" w:firstRowFirstColumn="0" w:firstRowLastColumn="0" w:lastRowFirstColumn="0" w:lastRowLastColumn="0"/>
          <w:trHeight w:val="5516"/>
        </w:trPr>
        <w:tc>
          <w:tcPr>
            <w:tcW w:w="1485" w:type="pct"/>
            <w:shd w:val="clear" w:color="auto" w:fill="92D050"/>
          </w:tcPr>
          <w:p w14:paraId="487221C6" w14:textId="77777777" w:rsidR="008A0A53" w:rsidRPr="00C452E0" w:rsidRDefault="008A0A53" w:rsidP="007F171B">
            <w:pPr>
              <w:pStyle w:val="ListNumber"/>
              <w:spacing w:before="80" w:after="80"/>
              <w:rPr>
                <w:sz w:val="22"/>
                <w:szCs w:val="22"/>
              </w:rPr>
            </w:pPr>
            <w:r w:rsidRPr="00C452E0">
              <w:rPr>
                <w:sz w:val="22"/>
                <w:szCs w:val="22"/>
              </w:rPr>
              <w:lastRenderedPageBreak/>
              <w:t>(3)</w:t>
            </w:r>
            <w:r w:rsidRPr="00C452E0">
              <w:rPr>
                <w:sz w:val="22"/>
                <w:szCs w:val="22"/>
              </w:rPr>
              <w:tab/>
              <w:t xml:space="preserve">The Minister must not declare an operation as an approved wildlife trade operation unless the Minister is </w:t>
            </w:r>
            <w:r w:rsidRPr="00C452E0">
              <w:rPr>
                <w:b/>
                <w:sz w:val="22"/>
                <w:szCs w:val="22"/>
              </w:rPr>
              <w:t>satisfied</w:t>
            </w:r>
            <w:r w:rsidRPr="00C452E0">
              <w:rPr>
                <w:sz w:val="22"/>
                <w:szCs w:val="22"/>
              </w:rPr>
              <w:t xml:space="preserve"> that:</w:t>
            </w:r>
          </w:p>
          <w:p w14:paraId="35B26A89" w14:textId="77777777" w:rsidR="008A0A53" w:rsidRPr="00C452E0" w:rsidRDefault="008A0A53" w:rsidP="007F171B">
            <w:pPr>
              <w:pStyle w:val="ListNumber2"/>
              <w:spacing w:before="80" w:after="80"/>
              <w:rPr>
                <w:sz w:val="22"/>
                <w:szCs w:val="22"/>
              </w:rPr>
            </w:pPr>
            <w:r w:rsidRPr="00C452E0">
              <w:rPr>
                <w:sz w:val="22"/>
                <w:szCs w:val="22"/>
              </w:rPr>
              <w:t>(a)</w:t>
            </w:r>
            <w:r w:rsidRPr="00C452E0">
              <w:rPr>
                <w:sz w:val="22"/>
                <w:szCs w:val="22"/>
              </w:rPr>
              <w:tab/>
              <w:t>the operation is consistent with the objects of Part 13A of the Act; and</w:t>
            </w:r>
          </w:p>
          <w:p w14:paraId="18ADC723" w14:textId="77777777" w:rsidR="008A0A53" w:rsidRPr="00C452E0" w:rsidRDefault="008A0A53" w:rsidP="007F171B">
            <w:pPr>
              <w:pStyle w:val="ListNumber2"/>
              <w:spacing w:before="80" w:after="80"/>
              <w:rPr>
                <w:sz w:val="22"/>
                <w:szCs w:val="22"/>
              </w:rPr>
            </w:pPr>
            <w:r w:rsidRPr="00C452E0">
              <w:rPr>
                <w:sz w:val="22"/>
                <w:szCs w:val="22"/>
              </w:rPr>
              <w:t>(b)</w:t>
            </w:r>
            <w:r w:rsidRPr="00C452E0">
              <w:rPr>
                <w:sz w:val="22"/>
                <w:szCs w:val="22"/>
              </w:rPr>
              <w:tab/>
              <w:t>the operation will not be detrimental to:</w:t>
            </w:r>
          </w:p>
          <w:p w14:paraId="5DBD5A7C" w14:textId="77777777" w:rsidR="008A0A53" w:rsidRPr="00C452E0" w:rsidRDefault="008A0A53" w:rsidP="007F171B">
            <w:pPr>
              <w:pStyle w:val="ListNumber3"/>
              <w:spacing w:before="80" w:after="80" w:line="276" w:lineRule="auto"/>
              <w:rPr>
                <w:sz w:val="22"/>
                <w:szCs w:val="22"/>
              </w:rPr>
            </w:pPr>
            <w:r w:rsidRPr="00C452E0">
              <w:rPr>
                <w:sz w:val="22"/>
                <w:szCs w:val="22"/>
              </w:rPr>
              <w:t>(</w:t>
            </w:r>
            <w:proofErr w:type="spellStart"/>
            <w:r w:rsidRPr="00C452E0">
              <w:rPr>
                <w:sz w:val="22"/>
                <w:szCs w:val="22"/>
              </w:rPr>
              <w:t>i</w:t>
            </w:r>
            <w:proofErr w:type="spellEnd"/>
            <w:r w:rsidRPr="00C452E0">
              <w:rPr>
                <w:sz w:val="22"/>
                <w:szCs w:val="22"/>
              </w:rPr>
              <w:t>)</w:t>
            </w:r>
            <w:r w:rsidRPr="00C452E0">
              <w:rPr>
                <w:sz w:val="22"/>
                <w:szCs w:val="22"/>
              </w:rPr>
              <w:tab/>
              <w:t>the survival of a taxon to which the operation relates; or</w:t>
            </w:r>
          </w:p>
          <w:p w14:paraId="44453FE8" w14:textId="77777777" w:rsidR="008A0A53" w:rsidRPr="00C452E0" w:rsidRDefault="008A0A53" w:rsidP="007F171B">
            <w:pPr>
              <w:pStyle w:val="ListNumber3"/>
              <w:spacing w:before="80" w:after="80" w:line="276" w:lineRule="auto"/>
              <w:rPr>
                <w:sz w:val="22"/>
                <w:szCs w:val="22"/>
              </w:rPr>
            </w:pPr>
            <w:r w:rsidRPr="00C452E0">
              <w:rPr>
                <w:sz w:val="22"/>
                <w:szCs w:val="22"/>
              </w:rPr>
              <w:t>(ii)</w:t>
            </w:r>
            <w:r w:rsidRPr="00C452E0">
              <w:rPr>
                <w:sz w:val="22"/>
                <w:szCs w:val="22"/>
              </w:rPr>
              <w:tab/>
              <w:t>the conservation status of a taxon to which the operation relates; and</w:t>
            </w:r>
          </w:p>
          <w:p w14:paraId="5D867834" w14:textId="2FB18099" w:rsidR="008A0A53" w:rsidRPr="00C452E0" w:rsidRDefault="008A0A53" w:rsidP="007F171B">
            <w:pPr>
              <w:pStyle w:val="ListNumber2"/>
              <w:spacing w:before="80" w:after="80"/>
              <w:rPr>
                <w:sz w:val="22"/>
                <w:szCs w:val="22"/>
              </w:rPr>
            </w:pPr>
            <w:r w:rsidRPr="00C452E0">
              <w:rPr>
                <w:sz w:val="22"/>
                <w:szCs w:val="22"/>
              </w:rPr>
              <w:t>(ba)</w:t>
            </w:r>
            <w:r w:rsidRPr="00C452E0">
              <w:rPr>
                <w:sz w:val="22"/>
                <w:szCs w:val="22"/>
              </w:rPr>
              <w:tab/>
              <w:t>the operation will not be likely to threaten any relevant ecosystem including (but not limited to) any habitat or biodiversity; and</w:t>
            </w:r>
          </w:p>
        </w:tc>
        <w:tc>
          <w:tcPr>
            <w:tcW w:w="3515" w:type="pct"/>
          </w:tcPr>
          <w:p w14:paraId="0ABE437A" w14:textId="77777777" w:rsidR="008A0A53" w:rsidRPr="00C452E0" w:rsidRDefault="008A0A53" w:rsidP="007F171B">
            <w:pPr>
              <w:spacing w:before="80" w:line="276" w:lineRule="auto"/>
              <w:contextualSpacing/>
              <w:rPr>
                <w:rFonts w:cs="Arial"/>
                <w:b/>
              </w:rPr>
            </w:pPr>
            <w:r w:rsidRPr="00C452E0">
              <w:rPr>
                <w:rFonts w:cs="Arial"/>
                <w:b/>
              </w:rPr>
              <w:t>Meets</w:t>
            </w:r>
          </w:p>
          <w:p w14:paraId="62DEDE15" w14:textId="2724F3C8" w:rsidR="008A0A53" w:rsidRPr="00C452E0" w:rsidRDefault="008A0A53" w:rsidP="007F171B">
            <w:pPr>
              <w:spacing w:before="80" w:line="276" w:lineRule="auto"/>
              <w:contextualSpacing/>
              <w:rPr>
                <w:rFonts w:cs="Arial"/>
                <w:sz w:val="20"/>
                <w:szCs w:val="20"/>
              </w:rPr>
            </w:pPr>
            <w:r w:rsidRPr="00C452E0">
              <w:rPr>
                <w:rFonts w:cs="Arial"/>
              </w:rPr>
              <w:t xml:space="preserve">The fishery is consistent with Objects of </w:t>
            </w:r>
            <w:r w:rsidR="00261C49">
              <w:rPr>
                <w:rFonts w:cs="Arial"/>
              </w:rPr>
              <w:t xml:space="preserve">Part </w:t>
            </w:r>
            <w:r w:rsidRPr="00C452E0">
              <w:rPr>
                <w:rFonts w:cs="Arial"/>
              </w:rPr>
              <w:t xml:space="preserve">13A </w:t>
            </w:r>
            <w:r w:rsidR="00261C49">
              <w:rPr>
                <w:rFonts w:cs="Arial"/>
              </w:rPr>
              <w:t xml:space="preserve">of the Act </w:t>
            </w:r>
            <w:r w:rsidRPr="00C452E0">
              <w:rPr>
                <w:rFonts w:cs="Arial"/>
              </w:rPr>
              <w:t>– see above assessment against the Guidelines.</w:t>
            </w:r>
          </w:p>
          <w:p w14:paraId="402F57F7" w14:textId="0480D2D4" w:rsidR="008A0A53" w:rsidRPr="00C452E0" w:rsidRDefault="008A0A53" w:rsidP="007F171B">
            <w:pPr>
              <w:spacing w:before="80" w:line="276" w:lineRule="auto"/>
              <w:contextualSpacing/>
              <w:rPr>
                <w:rFonts w:cs="Arial"/>
              </w:rPr>
            </w:pPr>
            <w:r w:rsidRPr="00C452E0">
              <w:rPr>
                <w:rFonts w:cs="Arial"/>
              </w:rPr>
              <w:t>Based on the outcomes of the Department’s assessment, as outlined in this report,</w:t>
            </w:r>
            <w:r w:rsidR="001E412F">
              <w:rPr>
                <w:rFonts w:cs="Arial"/>
              </w:rPr>
              <w:t xml:space="preserve"> and the conditions recommended in Section 2,</w:t>
            </w:r>
            <w:r w:rsidRPr="00C452E0">
              <w:rPr>
                <w:rFonts w:cs="Arial"/>
              </w:rPr>
              <w:t xml:space="preserve"> the fishery will not be detrimental to the survival or conservation status of a taxa </w:t>
            </w:r>
            <w:r w:rsidR="001E412F">
              <w:rPr>
                <w:rFonts w:cs="Arial"/>
              </w:rPr>
              <w:t xml:space="preserve">or relevant ecosystem </w:t>
            </w:r>
            <w:r w:rsidRPr="00C452E0">
              <w:rPr>
                <w:rFonts w:cs="Arial"/>
              </w:rPr>
              <w:t>to which it relates</w:t>
            </w:r>
            <w:r w:rsidR="001E412F">
              <w:rPr>
                <w:rFonts w:cs="Arial"/>
              </w:rPr>
              <w:t xml:space="preserve"> </w:t>
            </w:r>
            <w:r w:rsidRPr="000C7574">
              <w:rPr>
                <w:rFonts w:cs="Arial"/>
              </w:rPr>
              <w:t xml:space="preserve">within the next </w:t>
            </w:r>
            <w:r w:rsidR="00F428C1" w:rsidRPr="000C7574">
              <w:rPr>
                <w:rFonts w:cs="Arial"/>
              </w:rPr>
              <w:t>12 months</w:t>
            </w:r>
            <w:r w:rsidRPr="000C7574">
              <w:rPr>
                <w:rFonts w:cs="Arial"/>
              </w:rPr>
              <w:t>.</w:t>
            </w:r>
          </w:p>
        </w:tc>
      </w:tr>
      <w:tr w:rsidR="000900EC" w:rsidRPr="00A94147" w14:paraId="5C68A76F" w14:textId="77777777" w:rsidTr="000900EC">
        <w:trPr>
          <w:cnfStyle w:val="000000100000" w:firstRow="0" w:lastRow="0" w:firstColumn="0" w:lastColumn="0" w:oddVBand="0" w:evenVBand="0" w:oddHBand="1" w:evenHBand="0" w:firstRowFirstColumn="0" w:firstRowLastColumn="0" w:lastRowFirstColumn="0" w:lastRowLastColumn="0"/>
        </w:trPr>
        <w:tc>
          <w:tcPr>
            <w:tcW w:w="1485" w:type="pct"/>
          </w:tcPr>
          <w:p w14:paraId="528E7F66" w14:textId="77777777" w:rsidR="000900EC" w:rsidRPr="000C7574" w:rsidRDefault="000900EC" w:rsidP="007F171B">
            <w:pPr>
              <w:pStyle w:val="ListNumber2"/>
              <w:spacing w:before="80" w:after="80"/>
              <w:rPr>
                <w:sz w:val="22"/>
                <w:szCs w:val="22"/>
              </w:rPr>
            </w:pPr>
            <w:r w:rsidRPr="000C7574">
              <w:rPr>
                <w:sz w:val="22"/>
                <w:szCs w:val="22"/>
              </w:rPr>
              <w:t>(c)</w:t>
            </w:r>
            <w:r w:rsidRPr="000C7574">
              <w:rPr>
                <w:sz w:val="22"/>
                <w:szCs w:val="22"/>
              </w:rPr>
              <w:tab/>
              <w:t>if the operation relates to the taking of live specimens that belong to a taxon specified in the regulations – the conditions that, under the regulations, are applicable to the welfare of the specimens are likely to be complied with; and</w:t>
            </w:r>
          </w:p>
        </w:tc>
        <w:tc>
          <w:tcPr>
            <w:tcW w:w="3515" w:type="pct"/>
          </w:tcPr>
          <w:p w14:paraId="3FBA3BC7" w14:textId="77777777" w:rsidR="000900EC" w:rsidRPr="000C7574" w:rsidRDefault="000900EC" w:rsidP="007F171B">
            <w:pPr>
              <w:spacing w:before="80" w:after="80" w:line="276" w:lineRule="auto"/>
              <w:contextualSpacing/>
              <w:rPr>
                <w:rFonts w:cs="Arial"/>
                <w:b/>
              </w:rPr>
            </w:pPr>
            <w:r w:rsidRPr="000C7574">
              <w:rPr>
                <w:rFonts w:cs="Arial"/>
                <w:b/>
              </w:rPr>
              <w:t>Not applicable</w:t>
            </w:r>
          </w:p>
          <w:p w14:paraId="66942552" w14:textId="0945F084" w:rsidR="000900EC" w:rsidRPr="000C7574" w:rsidRDefault="000900EC" w:rsidP="007F171B">
            <w:pPr>
              <w:spacing w:before="80" w:after="80" w:line="276" w:lineRule="auto"/>
              <w:contextualSpacing/>
              <w:rPr>
                <w:rFonts w:cs="Arial"/>
              </w:rPr>
            </w:pPr>
            <w:r w:rsidRPr="000C7574">
              <w:rPr>
                <w:rFonts w:cs="Arial"/>
              </w:rPr>
              <w:t xml:space="preserve">The Environment Protection and Biodiversity Conservation Regulations 2000 (EPBC Regulations) do not specify </w:t>
            </w:r>
            <w:r w:rsidR="004F1DC7">
              <w:rPr>
                <w:rFonts w:cs="Arial"/>
              </w:rPr>
              <w:t>Echinoderms</w:t>
            </w:r>
            <w:r w:rsidRPr="000C7574">
              <w:rPr>
                <w:rFonts w:cs="Arial"/>
              </w:rPr>
              <w:t xml:space="preserve"> as a class of animal in relation to the welfare of live specimens.</w:t>
            </w:r>
          </w:p>
        </w:tc>
      </w:tr>
      <w:tr w:rsidR="000900EC" w:rsidRPr="00A94147" w14:paraId="21D596C2" w14:textId="77777777" w:rsidTr="000900EC">
        <w:trPr>
          <w:cnfStyle w:val="000000010000" w:firstRow="0" w:lastRow="0" w:firstColumn="0" w:lastColumn="0" w:oddVBand="0" w:evenVBand="0" w:oddHBand="0" w:evenHBand="1" w:firstRowFirstColumn="0" w:firstRowLastColumn="0" w:lastRowFirstColumn="0" w:lastRowLastColumn="0"/>
        </w:trPr>
        <w:tc>
          <w:tcPr>
            <w:tcW w:w="1485" w:type="pct"/>
          </w:tcPr>
          <w:p w14:paraId="35EC35B3" w14:textId="77777777" w:rsidR="000900EC" w:rsidRPr="000C7574" w:rsidRDefault="000900EC" w:rsidP="007F171B">
            <w:pPr>
              <w:pStyle w:val="ListNumber2"/>
              <w:spacing w:before="80" w:after="80"/>
              <w:rPr>
                <w:sz w:val="22"/>
                <w:szCs w:val="22"/>
              </w:rPr>
            </w:pPr>
            <w:r w:rsidRPr="000C7574">
              <w:rPr>
                <w:sz w:val="22"/>
                <w:szCs w:val="22"/>
              </w:rPr>
              <w:t>(d)</w:t>
            </w:r>
            <w:r w:rsidRPr="000C7574">
              <w:rPr>
                <w:sz w:val="22"/>
                <w:szCs w:val="22"/>
              </w:rPr>
              <w:tab/>
              <w:t>such other conditions (if any) as are specified in the regulations have been, or are likely to be, satisfied.</w:t>
            </w:r>
          </w:p>
        </w:tc>
        <w:tc>
          <w:tcPr>
            <w:tcW w:w="3515" w:type="pct"/>
          </w:tcPr>
          <w:p w14:paraId="41D4EED7" w14:textId="77777777" w:rsidR="000900EC" w:rsidRPr="000C7574" w:rsidRDefault="000900EC" w:rsidP="007F171B">
            <w:pPr>
              <w:spacing w:before="80" w:after="80" w:line="276" w:lineRule="auto"/>
              <w:contextualSpacing/>
              <w:rPr>
                <w:rFonts w:cs="Arial"/>
                <w:b/>
              </w:rPr>
            </w:pPr>
            <w:r w:rsidRPr="000C7574">
              <w:rPr>
                <w:rFonts w:cs="Arial"/>
                <w:b/>
              </w:rPr>
              <w:t xml:space="preserve">Not applicable </w:t>
            </w:r>
          </w:p>
          <w:p w14:paraId="20DB8DA4" w14:textId="77777777" w:rsidR="000900EC" w:rsidRPr="000C7574" w:rsidRDefault="000900EC" w:rsidP="007F171B">
            <w:pPr>
              <w:spacing w:before="80" w:after="80" w:line="276" w:lineRule="auto"/>
              <w:contextualSpacing/>
              <w:rPr>
                <w:rFonts w:cs="Arial"/>
              </w:rPr>
            </w:pPr>
            <w:r w:rsidRPr="000C7574">
              <w:rPr>
                <w:rFonts w:cs="Arial"/>
              </w:rPr>
              <w:t>No other conditions are specified in relation to commercial fisheries in the EPBC Regulations.</w:t>
            </w:r>
          </w:p>
        </w:tc>
      </w:tr>
      <w:tr w:rsidR="000900EC" w:rsidRPr="00A94147" w14:paraId="429AFA9E" w14:textId="77777777" w:rsidTr="00A5177C">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92D050"/>
          </w:tcPr>
          <w:p w14:paraId="1A056393" w14:textId="77777777" w:rsidR="000900EC" w:rsidRPr="000C7574" w:rsidRDefault="000900EC" w:rsidP="007F171B">
            <w:pPr>
              <w:pStyle w:val="ListNumber"/>
              <w:spacing w:before="80" w:after="80"/>
              <w:rPr>
                <w:sz w:val="22"/>
                <w:szCs w:val="22"/>
              </w:rPr>
            </w:pPr>
            <w:r w:rsidRPr="000C7574">
              <w:rPr>
                <w:sz w:val="22"/>
                <w:szCs w:val="22"/>
              </w:rPr>
              <w:t>(4)</w:t>
            </w:r>
            <w:r w:rsidRPr="000C7574">
              <w:rPr>
                <w:sz w:val="22"/>
                <w:szCs w:val="22"/>
              </w:rPr>
              <w:tab/>
              <w:t xml:space="preserve">In deciding whether to declare an operation as an approved wildlife </w:t>
            </w:r>
            <w:r w:rsidRPr="000C7574">
              <w:rPr>
                <w:sz w:val="22"/>
                <w:szCs w:val="22"/>
              </w:rPr>
              <w:lastRenderedPageBreak/>
              <w:t xml:space="preserve">trade operation the Minister must have </w:t>
            </w:r>
            <w:r w:rsidRPr="000C7574">
              <w:rPr>
                <w:b/>
                <w:sz w:val="22"/>
                <w:szCs w:val="22"/>
              </w:rPr>
              <w:t>regard</w:t>
            </w:r>
            <w:r w:rsidRPr="000C7574">
              <w:rPr>
                <w:sz w:val="22"/>
                <w:szCs w:val="22"/>
              </w:rPr>
              <w:t xml:space="preserve"> to:</w:t>
            </w:r>
          </w:p>
          <w:p w14:paraId="5BC9C2BC" w14:textId="77777777" w:rsidR="000900EC" w:rsidRPr="000C7574" w:rsidRDefault="000900EC" w:rsidP="007F171B">
            <w:pPr>
              <w:pStyle w:val="ListNumber2"/>
              <w:spacing w:before="80" w:after="80"/>
              <w:rPr>
                <w:sz w:val="22"/>
                <w:szCs w:val="22"/>
              </w:rPr>
            </w:pPr>
            <w:r w:rsidRPr="000C7574">
              <w:rPr>
                <w:sz w:val="22"/>
                <w:szCs w:val="22"/>
              </w:rPr>
              <w:t>(a)</w:t>
            </w:r>
            <w:r w:rsidRPr="000C7574">
              <w:rPr>
                <w:sz w:val="22"/>
                <w:szCs w:val="22"/>
              </w:rPr>
              <w:tab/>
              <w:t>the significance of the impact of the operation on an ecosystem (for example, an impact on habitat or biodiversity); and</w:t>
            </w:r>
          </w:p>
        </w:tc>
        <w:tc>
          <w:tcPr>
            <w:tcW w:w="3515" w:type="pct"/>
          </w:tcPr>
          <w:p w14:paraId="6640994F" w14:textId="77777777" w:rsidR="000900EC" w:rsidRPr="000C7574" w:rsidRDefault="000900EC" w:rsidP="007F171B">
            <w:pPr>
              <w:spacing w:before="80" w:after="80" w:line="276" w:lineRule="auto"/>
              <w:contextualSpacing/>
              <w:rPr>
                <w:rFonts w:cs="Arial"/>
                <w:b/>
              </w:rPr>
            </w:pPr>
            <w:r w:rsidRPr="000C7574">
              <w:rPr>
                <w:rFonts w:cs="Arial"/>
                <w:b/>
              </w:rPr>
              <w:lastRenderedPageBreak/>
              <w:t>Meets</w:t>
            </w:r>
          </w:p>
          <w:p w14:paraId="574664EF" w14:textId="44A973BD" w:rsidR="000900EC" w:rsidRPr="000C7574" w:rsidRDefault="000900EC" w:rsidP="007F171B">
            <w:pPr>
              <w:spacing w:before="80" w:after="80" w:line="276" w:lineRule="auto"/>
              <w:contextualSpacing/>
              <w:rPr>
                <w:rFonts w:cs="Arial"/>
              </w:rPr>
            </w:pPr>
            <w:r w:rsidRPr="000C7574">
              <w:rPr>
                <w:rFonts w:cs="Arial"/>
              </w:rPr>
              <w:lastRenderedPageBreak/>
              <w:t xml:space="preserve">The fishery will not have a significant impact on any relevant ecosystem </w:t>
            </w:r>
            <w:r w:rsidRPr="00AE5829">
              <w:rPr>
                <w:rFonts w:cs="Arial"/>
              </w:rPr>
              <w:t xml:space="preserve">within the next </w:t>
            </w:r>
            <w:r w:rsidR="00F428C1" w:rsidRPr="00AE5829">
              <w:rPr>
                <w:rFonts w:cs="Arial"/>
              </w:rPr>
              <w:t>12 months</w:t>
            </w:r>
            <w:r w:rsidRPr="000C7574">
              <w:rPr>
                <w:rFonts w:cs="Arial"/>
              </w:rPr>
              <w:t xml:space="preserve">, given the management measures currently in place and the conditions recommended in Section </w:t>
            </w:r>
            <w:r w:rsidR="00F428C1" w:rsidRPr="000C7574">
              <w:rPr>
                <w:rFonts w:cs="Arial"/>
              </w:rPr>
              <w:t>2</w:t>
            </w:r>
            <w:r w:rsidRPr="000C7574">
              <w:rPr>
                <w:rFonts w:cs="Arial"/>
              </w:rPr>
              <w:t xml:space="preserve"> of this assessment.</w:t>
            </w:r>
          </w:p>
        </w:tc>
      </w:tr>
      <w:tr w:rsidR="000900EC" w:rsidRPr="00A94147" w14:paraId="11A72F90" w14:textId="77777777" w:rsidTr="00A5177C">
        <w:trPr>
          <w:cnfStyle w:val="000000010000" w:firstRow="0" w:lastRow="0" w:firstColumn="0" w:lastColumn="0" w:oddVBand="0" w:evenVBand="0" w:oddHBand="0" w:evenHBand="1" w:firstRowFirstColumn="0" w:firstRowLastColumn="0" w:lastRowFirstColumn="0" w:lastRowLastColumn="0"/>
        </w:trPr>
        <w:tc>
          <w:tcPr>
            <w:tcW w:w="1485" w:type="pct"/>
            <w:shd w:val="clear" w:color="auto" w:fill="92D050"/>
          </w:tcPr>
          <w:p w14:paraId="4E8D586A" w14:textId="77777777" w:rsidR="000900EC" w:rsidRPr="000C7574" w:rsidRDefault="000900EC" w:rsidP="007F171B">
            <w:pPr>
              <w:pStyle w:val="ListNumber2"/>
              <w:spacing w:before="80" w:after="80"/>
              <w:rPr>
                <w:sz w:val="22"/>
                <w:szCs w:val="22"/>
              </w:rPr>
            </w:pPr>
            <w:r w:rsidRPr="000C7574">
              <w:rPr>
                <w:sz w:val="22"/>
                <w:szCs w:val="22"/>
              </w:rPr>
              <w:lastRenderedPageBreak/>
              <w:t>(b)</w:t>
            </w:r>
            <w:r w:rsidRPr="000C7574">
              <w:rPr>
                <w:sz w:val="22"/>
                <w:szCs w:val="22"/>
              </w:rPr>
              <w:tab/>
              <w:t>the effectiveness of the management arrangements for the operation (including monitoring procedures).</w:t>
            </w:r>
          </w:p>
        </w:tc>
        <w:tc>
          <w:tcPr>
            <w:tcW w:w="3515" w:type="pct"/>
          </w:tcPr>
          <w:p w14:paraId="1F85AC42" w14:textId="77777777" w:rsidR="000900EC" w:rsidRPr="000C7574" w:rsidRDefault="000900EC" w:rsidP="007F171B">
            <w:pPr>
              <w:spacing w:before="80" w:after="80" w:line="276" w:lineRule="auto"/>
              <w:contextualSpacing/>
              <w:rPr>
                <w:rFonts w:cs="Arial"/>
                <w:b/>
              </w:rPr>
            </w:pPr>
            <w:r w:rsidRPr="000C7574">
              <w:rPr>
                <w:rFonts w:cs="Arial"/>
                <w:b/>
              </w:rPr>
              <w:t>Meets</w:t>
            </w:r>
          </w:p>
          <w:p w14:paraId="662E19F8" w14:textId="0595B940" w:rsidR="000900EC" w:rsidRPr="000C7574" w:rsidRDefault="000900EC" w:rsidP="007F171B">
            <w:pPr>
              <w:spacing w:before="80" w:after="80" w:line="276" w:lineRule="auto"/>
              <w:contextualSpacing/>
              <w:rPr>
                <w:rFonts w:cs="Arial"/>
              </w:rPr>
            </w:pPr>
            <w:r w:rsidRPr="000C7574">
              <w:rPr>
                <w:rFonts w:cs="Arial"/>
              </w:rPr>
              <w:t xml:space="preserve">The management arrangements that will be employed for the </w:t>
            </w:r>
            <w:r w:rsidR="008A0A53" w:rsidRPr="000C7574">
              <w:rPr>
                <w:rFonts w:cs="Arial"/>
              </w:rPr>
              <w:t>fishery</w:t>
            </w:r>
            <w:r w:rsidRPr="000C7574">
              <w:rPr>
                <w:rFonts w:cs="Arial"/>
              </w:rPr>
              <w:t xml:space="preserve"> as outlined in the assessment against the Guidelines (above), are likely to be effective.</w:t>
            </w:r>
          </w:p>
        </w:tc>
      </w:tr>
      <w:tr w:rsidR="000900EC" w:rsidRPr="00A94147" w14:paraId="6C1DC049" w14:textId="77777777" w:rsidTr="00A5177C">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92D050"/>
          </w:tcPr>
          <w:p w14:paraId="55D87370" w14:textId="77777777" w:rsidR="000900EC" w:rsidRPr="000C7574" w:rsidRDefault="000900EC" w:rsidP="007F171B">
            <w:pPr>
              <w:pStyle w:val="ListNumber"/>
              <w:spacing w:before="80" w:after="80"/>
              <w:rPr>
                <w:sz w:val="22"/>
                <w:szCs w:val="22"/>
              </w:rPr>
            </w:pPr>
            <w:r w:rsidRPr="000C7574">
              <w:rPr>
                <w:sz w:val="22"/>
                <w:szCs w:val="22"/>
              </w:rPr>
              <w:t>(5)</w:t>
            </w:r>
            <w:r w:rsidRPr="000C7574">
              <w:rPr>
                <w:sz w:val="22"/>
                <w:szCs w:val="22"/>
              </w:rPr>
              <w:tab/>
              <w:t xml:space="preserve">In deciding whether to declare an operation as an approved wildlife trade operation the Minister must have </w:t>
            </w:r>
            <w:r w:rsidRPr="000C7574">
              <w:rPr>
                <w:b/>
                <w:sz w:val="22"/>
                <w:szCs w:val="22"/>
              </w:rPr>
              <w:t>regard</w:t>
            </w:r>
            <w:r w:rsidRPr="000C7574">
              <w:rPr>
                <w:sz w:val="22"/>
                <w:szCs w:val="22"/>
              </w:rPr>
              <w:t xml:space="preserve"> to:</w:t>
            </w:r>
          </w:p>
          <w:p w14:paraId="6BD17E81" w14:textId="77777777" w:rsidR="000900EC" w:rsidRPr="000C7574" w:rsidRDefault="000900EC" w:rsidP="007F171B">
            <w:pPr>
              <w:pStyle w:val="ListNumber2"/>
              <w:spacing w:before="80" w:after="80"/>
              <w:rPr>
                <w:sz w:val="22"/>
                <w:szCs w:val="22"/>
              </w:rPr>
            </w:pPr>
            <w:r w:rsidRPr="000C7574">
              <w:rPr>
                <w:sz w:val="22"/>
                <w:szCs w:val="22"/>
              </w:rPr>
              <w:t>(a)</w:t>
            </w:r>
            <w:r w:rsidRPr="000C7574">
              <w:rPr>
                <w:sz w:val="22"/>
                <w:szCs w:val="22"/>
              </w:rPr>
              <w:tab/>
              <w:t>whether legislation relating to the protection, conservation or management of the specimens to which the operation relates is in force in the State or Territory concerned; and</w:t>
            </w:r>
          </w:p>
          <w:p w14:paraId="5EEF0D81" w14:textId="77777777" w:rsidR="000900EC" w:rsidRPr="000C7574" w:rsidRDefault="000900EC" w:rsidP="007F171B">
            <w:pPr>
              <w:pStyle w:val="ListNumber2"/>
              <w:spacing w:before="80" w:after="80"/>
              <w:rPr>
                <w:sz w:val="22"/>
                <w:szCs w:val="22"/>
              </w:rPr>
            </w:pPr>
            <w:r w:rsidRPr="000C7574">
              <w:rPr>
                <w:sz w:val="22"/>
                <w:szCs w:val="22"/>
              </w:rPr>
              <w:t>(b)</w:t>
            </w:r>
            <w:r w:rsidRPr="000C7574">
              <w:rPr>
                <w:sz w:val="22"/>
                <w:szCs w:val="22"/>
              </w:rPr>
              <w:tab/>
              <w:t>whether the legislation applies throughout the State or Territory concerned; and</w:t>
            </w:r>
          </w:p>
          <w:p w14:paraId="13E5E469" w14:textId="77777777" w:rsidR="000900EC" w:rsidRPr="000C7574" w:rsidRDefault="000900EC" w:rsidP="007F171B">
            <w:pPr>
              <w:pStyle w:val="ListNumber2"/>
              <w:spacing w:before="80" w:after="80"/>
              <w:rPr>
                <w:sz w:val="22"/>
                <w:szCs w:val="22"/>
              </w:rPr>
            </w:pPr>
            <w:r w:rsidRPr="000C7574">
              <w:rPr>
                <w:sz w:val="22"/>
                <w:szCs w:val="22"/>
              </w:rPr>
              <w:t>(c)</w:t>
            </w:r>
            <w:r w:rsidRPr="000C7574">
              <w:rPr>
                <w:sz w:val="22"/>
                <w:szCs w:val="22"/>
              </w:rPr>
              <w:tab/>
              <w:t>whether, in the opinion of the Minister, the legislation is effective.</w:t>
            </w:r>
          </w:p>
        </w:tc>
        <w:tc>
          <w:tcPr>
            <w:tcW w:w="3515" w:type="pct"/>
          </w:tcPr>
          <w:p w14:paraId="75783BC0" w14:textId="77777777" w:rsidR="000900EC" w:rsidRPr="000C7574" w:rsidRDefault="000900EC" w:rsidP="007F171B">
            <w:pPr>
              <w:spacing w:before="80" w:after="80" w:line="276" w:lineRule="auto"/>
              <w:contextualSpacing/>
              <w:rPr>
                <w:rFonts w:cs="Arial"/>
                <w:b/>
              </w:rPr>
            </w:pPr>
            <w:r w:rsidRPr="000C7574">
              <w:rPr>
                <w:rFonts w:cs="Arial"/>
                <w:b/>
              </w:rPr>
              <w:t>Meets</w:t>
            </w:r>
          </w:p>
          <w:p w14:paraId="20992A04" w14:textId="09E4802D" w:rsidR="000900EC" w:rsidRPr="000C7574" w:rsidRDefault="000900EC" w:rsidP="007F171B">
            <w:pPr>
              <w:spacing w:before="80" w:after="80" w:line="276" w:lineRule="auto"/>
              <w:contextualSpacing/>
              <w:rPr>
                <w:rFonts w:cs="Arial"/>
              </w:rPr>
            </w:pPr>
            <w:r w:rsidRPr="000C7574">
              <w:rPr>
                <w:rFonts w:cs="Arial"/>
              </w:rPr>
              <w:t xml:space="preserve">Management arrangements for the fishery are defined in the Queensland </w:t>
            </w:r>
            <w:r w:rsidRPr="000C7574">
              <w:rPr>
                <w:rFonts w:cs="Arial"/>
                <w:i/>
              </w:rPr>
              <w:t>Fisheries Act 1994</w:t>
            </w:r>
            <w:r w:rsidRPr="000C7574">
              <w:rPr>
                <w:rFonts w:cs="Arial"/>
              </w:rPr>
              <w:t>, Fisheries (General) Regulation 2019, Fisheries (Commercial Fisheries) Regulation 2019</w:t>
            </w:r>
            <w:r w:rsidR="00503B72" w:rsidRPr="000C7574">
              <w:rPr>
                <w:rFonts w:cs="Arial"/>
              </w:rPr>
              <w:t xml:space="preserve"> and the</w:t>
            </w:r>
            <w:r w:rsidRPr="000C7574">
              <w:rPr>
                <w:rFonts w:cs="Arial"/>
              </w:rPr>
              <w:t xml:space="preserve"> Fisheries Declaration 2019. This legislation applies to all Queensland-managed waters.</w:t>
            </w:r>
          </w:p>
          <w:p w14:paraId="2EED9945" w14:textId="18B3B9B1" w:rsidR="000900EC" w:rsidRPr="000C7574" w:rsidRDefault="001D55C1" w:rsidP="007F171B">
            <w:pPr>
              <w:spacing w:before="80" w:after="80" w:line="276" w:lineRule="auto"/>
              <w:contextualSpacing/>
              <w:rPr>
                <w:rFonts w:cs="Arial"/>
              </w:rPr>
            </w:pPr>
            <w:r w:rsidRPr="000C7574">
              <w:rPr>
                <w:rFonts w:cs="Arial"/>
              </w:rPr>
              <w:t xml:space="preserve">Available information indicates </w:t>
            </w:r>
            <w:r w:rsidR="000900EC" w:rsidRPr="000C7574">
              <w:rPr>
                <w:rFonts w:cs="Arial"/>
              </w:rPr>
              <w:t>that the management arrangements are likely to be effective.</w:t>
            </w:r>
          </w:p>
        </w:tc>
      </w:tr>
      <w:tr w:rsidR="000900EC" w:rsidRPr="00A94147" w14:paraId="0B494302" w14:textId="77777777" w:rsidTr="00A5177C">
        <w:trPr>
          <w:cnfStyle w:val="000000010000" w:firstRow="0" w:lastRow="0" w:firstColumn="0" w:lastColumn="0" w:oddVBand="0" w:evenVBand="0" w:oddHBand="0" w:evenHBand="1" w:firstRowFirstColumn="0" w:firstRowLastColumn="0" w:lastRowFirstColumn="0" w:lastRowLastColumn="0"/>
        </w:trPr>
        <w:tc>
          <w:tcPr>
            <w:tcW w:w="1485" w:type="pct"/>
            <w:shd w:val="clear" w:color="auto" w:fill="92D050"/>
          </w:tcPr>
          <w:p w14:paraId="4C6690A7" w14:textId="77777777" w:rsidR="000900EC" w:rsidRPr="000C7574" w:rsidRDefault="000900EC" w:rsidP="007F171B">
            <w:pPr>
              <w:pStyle w:val="ListNumber"/>
              <w:spacing w:before="80" w:after="80"/>
              <w:rPr>
                <w:sz w:val="22"/>
                <w:szCs w:val="22"/>
              </w:rPr>
            </w:pPr>
            <w:r w:rsidRPr="000C7574">
              <w:rPr>
                <w:sz w:val="22"/>
                <w:szCs w:val="22"/>
              </w:rPr>
              <w:t>(10)</w:t>
            </w:r>
            <w:r w:rsidRPr="000C7574">
              <w:rPr>
                <w:sz w:val="22"/>
                <w:szCs w:val="22"/>
              </w:rPr>
              <w:tab/>
              <w:t>For the purposes of section 303FN, an operation is a wildlife trade operation if, an only if, the operation is an operation for the taking of specimens and:</w:t>
            </w:r>
          </w:p>
          <w:p w14:paraId="15C8324F" w14:textId="77777777" w:rsidR="000900EC" w:rsidRPr="000C7574" w:rsidRDefault="000900EC" w:rsidP="007F171B">
            <w:pPr>
              <w:pStyle w:val="ListNumber2"/>
              <w:spacing w:before="80" w:after="80"/>
              <w:rPr>
                <w:sz w:val="22"/>
                <w:szCs w:val="22"/>
              </w:rPr>
            </w:pPr>
            <w:r w:rsidRPr="000C7574">
              <w:rPr>
                <w:sz w:val="22"/>
                <w:szCs w:val="22"/>
              </w:rPr>
              <w:lastRenderedPageBreak/>
              <w:t>(a)</w:t>
            </w:r>
            <w:r w:rsidRPr="000C7574">
              <w:rPr>
                <w:sz w:val="22"/>
                <w:szCs w:val="22"/>
              </w:rPr>
              <w:tab/>
              <w:t>the operation is a commercial fishery.</w:t>
            </w:r>
          </w:p>
        </w:tc>
        <w:tc>
          <w:tcPr>
            <w:tcW w:w="3515" w:type="pct"/>
          </w:tcPr>
          <w:p w14:paraId="3C3EB9CC" w14:textId="77777777" w:rsidR="000900EC" w:rsidRPr="000C7574" w:rsidRDefault="000900EC" w:rsidP="007F171B">
            <w:pPr>
              <w:spacing w:before="80" w:after="80" w:line="276" w:lineRule="auto"/>
              <w:contextualSpacing/>
              <w:rPr>
                <w:rFonts w:cs="Arial"/>
                <w:b/>
              </w:rPr>
            </w:pPr>
            <w:r w:rsidRPr="000C7574">
              <w:rPr>
                <w:rFonts w:cs="Arial"/>
                <w:b/>
              </w:rPr>
              <w:lastRenderedPageBreak/>
              <w:t>Meets</w:t>
            </w:r>
          </w:p>
          <w:p w14:paraId="4D6A8A52" w14:textId="5AD6DC5A" w:rsidR="000900EC" w:rsidRPr="000C7574" w:rsidRDefault="000900EC" w:rsidP="007F171B">
            <w:pPr>
              <w:spacing w:before="80" w:after="80" w:line="276" w:lineRule="auto"/>
              <w:contextualSpacing/>
              <w:rPr>
                <w:rFonts w:cs="Arial"/>
              </w:rPr>
            </w:pPr>
            <w:r w:rsidRPr="000C7574">
              <w:rPr>
                <w:rFonts w:cs="Arial"/>
              </w:rPr>
              <w:t xml:space="preserve">The </w:t>
            </w:r>
            <w:r w:rsidR="000930C1" w:rsidRPr="000C7574">
              <w:rPr>
                <w:rFonts w:cs="Arial"/>
              </w:rPr>
              <w:t xml:space="preserve">Queensland </w:t>
            </w:r>
            <w:r w:rsidR="00BF3D43">
              <w:rPr>
                <w:rFonts w:cs="Arial"/>
              </w:rPr>
              <w:t>Sea Cucumber Fishery (East Coast)</w:t>
            </w:r>
            <w:r w:rsidR="008A0A53" w:rsidRPr="000C7574">
              <w:rPr>
                <w:rFonts w:cs="Arial"/>
              </w:rPr>
              <w:t xml:space="preserve"> </w:t>
            </w:r>
            <w:r w:rsidRPr="000C7574">
              <w:rPr>
                <w:rFonts w:cs="Arial"/>
              </w:rPr>
              <w:t xml:space="preserve">is a commercial fishery. </w:t>
            </w:r>
          </w:p>
        </w:tc>
      </w:tr>
      <w:tr w:rsidR="000900EC" w:rsidRPr="00A94147" w14:paraId="6DC68154" w14:textId="77777777" w:rsidTr="000900EC">
        <w:trPr>
          <w:cnfStyle w:val="000000100000" w:firstRow="0" w:lastRow="0" w:firstColumn="0" w:lastColumn="0" w:oddVBand="0" w:evenVBand="0" w:oddHBand="1" w:evenHBand="0" w:firstRowFirstColumn="0" w:firstRowLastColumn="0" w:lastRowFirstColumn="0" w:lastRowLastColumn="0"/>
        </w:trPr>
        <w:tc>
          <w:tcPr>
            <w:tcW w:w="1485" w:type="pct"/>
          </w:tcPr>
          <w:p w14:paraId="149C67B1" w14:textId="77777777" w:rsidR="000900EC" w:rsidRPr="000C7574" w:rsidRDefault="000900EC" w:rsidP="007F171B">
            <w:pPr>
              <w:pStyle w:val="ListNumber"/>
              <w:spacing w:before="80" w:after="80"/>
              <w:contextualSpacing w:val="0"/>
              <w:rPr>
                <w:sz w:val="22"/>
                <w:szCs w:val="22"/>
              </w:rPr>
            </w:pPr>
            <w:r w:rsidRPr="000C7574">
              <w:rPr>
                <w:sz w:val="22"/>
                <w:szCs w:val="22"/>
              </w:rPr>
              <w:t>(10A)</w:t>
            </w:r>
            <w:r w:rsidRPr="000C7574">
              <w:rPr>
                <w:sz w:val="22"/>
                <w:szCs w:val="22"/>
              </w:rPr>
              <w:tab/>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p w14:paraId="4F429B1C" w14:textId="77777777" w:rsidR="000900EC" w:rsidRPr="000C7574" w:rsidRDefault="000900EC" w:rsidP="007F171B">
            <w:pPr>
              <w:pStyle w:val="ListNumber"/>
              <w:spacing w:before="80" w:after="80"/>
              <w:contextualSpacing w:val="0"/>
              <w:rPr>
                <w:rFonts w:eastAsia="Calibri"/>
                <w:sz w:val="22"/>
                <w:szCs w:val="22"/>
                <w:lang w:eastAsia="en-US"/>
              </w:rPr>
            </w:pPr>
            <w:r w:rsidRPr="000C7574">
              <w:rPr>
                <w:sz w:val="22"/>
                <w:szCs w:val="22"/>
              </w:rPr>
              <w:t>(10B)</w:t>
            </w:r>
            <w:r w:rsidRPr="000C7574">
              <w:rPr>
                <w:sz w:val="22"/>
                <w:szCs w:val="22"/>
              </w:rPr>
              <w:tab/>
              <w:t xml:space="preserve">Subsection (10A) does not limit the matters that may be </w:t>
            </w:r>
            <w:proofErr w:type="gramStart"/>
            <w:r w:rsidRPr="000C7574">
              <w:rPr>
                <w:sz w:val="22"/>
                <w:szCs w:val="22"/>
              </w:rPr>
              <w:t>taken into account</w:t>
            </w:r>
            <w:proofErr w:type="gramEnd"/>
            <w:r w:rsidRPr="000C7574">
              <w:rPr>
                <w:sz w:val="22"/>
                <w:szCs w:val="22"/>
              </w:rPr>
              <w:t xml:space="preserve"> in deciding whether to declare that a fishery is an approved wildlife trade operation for the purposes of this section.</w:t>
            </w:r>
          </w:p>
        </w:tc>
        <w:tc>
          <w:tcPr>
            <w:tcW w:w="3515" w:type="pct"/>
          </w:tcPr>
          <w:p w14:paraId="494568A6" w14:textId="77777777" w:rsidR="000900EC" w:rsidRPr="000C7574" w:rsidRDefault="000900EC" w:rsidP="00915887">
            <w:pPr>
              <w:keepNext/>
              <w:spacing w:before="80" w:after="80" w:line="276" w:lineRule="auto"/>
              <w:contextualSpacing/>
              <w:rPr>
                <w:rFonts w:cs="Arial"/>
                <w:b/>
              </w:rPr>
            </w:pPr>
            <w:r w:rsidRPr="000C7574">
              <w:rPr>
                <w:rFonts w:cs="Arial"/>
                <w:b/>
              </w:rPr>
              <w:t>Not applicable</w:t>
            </w:r>
          </w:p>
          <w:p w14:paraId="06CC7C3A" w14:textId="77777777" w:rsidR="000900EC" w:rsidRPr="000C7574" w:rsidRDefault="000900EC" w:rsidP="007F171B">
            <w:pPr>
              <w:spacing w:before="80" w:after="80" w:line="276" w:lineRule="auto"/>
              <w:contextualSpacing/>
              <w:rPr>
                <w:rFonts w:cs="Arial"/>
                <w:b/>
              </w:rPr>
            </w:pPr>
            <w:r w:rsidRPr="000C7574">
              <w:rPr>
                <w:rFonts w:cs="Arial"/>
              </w:rPr>
              <w:t>There has been no request or agreement to assess the fishery under Part 10 Division 1, and the fishery is not managed by the Commonwealth, so Part 10 Division 2 does not apply.</w:t>
            </w:r>
          </w:p>
        </w:tc>
      </w:tr>
    </w:tbl>
    <w:p w14:paraId="2FC97017" w14:textId="77777777" w:rsidR="00915887" w:rsidRPr="000C7574" w:rsidRDefault="00915887">
      <w:r w:rsidRPr="000C7574">
        <w:br w:type="page"/>
      </w:r>
    </w:p>
    <w:tbl>
      <w:tblPr>
        <w:tblStyle w:val="TableGrid1"/>
        <w:tblW w:w="5000" w:type="pct"/>
        <w:tblLook w:val="04A0" w:firstRow="1" w:lastRow="0" w:firstColumn="1" w:lastColumn="0" w:noHBand="0" w:noVBand="1"/>
      </w:tblPr>
      <w:tblGrid>
        <w:gridCol w:w="4391"/>
        <w:gridCol w:w="10395"/>
      </w:tblGrid>
      <w:tr w:rsidR="000900EC" w:rsidRPr="00A94147" w14:paraId="32DDD325" w14:textId="77777777" w:rsidTr="00E21AE7">
        <w:trPr>
          <w:cnfStyle w:val="100000000000" w:firstRow="1" w:lastRow="0" w:firstColumn="0" w:lastColumn="0" w:oddVBand="0" w:evenVBand="0" w:oddHBand="0" w:evenHBand="0" w:firstRowFirstColumn="0" w:firstRowLastColumn="0" w:lastRowFirstColumn="0" w:lastRowLastColumn="0"/>
        </w:trPr>
        <w:tc>
          <w:tcPr>
            <w:tcW w:w="1485" w:type="pct"/>
            <w:shd w:val="clear" w:color="auto" w:fill="D9D9D9" w:themeFill="background1" w:themeFillShade="D9"/>
          </w:tcPr>
          <w:p w14:paraId="441E5588" w14:textId="1513B312" w:rsidR="000900EC" w:rsidRPr="000C7574" w:rsidRDefault="000900EC" w:rsidP="007F171B">
            <w:pPr>
              <w:spacing w:before="80" w:after="80" w:line="276" w:lineRule="auto"/>
              <w:ind w:left="539" w:hanging="539"/>
              <w:contextualSpacing/>
              <w:jc w:val="center"/>
              <w:rPr>
                <w:rFonts w:cs="Arial"/>
              </w:rPr>
            </w:pPr>
            <w:r w:rsidRPr="000C7574">
              <w:rPr>
                <w:rFonts w:cs="Arial"/>
                <w:b/>
              </w:rPr>
              <w:lastRenderedPageBreak/>
              <w:t xml:space="preserve">Section 303FR Public consultation </w:t>
            </w:r>
          </w:p>
        </w:tc>
        <w:tc>
          <w:tcPr>
            <w:tcW w:w="3515" w:type="pct"/>
            <w:shd w:val="clear" w:color="auto" w:fill="D9D9D9" w:themeFill="background1" w:themeFillShade="D9"/>
          </w:tcPr>
          <w:p w14:paraId="5AC42C21" w14:textId="77777777" w:rsidR="000900EC" w:rsidRPr="000C7574" w:rsidRDefault="000900EC" w:rsidP="00915887">
            <w:pPr>
              <w:keepNext/>
              <w:spacing w:before="80" w:after="80" w:line="276" w:lineRule="auto"/>
              <w:contextualSpacing/>
              <w:jc w:val="center"/>
              <w:rPr>
                <w:rFonts w:cs="Arial"/>
                <w:b/>
              </w:rPr>
            </w:pPr>
            <w:r w:rsidRPr="000C7574">
              <w:rPr>
                <w:rFonts w:cs="Arial"/>
                <w:b/>
              </w:rPr>
              <w:t>Comment</w:t>
            </w:r>
          </w:p>
        </w:tc>
      </w:tr>
      <w:tr w:rsidR="000900EC" w:rsidRPr="00A94147" w14:paraId="274F49E6" w14:textId="77777777" w:rsidTr="00C03342">
        <w:trPr>
          <w:cnfStyle w:val="000000100000" w:firstRow="0" w:lastRow="0" w:firstColumn="0" w:lastColumn="0" w:oddVBand="0" w:evenVBand="0" w:oddHBand="1" w:evenHBand="0" w:firstRowFirstColumn="0" w:firstRowLastColumn="0" w:lastRowFirstColumn="0" w:lastRowLastColumn="0"/>
          <w:trHeight w:val="4243"/>
        </w:trPr>
        <w:tc>
          <w:tcPr>
            <w:tcW w:w="1485" w:type="pct"/>
            <w:tcBorders>
              <w:bottom w:val="single" w:sz="4" w:space="0" w:color="auto"/>
            </w:tcBorders>
            <w:shd w:val="clear" w:color="auto" w:fill="92D050"/>
          </w:tcPr>
          <w:p w14:paraId="02F9EE2A" w14:textId="77777777" w:rsidR="000900EC" w:rsidRPr="000C7574" w:rsidRDefault="000900EC" w:rsidP="007F171B">
            <w:pPr>
              <w:pStyle w:val="ListNumber"/>
              <w:spacing w:before="80" w:after="80"/>
              <w:rPr>
                <w:sz w:val="22"/>
                <w:szCs w:val="22"/>
              </w:rPr>
            </w:pPr>
            <w:r w:rsidRPr="000C7574">
              <w:rPr>
                <w:sz w:val="22"/>
                <w:szCs w:val="22"/>
              </w:rPr>
              <w:t>(1)</w:t>
            </w:r>
            <w:r w:rsidRPr="000C7574">
              <w:rPr>
                <w:sz w:val="22"/>
                <w:szCs w:val="22"/>
              </w:rPr>
              <w:tab/>
              <w:t>Before making a declaration under section 303FN, the Minister must cause to be published on the Internet a notice:</w:t>
            </w:r>
          </w:p>
          <w:p w14:paraId="49326BD1" w14:textId="77777777" w:rsidR="000900EC" w:rsidRPr="000C7574" w:rsidRDefault="000900EC" w:rsidP="007F171B">
            <w:pPr>
              <w:pStyle w:val="ListNumber2"/>
              <w:spacing w:before="80" w:after="80"/>
              <w:rPr>
                <w:sz w:val="22"/>
                <w:szCs w:val="22"/>
              </w:rPr>
            </w:pPr>
            <w:r w:rsidRPr="000C7574">
              <w:rPr>
                <w:sz w:val="22"/>
                <w:szCs w:val="22"/>
              </w:rPr>
              <w:t>(a)</w:t>
            </w:r>
            <w:r w:rsidRPr="000C7574">
              <w:rPr>
                <w:sz w:val="22"/>
                <w:szCs w:val="22"/>
              </w:rPr>
              <w:tab/>
              <w:t>setting out the proposal to make the declaration; and</w:t>
            </w:r>
          </w:p>
          <w:p w14:paraId="2E5F115D" w14:textId="77777777" w:rsidR="000900EC" w:rsidRPr="000C7574" w:rsidRDefault="000900EC" w:rsidP="007F171B">
            <w:pPr>
              <w:pStyle w:val="ListNumber2"/>
              <w:spacing w:before="80" w:after="80"/>
              <w:rPr>
                <w:sz w:val="22"/>
                <w:szCs w:val="22"/>
              </w:rPr>
            </w:pPr>
            <w:r w:rsidRPr="000C7574">
              <w:rPr>
                <w:sz w:val="22"/>
                <w:szCs w:val="22"/>
              </w:rPr>
              <w:t>(b)</w:t>
            </w:r>
            <w:r w:rsidRPr="000C7574">
              <w:rPr>
                <w:sz w:val="22"/>
                <w:szCs w:val="22"/>
              </w:rPr>
              <w:tab/>
              <w:t>setting out sufficient information to enable persons and organisations to consider adequately the merits of the proposal; and</w:t>
            </w:r>
          </w:p>
          <w:p w14:paraId="1029DE80" w14:textId="77777777" w:rsidR="000900EC" w:rsidRPr="000C7574" w:rsidRDefault="000900EC" w:rsidP="007F171B">
            <w:pPr>
              <w:pStyle w:val="ListNumber2"/>
              <w:spacing w:before="80" w:after="80"/>
              <w:rPr>
                <w:sz w:val="22"/>
                <w:szCs w:val="22"/>
              </w:rPr>
            </w:pPr>
            <w:r w:rsidRPr="000C7574">
              <w:rPr>
                <w:sz w:val="22"/>
                <w:szCs w:val="22"/>
              </w:rPr>
              <w:t>(c)</w:t>
            </w:r>
            <w:r w:rsidRPr="000C7574">
              <w:rPr>
                <w:sz w:val="22"/>
                <w:szCs w:val="22"/>
              </w:rPr>
              <w:tab/>
              <w:t>inviting persons and organisations to give the Minister, within the period specified in the notice, written comments about the proposal.</w:t>
            </w:r>
          </w:p>
          <w:p w14:paraId="31499371" w14:textId="77777777" w:rsidR="000900EC" w:rsidRPr="000C7574" w:rsidRDefault="000900EC" w:rsidP="007F171B">
            <w:pPr>
              <w:pStyle w:val="ListNumber"/>
              <w:spacing w:before="80" w:after="80"/>
              <w:rPr>
                <w:sz w:val="22"/>
                <w:szCs w:val="22"/>
              </w:rPr>
            </w:pPr>
            <w:r w:rsidRPr="000C7574">
              <w:rPr>
                <w:sz w:val="22"/>
                <w:szCs w:val="22"/>
              </w:rPr>
              <w:t>(2)</w:t>
            </w:r>
            <w:r w:rsidRPr="000C7574">
              <w:rPr>
                <w:sz w:val="22"/>
                <w:szCs w:val="22"/>
              </w:rPr>
              <w:tab/>
              <w:t>A period specified in the notice must not be shorter than 20 business days after the date on which the notice was published on the Internet.</w:t>
            </w:r>
          </w:p>
          <w:p w14:paraId="6EAA1FB4" w14:textId="77777777" w:rsidR="000900EC" w:rsidRPr="000C7574" w:rsidRDefault="000900EC" w:rsidP="007F171B">
            <w:pPr>
              <w:pStyle w:val="ListNumber"/>
              <w:spacing w:before="80" w:after="80"/>
              <w:rPr>
                <w:sz w:val="22"/>
                <w:szCs w:val="22"/>
              </w:rPr>
            </w:pPr>
            <w:r w:rsidRPr="000C7574">
              <w:rPr>
                <w:sz w:val="22"/>
                <w:szCs w:val="22"/>
              </w:rPr>
              <w:t>(3)</w:t>
            </w:r>
            <w:r w:rsidRPr="000C7574">
              <w:rPr>
                <w:sz w:val="22"/>
                <w:szCs w:val="22"/>
              </w:rPr>
              <w:tab/>
              <w:t xml:space="preserve">In </w:t>
            </w:r>
            <w:proofErr w:type="gramStart"/>
            <w:r w:rsidRPr="000C7574">
              <w:rPr>
                <w:sz w:val="22"/>
                <w:szCs w:val="22"/>
              </w:rPr>
              <w:t>making a decision</w:t>
            </w:r>
            <w:proofErr w:type="gramEnd"/>
            <w:r w:rsidRPr="000C7574">
              <w:rPr>
                <w:sz w:val="22"/>
                <w:szCs w:val="22"/>
              </w:rPr>
              <w:t xml:space="preserve"> about whether to make a declaration under section 303FN, the Minister must consider any comments about the proposal to make the declaration that were given in response to the invitation in the notice.</w:t>
            </w:r>
          </w:p>
        </w:tc>
        <w:tc>
          <w:tcPr>
            <w:tcW w:w="3515" w:type="pct"/>
            <w:tcBorders>
              <w:bottom w:val="single" w:sz="4" w:space="0" w:color="auto"/>
            </w:tcBorders>
          </w:tcPr>
          <w:p w14:paraId="0F8F2B70" w14:textId="77777777" w:rsidR="000900EC" w:rsidRPr="000C7574" w:rsidRDefault="000900EC" w:rsidP="007F171B">
            <w:pPr>
              <w:spacing w:before="80" w:after="80" w:line="276" w:lineRule="auto"/>
              <w:contextualSpacing/>
              <w:rPr>
                <w:rFonts w:cs="Arial"/>
                <w:b/>
              </w:rPr>
            </w:pPr>
            <w:r w:rsidRPr="000C7574">
              <w:rPr>
                <w:rFonts w:cs="Arial"/>
                <w:b/>
              </w:rPr>
              <w:t>Meets</w:t>
            </w:r>
          </w:p>
          <w:p w14:paraId="25C1263F" w14:textId="0F7C0C36" w:rsidR="00C452E0" w:rsidRPr="000C7574" w:rsidRDefault="000900EC" w:rsidP="00C452E0">
            <w:pPr>
              <w:spacing w:before="80" w:after="80" w:line="276" w:lineRule="auto"/>
              <w:contextualSpacing/>
              <w:rPr>
                <w:rFonts w:cs="Arial"/>
              </w:rPr>
            </w:pPr>
            <w:r w:rsidRPr="000C7574">
              <w:rPr>
                <w:rFonts w:cs="Arial"/>
              </w:rPr>
              <w:t xml:space="preserve">A public notice which included QDAF’s application and set out the proposal to declare the </w:t>
            </w:r>
            <w:r w:rsidR="008A0A53" w:rsidRPr="000C7574">
              <w:rPr>
                <w:rFonts w:cs="Arial"/>
              </w:rPr>
              <w:t>fishery</w:t>
            </w:r>
            <w:r w:rsidRPr="000C7574">
              <w:rPr>
                <w:rFonts w:cs="Arial"/>
              </w:rPr>
              <w:t xml:space="preserve"> to be an approved wildlife trade operation was released for public comment from </w:t>
            </w:r>
            <w:r w:rsidR="008A0A53" w:rsidRPr="000C7574">
              <w:rPr>
                <w:rFonts w:cs="Arial"/>
              </w:rPr>
              <w:t>2</w:t>
            </w:r>
            <w:r w:rsidR="00F428C1" w:rsidRPr="000C7574">
              <w:rPr>
                <w:rFonts w:cs="Arial"/>
              </w:rPr>
              <w:t>2</w:t>
            </w:r>
            <w:r w:rsidR="008A0A53" w:rsidRPr="000C7574">
              <w:rPr>
                <w:rFonts w:cs="Arial"/>
              </w:rPr>
              <w:t xml:space="preserve"> July </w:t>
            </w:r>
            <w:r w:rsidRPr="000C7574">
              <w:rPr>
                <w:rFonts w:cs="Arial"/>
              </w:rPr>
              <w:t xml:space="preserve">to </w:t>
            </w:r>
            <w:r w:rsidR="008A0A53" w:rsidRPr="000C7574">
              <w:rPr>
                <w:rFonts w:cs="Arial"/>
              </w:rPr>
              <w:t>2</w:t>
            </w:r>
            <w:r w:rsidR="00F428C1" w:rsidRPr="000C7574">
              <w:rPr>
                <w:rFonts w:cs="Arial"/>
              </w:rPr>
              <w:t>1</w:t>
            </w:r>
            <w:r w:rsidRPr="000C7574">
              <w:rPr>
                <w:rFonts w:cs="Arial"/>
              </w:rPr>
              <w:t> </w:t>
            </w:r>
            <w:r w:rsidR="008A0A53" w:rsidRPr="000C7574">
              <w:rPr>
                <w:rFonts w:cs="Arial"/>
              </w:rPr>
              <w:t>August</w:t>
            </w:r>
            <w:r w:rsidRPr="000C7574">
              <w:rPr>
                <w:rFonts w:cs="Arial"/>
              </w:rPr>
              <w:t xml:space="preserve"> 2020, a total of </w:t>
            </w:r>
            <w:r w:rsidR="00C14FF6" w:rsidRPr="000C7574">
              <w:rPr>
                <w:rFonts w:cs="Arial"/>
              </w:rPr>
              <w:t>20</w:t>
            </w:r>
            <w:r w:rsidRPr="000C7574">
              <w:rPr>
                <w:rFonts w:cs="Arial"/>
              </w:rPr>
              <w:t xml:space="preserve"> business days (excluding all state, territory and national public holidays).</w:t>
            </w:r>
          </w:p>
          <w:p w14:paraId="7226D288" w14:textId="77777777" w:rsidR="00C452E0" w:rsidRPr="000C7574" w:rsidRDefault="00C452E0" w:rsidP="00C452E0">
            <w:pPr>
              <w:tabs>
                <w:tab w:val="left" w:pos="360"/>
              </w:tabs>
              <w:spacing w:before="0" w:line="276" w:lineRule="auto"/>
              <w:rPr>
                <w:rFonts w:cs="Arial"/>
              </w:rPr>
            </w:pPr>
            <w:r w:rsidRPr="000C7574">
              <w:rPr>
                <w:rFonts w:cs="Arial"/>
              </w:rPr>
              <w:t>Six public submissions were received which raised concerns regarding:</w:t>
            </w:r>
          </w:p>
          <w:p w14:paraId="331A179F" w14:textId="77777777" w:rsidR="00C03342" w:rsidRPr="000F2261" w:rsidRDefault="00C03342" w:rsidP="00C03342">
            <w:pPr>
              <w:pStyle w:val="ListParagraph"/>
              <w:numPr>
                <w:ilvl w:val="0"/>
                <w:numId w:val="31"/>
              </w:numPr>
              <w:tabs>
                <w:tab w:val="left" w:pos="360"/>
              </w:tabs>
              <w:spacing w:before="0" w:line="276" w:lineRule="auto"/>
              <w:ind w:left="714" w:hanging="357"/>
              <w:rPr>
                <w:rFonts w:cs="Arial"/>
                <w:noProof/>
              </w:rPr>
            </w:pPr>
            <w:r w:rsidRPr="000F2261">
              <w:rPr>
                <w:rFonts w:cs="Arial"/>
                <w:noProof/>
              </w:rPr>
              <w:t>Global declines of teatfish species and associated IUCN listings</w:t>
            </w:r>
            <w:r>
              <w:rPr>
                <w:rFonts w:cs="Arial"/>
                <w:noProof/>
              </w:rPr>
              <w:t xml:space="preserve"> which informed the CITES listing of the species</w:t>
            </w:r>
            <w:r w:rsidRPr="000F2261">
              <w:rPr>
                <w:rFonts w:cs="Arial"/>
                <w:noProof/>
              </w:rPr>
              <w:t>.</w:t>
            </w:r>
          </w:p>
          <w:p w14:paraId="0B08F606" w14:textId="77777777" w:rsidR="00C03342" w:rsidRPr="000F2261" w:rsidRDefault="00C03342" w:rsidP="00C03342">
            <w:pPr>
              <w:pStyle w:val="ListParagraph"/>
              <w:numPr>
                <w:ilvl w:val="0"/>
                <w:numId w:val="31"/>
              </w:numPr>
              <w:tabs>
                <w:tab w:val="left" w:pos="360"/>
              </w:tabs>
              <w:spacing w:before="0" w:line="276" w:lineRule="auto"/>
              <w:ind w:left="714" w:hanging="357"/>
              <w:rPr>
                <w:rFonts w:cs="Arial"/>
                <w:noProof/>
              </w:rPr>
            </w:pPr>
            <w:r w:rsidRPr="000F2261">
              <w:rPr>
                <w:rFonts w:cs="Arial"/>
                <w:noProof/>
              </w:rPr>
              <w:t xml:space="preserve">Biology and life-history traits </w:t>
            </w:r>
            <w:r>
              <w:rPr>
                <w:rFonts w:cs="Arial"/>
                <w:noProof/>
              </w:rPr>
              <w:t>of these species not being able to sustain commercial harvest</w:t>
            </w:r>
            <w:r w:rsidRPr="000F2261">
              <w:rPr>
                <w:rFonts w:cs="Arial"/>
                <w:noProof/>
              </w:rPr>
              <w:t>.</w:t>
            </w:r>
          </w:p>
          <w:p w14:paraId="71D2FB83" w14:textId="77777777" w:rsidR="00C03342" w:rsidRPr="000F2261" w:rsidRDefault="00C03342" w:rsidP="00C03342">
            <w:pPr>
              <w:pStyle w:val="ListParagraph"/>
              <w:numPr>
                <w:ilvl w:val="0"/>
                <w:numId w:val="31"/>
              </w:numPr>
              <w:tabs>
                <w:tab w:val="left" w:pos="360"/>
              </w:tabs>
              <w:spacing w:before="0" w:line="276" w:lineRule="auto"/>
              <w:ind w:left="714" w:hanging="357"/>
              <w:rPr>
                <w:rFonts w:cs="Arial"/>
                <w:noProof/>
              </w:rPr>
            </w:pPr>
            <w:r w:rsidRPr="000F2261">
              <w:rPr>
                <w:rFonts w:cs="Arial"/>
                <w:noProof/>
              </w:rPr>
              <w:t>Concerns regarding the survey design used to inform the reopening of fishing for Black Teatfish.</w:t>
            </w:r>
          </w:p>
          <w:p w14:paraId="4607C30B" w14:textId="77777777" w:rsidR="00C03342" w:rsidRPr="000F2261" w:rsidRDefault="00C03342" w:rsidP="00C03342">
            <w:pPr>
              <w:pStyle w:val="ListParagraph"/>
              <w:numPr>
                <w:ilvl w:val="0"/>
                <w:numId w:val="31"/>
              </w:numPr>
              <w:tabs>
                <w:tab w:val="left" w:pos="360"/>
              </w:tabs>
              <w:spacing w:before="0" w:line="276" w:lineRule="auto"/>
              <w:ind w:left="714" w:hanging="357"/>
              <w:rPr>
                <w:rFonts w:cs="Arial"/>
                <w:noProof/>
              </w:rPr>
            </w:pPr>
            <w:r w:rsidRPr="000F2261">
              <w:rPr>
                <w:rFonts w:cs="Arial"/>
                <w:noProof/>
              </w:rPr>
              <w:t>The lack of information collected on numbers of individual animals harvested</w:t>
            </w:r>
            <w:r>
              <w:rPr>
                <w:rFonts w:cs="Arial"/>
                <w:noProof/>
              </w:rPr>
              <w:t>.</w:t>
            </w:r>
          </w:p>
          <w:p w14:paraId="32D25530" w14:textId="77777777" w:rsidR="00C03342" w:rsidRPr="000F2261" w:rsidRDefault="00C03342" w:rsidP="00C03342">
            <w:pPr>
              <w:pStyle w:val="ListParagraph"/>
              <w:numPr>
                <w:ilvl w:val="0"/>
                <w:numId w:val="31"/>
              </w:numPr>
              <w:tabs>
                <w:tab w:val="left" w:pos="360"/>
              </w:tabs>
              <w:spacing w:before="0" w:line="276" w:lineRule="auto"/>
              <w:ind w:left="714" w:hanging="357"/>
              <w:rPr>
                <w:rFonts w:cs="Arial"/>
                <w:noProof/>
              </w:rPr>
            </w:pPr>
            <w:r>
              <w:rPr>
                <w:rFonts w:cs="Arial"/>
                <w:noProof/>
              </w:rPr>
              <w:t>A lack of c</w:t>
            </w:r>
            <w:r w:rsidRPr="000F2261">
              <w:rPr>
                <w:rFonts w:cs="Arial"/>
                <w:noProof/>
              </w:rPr>
              <w:t>onsultation undertaken with regard to re-opening of fishing for Black Teatfish.</w:t>
            </w:r>
          </w:p>
          <w:p w14:paraId="4A1AE442" w14:textId="77777777" w:rsidR="00C03342" w:rsidRPr="000F2261" w:rsidRDefault="00C03342" w:rsidP="00C03342">
            <w:pPr>
              <w:pStyle w:val="ListParagraph"/>
              <w:numPr>
                <w:ilvl w:val="0"/>
                <w:numId w:val="31"/>
              </w:numPr>
              <w:tabs>
                <w:tab w:val="left" w:pos="360"/>
              </w:tabs>
              <w:spacing w:before="0" w:line="276" w:lineRule="auto"/>
              <w:ind w:left="714" w:hanging="357"/>
              <w:rPr>
                <w:rFonts w:cs="Arial"/>
                <w:noProof/>
              </w:rPr>
            </w:pPr>
            <w:r>
              <w:rPr>
                <w:rFonts w:cs="Arial"/>
                <w:noProof/>
              </w:rPr>
              <w:t>Unclear s</w:t>
            </w:r>
            <w:r w:rsidRPr="000F2261">
              <w:rPr>
                <w:rFonts w:cs="Arial"/>
                <w:noProof/>
              </w:rPr>
              <w:t>patial management and the references to ‘zones’ in management arrangements.</w:t>
            </w:r>
          </w:p>
          <w:p w14:paraId="04B39F4E" w14:textId="77777777" w:rsidR="00C03342" w:rsidRPr="000F2261" w:rsidRDefault="00C03342" w:rsidP="00C03342">
            <w:pPr>
              <w:pStyle w:val="ListParagraph"/>
              <w:numPr>
                <w:ilvl w:val="0"/>
                <w:numId w:val="31"/>
              </w:numPr>
              <w:tabs>
                <w:tab w:val="left" w:pos="360"/>
              </w:tabs>
              <w:spacing w:before="0" w:line="276" w:lineRule="auto"/>
              <w:ind w:left="714" w:hanging="357"/>
              <w:rPr>
                <w:rFonts w:cs="Arial"/>
                <w:noProof/>
              </w:rPr>
            </w:pPr>
            <w:r w:rsidRPr="000F2261">
              <w:rPr>
                <w:rFonts w:cs="Arial"/>
                <w:noProof/>
              </w:rPr>
              <w:t>Logbook design and potential for fishers to report Black Teatfish as ‘other species’.</w:t>
            </w:r>
          </w:p>
          <w:p w14:paraId="79F33951" w14:textId="77777777" w:rsidR="00C03342" w:rsidRPr="000F2261" w:rsidRDefault="00C03342" w:rsidP="00C03342">
            <w:pPr>
              <w:pStyle w:val="ListParagraph"/>
              <w:numPr>
                <w:ilvl w:val="0"/>
                <w:numId w:val="31"/>
              </w:numPr>
              <w:tabs>
                <w:tab w:val="left" w:pos="360"/>
              </w:tabs>
              <w:spacing w:before="0" w:line="276" w:lineRule="auto"/>
              <w:ind w:left="714" w:hanging="357"/>
              <w:rPr>
                <w:rFonts w:cs="Arial"/>
                <w:noProof/>
              </w:rPr>
            </w:pPr>
            <w:r w:rsidRPr="000F2261">
              <w:rPr>
                <w:rFonts w:cs="Arial"/>
                <w:noProof/>
              </w:rPr>
              <w:t xml:space="preserve">Public availability of fishery </w:t>
            </w:r>
            <w:r>
              <w:rPr>
                <w:rFonts w:cs="Arial"/>
                <w:noProof/>
              </w:rPr>
              <w:t>information</w:t>
            </w:r>
            <w:r w:rsidRPr="000F2261">
              <w:rPr>
                <w:rFonts w:cs="Arial"/>
                <w:noProof/>
              </w:rPr>
              <w:t>.</w:t>
            </w:r>
          </w:p>
          <w:p w14:paraId="02EACB4B" w14:textId="77777777" w:rsidR="00C03342" w:rsidRPr="000F2261" w:rsidRDefault="00C03342" w:rsidP="00C03342">
            <w:pPr>
              <w:pStyle w:val="ListParagraph"/>
              <w:numPr>
                <w:ilvl w:val="0"/>
                <w:numId w:val="31"/>
              </w:numPr>
              <w:tabs>
                <w:tab w:val="left" w:pos="360"/>
              </w:tabs>
              <w:spacing w:before="0" w:line="276" w:lineRule="auto"/>
              <w:ind w:left="714" w:hanging="357"/>
              <w:rPr>
                <w:rFonts w:cs="Arial"/>
                <w:noProof/>
              </w:rPr>
            </w:pPr>
            <w:r w:rsidRPr="000F2261">
              <w:rPr>
                <w:rFonts w:cs="Arial"/>
                <w:noProof/>
              </w:rPr>
              <w:t>Recognition of Curryfish as a main target species and understanding of what species are caught and where.</w:t>
            </w:r>
          </w:p>
          <w:p w14:paraId="0485C142" w14:textId="77777777" w:rsidR="00C03342" w:rsidRPr="000F2261" w:rsidRDefault="00C03342" w:rsidP="00C03342">
            <w:pPr>
              <w:pStyle w:val="ListParagraph"/>
              <w:numPr>
                <w:ilvl w:val="0"/>
                <w:numId w:val="31"/>
              </w:numPr>
              <w:tabs>
                <w:tab w:val="left" w:pos="360"/>
              </w:tabs>
              <w:spacing w:before="0" w:line="276" w:lineRule="auto"/>
              <w:ind w:left="714" w:hanging="357"/>
              <w:rPr>
                <w:rFonts w:cs="Arial"/>
                <w:noProof/>
              </w:rPr>
            </w:pPr>
            <w:r w:rsidRPr="000F2261">
              <w:rPr>
                <w:rFonts w:cs="Arial"/>
                <w:noProof/>
              </w:rPr>
              <w:t>The IUCN status of Prickly Redfish and need for specific management attention.</w:t>
            </w:r>
          </w:p>
          <w:p w14:paraId="1A53BF9F" w14:textId="77777777" w:rsidR="00C03342" w:rsidRPr="000F2261" w:rsidRDefault="00C03342" w:rsidP="00C03342">
            <w:pPr>
              <w:pStyle w:val="ListParagraph"/>
              <w:numPr>
                <w:ilvl w:val="0"/>
                <w:numId w:val="31"/>
              </w:numPr>
              <w:tabs>
                <w:tab w:val="left" w:pos="360"/>
              </w:tabs>
              <w:spacing w:before="0" w:line="276" w:lineRule="auto"/>
              <w:ind w:left="714" w:hanging="357"/>
              <w:rPr>
                <w:rFonts w:cs="Arial"/>
                <w:noProof/>
              </w:rPr>
            </w:pPr>
            <w:r w:rsidRPr="000F2261">
              <w:rPr>
                <w:rFonts w:cs="Arial"/>
                <w:noProof/>
              </w:rPr>
              <w:t>The need for resource surveys for Burrowing Blackfish in the Burrowing Blackfish Zones.</w:t>
            </w:r>
          </w:p>
          <w:p w14:paraId="19EAFB8A" w14:textId="77777777" w:rsidR="00C03342" w:rsidRPr="000F2261" w:rsidRDefault="00C03342" w:rsidP="00C03342">
            <w:pPr>
              <w:pStyle w:val="ListParagraph"/>
              <w:numPr>
                <w:ilvl w:val="0"/>
                <w:numId w:val="31"/>
              </w:numPr>
              <w:tabs>
                <w:tab w:val="left" w:pos="360"/>
              </w:tabs>
              <w:spacing w:before="0" w:line="276" w:lineRule="auto"/>
              <w:ind w:left="714" w:hanging="357"/>
              <w:rPr>
                <w:rFonts w:cs="Arial"/>
                <w:noProof/>
              </w:rPr>
            </w:pPr>
            <w:r w:rsidRPr="000F2261">
              <w:rPr>
                <w:rFonts w:cs="Arial"/>
                <w:noProof/>
              </w:rPr>
              <w:t>The need for a harvest strategy for the fishery.</w:t>
            </w:r>
          </w:p>
          <w:p w14:paraId="66C09DFB" w14:textId="77777777" w:rsidR="00C03342" w:rsidRPr="000F2261" w:rsidRDefault="00C03342" w:rsidP="00C03342">
            <w:pPr>
              <w:pStyle w:val="ListParagraph"/>
              <w:numPr>
                <w:ilvl w:val="0"/>
                <w:numId w:val="31"/>
              </w:numPr>
              <w:tabs>
                <w:tab w:val="left" w:pos="360"/>
              </w:tabs>
              <w:spacing w:before="0" w:line="276" w:lineRule="auto"/>
              <w:ind w:left="714" w:hanging="357"/>
              <w:rPr>
                <w:rFonts w:cs="Arial"/>
                <w:noProof/>
              </w:rPr>
            </w:pPr>
            <w:r w:rsidRPr="000F2261">
              <w:rPr>
                <w:rFonts w:cs="Arial"/>
                <w:noProof/>
              </w:rPr>
              <w:t>The need for current stock assessments for the fishery.</w:t>
            </w:r>
          </w:p>
          <w:p w14:paraId="06799B43" w14:textId="77777777" w:rsidR="00C03342" w:rsidRPr="000F2261" w:rsidRDefault="00C03342" w:rsidP="00C03342">
            <w:pPr>
              <w:pStyle w:val="ListParagraph"/>
              <w:numPr>
                <w:ilvl w:val="0"/>
                <w:numId w:val="31"/>
              </w:numPr>
              <w:tabs>
                <w:tab w:val="left" w:pos="360"/>
              </w:tabs>
              <w:spacing w:before="0" w:line="276" w:lineRule="auto"/>
              <w:ind w:left="714" w:hanging="357"/>
              <w:rPr>
                <w:rFonts w:cs="Arial"/>
                <w:noProof/>
              </w:rPr>
            </w:pPr>
            <w:r w:rsidRPr="000F2261">
              <w:rPr>
                <w:rFonts w:cs="Arial"/>
                <w:noProof/>
              </w:rPr>
              <w:t>Prospecting arrangements for Burrowing Blackfish and Curryfish</w:t>
            </w:r>
            <w:r>
              <w:rPr>
                <w:rFonts w:cs="Arial"/>
                <w:noProof/>
              </w:rPr>
              <w:t>.</w:t>
            </w:r>
            <w:r w:rsidRPr="000F2261">
              <w:rPr>
                <w:rFonts w:cs="Arial"/>
                <w:noProof/>
              </w:rPr>
              <w:t xml:space="preserve">  </w:t>
            </w:r>
          </w:p>
          <w:p w14:paraId="024618E2" w14:textId="77777777" w:rsidR="00C03342" w:rsidRPr="000F2261" w:rsidRDefault="00C03342" w:rsidP="00C03342">
            <w:pPr>
              <w:pStyle w:val="ListParagraph"/>
              <w:numPr>
                <w:ilvl w:val="0"/>
                <w:numId w:val="32"/>
              </w:numPr>
              <w:tabs>
                <w:tab w:val="left" w:pos="360"/>
              </w:tabs>
              <w:spacing w:before="0" w:line="276" w:lineRule="auto"/>
              <w:ind w:left="714" w:hanging="357"/>
              <w:rPr>
                <w:rFonts w:cs="Arial"/>
                <w:noProof/>
              </w:rPr>
            </w:pPr>
            <w:r w:rsidRPr="000F2261">
              <w:rPr>
                <w:rFonts w:cs="Arial"/>
                <w:noProof/>
              </w:rPr>
              <w:t>The important role Sea Cucumbers play in ecosystem health</w:t>
            </w:r>
            <w:r>
              <w:rPr>
                <w:rFonts w:cs="Arial"/>
                <w:noProof/>
              </w:rPr>
              <w:t xml:space="preserve"> and the impacts that overfishing would have on reef health</w:t>
            </w:r>
            <w:r w:rsidRPr="000F2261">
              <w:rPr>
                <w:rFonts w:cs="Arial"/>
                <w:noProof/>
              </w:rPr>
              <w:t xml:space="preserve">. </w:t>
            </w:r>
          </w:p>
          <w:p w14:paraId="56354AC6" w14:textId="77777777" w:rsidR="00C03342" w:rsidRPr="000F2261" w:rsidRDefault="00C03342" w:rsidP="00C03342">
            <w:pPr>
              <w:pStyle w:val="ListParagraph"/>
              <w:numPr>
                <w:ilvl w:val="0"/>
                <w:numId w:val="32"/>
              </w:numPr>
              <w:tabs>
                <w:tab w:val="left" w:pos="360"/>
              </w:tabs>
              <w:spacing w:before="0" w:line="276" w:lineRule="auto"/>
              <w:ind w:left="714" w:hanging="357"/>
              <w:rPr>
                <w:rFonts w:cs="Arial"/>
                <w:noProof/>
              </w:rPr>
            </w:pPr>
            <w:r w:rsidRPr="000F2261">
              <w:rPr>
                <w:rFonts w:cs="Arial"/>
                <w:noProof/>
              </w:rPr>
              <w:lastRenderedPageBreak/>
              <w:t>Whether there has been an assessment under Section 303FO of the EPBC Act 1999 for White Teatfish and Black Teatfish.</w:t>
            </w:r>
          </w:p>
          <w:p w14:paraId="5582825F" w14:textId="77777777" w:rsidR="00C03342" w:rsidRPr="000F2261" w:rsidRDefault="00C03342" w:rsidP="00C03342">
            <w:pPr>
              <w:pStyle w:val="ListParagraph"/>
              <w:numPr>
                <w:ilvl w:val="0"/>
                <w:numId w:val="32"/>
              </w:numPr>
              <w:tabs>
                <w:tab w:val="left" w:pos="360"/>
              </w:tabs>
              <w:spacing w:before="0" w:line="276" w:lineRule="auto"/>
              <w:ind w:left="714" w:hanging="357"/>
              <w:rPr>
                <w:rFonts w:cs="Arial"/>
                <w:noProof/>
              </w:rPr>
            </w:pPr>
            <w:r w:rsidRPr="000F2261">
              <w:rPr>
                <w:rFonts w:cs="Arial"/>
                <w:noProof/>
              </w:rPr>
              <w:t>Whether rising average sea temperatures and associated effects on spawning are considered in managing the fishery.</w:t>
            </w:r>
          </w:p>
          <w:p w14:paraId="0AD04B56" w14:textId="77777777" w:rsidR="00C03342" w:rsidRPr="000F2261" w:rsidRDefault="00C03342" w:rsidP="00C03342">
            <w:pPr>
              <w:pStyle w:val="ListParagraph"/>
              <w:numPr>
                <w:ilvl w:val="0"/>
                <w:numId w:val="32"/>
              </w:numPr>
              <w:tabs>
                <w:tab w:val="left" w:pos="360"/>
              </w:tabs>
              <w:spacing w:before="0" w:line="276" w:lineRule="auto"/>
              <w:ind w:left="714" w:hanging="357"/>
              <w:rPr>
                <w:rFonts w:cs="Arial"/>
                <w:noProof/>
              </w:rPr>
            </w:pPr>
            <w:r w:rsidRPr="000F2261">
              <w:rPr>
                <w:rFonts w:cs="Arial"/>
                <w:noProof/>
              </w:rPr>
              <w:t>Whether commercial fishers harvest White Teatfish in the third year of the Burrowing Blackfish harvest cycle.</w:t>
            </w:r>
          </w:p>
          <w:p w14:paraId="73E6C707" w14:textId="77777777" w:rsidR="00C03342" w:rsidRDefault="00C03342" w:rsidP="00C03342">
            <w:pPr>
              <w:pStyle w:val="ListParagraph"/>
              <w:numPr>
                <w:ilvl w:val="0"/>
                <w:numId w:val="32"/>
              </w:numPr>
              <w:tabs>
                <w:tab w:val="left" w:pos="360"/>
              </w:tabs>
              <w:spacing w:before="0" w:line="276" w:lineRule="auto"/>
              <w:ind w:left="714" w:hanging="357"/>
              <w:rPr>
                <w:rFonts w:cs="Arial"/>
                <w:noProof/>
              </w:rPr>
            </w:pPr>
            <w:r w:rsidRPr="000F2261">
              <w:rPr>
                <w:rFonts w:cs="Arial"/>
                <w:noProof/>
              </w:rPr>
              <w:t>The scientific basis for the minimum size for burrowing blackfish and apparent lack of regulated size limit for this species.</w:t>
            </w:r>
          </w:p>
          <w:p w14:paraId="49003071" w14:textId="0B35483C" w:rsidR="000900EC" w:rsidRPr="000C7574" w:rsidRDefault="000900EC" w:rsidP="007F171B">
            <w:pPr>
              <w:spacing w:before="80" w:after="80" w:line="276" w:lineRule="auto"/>
              <w:contextualSpacing/>
              <w:rPr>
                <w:rFonts w:cs="Arial"/>
              </w:rPr>
            </w:pPr>
            <w:r w:rsidRPr="000C7574">
              <w:rPr>
                <w:rFonts w:cs="Arial"/>
              </w:rPr>
              <w:t>Copies of the public submissions and QDAFs response to the issues raised in these submissions will be provided to the decision maker with this assessment report.</w:t>
            </w:r>
            <w:r w:rsidR="001A79D0">
              <w:rPr>
                <w:rFonts w:cs="Arial"/>
              </w:rPr>
              <w:t xml:space="preserve"> </w:t>
            </w:r>
            <w:r w:rsidRPr="000C7574">
              <w:rPr>
                <w:rFonts w:cs="Arial"/>
              </w:rPr>
              <w:t>The public comments and QDAF’s response were considered in this assessment</w:t>
            </w:r>
            <w:r w:rsidR="00C452E0" w:rsidRPr="000C7574">
              <w:rPr>
                <w:rFonts w:cs="Arial"/>
              </w:rPr>
              <w:t>.</w:t>
            </w:r>
          </w:p>
        </w:tc>
      </w:tr>
    </w:tbl>
    <w:p w14:paraId="14E9DF07" w14:textId="4F4B2221" w:rsidR="009F053A" w:rsidRPr="000C7574" w:rsidRDefault="009F053A" w:rsidP="007F171B">
      <w:pPr>
        <w:pStyle w:val="Heading2"/>
        <w:spacing w:before="80" w:after="80" w:line="276" w:lineRule="auto"/>
        <w:rPr>
          <w:sz w:val="24"/>
          <w:szCs w:val="24"/>
        </w:rPr>
      </w:pPr>
      <w:bookmarkStart w:id="33" w:name="_Toc51057524"/>
      <w:r w:rsidRPr="000C7574">
        <w:rPr>
          <w:sz w:val="24"/>
          <w:szCs w:val="24"/>
        </w:rPr>
        <w:lastRenderedPageBreak/>
        <w:t>Part 16</w:t>
      </w:r>
      <w:r w:rsidR="007F1ABC" w:rsidRPr="000C7574">
        <w:rPr>
          <w:sz w:val="24"/>
          <w:szCs w:val="24"/>
        </w:rPr>
        <w:t xml:space="preserve"> </w:t>
      </w:r>
      <w:r w:rsidR="00F73C73" w:rsidRPr="000C7574">
        <w:rPr>
          <w:sz w:val="24"/>
          <w:szCs w:val="24"/>
        </w:rPr>
        <w:t>– Precautionary principle and other considerations in making decisions</w:t>
      </w:r>
      <w:bookmarkEnd w:id="33"/>
    </w:p>
    <w:tbl>
      <w:tblPr>
        <w:tblStyle w:val="TableGrid"/>
        <w:tblW w:w="5000" w:type="pct"/>
        <w:tblLook w:val="04A0" w:firstRow="1" w:lastRow="0" w:firstColumn="1" w:lastColumn="0" w:noHBand="0" w:noVBand="1"/>
      </w:tblPr>
      <w:tblGrid>
        <w:gridCol w:w="4391"/>
        <w:gridCol w:w="10395"/>
      </w:tblGrid>
      <w:tr w:rsidR="00227603" w:rsidRPr="00A94147" w14:paraId="3BE2E755" w14:textId="77777777" w:rsidTr="00813955">
        <w:trPr>
          <w:cnfStyle w:val="100000000000" w:firstRow="1" w:lastRow="0" w:firstColumn="0" w:lastColumn="0" w:oddVBand="0" w:evenVBand="0" w:oddHBand="0" w:evenHBand="0" w:firstRowFirstColumn="0" w:firstRowLastColumn="0" w:lastRowFirstColumn="0" w:lastRowLastColumn="0"/>
        </w:trPr>
        <w:tc>
          <w:tcPr>
            <w:tcW w:w="1485" w:type="pct"/>
            <w:shd w:val="clear" w:color="auto" w:fill="D9D9D9" w:themeFill="background1" w:themeFillShade="D9"/>
            <w:vAlign w:val="center"/>
          </w:tcPr>
          <w:p w14:paraId="6B1DC830" w14:textId="7492A6B0" w:rsidR="00227603" w:rsidRPr="000C7574" w:rsidRDefault="00227603" w:rsidP="007F171B">
            <w:pPr>
              <w:spacing w:before="80" w:after="80" w:line="276" w:lineRule="auto"/>
              <w:ind w:left="426" w:hanging="426"/>
              <w:contextualSpacing/>
              <w:jc w:val="center"/>
              <w:rPr>
                <w:rFonts w:cs="Arial"/>
                <w:b/>
              </w:rPr>
            </w:pPr>
            <w:r w:rsidRPr="000C7574">
              <w:rPr>
                <w:rFonts w:cs="Arial"/>
                <w:b/>
              </w:rPr>
              <w:t>Section 391 Minister must consider precautionary principle in making decisions</w:t>
            </w:r>
          </w:p>
        </w:tc>
        <w:tc>
          <w:tcPr>
            <w:tcW w:w="3515" w:type="pct"/>
            <w:shd w:val="clear" w:color="auto" w:fill="D9D9D9" w:themeFill="background1" w:themeFillShade="D9"/>
            <w:vAlign w:val="center"/>
          </w:tcPr>
          <w:p w14:paraId="7095BF90" w14:textId="77777777" w:rsidR="00227603" w:rsidRPr="000C7574" w:rsidRDefault="00227603" w:rsidP="007F171B">
            <w:pPr>
              <w:spacing w:before="80" w:after="80" w:line="276" w:lineRule="auto"/>
              <w:contextualSpacing/>
              <w:jc w:val="center"/>
              <w:rPr>
                <w:rFonts w:cs="Arial"/>
                <w:b/>
              </w:rPr>
            </w:pPr>
            <w:r w:rsidRPr="000C7574">
              <w:rPr>
                <w:rFonts w:cs="Arial"/>
                <w:b/>
              </w:rPr>
              <w:t>Comment</w:t>
            </w:r>
          </w:p>
        </w:tc>
      </w:tr>
      <w:tr w:rsidR="00227603" w:rsidRPr="00A94147" w14:paraId="2C506DC9" w14:textId="77777777" w:rsidTr="008903BD">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92D050"/>
          </w:tcPr>
          <w:p w14:paraId="3CA4F7CF" w14:textId="1AD57C1B" w:rsidR="00287189" w:rsidRPr="000C7574" w:rsidRDefault="00A961C6" w:rsidP="007F171B">
            <w:pPr>
              <w:pStyle w:val="ListNumber"/>
              <w:spacing w:before="80" w:after="80"/>
              <w:rPr>
                <w:sz w:val="22"/>
                <w:szCs w:val="22"/>
              </w:rPr>
            </w:pPr>
            <w:r w:rsidRPr="000C7574">
              <w:rPr>
                <w:sz w:val="22"/>
                <w:szCs w:val="22"/>
              </w:rPr>
              <w:t>(1)</w:t>
            </w:r>
            <w:r w:rsidRPr="000C7574">
              <w:rPr>
                <w:sz w:val="22"/>
                <w:szCs w:val="22"/>
              </w:rPr>
              <w:tab/>
            </w:r>
            <w:r w:rsidR="00227603" w:rsidRPr="000C7574">
              <w:rPr>
                <w:sz w:val="22"/>
                <w:szCs w:val="22"/>
              </w:rPr>
              <w:t xml:space="preserve">Minister must take account of </w:t>
            </w:r>
            <w:r w:rsidR="00403196" w:rsidRPr="000C7574">
              <w:rPr>
                <w:sz w:val="22"/>
                <w:szCs w:val="22"/>
              </w:rPr>
              <w:t xml:space="preserve">the </w:t>
            </w:r>
            <w:r w:rsidR="00227603" w:rsidRPr="000C7574">
              <w:rPr>
                <w:sz w:val="22"/>
                <w:szCs w:val="22"/>
              </w:rPr>
              <w:t>precautionary principle</w:t>
            </w:r>
            <w:r w:rsidR="00403196" w:rsidRPr="000C7574">
              <w:rPr>
                <w:sz w:val="22"/>
                <w:szCs w:val="22"/>
              </w:rPr>
              <w:t xml:space="preserve"> in </w:t>
            </w:r>
            <w:proofErr w:type="gramStart"/>
            <w:r w:rsidR="00403196" w:rsidRPr="000C7574">
              <w:rPr>
                <w:sz w:val="22"/>
                <w:szCs w:val="22"/>
              </w:rPr>
              <w:t>making a decision</w:t>
            </w:r>
            <w:proofErr w:type="gramEnd"/>
            <w:r w:rsidR="00403196" w:rsidRPr="000C7574">
              <w:rPr>
                <w:sz w:val="22"/>
                <w:szCs w:val="22"/>
              </w:rPr>
              <w:t>, to the extent that the decision is consistent with other provisions under this Act</w:t>
            </w:r>
            <w:r w:rsidR="00287189" w:rsidRPr="000C7574">
              <w:rPr>
                <w:sz w:val="22"/>
                <w:szCs w:val="22"/>
              </w:rPr>
              <w:t>.</w:t>
            </w:r>
          </w:p>
          <w:p w14:paraId="2AA9EF46" w14:textId="7F5E3278" w:rsidR="00111796" w:rsidRPr="000C7574" w:rsidRDefault="00287189" w:rsidP="007F171B">
            <w:pPr>
              <w:pStyle w:val="ListNumber"/>
              <w:spacing w:before="80" w:after="80"/>
              <w:rPr>
                <w:sz w:val="22"/>
                <w:szCs w:val="22"/>
              </w:rPr>
            </w:pPr>
            <w:r w:rsidRPr="000C7574">
              <w:rPr>
                <w:sz w:val="22"/>
                <w:szCs w:val="22"/>
              </w:rPr>
              <w:t>(2)</w:t>
            </w:r>
            <w:r w:rsidR="00A961C6" w:rsidRPr="000C7574">
              <w:rPr>
                <w:sz w:val="22"/>
                <w:szCs w:val="22"/>
              </w:rPr>
              <w:tab/>
            </w:r>
            <w:r w:rsidRPr="000C7574">
              <w:rPr>
                <w:sz w:val="22"/>
                <w:szCs w:val="22"/>
              </w:rPr>
              <w:t>The precautionary principle is that lack of full scientific certainty should not be used as a reason for postponing a measure to prevent degradation of the environment where there are threats of serious or irreversible environmental damage.</w:t>
            </w:r>
          </w:p>
        </w:tc>
        <w:tc>
          <w:tcPr>
            <w:tcW w:w="3515" w:type="pct"/>
            <w:shd w:val="clear" w:color="auto" w:fill="auto"/>
          </w:tcPr>
          <w:p w14:paraId="3521BE90" w14:textId="206D27C6" w:rsidR="001C70CA" w:rsidRPr="000C7574" w:rsidRDefault="00D33152" w:rsidP="007F171B">
            <w:pPr>
              <w:spacing w:before="80" w:after="80" w:line="276" w:lineRule="auto"/>
              <w:contextualSpacing/>
              <w:rPr>
                <w:rFonts w:cs="Arial"/>
                <w:b/>
              </w:rPr>
            </w:pPr>
            <w:r w:rsidRPr="000C7574">
              <w:rPr>
                <w:rFonts w:cs="Arial"/>
                <w:b/>
              </w:rPr>
              <w:t>Meets</w:t>
            </w:r>
          </w:p>
          <w:p w14:paraId="4F4D584D" w14:textId="77777777" w:rsidR="00567ECF" w:rsidRDefault="00F35246" w:rsidP="007F171B">
            <w:pPr>
              <w:spacing w:before="80" w:after="80" w:line="276" w:lineRule="auto"/>
              <w:contextualSpacing/>
              <w:rPr>
                <w:rFonts w:cs="Arial"/>
              </w:rPr>
            </w:pPr>
            <w:r w:rsidRPr="000C7574">
              <w:rPr>
                <w:rFonts w:cs="Arial"/>
              </w:rPr>
              <w:t xml:space="preserve">A </w:t>
            </w:r>
            <w:hyperlink r:id="rId65" w:history="1">
              <w:r w:rsidR="00B1657D" w:rsidRPr="00F952C7">
                <w:rPr>
                  <w:rStyle w:val="Hyperlink"/>
                  <w:rFonts w:cs="Arial"/>
                </w:rPr>
                <w:t>Management Strategy Evaluation</w:t>
              </w:r>
            </w:hyperlink>
            <w:r>
              <w:rPr>
                <w:rFonts w:cs="Arial"/>
              </w:rPr>
              <w:t xml:space="preserve"> </w:t>
            </w:r>
            <w:r w:rsidR="00567ECF">
              <w:rPr>
                <w:rFonts w:cs="Arial"/>
              </w:rPr>
              <w:t>has been</w:t>
            </w:r>
            <w:r>
              <w:rPr>
                <w:rFonts w:cs="Arial"/>
              </w:rPr>
              <w:t xml:space="preserve"> undertaken by the </w:t>
            </w:r>
            <w:r w:rsidR="00CD2221">
              <w:rPr>
                <w:rFonts w:cs="Arial"/>
              </w:rPr>
              <w:t>FRDC and CSIRO</w:t>
            </w:r>
            <w:r w:rsidR="00CD2221" w:rsidRPr="000C7574">
              <w:rPr>
                <w:rFonts w:cs="Arial"/>
              </w:rPr>
              <w:t xml:space="preserve"> </w:t>
            </w:r>
            <w:r w:rsidRPr="000C7574">
              <w:rPr>
                <w:rFonts w:cs="Arial"/>
              </w:rPr>
              <w:t xml:space="preserve">on the rotational harvest arrangements </w:t>
            </w:r>
            <w:r w:rsidR="00567ECF">
              <w:rPr>
                <w:rFonts w:cs="Arial"/>
              </w:rPr>
              <w:t>for the fishery (</w:t>
            </w:r>
            <w:r w:rsidRPr="000C7574">
              <w:rPr>
                <w:rFonts w:cs="Arial"/>
              </w:rPr>
              <w:t>contained in the memorandum of understanding</w:t>
            </w:r>
            <w:r w:rsidDel="002138F4">
              <w:rPr>
                <w:rFonts w:cs="Arial"/>
              </w:rPr>
              <w:t xml:space="preserve"> between the Queensland Sea Cucumber </w:t>
            </w:r>
            <w:r w:rsidR="00567ECF">
              <w:rPr>
                <w:rFonts w:cs="Arial"/>
              </w:rPr>
              <w:t>Fishery</w:t>
            </w:r>
            <w:r w:rsidDel="002138F4">
              <w:rPr>
                <w:rFonts w:cs="Arial"/>
              </w:rPr>
              <w:t xml:space="preserve"> Association and QDAF</w:t>
            </w:r>
            <w:r w:rsidR="00567ECF">
              <w:rPr>
                <w:rFonts w:cs="Arial"/>
              </w:rPr>
              <w:t>)</w:t>
            </w:r>
            <w:r w:rsidR="00567ECF" w:rsidRPr="000C7574">
              <w:rPr>
                <w:rFonts w:cs="Arial"/>
              </w:rPr>
              <w:t>.</w:t>
            </w:r>
            <w:r w:rsidRPr="000C7574">
              <w:rPr>
                <w:rFonts w:cs="Arial"/>
              </w:rPr>
              <w:t xml:space="preserve"> This evaluation </w:t>
            </w:r>
            <w:r w:rsidR="00CD2221" w:rsidRPr="000C7574">
              <w:rPr>
                <w:rFonts w:cs="Arial"/>
              </w:rPr>
              <w:t>found the arrangements were likely to be sufficient, but that better information was required to more effectively manage risks to target species</w:t>
            </w:r>
            <w:r w:rsidR="00B504C0" w:rsidRPr="000C7574">
              <w:rPr>
                <w:rFonts w:cs="Arial"/>
              </w:rPr>
              <w:t xml:space="preserve"> (</w:t>
            </w:r>
            <w:hyperlink r:id="rId66" w:history="1">
              <w:r w:rsidR="00B504C0" w:rsidRPr="000C7574">
                <w:rPr>
                  <w:rStyle w:val="Hyperlink"/>
                  <w:rFonts w:cs="Arial"/>
                </w:rPr>
                <w:t>Skewes et al. 2014</w:t>
              </w:r>
            </w:hyperlink>
            <w:r w:rsidR="00B504C0" w:rsidRPr="000C7574">
              <w:rPr>
                <w:rFonts w:cs="Arial"/>
              </w:rPr>
              <w:t>)</w:t>
            </w:r>
            <w:r w:rsidR="00CD2221" w:rsidRPr="000C7574">
              <w:rPr>
                <w:rFonts w:cs="Arial"/>
              </w:rPr>
              <w:t>.</w:t>
            </w:r>
          </w:p>
          <w:p w14:paraId="544D15F6" w14:textId="20D56057" w:rsidR="00227603" w:rsidRPr="000C7574" w:rsidRDefault="00082605" w:rsidP="007F171B">
            <w:pPr>
              <w:spacing w:before="80" w:after="80" w:line="276" w:lineRule="auto"/>
              <w:contextualSpacing/>
              <w:rPr>
                <w:rFonts w:cs="Arial"/>
              </w:rPr>
            </w:pPr>
            <w:r w:rsidRPr="000C7574">
              <w:rPr>
                <w:rFonts w:cs="Arial"/>
              </w:rPr>
              <w:t xml:space="preserve">The </w:t>
            </w:r>
            <w:r w:rsidR="00567ECF">
              <w:rPr>
                <w:rFonts w:cs="Arial"/>
              </w:rPr>
              <w:t xml:space="preserve">Department’s </w:t>
            </w:r>
            <w:r w:rsidRPr="000C7574">
              <w:rPr>
                <w:rFonts w:cs="Arial"/>
              </w:rPr>
              <w:t xml:space="preserve">assessment has </w:t>
            </w:r>
            <w:r w:rsidR="00567ECF">
              <w:rPr>
                <w:rFonts w:cs="Arial"/>
              </w:rPr>
              <w:t xml:space="preserve">also </w:t>
            </w:r>
            <w:r w:rsidRPr="000C7574">
              <w:rPr>
                <w:rFonts w:cs="Arial"/>
              </w:rPr>
              <w:t xml:space="preserve">identified </w:t>
            </w:r>
            <w:r w:rsidR="00AB46E2" w:rsidRPr="000C7574">
              <w:rPr>
                <w:rFonts w:cs="Arial"/>
              </w:rPr>
              <w:t xml:space="preserve">certain </w:t>
            </w:r>
            <w:r w:rsidRPr="000C7574">
              <w:rPr>
                <w:rFonts w:cs="Arial"/>
              </w:rPr>
              <w:t>issues that require attention by QDAF</w:t>
            </w:r>
            <w:r w:rsidR="00AB46E2" w:rsidRPr="000C7574">
              <w:rPr>
                <w:rFonts w:cs="Arial"/>
              </w:rPr>
              <w:t xml:space="preserve">, including </w:t>
            </w:r>
            <w:r w:rsidR="00567ECF">
              <w:rPr>
                <w:rFonts w:cs="Arial"/>
              </w:rPr>
              <w:t xml:space="preserve">the need for stock surveys and stock assessments. </w:t>
            </w:r>
            <w:r w:rsidRPr="000C7574">
              <w:rPr>
                <w:rFonts w:cs="Arial"/>
              </w:rPr>
              <w:t xml:space="preserve">The conditions proposed for inclusion on </w:t>
            </w:r>
            <w:r w:rsidR="00567ECF">
              <w:rPr>
                <w:rFonts w:cs="Arial"/>
              </w:rPr>
              <w:t xml:space="preserve">the proposed </w:t>
            </w:r>
            <w:r w:rsidRPr="000C7574">
              <w:rPr>
                <w:rFonts w:cs="Arial"/>
              </w:rPr>
              <w:t xml:space="preserve">Part 13A approval are designed to address these issues and represent a precautionary approach to the management of environmental uncertainty and risk. The management regime, when supported by these conditions </w:t>
            </w:r>
            <w:r w:rsidR="00F35246" w:rsidRPr="000C7574">
              <w:rPr>
                <w:rFonts w:cs="Arial"/>
              </w:rPr>
              <w:t xml:space="preserve">is likely to </w:t>
            </w:r>
            <w:r w:rsidR="00287189" w:rsidRPr="000C7574">
              <w:rPr>
                <w:rFonts w:cs="Arial"/>
              </w:rPr>
              <w:t>prevent serious or irreversible environmental damage being caused by this fishery.</w:t>
            </w:r>
          </w:p>
        </w:tc>
      </w:tr>
    </w:tbl>
    <w:p w14:paraId="4F13199B" w14:textId="77777777" w:rsidR="00ED0F91" w:rsidRPr="00A94147" w:rsidRDefault="00ED0F91" w:rsidP="007F171B">
      <w:pPr>
        <w:spacing w:line="276" w:lineRule="auto"/>
        <w:rPr>
          <w:rFonts w:cs="Arial"/>
          <w:highlight w:val="yellow"/>
        </w:rPr>
        <w:sectPr w:rsidR="00ED0F91" w:rsidRPr="00A94147" w:rsidSect="001955CD">
          <w:pgSz w:w="16838" w:h="11906" w:orient="landscape"/>
          <w:pgMar w:top="1021" w:right="1021" w:bottom="1021" w:left="1021" w:header="709" w:footer="709" w:gutter="0"/>
          <w:cols w:space="708"/>
          <w:docGrid w:linePitch="360"/>
        </w:sectPr>
      </w:pPr>
      <w:bookmarkStart w:id="34" w:name="_Toc316301052"/>
      <w:bookmarkEnd w:id="6"/>
    </w:p>
    <w:p w14:paraId="3FD16CD5" w14:textId="16857807" w:rsidR="00B6012C" w:rsidRPr="000C7574" w:rsidRDefault="00B6012C" w:rsidP="007F171B">
      <w:pPr>
        <w:pStyle w:val="Heading1"/>
        <w:rPr>
          <w:rFonts w:ascii="Arial" w:hAnsi="Arial"/>
        </w:rPr>
      </w:pPr>
      <w:bookmarkStart w:id="35" w:name="_Toc316301053"/>
      <w:bookmarkStart w:id="36" w:name="_Toc51057525"/>
      <w:bookmarkEnd w:id="34"/>
      <w:r w:rsidRPr="000C7574">
        <w:rPr>
          <w:rFonts w:ascii="Arial" w:hAnsi="Arial"/>
        </w:rPr>
        <w:lastRenderedPageBreak/>
        <w:t>References</w:t>
      </w:r>
      <w:bookmarkEnd w:id="35"/>
      <w:r w:rsidR="00113760" w:rsidRPr="000C7574">
        <w:rPr>
          <w:rFonts w:ascii="Arial" w:hAnsi="Arial"/>
        </w:rPr>
        <w:t xml:space="preserve"> and bi</w:t>
      </w:r>
      <w:r w:rsidR="006A0B0E" w:rsidRPr="000C7574">
        <w:rPr>
          <w:rFonts w:ascii="Arial" w:hAnsi="Arial"/>
        </w:rPr>
        <w:t>b</w:t>
      </w:r>
      <w:r w:rsidR="00113760" w:rsidRPr="000C7574">
        <w:rPr>
          <w:rFonts w:ascii="Arial" w:hAnsi="Arial"/>
        </w:rPr>
        <w:t>liography</w:t>
      </w:r>
      <w:bookmarkEnd w:id="36"/>
    </w:p>
    <w:p w14:paraId="7813217C" w14:textId="38E3080E" w:rsidR="00401E49" w:rsidRPr="00CF760F" w:rsidRDefault="00F212D5" w:rsidP="007F171B">
      <w:pPr>
        <w:autoSpaceDE w:val="0"/>
        <w:autoSpaceDN w:val="0"/>
        <w:adjustRightInd w:val="0"/>
        <w:spacing w:before="0" w:line="276" w:lineRule="auto"/>
        <w:rPr>
          <w:rFonts w:cs="Arial"/>
        </w:rPr>
      </w:pPr>
      <w:r w:rsidRPr="000C7574">
        <w:rPr>
          <w:rFonts w:cs="Arial"/>
        </w:rPr>
        <w:t xml:space="preserve">Australian Government Department of Agriculture, </w:t>
      </w:r>
      <w:proofErr w:type="gramStart"/>
      <w:r w:rsidRPr="000C7574">
        <w:rPr>
          <w:rFonts w:cs="Arial"/>
        </w:rPr>
        <w:t>Water</w:t>
      </w:r>
      <w:proofErr w:type="gramEnd"/>
      <w:r w:rsidRPr="000C7574">
        <w:rPr>
          <w:rFonts w:cs="Arial"/>
        </w:rPr>
        <w:t xml:space="preserve"> and the Environment (DAWR), 2012. Marine bioregional plan for the Temperate East Marine Region</w:t>
      </w:r>
      <w:r w:rsidR="00B67489">
        <w:rPr>
          <w:rFonts w:cs="Arial"/>
        </w:rPr>
        <w:t xml:space="preserve">, 218pp. </w:t>
      </w:r>
      <w:hyperlink r:id="rId67" w:history="1">
        <w:r w:rsidRPr="000C7574">
          <w:rPr>
            <w:rStyle w:val="Hyperlink"/>
            <w:rFonts w:cs="Arial"/>
          </w:rPr>
          <w:t>http://www.environment.gov.au/topics/marine/marine-bioregional-plans/temperate-east</w:t>
        </w:r>
      </w:hyperlink>
      <w:r w:rsidRPr="000C7574">
        <w:rPr>
          <w:rFonts w:cs="Arial"/>
        </w:rPr>
        <w:t>.</w:t>
      </w:r>
      <w:r w:rsidR="00B67489">
        <w:rPr>
          <w:rFonts w:cs="Arial"/>
        </w:rPr>
        <w:t xml:space="preserve"> Last accessed 4 September 2020.</w:t>
      </w:r>
    </w:p>
    <w:p w14:paraId="10D7BFCC" w14:textId="2EE60C08" w:rsidR="00623CCA" w:rsidRPr="000C7574" w:rsidRDefault="002E4AC8" w:rsidP="007963F7">
      <w:pPr>
        <w:autoSpaceDE w:val="0"/>
        <w:autoSpaceDN w:val="0"/>
        <w:adjustRightInd w:val="0"/>
        <w:spacing w:before="0" w:line="276" w:lineRule="auto"/>
        <w:rPr>
          <w:rFonts w:cs="Arial"/>
          <w:lang w:val="en-US" w:eastAsia="en-AU"/>
        </w:rPr>
      </w:pPr>
      <w:r w:rsidRPr="000C7574">
        <w:rPr>
          <w:rFonts w:cs="Arial"/>
        </w:rPr>
        <w:t>Australian Government</w:t>
      </w:r>
      <w:r>
        <w:rPr>
          <w:rFonts w:cs="Arial"/>
        </w:rPr>
        <w:t xml:space="preserve">, 2016. </w:t>
      </w:r>
      <w:r w:rsidRPr="002E4AC8">
        <w:rPr>
          <w:rFonts w:cs="Arial"/>
          <w:i/>
          <w:iCs/>
          <w:lang w:eastAsia="en-AU"/>
        </w:rPr>
        <w:t>Reef 2050 Plan—Policy guideline for decision makers</w:t>
      </w:r>
      <w:r w:rsidRPr="002E4AC8">
        <w:rPr>
          <w:rFonts w:cs="Arial"/>
          <w:lang w:eastAsia="en-AU"/>
        </w:rPr>
        <w:t>, Commonwealth of Australia 2016</w:t>
      </w:r>
      <w:r>
        <w:rPr>
          <w:rFonts w:cs="Arial"/>
          <w:lang w:eastAsia="en-AU"/>
        </w:rPr>
        <w:t xml:space="preserve">. </w:t>
      </w:r>
      <w:hyperlink r:id="rId68" w:history="1">
        <w:r w:rsidRPr="000D7872">
          <w:rPr>
            <w:rStyle w:val="Hyperlink"/>
            <w:rFonts w:cs="Arial"/>
            <w:lang w:eastAsia="en-AU"/>
          </w:rPr>
          <w:t>http://www.environment.gov.au/system/files/resources/1d989144-ec34-4e7f-adec-d10ec09052ab/files/guidelines-decision-makers-reef-2050-plan.pdf</w:t>
        </w:r>
      </w:hyperlink>
      <w:r>
        <w:rPr>
          <w:rFonts w:cs="Arial"/>
          <w:lang w:eastAsia="en-AU"/>
        </w:rPr>
        <w:t>. Last accessed 7 September 2020.</w:t>
      </w:r>
    </w:p>
    <w:p w14:paraId="7365394E" w14:textId="07749362" w:rsidR="000648BC" w:rsidRPr="00CF760F" w:rsidRDefault="001345D8" w:rsidP="00B1657D">
      <w:pPr>
        <w:autoSpaceDE w:val="0"/>
        <w:autoSpaceDN w:val="0"/>
        <w:adjustRightInd w:val="0"/>
        <w:spacing w:before="0" w:line="276" w:lineRule="auto"/>
        <w:rPr>
          <w:rFonts w:cs="Arial"/>
          <w:iCs/>
        </w:rPr>
      </w:pPr>
      <w:r w:rsidRPr="000C7574">
        <w:rPr>
          <w:rFonts w:cs="Arial"/>
        </w:rPr>
        <w:t xml:space="preserve">Knuckey, I. and Koopman, M., 2016. Survey to estimate the biomass and recovery of Black </w:t>
      </w:r>
      <w:proofErr w:type="spellStart"/>
      <w:r w:rsidRPr="000C7574">
        <w:rPr>
          <w:rFonts w:cs="Arial"/>
        </w:rPr>
        <w:t>teatfish</w:t>
      </w:r>
      <w:proofErr w:type="spellEnd"/>
      <w:r w:rsidRPr="000C7574">
        <w:rPr>
          <w:rFonts w:cs="Arial"/>
        </w:rPr>
        <w:t xml:space="preserve"> (</w:t>
      </w:r>
      <w:proofErr w:type="spellStart"/>
      <w:r w:rsidRPr="000C7574">
        <w:rPr>
          <w:rFonts w:cs="Arial"/>
          <w:i/>
        </w:rPr>
        <w:t>Holothuria</w:t>
      </w:r>
      <w:proofErr w:type="spellEnd"/>
      <w:r w:rsidRPr="000C7574">
        <w:rPr>
          <w:rFonts w:cs="Arial"/>
          <w:i/>
        </w:rPr>
        <w:t xml:space="preserve"> </w:t>
      </w:r>
      <w:proofErr w:type="spellStart"/>
      <w:r w:rsidRPr="000C7574">
        <w:rPr>
          <w:rFonts w:cs="Arial"/>
          <w:i/>
        </w:rPr>
        <w:t>whitmaei</w:t>
      </w:r>
      <w:proofErr w:type="spellEnd"/>
      <w:r w:rsidRPr="000C7574">
        <w:rPr>
          <w:rFonts w:cs="Arial"/>
        </w:rPr>
        <w:t xml:space="preserve">) in Zone 1 of the Queensland Sea Cucumber Fishery (East Coast). </w:t>
      </w:r>
      <w:proofErr w:type="spellStart"/>
      <w:r w:rsidRPr="000C7574">
        <w:rPr>
          <w:rFonts w:cs="Arial"/>
        </w:rPr>
        <w:t>Fishwell</w:t>
      </w:r>
      <w:proofErr w:type="spellEnd"/>
      <w:r w:rsidRPr="000C7574">
        <w:rPr>
          <w:rFonts w:cs="Arial"/>
        </w:rPr>
        <w:t xml:space="preserve"> Consulting, 41pp. </w:t>
      </w:r>
      <w:r>
        <w:rPr>
          <w:rFonts w:cs="Arial"/>
          <w:iCs/>
        </w:rPr>
        <w:t>Unpublished.</w:t>
      </w:r>
    </w:p>
    <w:p w14:paraId="230B1A31" w14:textId="746839E5" w:rsidR="000648BC" w:rsidRPr="000648BC" w:rsidRDefault="000648BC" w:rsidP="00B1657D">
      <w:pPr>
        <w:autoSpaceDE w:val="0"/>
        <w:autoSpaceDN w:val="0"/>
        <w:adjustRightInd w:val="0"/>
        <w:spacing w:before="0" w:line="276" w:lineRule="auto"/>
        <w:rPr>
          <w:rFonts w:cs="Arial"/>
        </w:rPr>
      </w:pPr>
      <w:r w:rsidRPr="00CF760F">
        <w:rPr>
          <w:rFonts w:cs="Arial"/>
        </w:rPr>
        <w:t xml:space="preserve">Koopman, M. and Knuckey, I. (2020). Information to inform non-detriment findings of Australian fisheries for Black </w:t>
      </w:r>
      <w:proofErr w:type="spellStart"/>
      <w:r w:rsidRPr="00CF760F">
        <w:rPr>
          <w:rFonts w:cs="Arial"/>
        </w:rPr>
        <w:t>Teatfish</w:t>
      </w:r>
      <w:proofErr w:type="spellEnd"/>
      <w:r w:rsidRPr="00CF760F">
        <w:rPr>
          <w:rFonts w:cs="Arial"/>
        </w:rPr>
        <w:t xml:space="preserve"> and White </w:t>
      </w:r>
      <w:proofErr w:type="spellStart"/>
      <w:r w:rsidRPr="00CF760F">
        <w:rPr>
          <w:rFonts w:cs="Arial"/>
        </w:rPr>
        <w:t>Teatfish</w:t>
      </w:r>
      <w:proofErr w:type="spellEnd"/>
      <w:r w:rsidRPr="00CF760F">
        <w:rPr>
          <w:rFonts w:cs="Arial"/>
        </w:rPr>
        <w:t xml:space="preserve">. Report to the Department of Agriculture, </w:t>
      </w:r>
      <w:proofErr w:type="gramStart"/>
      <w:r w:rsidRPr="00CF760F">
        <w:rPr>
          <w:rFonts w:cs="Arial"/>
        </w:rPr>
        <w:t>Water</w:t>
      </w:r>
      <w:proofErr w:type="gramEnd"/>
      <w:r w:rsidRPr="00CF760F">
        <w:rPr>
          <w:rFonts w:cs="Arial"/>
        </w:rPr>
        <w:t xml:space="preserve"> and the Environment. </w:t>
      </w:r>
      <w:proofErr w:type="spellStart"/>
      <w:r w:rsidRPr="00CF760F">
        <w:rPr>
          <w:rFonts w:cs="Arial"/>
        </w:rPr>
        <w:t>Fishwell</w:t>
      </w:r>
      <w:proofErr w:type="spellEnd"/>
      <w:r w:rsidRPr="00CF760F">
        <w:rPr>
          <w:rFonts w:cs="Arial"/>
        </w:rPr>
        <w:t xml:space="preserve"> Consulting, 52 pp. 2020</w:t>
      </w:r>
      <w:r w:rsidR="008A1BE9">
        <w:rPr>
          <w:rFonts w:cs="Arial"/>
        </w:rPr>
        <w:t xml:space="preserve"> (enclosed)</w:t>
      </w:r>
      <w:r w:rsidR="00092A77">
        <w:rPr>
          <w:rFonts w:cs="Arial"/>
        </w:rPr>
        <w:t>.</w:t>
      </w:r>
    </w:p>
    <w:p w14:paraId="79A103A0" w14:textId="3A4712F7" w:rsidR="0088234A" w:rsidRDefault="0088234A" w:rsidP="00B67489">
      <w:pPr>
        <w:autoSpaceDE w:val="0"/>
        <w:autoSpaceDN w:val="0"/>
        <w:adjustRightInd w:val="0"/>
        <w:spacing w:before="0" w:line="276" w:lineRule="auto"/>
      </w:pPr>
      <w:r>
        <w:t>Purcell, S</w:t>
      </w:r>
      <w:r w:rsidR="00092A77">
        <w:t xml:space="preserve">., </w:t>
      </w:r>
      <w:r>
        <w:t>W</w:t>
      </w:r>
      <w:r w:rsidR="00092A77">
        <w:t xml:space="preserve">., </w:t>
      </w:r>
      <w:r>
        <w:t xml:space="preserve">.2010. Managing sea cucumber fisheries with an ecosystem approach. Edited/compiled by </w:t>
      </w:r>
      <w:proofErr w:type="spellStart"/>
      <w:r>
        <w:t>Lovatelli</w:t>
      </w:r>
      <w:proofErr w:type="spellEnd"/>
      <w:r>
        <w:t xml:space="preserve">, A.; M. Vasconcellos and Y. </w:t>
      </w:r>
      <w:proofErr w:type="spellStart"/>
      <w:r>
        <w:t>Yimin</w:t>
      </w:r>
      <w:proofErr w:type="spellEnd"/>
      <w:r>
        <w:t>. FAO Fisheries and Aquaculture Technical Paper. No. 520. Rome, FAO. 2010. 157p</w:t>
      </w:r>
      <w:r w:rsidR="00092A77">
        <w:t xml:space="preserve">. </w:t>
      </w:r>
      <w:hyperlink r:id="rId69" w:history="1">
        <w:r w:rsidR="00092A77" w:rsidRPr="004F062A">
          <w:rPr>
            <w:rStyle w:val="Hyperlink"/>
          </w:rPr>
          <w:t>http://www.fao.org/3/i1384e/i1384e00.htm</w:t>
        </w:r>
      </w:hyperlink>
      <w:r w:rsidR="00092A77">
        <w:t>. Last accessed 16 September 2020.</w:t>
      </w:r>
    </w:p>
    <w:p w14:paraId="1A65DAEC" w14:textId="59D53811" w:rsidR="00B67489" w:rsidRPr="00CF760F" w:rsidRDefault="00B67489" w:rsidP="00B67489">
      <w:pPr>
        <w:autoSpaceDE w:val="0"/>
        <w:autoSpaceDN w:val="0"/>
        <w:adjustRightInd w:val="0"/>
        <w:spacing w:before="0" w:line="276" w:lineRule="auto"/>
        <w:rPr>
          <w:rFonts w:cs="Arial"/>
        </w:rPr>
      </w:pPr>
      <w:r>
        <w:rPr>
          <w:rFonts w:cs="Arial"/>
        </w:rPr>
        <w:t xml:space="preserve">Queensland Department of Agriculture and Fisheries (QDAF), 2008. </w:t>
      </w:r>
      <w:r w:rsidRPr="00C166E2">
        <w:rPr>
          <w:rFonts w:cs="Arial"/>
        </w:rPr>
        <w:t>Performance Measurement</w:t>
      </w:r>
      <w:r>
        <w:rPr>
          <w:rFonts w:cs="Arial"/>
        </w:rPr>
        <w:t xml:space="preserve"> </w:t>
      </w:r>
      <w:r w:rsidRPr="00C166E2">
        <w:rPr>
          <w:rFonts w:cs="Arial"/>
        </w:rPr>
        <w:t>System</w:t>
      </w:r>
      <w:r>
        <w:rPr>
          <w:rFonts w:cs="Arial"/>
        </w:rPr>
        <w:t xml:space="preserve"> </w:t>
      </w:r>
      <w:r w:rsidRPr="00C166E2">
        <w:rPr>
          <w:rFonts w:cs="Arial"/>
        </w:rPr>
        <w:t xml:space="preserve">Queensland East Coast </w:t>
      </w:r>
      <w:proofErr w:type="spellStart"/>
      <w:r w:rsidRPr="00C166E2">
        <w:rPr>
          <w:rFonts w:cs="Arial"/>
        </w:rPr>
        <w:t>Bêche</w:t>
      </w:r>
      <w:proofErr w:type="spellEnd"/>
      <w:r w:rsidRPr="00C166E2">
        <w:rPr>
          <w:rFonts w:cs="Arial"/>
        </w:rPr>
        <w:t>-de-</w:t>
      </w:r>
      <w:proofErr w:type="spellStart"/>
      <w:r w:rsidRPr="00C166E2">
        <w:rPr>
          <w:rFonts w:cs="Arial"/>
        </w:rPr>
        <w:t>mer</w:t>
      </w:r>
      <w:proofErr w:type="spellEnd"/>
      <w:r>
        <w:rPr>
          <w:rFonts w:cs="Arial"/>
        </w:rPr>
        <w:t xml:space="preserve"> </w:t>
      </w:r>
      <w:r w:rsidRPr="00C166E2">
        <w:rPr>
          <w:rFonts w:cs="Arial"/>
        </w:rPr>
        <w:t>Fishery</w:t>
      </w:r>
      <w:r>
        <w:rPr>
          <w:rFonts w:cs="Arial"/>
        </w:rPr>
        <w:t xml:space="preserve">, 25pp. </w:t>
      </w:r>
      <w:hyperlink r:id="rId70" w:history="1">
        <w:r w:rsidRPr="008B00E3">
          <w:rPr>
            <w:rStyle w:val="Hyperlink"/>
            <w:rFonts w:cs="Arial"/>
          </w:rPr>
          <w:t>https://www.daf.qld.gov.au/__data/assets/pdf_file/0007/52774/Fisheries-PMS-Beche-de-mer-2008.pdf</w:t>
        </w:r>
      </w:hyperlink>
      <w:r>
        <w:rPr>
          <w:rFonts w:cs="Arial"/>
        </w:rPr>
        <w:t>. Last accessed 3 September 2020.</w:t>
      </w:r>
    </w:p>
    <w:p w14:paraId="7F72D1ED" w14:textId="019C6B09" w:rsidR="001345D8" w:rsidRPr="00CF760F" w:rsidRDefault="00B67489" w:rsidP="00B1657D">
      <w:pPr>
        <w:autoSpaceDE w:val="0"/>
        <w:autoSpaceDN w:val="0"/>
        <w:adjustRightInd w:val="0"/>
        <w:spacing w:before="0" w:line="276" w:lineRule="auto"/>
        <w:rPr>
          <w:rFonts w:ascii="istok_webregular" w:hAnsi="istok_webregular"/>
          <w:b/>
          <w:color w:val="31322A"/>
          <w:sz w:val="21"/>
          <w:szCs w:val="21"/>
          <w:lang w:val="en"/>
        </w:rPr>
      </w:pPr>
      <w:proofErr w:type="spellStart"/>
      <w:r w:rsidRPr="000C7574">
        <w:t>Roelofs</w:t>
      </w:r>
      <w:proofErr w:type="spellEnd"/>
      <w:r w:rsidRPr="000C7574">
        <w:t xml:space="preserve">, A., Woodhams, J. and </w:t>
      </w:r>
      <w:proofErr w:type="spellStart"/>
      <w:r w:rsidRPr="000C7574">
        <w:t>Grubert</w:t>
      </w:r>
      <w:proofErr w:type="spellEnd"/>
      <w:r w:rsidRPr="000C7574">
        <w:t>, M., 2018. Fisheries Research and Development Corporation (</w:t>
      </w:r>
      <w:r w:rsidRPr="00B35AB1">
        <w:t xml:space="preserve">FRDC) </w:t>
      </w:r>
      <w:r w:rsidRPr="000C7574">
        <w:t>Status of Australian Fish Stocks</w:t>
      </w:r>
      <w:r w:rsidRPr="00B35AB1">
        <w:t>.</w:t>
      </w:r>
      <w:r w:rsidRPr="000C7574">
        <w:t xml:space="preserve"> White </w:t>
      </w:r>
      <w:proofErr w:type="spellStart"/>
      <w:r w:rsidRPr="000C7574">
        <w:t>Teatfish</w:t>
      </w:r>
      <w:proofErr w:type="spellEnd"/>
      <w:r w:rsidRPr="000C7574">
        <w:t xml:space="preserve"> (Sea Cucumber) (2018) </w:t>
      </w:r>
      <w:proofErr w:type="spellStart"/>
      <w:r w:rsidRPr="000C7574">
        <w:rPr>
          <w:i/>
        </w:rPr>
        <w:t>Holothuria</w:t>
      </w:r>
      <w:proofErr w:type="spellEnd"/>
      <w:r w:rsidRPr="000C7574">
        <w:rPr>
          <w:i/>
        </w:rPr>
        <w:t xml:space="preserve"> </w:t>
      </w:r>
      <w:proofErr w:type="spellStart"/>
      <w:r w:rsidRPr="000C7574">
        <w:rPr>
          <w:i/>
        </w:rPr>
        <w:t>fuscogilva</w:t>
      </w:r>
      <w:proofErr w:type="spellEnd"/>
      <w:r w:rsidRPr="000C7574">
        <w:t>.</w:t>
      </w:r>
      <w:r>
        <w:rPr>
          <w:rFonts w:ascii="istok_webregular" w:hAnsi="istok_webregular" w:cs="Arial"/>
          <w:color w:val="31322A"/>
          <w:sz w:val="21"/>
          <w:szCs w:val="21"/>
          <w:lang w:val="en"/>
        </w:rPr>
        <w:t xml:space="preserve"> </w:t>
      </w:r>
      <w:hyperlink r:id="rId71" w:history="1">
        <w:r w:rsidRPr="00747972">
          <w:rPr>
            <w:rStyle w:val="Hyperlink"/>
            <w:rFonts w:cs="Arial"/>
            <w:lang w:val="en-US" w:eastAsia="en-AU"/>
          </w:rPr>
          <w:t>https://www.fish.gov.au/report/169-White-Teatfish-(Sea-Cucumber)-2018</w:t>
        </w:r>
      </w:hyperlink>
      <w:r>
        <w:rPr>
          <w:rFonts w:cs="Arial"/>
          <w:lang w:val="en-US" w:eastAsia="en-AU"/>
        </w:rPr>
        <w:t>. Last accessed 30 August 2020.</w:t>
      </w:r>
    </w:p>
    <w:p w14:paraId="5CF6DD60" w14:textId="19B8C7E3" w:rsidR="008A1BE9" w:rsidRPr="00653FE9" w:rsidRDefault="00B1657D" w:rsidP="007963F7">
      <w:pPr>
        <w:autoSpaceDE w:val="0"/>
        <w:autoSpaceDN w:val="0"/>
        <w:adjustRightInd w:val="0"/>
        <w:spacing w:before="0" w:line="276" w:lineRule="auto"/>
        <w:rPr>
          <w:rFonts w:cs="Arial"/>
        </w:rPr>
      </w:pPr>
      <w:r w:rsidRPr="000C7574">
        <w:rPr>
          <w:rFonts w:cs="Arial"/>
        </w:rPr>
        <w:t xml:space="preserve">Skewes, T., </w:t>
      </w:r>
      <w:proofErr w:type="spellStart"/>
      <w:r w:rsidRPr="000C7574">
        <w:rPr>
          <w:rFonts w:cs="Arial"/>
        </w:rPr>
        <w:t>Plagányi</w:t>
      </w:r>
      <w:proofErr w:type="spellEnd"/>
      <w:r w:rsidRPr="000C7574">
        <w:rPr>
          <w:rFonts w:cs="Arial"/>
        </w:rPr>
        <w:t>, É., Murphy, N., Pascual, R. and Fischer, M., 2014. Evaluating rotational harvest strategies for sea cucumber fisheries. FRDC Project No. 2012/200. CSIRO. Brisbane</w:t>
      </w:r>
      <w:r w:rsidR="002B769F" w:rsidRPr="000C7574">
        <w:rPr>
          <w:rFonts w:cs="Arial"/>
        </w:rPr>
        <w:t>,</w:t>
      </w:r>
      <w:r w:rsidRPr="000C7574">
        <w:rPr>
          <w:rFonts w:cs="Arial"/>
        </w:rPr>
        <w:t xml:space="preserve"> 176</w:t>
      </w:r>
      <w:r w:rsidR="002B769F" w:rsidRPr="000C7574">
        <w:rPr>
          <w:rFonts w:cs="Arial"/>
        </w:rPr>
        <w:t>pp</w:t>
      </w:r>
      <w:r w:rsidRPr="000C7574">
        <w:rPr>
          <w:rFonts w:cs="Arial"/>
        </w:rPr>
        <w:t xml:space="preserve">. </w:t>
      </w:r>
      <w:hyperlink r:id="rId72" w:history="1">
        <w:r w:rsidRPr="008B00E3">
          <w:rPr>
            <w:rStyle w:val="Hyperlink"/>
            <w:rFonts w:cs="Arial"/>
          </w:rPr>
          <w:t>https://publications.csiro.au/rpr/download?pid=csiro:EP1311565&amp;dsid=DS2</w:t>
        </w:r>
      </w:hyperlink>
      <w:r>
        <w:rPr>
          <w:rFonts w:cs="Arial"/>
        </w:rPr>
        <w:t>. Last accessed 3 September 2020.</w:t>
      </w:r>
    </w:p>
    <w:sectPr w:rsidR="008A1BE9" w:rsidRPr="00653FE9" w:rsidSect="00231C67">
      <w:headerReference w:type="even" r:id="rId73"/>
      <w:headerReference w:type="default" r:id="rId74"/>
      <w:footerReference w:type="even" r:id="rId75"/>
      <w:footerReference w:type="default" r:id="rId76"/>
      <w:headerReference w:type="first" r:id="rId77"/>
      <w:footerReference w:type="first" r:id="rId78"/>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362EB3" w14:textId="77777777" w:rsidR="00D720FA" w:rsidRDefault="00D720FA" w:rsidP="00A60185">
      <w:pPr>
        <w:spacing w:after="0"/>
      </w:pPr>
      <w:r>
        <w:separator/>
      </w:r>
    </w:p>
  </w:endnote>
  <w:endnote w:type="continuationSeparator" w:id="0">
    <w:p w14:paraId="297C83D5" w14:textId="77777777" w:rsidR="00D720FA" w:rsidRDefault="00D720FA" w:rsidP="00A60185">
      <w:pPr>
        <w:spacing w:after="0"/>
      </w:pPr>
      <w:r>
        <w:continuationSeparator/>
      </w:r>
    </w:p>
  </w:endnote>
  <w:endnote w:type="continuationNotice" w:id="1">
    <w:p w14:paraId="5C445FB0" w14:textId="77777777" w:rsidR="00D720FA" w:rsidRDefault="00D720F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istok_webregular">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D335D" w14:textId="77777777" w:rsidR="00D720FA" w:rsidRDefault="00D720FA">
    <w:pPr>
      <w:pStyle w:val="Footer"/>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25C34" w14:textId="77777777" w:rsidR="00D720FA" w:rsidRDefault="00D720FA">
    <w:pPr>
      <w:pStyle w:val="Footer"/>
      <w:jc w:val="right"/>
    </w:pPr>
  </w:p>
  <w:p w14:paraId="6627FCF2" w14:textId="77777777" w:rsidR="00D720FA" w:rsidRDefault="00D720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B8B91" w14:textId="77777777" w:rsidR="00D720FA" w:rsidRPr="008676DA" w:rsidRDefault="00D720FA">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Pr>
        <w:rFonts w:cs="Arial"/>
        <w:noProof/>
      </w:rPr>
      <w:t>67</w:t>
    </w:r>
    <w:r w:rsidRPr="008676DA">
      <w:rPr>
        <w:rFonts w:cs="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71AF3" w14:textId="77777777" w:rsidR="00D720FA" w:rsidRPr="00E5103E" w:rsidRDefault="00D720FA">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D720FA" w:rsidRDefault="00D720F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75FD6" w14:textId="77777777" w:rsidR="00D720FA" w:rsidRDefault="00D720F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3830"/>
      <w:docPartObj>
        <w:docPartGallery w:val="Page Numbers (Bottom of Page)"/>
        <w:docPartUnique/>
      </w:docPartObj>
    </w:sdtPr>
    <w:sdtContent>
      <w:p w14:paraId="6E209919" w14:textId="77777777" w:rsidR="00D720FA" w:rsidRDefault="00D720FA">
        <w:pPr>
          <w:pStyle w:val="Footer"/>
          <w:jc w:val="center"/>
        </w:pPr>
        <w:r>
          <w:fldChar w:fldCharType="begin"/>
        </w:r>
        <w:r>
          <w:instrText xml:space="preserve"> PAGE   \* MERGEFORMAT </w:instrText>
        </w:r>
        <w:r>
          <w:fldChar w:fldCharType="separate"/>
        </w:r>
        <w:r>
          <w:rPr>
            <w:noProof/>
          </w:rPr>
          <w:t>70</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3290D" w14:textId="77777777" w:rsidR="00D720FA" w:rsidRDefault="00D72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A9A7C1" w14:textId="77777777" w:rsidR="00D720FA" w:rsidRDefault="00D720FA" w:rsidP="00A60185">
      <w:pPr>
        <w:spacing w:after="0"/>
      </w:pPr>
      <w:r>
        <w:separator/>
      </w:r>
    </w:p>
  </w:footnote>
  <w:footnote w:type="continuationSeparator" w:id="0">
    <w:p w14:paraId="4AD94C4E" w14:textId="77777777" w:rsidR="00D720FA" w:rsidRDefault="00D720FA" w:rsidP="00A60185">
      <w:pPr>
        <w:spacing w:after="0"/>
      </w:pPr>
      <w:r>
        <w:continuationSeparator/>
      </w:r>
    </w:p>
  </w:footnote>
  <w:footnote w:type="continuationNotice" w:id="1">
    <w:p w14:paraId="0088179D" w14:textId="77777777" w:rsidR="00D720FA" w:rsidRDefault="00D720F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9C3F2" w14:textId="547D51C2" w:rsidR="00D720FA" w:rsidRDefault="00D720FA">
    <w:pPr>
      <w:pStyle w:val="Header"/>
    </w:pPr>
    <w:r>
      <w:rPr>
        <w:noProof/>
        <w:lang w:eastAsia="en-AU"/>
      </w:rPr>
      <w:drawing>
        <wp:inline distT="0" distB="0" distL="0" distR="0" wp14:anchorId="66B668F9" wp14:editId="7EE60F11">
          <wp:extent cx="3409950" cy="105727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09950" cy="10572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E6E67" w14:textId="52E239D9" w:rsidR="00D720FA" w:rsidRDefault="00D720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EE0D" w14:textId="58C02965" w:rsidR="00D720FA" w:rsidRDefault="00D720FA"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BAA7A" w14:textId="77777777" w:rsidR="00D720FA" w:rsidRDefault="00D720F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A4C7A" w14:textId="77777777" w:rsidR="00D720FA" w:rsidRDefault="00D72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0335CA8"/>
    <w:multiLevelType w:val="hybridMultilevel"/>
    <w:tmpl w:val="A9745180"/>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01BA71E2"/>
    <w:multiLevelType w:val="hybridMultilevel"/>
    <w:tmpl w:val="8834BC28"/>
    <w:lvl w:ilvl="0" w:tplc="0C090001">
      <w:start w:val="1"/>
      <w:numFmt w:val="bullet"/>
      <w:lvlText w:val=""/>
      <w:lvlJc w:val="left"/>
      <w:pPr>
        <w:ind w:left="1098" w:hanging="360"/>
      </w:pPr>
      <w:rPr>
        <w:rFonts w:ascii="Symbol" w:hAnsi="Symbol" w:hint="default"/>
      </w:rPr>
    </w:lvl>
    <w:lvl w:ilvl="1" w:tplc="0C090003" w:tentative="1">
      <w:start w:val="1"/>
      <w:numFmt w:val="bullet"/>
      <w:lvlText w:val="o"/>
      <w:lvlJc w:val="left"/>
      <w:pPr>
        <w:ind w:left="1818" w:hanging="360"/>
      </w:pPr>
      <w:rPr>
        <w:rFonts w:ascii="Courier New" w:hAnsi="Courier New" w:cs="Courier New" w:hint="default"/>
      </w:rPr>
    </w:lvl>
    <w:lvl w:ilvl="2" w:tplc="0C090005" w:tentative="1">
      <w:start w:val="1"/>
      <w:numFmt w:val="bullet"/>
      <w:lvlText w:val=""/>
      <w:lvlJc w:val="left"/>
      <w:pPr>
        <w:ind w:left="2538" w:hanging="360"/>
      </w:pPr>
      <w:rPr>
        <w:rFonts w:ascii="Wingdings" w:hAnsi="Wingdings" w:hint="default"/>
      </w:rPr>
    </w:lvl>
    <w:lvl w:ilvl="3" w:tplc="0C090001" w:tentative="1">
      <w:start w:val="1"/>
      <w:numFmt w:val="bullet"/>
      <w:lvlText w:val=""/>
      <w:lvlJc w:val="left"/>
      <w:pPr>
        <w:ind w:left="3258" w:hanging="360"/>
      </w:pPr>
      <w:rPr>
        <w:rFonts w:ascii="Symbol" w:hAnsi="Symbol" w:hint="default"/>
      </w:rPr>
    </w:lvl>
    <w:lvl w:ilvl="4" w:tplc="0C090003" w:tentative="1">
      <w:start w:val="1"/>
      <w:numFmt w:val="bullet"/>
      <w:lvlText w:val="o"/>
      <w:lvlJc w:val="left"/>
      <w:pPr>
        <w:ind w:left="3978" w:hanging="360"/>
      </w:pPr>
      <w:rPr>
        <w:rFonts w:ascii="Courier New" w:hAnsi="Courier New" w:cs="Courier New" w:hint="default"/>
      </w:rPr>
    </w:lvl>
    <w:lvl w:ilvl="5" w:tplc="0C090005" w:tentative="1">
      <w:start w:val="1"/>
      <w:numFmt w:val="bullet"/>
      <w:lvlText w:val=""/>
      <w:lvlJc w:val="left"/>
      <w:pPr>
        <w:ind w:left="4698" w:hanging="360"/>
      </w:pPr>
      <w:rPr>
        <w:rFonts w:ascii="Wingdings" w:hAnsi="Wingdings" w:hint="default"/>
      </w:rPr>
    </w:lvl>
    <w:lvl w:ilvl="6" w:tplc="0C090001" w:tentative="1">
      <w:start w:val="1"/>
      <w:numFmt w:val="bullet"/>
      <w:lvlText w:val=""/>
      <w:lvlJc w:val="left"/>
      <w:pPr>
        <w:ind w:left="5418" w:hanging="360"/>
      </w:pPr>
      <w:rPr>
        <w:rFonts w:ascii="Symbol" w:hAnsi="Symbol" w:hint="default"/>
      </w:rPr>
    </w:lvl>
    <w:lvl w:ilvl="7" w:tplc="0C090003" w:tentative="1">
      <w:start w:val="1"/>
      <w:numFmt w:val="bullet"/>
      <w:lvlText w:val="o"/>
      <w:lvlJc w:val="left"/>
      <w:pPr>
        <w:ind w:left="6138" w:hanging="360"/>
      </w:pPr>
      <w:rPr>
        <w:rFonts w:ascii="Courier New" w:hAnsi="Courier New" w:cs="Courier New" w:hint="default"/>
      </w:rPr>
    </w:lvl>
    <w:lvl w:ilvl="8" w:tplc="0C090005" w:tentative="1">
      <w:start w:val="1"/>
      <w:numFmt w:val="bullet"/>
      <w:lvlText w:val=""/>
      <w:lvlJc w:val="left"/>
      <w:pPr>
        <w:ind w:left="6858" w:hanging="360"/>
      </w:pPr>
      <w:rPr>
        <w:rFonts w:ascii="Wingdings" w:hAnsi="Wingdings" w:hint="default"/>
      </w:rPr>
    </w:lvl>
  </w:abstractNum>
  <w:abstractNum w:abstractNumId="3" w15:restartNumberingAfterBreak="0">
    <w:nsid w:val="0C555366"/>
    <w:multiLevelType w:val="hybridMultilevel"/>
    <w:tmpl w:val="552E3B5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35B338C"/>
    <w:multiLevelType w:val="hybridMultilevel"/>
    <w:tmpl w:val="8AA6ACB0"/>
    <w:lvl w:ilvl="0" w:tplc="8326D39A">
      <w:start w:val="1"/>
      <w:numFmt w:val="bullet"/>
      <w:lvlText w:val="•"/>
      <w:lvlJc w:val="left"/>
      <w:pPr>
        <w:ind w:left="7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726E596">
      <w:start w:val="1"/>
      <w:numFmt w:val="bullet"/>
      <w:lvlText w:val="o"/>
      <w:lvlJc w:val="left"/>
      <w:pPr>
        <w:ind w:left="14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D400C1E">
      <w:start w:val="1"/>
      <w:numFmt w:val="bullet"/>
      <w:lvlText w:val="▪"/>
      <w:lvlJc w:val="left"/>
      <w:pPr>
        <w:ind w:left="21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6EC629E">
      <w:start w:val="1"/>
      <w:numFmt w:val="bullet"/>
      <w:lvlText w:val="•"/>
      <w:lvlJc w:val="left"/>
      <w:pPr>
        <w:ind w:left="28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CB248D8">
      <w:start w:val="1"/>
      <w:numFmt w:val="bullet"/>
      <w:lvlText w:val="o"/>
      <w:lvlJc w:val="left"/>
      <w:pPr>
        <w:ind w:left="35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86A4DA4">
      <w:start w:val="1"/>
      <w:numFmt w:val="bullet"/>
      <w:lvlText w:val="▪"/>
      <w:lvlJc w:val="left"/>
      <w:pPr>
        <w:ind w:left="43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910FB0C">
      <w:start w:val="1"/>
      <w:numFmt w:val="bullet"/>
      <w:lvlText w:val="•"/>
      <w:lvlJc w:val="left"/>
      <w:pPr>
        <w:ind w:left="5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E42D22">
      <w:start w:val="1"/>
      <w:numFmt w:val="bullet"/>
      <w:lvlText w:val="o"/>
      <w:lvlJc w:val="left"/>
      <w:pPr>
        <w:ind w:left="57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5D0C6E8">
      <w:start w:val="1"/>
      <w:numFmt w:val="bullet"/>
      <w:lvlText w:val="▪"/>
      <w:lvlJc w:val="left"/>
      <w:pPr>
        <w:ind w:left="64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3C649D8"/>
    <w:multiLevelType w:val="hybridMultilevel"/>
    <w:tmpl w:val="6150A670"/>
    <w:lvl w:ilvl="0" w:tplc="AC10930C">
      <w:start w:val="1"/>
      <w:numFmt w:val="bullet"/>
      <w:lvlText w:val="•"/>
      <w:lvlJc w:val="left"/>
      <w:pPr>
        <w:ind w:left="7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C4EB5C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908C94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D467F4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BB2172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6F6F91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7F46BF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8229DF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D66718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51452B6"/>
    <w:multiLevelType w:val="hybridMultilevel"/>
    <w:tmpl w:val="98A6924E"/>
    <w:lvl w:ilvl="0" w:tplc="0C090001">
      <w:start w:val="1"/>
      <w:numFmt w:val="bullet"/>
      <w:lvlText w:val=""/>
      <w:lvlJc w:val="left"/>
      <w:pPr>
        <w:ind w:left="720" w:hanging="360"/>
      </w:pPr>
      <w:rPr>
        <w:rFonts w:ascii="Symbol" w:hAnsi="Symbol" w:hint="default"/>
      </w:rPr>
    </w:lvl>
    <w:lvl w:ilvl="1" w:tplc="0C090003">
      <w:numFmt w:val="decimal"/>
      <w:lvlText w:val="o"/>
      <w:lvlJc w:val="left"/>
      <w:pPr>
        <w:ind w:left="1440" w:hanging="360"/>
      </w:pPr>
      <w:rPr>
        <w:rFonts w:ascii="Courier New" w:hAnsi="Courier New" w:cs="Courier New" w:hint="default"/>
      </w:rPr>
    </w:lvl>
    <w:lvl w:ilvl="2" w:tplc="0C090005">
      <w:numFmt w:val="decimal"/>
      <w:lvlText w:val=""/>
      <w:lvlJc w:val="left"/>
      <w:pPr>
        <w:ind w:left="2160" w:hanging="360"/>
      </w:pPr>
      <w:rPr>
        <w:rFonts w:ascii="Wingdings" w:hAnsi="Wingdings" w:hint="default"/>
      </w:rPr>
    </w:lvl>
    <w:lvl w:ilvl="3" w:tplc="0C090001">
      <w:numFmt w:val="decimal"/>
      <w:lvlText w:val=""/>
      <w:lvlJc w:val="left"/>
      <w:pPr>
        <w:ind w:left="2880" w:hanging="360"/>
      </w:pPr>
      <w:rPr>
        <w:rFonts w:ascii="Symbol" w:hAnsi="Symbol" w:hint="default"/>
      </w:rPr>
    </w:lvl>
    <w:lvl w:ilvl="4" w:tplc="0C090003">
      <w:numFmt w:val="decimal"/>
      <w:lvlText w:val="o"/>
      <w:lvlJc w:val="left"/>
      <w:pPr>
        <w:ind w:left="3600" w:hanging="360"/>
      </w:pPr>
      <w:rPr>
        <w:rFonts w:ascii="Courier New" w:hAnsi="Courier New" w:cs="Courier New" w:hint="default"/>
      </w:rPr>
    </w:lvl>
    <w:lvl w:ilvl="5" w:tplc="0C090005">
      <w:numFmt w:val="decimal"/>
      <w:lvlText w:val=""/>
      <w:lvlJc w:val="left"/>
      <w:pPr>
        <w:ind w:left="4320" w:hanging="360"/>
      </w:pPr>
      <w:rPr>
        <w:rFonts w:ascii="Wingdings" w:hAnsi="Wingdings" w:hint="default"/>
      </w:rPr>
    </w:lvl>
    <w:lvl w:ilvl="6" w:tplc="0C090001">
      <w:numFmt w:val="decimal"/>
      <w:lvlText w:val=""/>
      <w:lvlJc w:val="left"/>
      <w:pPr>
        <w:ind w:left="5040" w:hanging="360"/>
      </w:pPr>
      <w:rPr>
        <w:rFonts w:ascii="Symbol" w:hAnsi="Symbol" w:hint="default"/>
      </w:rPr>
    </w:lvl>
    <w:lvl w:ilvl="7" w:tplc="0C090003">
      <w:numFmt w:val="decimal"/>
      <w:lvlText w:val="o"/>
      <w:lvlJc w:val="left"/>
      <w:pPr>
        <w:ind w:left="5760" w:hanging="360"/>
      </w:pPr>
      <w:rPr>
        <w:rFonts w:ascii="Courier New" w:hAnsi="Courier New" w:cs="Courier New" w:hint="default"/>
      </w:rPr>
    </w:lvl>
    <w:lvl w:ilvl="8" w:tplc="0C090005">
      <w:numFmt w:val="decimal"/>
      <w:lvlText w:val=""/>
      <w:lvlJc w:val="left"/>
      <w:pPr>
        <w:ind w:left="6480" w:hanging="360"/>
      </w:pPr>
      <w:rPr>
        <w:rFonts w:ascii="Wingdings" w:hAnsi="Wingdings" w:hint="default"/>
      </w:rPr>
    </w:lvl>
  </w:abstractNum>
  <w:abstractNum w:abstractNumId="7" w15:restartNumberingAfterBreak="0">
    <w:nsid w:val="17A4250D"/>
    <w:multiLevelType w:val="hybridMultilevel"/>
    <w:tmpl w:val="27E042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F745BC2"/>
    <w:multiLevelType w:val="multilevel"/>
    <w:tmpl w:val="029217B8"/>
    <w:numStyleLink w:val="BulletList"/>
  </w:abstractNum>
  <w:abstractNum w:abstractNumId="10" w15:restartNumberingAfterBreak="0">
    <w:nsid w:val="20157091"/>
    <w:multiLevelType w:val="multilevel"/>
    <w:tmpl w:val="54524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67053C"/>
    <w:multiLevelType w:val="hybridMultilevel"/>
    <w:tmpl w:val="E5162BC2"/>
    <w:lvl w:ilvl="0" w:tplc="0AB4FD9E">
      <w:start w:val="1"/>
      <w:numFmt w:val="decimal"/>
      <w:lvlText w:val="%1)"/>
      <w:lvlJc w:val="left"/>
      <w:pPr>
        <w:ind w:left="2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63822B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71617D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4783D4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306485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A120DF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F10FE9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70C232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35CC52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42145E1"/>
    <w:multiLevelType w:val="hybridMultilevel"/>
    <w:tmpl w:val="04405562"/>
    <w:lvl w:ilvl="0" w:tplc="19C05740">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1B07BBE">
      <w:start w:val="1"/>
      <w:numFmt w:val="bullet"/>
      <w:lvlText w:val="o"/>
      <w:lvlJc w:val="left"/>
      <w:pPr>
        <w:ind w:left="1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5706094">
      <w:start w:val="1"/>
      <w:numFmt w:val="bullet"/>
      <w:lvlText w:val="▪"/>
      <w:lvlJc w:val="left"/>
      <w:pPr>
        <w:ind w:left="21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8F60970">
      <w:start w:val="1"/>
      <w:numFmt w:val="bullet"/>
      <w:lvlText w:val="•"/>
      <w:lvlJc w:val="left"/>
      <w:pPr>
        <w:ind w:left="28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7CC4B0C">
      <w:start w:val="1"/>
      <w:numFmt w:val="bullet"/>
      <w:lvlText w:val="o"/>
      <w:lvlJc w:val="left"/>
      <w:pPr>
        <w:ind w:left="35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81C4316">
      <w:start w:val="1"/>
      <w:numFmt w:val="bullet"/>
      <w:lvlText w:val="▪"/>
      <w:lvlJc w:val="left"/>
      <w:pPr>
        <w:ind w:left="43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DDEC81E">
      <w:start w:val="1"/>
      <w:numFmt w:val="bullet"/>
      <w:lvlText w:val="•"/>
      <w:lvlJc w:val="left"/>
      <w:pPr>
        <w:ind w:left="5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C491D6">
      <w:start w:val="1"/>
      <w:numFmt w:val="bullet"/>
      <w:lvlText w:val="o"/>
      <w:lvlJc w:val="left"/>
      <w:pPr>
        <w:ind w:left="57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C2CF14">
      <w:start w:val="1"/>
      <w:numFmt w:val="bullet"/>
      <w:lvlText w:val="▪"/>
      <w:lvlJc w:val="left"/>
      <w:pPr>
        <w:ind w:left="64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A024182"/>
    <w:multiLevelType w:val="hybridMultilevel"/>
    <w:tmpl w:val="D4EA8B10"/>
    <w:lvl w:ilvl="0" w:tplc="68BA166C">
      <w:start w:val="1"/>
      <w:numFmt w:val="bullet"/>
      <w:lvlText w:val="•"/>
      <w:lvlJc w:val="left"/>
      <w:pPr>
        <w:ind w:left="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3C6BC64">
      <w:start w:val="1"/>
      <w:numFmt w:val="bullet"/>
      <w:lvlText w:val="o"/>
      <w:lvlJc w:val="left"/>
      <w:pPr>
        <w:ind w:left="14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A440FC">
      <w:start w:val="1"/>
      <w:numFmt w:val="bullet"/>
      <w:lvlText w:val="▪"/>
      <w:lvlJc w:val="left"/>
      <w:pPr>
        <w:ind w:left="21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378610E">
      <w:start w:val="1"/>
      <w:numFmt w:val="bullet"/>
      <w:lvlText w:val="•"/>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3C2AC0">
      <w:start w:val="1"/>
      <w:numFmt w:val="bullet"/>
      <w:lvlText w:val="o"/>
      <w:lvlJc w:val="left"/>
      <w:pPr>
        <w:ind w:left="35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BD2410A">
      <w:start w:val="1"/>
      <w:numFmt w:val="bullet"/>
      <w:lvlText w:val="▪"/>
      <w:lvlJc w:val="left"/>
      <w:pPr>
        <w:ind w:left="43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B102F70">
      <w:start w:val="1"/>
      <w:numFmt w:val="bullet"/>
      <w:lvlText w:val="•"/>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9208AAE">
      <w:start w:val="1"/>
      <w:numFmt w:val="bullet"/>
      <w:lvlText w:val="o"/>
      <w:lvlJc w:val="left"/>
      <w:pPr>
        <w:ind w:left="57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84F30E">
      <w:start w:val="1"/>
      <w:numFmt w:val="bullet"/>
      <w:lvlText w:val="▪"/>
      <w:lvlJc w:val="left"/>
      <w:pPr>
        <w:ind w:left="64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E1927A5"/>
    <w:multiLevelType w:val="hybridMultilevel"/>
    <w:tmpl w:val="39E69F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1095D99"/>
    <w:multiLevelType w:val="hybridMultilevel"/>
    <w:tmpl w:val="F1ACD5D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27619CC"/>
    <w:multiLevelType w:val="hybridMultilevel"/>
    <w:tmpl w:val="DF60029E"/>
    <w:lvl w:ilvl="0" w:tplc="AD1A7206">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44BE0E">
      <w:start w:val="1"/>
      <w:numFmt w:val="bullet"/>
      <w:lvlText w:val="o"/>
      <w:lvlJc w:val="left"/>
      <w:pPr>
        <w:ind w:left="15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4EF2B2">
      <w:start w:val="1"/>
      <w:numFmt w:val="bullet"/>
      <w:lvlText w:val="▪"/>
      <w:lvlJc w:val="left"/>
      <w:pPr>
        <w:ind w:left="22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5A6744E">
      <w:start w:val="1"/>
      <w:numFmt w:val="bullet"/>
      <w:lvlText w:val="•"/>
      <w:lvlJc w:val="left"/>
      <w:pPr>
        <w:ind w:left="2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D6F14C">
      <w:start w:val="1"/>
      <w:numFmt w:val="bullet"/>
      <w:lvlText w:val="o"/>
      <w:lvlJc w:val="left"/>
      <w:pPr>
        <w:ind w:left="36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1FAC2EA">
      <w:start w:val="1"/>
      <w:numFmt w:val="bullet"/>
      <w:lvlText w:val="▪"/>
      <w:lvlJc w:val="left"/>
      <w:pPr>
        <w:ind w:left="43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E084884">
      <w:start w:val="1"/>
      <w:numFmt w:val="bullet"/>
      <w:lvlText w:val="•"/>
      <w:lvlJc w:val="left"/>
      <w:pPr>
        <w:ind w:left="51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74E85AE">
      <w:start w:val="1"/>
      <w:numFmt w:val="bullet"/>
      <w:lvlText w:val="o"/>
      <w:lvlJc w:val="left"/>
      <w:pPr>
        <w:ind w:left="58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DEEB728">
      <w:start w:val="1"/>
      <w:numFmt w:val="bullet"/>
      <w:lvlText w:val="▪"/>
      <w:lvlJc w:val="left"/>
      <w:pPr>
        <w:ind w:left="6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4402A79"/>
    <w:multiLevelType w:val="multilevel"/>
    <w:tmpl w:val="59F68F2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D5A7180"/>
    <w:multiLevelType w:val="hybridMultilevel"/>
    <w:tmpl w:val="FB1AA76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AC43A2"/>
    <w:multiLevelType w:val="hybridMultilevel"/>
    <w:tmpl w:val="4672167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EE326F8"/>
    <w:multiLevelType w:val="hybridMultilevel"/>
    <w:tmpl w:val="7CEE17C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52AD6B1C"/>
    <w:multiLevelType w:val="hybridMultilevel"/>
    <w:tmpl w:val="9F7E23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47D0688"/>
    <w:multiLevelType w:val="hybridMultilevel"/>
    <w:tmpl w:val="9918D8C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7ED5D1C"/>
    <w:multiLevelType w:val="hybridMultilevel"/>
    <w:tmpl w:val="ACD615A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99D18AB"/>
    <w:multiLevelType w:val="hybridMultilevel"/>
    <w:tmpl w:val="4078A7AC"/>
    <w:lvl w:ilvl="0" w:tplc="162E3D20">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A6E4B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8A288B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F3EA24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154595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B0E009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5ABD7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31813A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35AD1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B173FBD"/>
    <w:multiLevelType w:val="hybridMultilevel"/>
    <w:tmpl w:val="0E1E1ACA"/>
    <w:lvl w:ilvl="0" w:tplc="FA88B49E">
      <w:start w:val="1"/>
      <w:numFmt w:val="lowerLetter"/>
      <w:lvlText w:val="(%1)"/>
      <w:lvlJc w:val="left"/>
      <w:pPr>
        <w:ind w:left="7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1D26EA6">
      <w:start w:val="1"/>
      <w:numFmt w:val="lowerRoman"/>
      <w:lvlText w:val="(%2)"/>
      <w:lvlJc w:val="left"/>
      <w:pPr>
        <w:ind w:left="21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EEA182A">
      <w:start w:val="1"/>
      <w:numFmt w:val="lowerRoman"/>
      <w:lvlText w:val="%3"/>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23E3CDE">
      <w:start w:val="1"/>
      <w:numFmt w:val="decimal"/>
      <w:lvlText w:val="%4"/>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D244F1C">
      <w:start w:val="1"/>
      <w:numFmt w:val="lowerLetter"/>
      <w:lvlText w:val="%5"/>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ED6459E">
      <w:start w:val="1"/>
      <w:numFmt w:val="lowerRoman"/>
      <w:lvlText w:val="%6"/>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FDEB5C6">
      <w:start w:val="1"/>
      <w:numFmt w:val="decimal"/>
      <w:lvlText w:val="%7"/>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942F0D0">
      <w:start w:val="1"/>
      <w:numFmt w:val="lowerLetter"/>
      <w:lvlText w:val="%8"/>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CB6ECDA">
      <w:start w:val="1"/>
      <w:numFmt w:val="lowerRoman"/>
      <w:lvlText w:val="%9"/>
      <w:lvlJc w:val="left"/>
      <w:pPr>
        <w:ind w:left="6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B602DE3"/>
    <w:multiLevelType w:val="hybridMultilevel"/>
    <w:tmpl w:val="24AC67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5456429"/>
    <w:multiLevelType w:val="multilevel"/>
    <w:tmpl w:val="E898CC72"/>
    <w:numStyleLink w:val="KeyPoints"/>
  </w:abstractNum>
  <w:abstractNum w:abstractNumId="30" w15:restartNumberingAfterBreak="0">
    <w:nsid w:val="665D5290"/>
    <w:multiLevelType w:val="hybridMultilevel"/>
    <w:tmpl w:val="4ABA14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728313C"/>
    <w:multiLevelType w:val="hybridMultilevel"/>
    <w:tmpl w:val="F962E934"/>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6ABE5337"/>
    <w:multiLevelType w:val="hybridMultilevel"/>
    <w:tmpl w:val="6A583A06"/>
    <w:lvl w:ilvl="0" w:tplc="5AB2D1F8">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46897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D647D3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E2B6D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34461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0BE77A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1FAE5A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94620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C467FE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B6D73A1"/>
    <w:multiLevelType w:val="hybridMultilevel"/>
    <w:tmpl w:val="521ECABA"/>
    <w:lvl w:ilvl="0" w:tplc="F3EE73E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789E3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1F4FDD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DFCB54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FF6039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0CEFBE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CB8D60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EE0D26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2662D9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5"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36"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37" w15:restartNumberingAfterBreak="0">
    <w:nsid w:val="7AB3786E"/>
    <w:multiLevelType w:val="hybridMultilevel"/>
    <w:tmpl w:val="4672167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AB37C24"/>
    <w:multiLevelType w:val="hybridMultilevel"/>
    <w:tmpl w:val="A0DA3B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BFB0EB7"/>
    <w:multiLevelType w:val="hybridMultilevel"/>
    <w:tmpl w:val="5EECDA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D8C2AFD"/>
    <w:multiLevelType w:val="hybridMultilevel"/>
    <w:tmpl w:val="D7381BB6"/>
    <w:lvl w:ilvl="0" w:tplc="99CA6BF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48B17C">
      <w:start w:val="1"/>
      <w:numFmt w:val="bullet"/>
      <w:lvlText w:val="o"/>
      <w:lvlJc w:val="left"/>
      <w:pPr>
        <w:ind w:left="14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3B21558">
      <w:start w:val="1"/>
      <w:numFmt w:val="bullet"/>
      <w:lvlText w:val="▪"/>
      <w:lvlJc w:val="left"/>
      <w:pPr>
        <w:ind w:left="21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BF218C4">
      <w:start w:val="1"/>
      <w:numFmt w:val="bullet"/>
      <w:lvlText w:val="•"/>
      <w:lvlJc w:val="left"/>
      <w:pPr>
        <w:ind w:left="28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4C0C3A">
      <w:start w:val="1"/>
      <w:numFmt w:val="bullet"/>
      <w:lvlText w:val="o"/>
      <w:lvlJc w:val="left"/>
      <w:pPr>
        <w:ind w:left="35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1DA7EA2">
      <w:start w:val="1"/>
      <w:numFmt w:val="bullet"/>
      <w:lvlText w:val="▪"/>
      <w:lvlJc w:val="left"/>
      <w:pPr>
        <w:ind w:left="43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34EE09C">
      <w:start w:val="1"/>
      <w:numFmt w:val="bullet"/>
      <w:lvlText w:val="•"/>
      <w:lvlJc w:val="left"/>
      <w:pPr>
        <w:ind w:left="5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8B6AEEE">
      <w:start w:val="1"/>
      <w:numFmt w:val="bullet"/>
      <w:lvlText w:val="o"/>
      <w:lvlJc w:val="left"/>
      <w:pPr>
        <w:ind w:left="57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0984452">
      <w:start w:val="1"/>
      <w:numFmt w:val="bullet"/>
      <w:lvlText w:val="▪"/>
      <w:lvlJc w:val="left"/>
      <w:pPr>
        <w:ind w:left="64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DDC2682"/>
    <w:multiLevelType w:val="hybridMultilevel"/>
    <w:tmpl w:val="21E0D6F2"/>
    <w:lvl w:ilvl="0" w:tplc="A2DEA7B0">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AAFB58">
      <w:start w:val="1"/>
      <w:numFmt w:val="bullet"/>
      <w:lvlText w:val="o"/>
      <w:lvlJc w:val="left"/>
      <w:pPr>
        <w:ind w:left="1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AA2123C">
      <w:start w:val="1"/>
      <w:numFmt w:val="bullet"/>
      <w:lvlText w:val="▪"/>
      <w:lvlJc w:val="left"/>
      <w:pPr>
        <w:ind w:left="21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D640514">
      <w:start w:val="1"/>
      <w:numFmt w:val="bullet"/>
      <w:lvlText w:val="•"/>
      <w:lvlJc w:val="left"/>
      <w:pPr>
        <w:ind w:left="28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88E1C78">
      <w:start w:val="1"/>
      <w:numFmt w:val="bullet"/>
      <w:lvlText w:val="o"/>
      <w:lvlJc w:val="left"/>
      <w:pPr>
        <w:ind w:left="35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242B304">
      <w:start w:val="1"/>
      <w:numFmt w:val="bullet"/>
      <w:lvlText w:val="▪"/>
      <w:lvlJc w:val="left"/>
      <w:pPr>
        <w:ind w:left="43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5565682">
      <w:start w:val="1"/>
      <w:numFmt w:val="bullet"/>
      <w:lvlText w:val="•"/>
      <w:lvlJc w:val="left"/>
      <w:pPr>
        <w:ind w:left="5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8A5F3E">
      <w:start w:val="1"/>
      <w:numFmt w:val="bullet"/>
      <w:lvlText w:val="o"/>
      <w:lvlJc w:val="left"/>
      <w:pPr>
        <w:ind w:left="57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D58E182">
      <w:start w:val="1"/>
      <w:numFmt w:val="bullet"/>
      <w:lvlText w:val="▪"/>
      <w:lvlJc w:val="left"/>
      <w:pPr>
        <w:ind w:left="64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34"/>
  </w:num>
  <w:num w:numId="2">
    <w:abstractNumId w:val="0"/>
  </w:num>
  <w:num w:numId="3">
    <w:abstractNumId w:val="19"/>
  </w:num>
  <w:num w:numId="4">
    <w:abstractNumId w:val="15"/>
  </w:num>
  <w:num w:numId="5">
    <w:abstractNumId w:val="29"/>
  </w:num>
  <w:num w:numId="6">
    <w:abstractNumId w:val="8"/>
  </w:num>
  <w:num w:numId="7">
    <w:abstractNumId w:val="9"/>
    <w:lvlOverride w:ilvl="0">
      <w:lvl w:ilvl="0">
        <w:start w:val="1"/>
        <w:numFmt w:val="bullet"/>
        <w:lvlText w:val=""/>
        <w:lvlJc w:val="left"/>
        <w:pPr>
          <w:ind w:left="369" w:hanging="369"/>
        </w:pPr>
        <w:rPr>
          <w:rFonts w:ascii="Symbol" w:hAnsi="Symbol" w:hint="default"/>
        </w:rPr>
      </w:lvl>
    </w:lvlOverride>
  </w:num>
  <w:num w:numId="8">
    <w:abstractNumId w:val="35"/>
  </w:num>
  <w:num w:numId="9">
    <w:abstractNumId w:val="36"/>
  </w:num>
  <w:num w:numId="10">
    <w:abstractNumId w:val="25"/>
  </w:num>
  <w:num w:numId="11">
    <w:abstractNumId w:val="18"/>
  </w:num>
  <w:num w:numId="12">
    <w:abstractNumId w:val="31"/>
  </w:num>
  <w:num w:numId="13">
    <w:abstractNumId w:val="22"/>
  </w:num>
  <w:num w:numId="14">
    <w:abstractNumId w:val="30"/>
  </w:num>
  <w:num w:numId="15">
    <w:abstractNumId w:val="7"/>
  </w:num>
  <w:num w:numId="16">
    <w:abstractNumId w:val="14"/>
  </w:num>
  <w:num w:numId="17">
    <w:abstractNumId w:val="10"/>
  </w:num>
  <w:num w:numId="18">
    <w:abstractNumId w:val="28"/>
  </w:num>
  <w:num w:numId="19">
    <w:abstractNumId w:val="37"/>
  </w:num>
  <w:num w:numId="20">
    <w:abstractNumId w:val="20"/>
  </w:num>
  <w:num w:numId="21">
    <w:abstractNumId w:val="39"/>
  </w:num>
  <w:num w:numId="22">
    <w:abstractNumId w:val="2"/>
  </w:num>
  <w:num w:numId="23">
    <w:abstractNumId w:val="16"/>
  </w:num>
  <w:num w:numId="24">
    <w:abstractNumId w:val="38"/>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1"/>
  </w:num>
  <w:num w:numId="29">
    <w:abstractNumId w:val="6"/>
  </w:num>
  <w:num w:numId="30">
    <w:abstractNumId w:val="23"/>
  </w:num>
  <w:num w:numId="31">
    <w:abstractNumId w:val="24"/>
  </w:num>
  <w:num w:numId="32">
    <w:abstractNumId w:val="3"/>
  </w:num>
  <w:num w:numId="33">
    <w:abstractNumId w:val="13"/>
  </w:num>
  <w:num w:numId="34">
    <w:abstractNumId w:val="41"/>
  </w:num>
  <w:num w:numId="35">
    <w:abstractNumId w:val="26"/>
  </w:num>
  <w:num w:numId="36">
    <w:abstractNumId w:val="33"/>
  </w:num>
  <w:num w:numId="37">
    <w:abstractNumId w:val="4"/>
  </w:num>
  <w:num w:numId="38">
    <w:abstractNumId w:val="12"/>
  </w:num>
  <w:num w:numId="39">
    <w:abstractNumId w:val="32"/>
  </w:num>
  <w:num w:numId="40">
    <w:abstractNumId w:val="11"/>
  </w:num>
  <w:num w:numId="41">
    <w:abstractNumId w:val="27"/>
  </w:num>
  <w:num w:numId="42">
    <w:abstractNumId w:val="40"/>
  </w:num>
  <w:num w:numId="43">
    <w:abstractNumId w:val="17"/>
  </w:num>
  <w:num w:numId="44">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463A45"/>
    <w:rsid w:val="00000A85"/>
    <w:rsid w:val="00001149"/>
    <w:rsid w:val="00002ABD"/>
    <w:rsid w:val="00002CEF"/>
    <w:rsid w:val="00003548"/>
    <w:rsid w:val="00004AEE"/>
    <w:rsid w:val="00005CAA"/>
    <w:rsid w:val="00006175"/>
    <w:rsid w:val="00007679"/>
    <w:rsid w:val="00007905"/>
    <w:rsid w:val="00007B80"/>
    <w:rsid w:val="00007F36"/>
    <w:rsid w:val="00010210"/>
    <w:rsid w:val="000106D6"/>
    <w:rsid w:val="00011909"/>
    <w:rsid w:val="000125A1"/>
    <w:rsid w:val="00012628"/>
    <w:rsid w:val="00012A33"/>
    <w:rsid w:val="00012D66"/>
    <w:rsid w:val="00013150"/>
    <w:rsid w:val="00013CBF"/>
    <w:rsid w:val="00014183"/>
    <w:rsid w:val="000141B7"/>
    <w:rsid w:val="00014775"/>
    <w:rsid w:val="0001595B"/>
    <w:rsid w:val="00015ADA"/>
    <w:rsid w:val="00016D74"/>
    <w:rsid w:val="00020C99"/>
    <w:rsid w:val="0002116E"/>
    <w:rsid w:val="000213A1"/>
    <w:rsid w:val="0002245D"/>
    <w:rsid w:val="000227A2"/>
    <w:rsid w:val="000228BB"/>
    <w:rsid w:val="0002308E"/>
    <w:rsid w:val="00023ED4"/>
    <w:rsid w:val="00024211"/>
    <w:rsid w:val="0002480F"/>
    <w:rsid w:val="00024D69"/>
    <w:rsid w:val="00026853"/>
    <w:rsid w:val="0002707B"/>
    <w:rsid w:val="0003010D"/>
    <w:rsid w:val="00030396"/>
    <w:rsid w:val="00030521"/>
    <w:rsid w:val="00030554"/>
    <w:rsid w:val="00031662"/>
    <w:rsid w:val="0003197E"/>
    <w:rsid w:val="00032061"/>
    <w:rsid w:val="000321B6"/>
    <w:rsid w:val="00034ABE"/>
    <w:rsid w:val="00034E94"/>
    <w:rsid w:val="0003524D"/>
    <w:rsid w:val="00035F54"/>
    <w:rsid w:val="000361C1"/>
    <w:rsid w:val="000364BF"/>
    <w:rsid w:val="0003656D"/>
    <w:rsid w:val="00036F59"/>
    <w:rsid w:val="0003737C"/>
    <w:rsid w:val="0004065E"/>
    <w:rsid w:val="00040A5A"/>
    <w:rsid w:val="0004106D"/>
    <w:rsid w:val="00041622"/>
    <w:rsid w:val="000417CA"/>
    <w:rsid w:val="00041F62"/>
    <w:rsid w:val="000427A3"/>
    <w:rsid w:val="00044F94"/>
    <w:rsid w:val="00045267"/>
    <w:rsid w:val="000452F3"/>
    <w:rsid w:val="00045A3E"/>
    <w:rsid w:val="00046192"/>
    <w:rsid w:val="000467A2"/>
    <w:rsid w:val="00047026"/>
    <w:rsid w:val="00050450"/>
    <w:rsid w:val="0005148E"/>
    <w:rsid w:val="00052147"/>
    <w:rsid w:val="00052177"/>
    <w:rsid w:val="0005259E"/>
    <w:rsid w:val="0005272D"/>
    <w:rsid w:val="00052904"/>
    <w:rsid w:val="00053C63"/>
    <w:rsid w:val="00054035"/>
    <w:rsid w:val="00054A98"/>
    <w:rsid w:val="00054F40"/>
    <w:rsid w:val="0005582B"/>
    <w:rsid w:val="00056E19"/>
    <w:rsid w:val="000572BF"/>
    <w:rsid w:val="0005759D"/>
    <w:rsid w:val="00057934"/>
    <w:rsid w:val="00057F54"/>
    <w:rsid w:val="00057F8E"/>
    <w:rsid w:val="00060995"/>
    <w:rsid w:val="00063064"/>
    <w:rsid w:val="000630C8"/>
    <w:rsid w:val="0006343A"/>
    <w:rsid w:val="000648BC"/>
    <w:rsid w:val="00066034"/>
    <w:rsid w:val="00066637"/>
    <w:rsid w:val="000666CA"/>
    <w:rsid w:val="00066CFD"/>
    <w:rsid w:val="0006797E"/>
    <w:rsid w:val="0007127A"/>
    <w:rsid w:val="00072C5A"/>
    <w:rsid w:val="0007405B"/>
    <w:rsid w:val="00074188"/>
    <w:rsid w:val="000747E7"/>
    <w:rsid w:val="00074FFE"/>
    <w:rsid w:val="000759E5"/>
    <w:rsid w:val="00075FC6"/>
    <w:rsid w:val="00076EFC"/>
    <w:rsid w:val="00077E0E"/>
    <w:rsid w:val="00081E69"/>
    <w:rsid w:val="000825B2"/>
    <w:rsid w:val="00082605"/>
    <w:rsid w:val="00082F21"/>
    <w:rsid w:val="000831CF"/>
    <w:rsid w:val="00083497"/>
    <w:rsid w:val="00083903"/>
    <w:rsid w:val="000841F5"/>
    <w:rsid w:val="00084AC6"/>
    <w:rsid w:val="0008558D"/>
    <w:rsid w:val="000860F7"/>
    <w:rsid w:val="00086BCC"/>
    <w:rsid w:val="000900EC"/>
    <w:rsid w:val="00091608"/>
    <w:rsid w:val="000919CE"/>
    <w:rsid w:val="0009297C"/>
    <w:rsid w:val="00092A77"/>
    <w:rsid w:val="000930C1"/>
    <w:rsid w:val="0009333C"/>
    <w:rsid w:val="000935AE"/>
    <w:rsid w:val="00093738"/>
    <w:rsid w:val="00094141"/>
    <w:rsid w:val="00095BEB"/>
    <w:rsid w:val="00095EBB"/>
    <w:rsid w:val="000966D4"/>
    <w:rsid w:val="0009704F"/>
    <w:rsid w:val="0009712D"/>
    <w:rsid w:val="00097347"/>
    <w:rsid w:val="00097655"/>
    <w:rsid w:val="000A0F11"/>
    <w:rsid w:val="000A0F6C"/>
    <w:rsid w:val="000A125A"/>
    <w:rsid w:val="000A1E48"/>
    <w:rsid w:val="000A324C"/>
    <w:rsid w:val="000A3716"/>
    <w:rsid w:val="000A46C9"/>
    <w:rsid w:val="000A47F6"/>
    <w:rsid w:val="000A57CD"/>
    <w:rsid w:val="000A6BB4"/>
    <w:rsid w:val="000A6D51"/>
    <w:rsid w:val="000A6E17"/>
    <w:rsid w:val="000B1022"/>
    <w:rsid w:val="000B1D68"/>
    <w:rsid w:val="000B2634"/>
    <w:rsid w:val="000B36F7"/>
    <w:rsid w:val="000B3758"/>
    <w:rsid w:val="000B3BD8"/>
    <w:rsid w:val="000B468B"/>
    <w:rsid w:val="000B4F39"/>
    <w:rsid w:val="000B5CC7"/>
    <w:rsid w:val="000B6221"/>
    <w:rsid w:val="000B68FC"/>
    <w:rsid w:val="000B7681"/>
    <w:rsid w:val="000B790D"/>
    <w:rsid w:val="000B7B42"/>
    <w:rsid w:val="000C02B7"/>
    <w:rsid w:val="000C162F"/>
    <w:rsid w:val="000C1AB9"/>
    <w:rsid w:val="000C1ADC"/>
    <w:rsid w:val="000C36AA"/>
    <w:rsid w:val="000C4CD3"/>
    <w:rsid w:val="000C5100"/>
    <w:rsid w:val="000C5342"/>
    <w:rsid w:val="000C54EB"/>
    <w:rsid w:val="000C5B26"/>
    <w:rsid w:val="000C62E7"/>
    <w:rsid w:val="000C706A"/>
    <w:rsid w:val="000C7359"/>
    <w:rsid w:val="000C7574"/>
    <w:rsid w:val="000D00EF"/>
    <w:rsid w:val="000D0A53"/>
    <w:rsid w:val="000D0C94"/>
    <w:rsid w:val="000D1443"/>
    <w:rsid w:val="000D2108"/>
    <w:rsid w:val="000D2162"/>
    <w:rsid w:val="000D2887"/>
    <w:rsid w:val="000D49F9"/>
    <w:rsid w:val="000D5661"/>
    <w:rsid w:val="000D5CB2"/>
    <w:rsid w:val="000D69A3"/>
    <w:rsid w:val="000D6D63"/>
    <w:rsid w:val="000D7061"/>
    <w:rsid w:val="000D771F"/>
    <w:rsid w:val="000D7F4B"/>
    <w:rsid w:val="000E0081"/>
    <w:rsid w:val="000E02A2"/>
    <w:rsid w:val="000E07CF"/>
    <w:rsid w:val="000E14AE"/>
    <w:rsid w:val="000E1E39"/>
    <w:rsid w:val="000E31C1"/>
    <w:rsid w:val="000E396A"/>
    <w:rsid w:val="000E41B6"/>
    <w:rsid w:val="000E43EA"/>
    <w:rsid w:val="000E46F9"/>
    <w:rsid w:val="000E554C"/>
    <w:rsid w:val="000E5BFB"/>
    <w:rsid w:val="000E61D4"/>
    <w:rsid w:val="000E6C6F"/>
    <w:rsid w:val="000F2261"/>
    <w:rsid w:val="000F25D9"/>
    <w:rsid w:val="000F2634"/>
    <w:rsid w:val="000F2CF2"/>
    <w:rsid w:val="000F3D88"/>
    <w:rsid w:val="000F4141"/>
    <w:rsid w:val="000F448A"/>
    <w:rsid w:val="000F486F"/>
    <w:rsid w:val="000F4FA3"/>
    <w:rsid w:val="000F51FC"/>
    <w:rsid w:val="000F5214"/>
    <w:rsid w:val="000F5982"/>
    <w:rsid w:val="000F61CF"/>
    <w:rsid w:val="000F625F"/>
    <w:rsid w:val="000F64D5"/>
    <w:rsid w:val="000F6943"/>
    <w:rsid w:val="000F6D58"/>
    <w:rsid w:val="000F7A31"/>
    <w:rsid w:val="000F7DB8"/>
    <w:rsid w:val="0010017A"/>
    <w:rsid w:val="00100BEF"/>
    <w:rsid w:val="0010105E"/>
    <w:rsid w:val="001019CF"/>
    <w:rsid w:val="00101CDF"/>
    <w:rsid w:val="0010296C"/>
    <w:rsid w:val="00104974"/>
    <w:rsid w:val="00104DAB"/>
    <w:rsid w:val="001066F8"/>
    <w:rsid w:val="001104D3"/>
    <w:rsid w:val="001109BE"/>
    <w:rsid w:val="00111326"/>
    <w:rsid w:val="00111796"/>
    <w:rsid w:val="001117DB"/>
    <w:rsid w:val="00111E21"/>
    <w:rsid w:val="00112790"/>
    <w:rsid w:val="00113760"/>
    <w:rsid w:val="00113E7E"/>
    <w:rsid w:val="00113EB5"/>
    <w:rsid w:val="00113F5F"/>
    <w:rsid w:val="0011498E"/>
    <w:rsid w:val="001149FF"/>
    <w:rsid w:val="00114B53"/>
    <w:rsid w:val="00115441"/>
    <w:rsid w:val="0011557A"/>
    <w:rsid w:val="00115C38"/>
    <w:rsid w:val="001161A5"/>
    <w:rsid w:val="00117399"/>
    <w:rsid w:val="00117895"/>
    <w:rsid w:val="00117A45"/>
    <w:rsid w:val="00120259"/>
    <w:rsid w:val="001203F4"/>
    <w:rsid w:val="00120D57"/>
    <w:rsid w:val="001224AE"/>
    <w:rsid w:val="00122F82"/>
    <w:rsid w:val="00123246"/>
    <w:rsid w:val="0012699E"/>
    <w:rsid w:val="00126D93"/>
    <w:rsid w:val="00127133"/>
    <w:rsid w:val="0012766D"/>
    <w:rsid w:val="00130017"/>
    <w:rsid w:val="001307A7"/>
    <w:rsid w:val="001310E4"/>
    <w:rsid w:val="00132E9B"/>
    <w:rsid w:val="001337D4"/>
    <w:rsid w:val="001338DA"/>
    <w:rsid w:val="00134108"/>
    <w:rsid w:val="001342EB"/>
    <w:rsid w:val="00134428"/>
    <w:rsid w:val="001344F2"/>
    <w:rsid w:val="001345D8"/>
    <w:rsid w:val="00134B9A"/>
    <w:rsid w:val="00134C7B"/>
    <w:rsid w:val="00136A4F"/>
    <w:rsid w:val="00137B07"/>
    <w:rsid w:val="001425B8"/>
    <w:rsid w:val="00142C28"/>
    <w:rsid w:val="00142EE9"/>
    <w:rsid w:val="00144E41"/>
    <w:rsid w:val="001465E5"/>
    <w:rsid w:val="00147526"/>
    <w:rsid w:val="00147C12"/>
    <w:rsid w:val="0015089A"/>
    <w:rsid w:val="00151ECD"/>
    <w:rsid w:val="001527A1"/>
    <w:rsid w:val="00152EC5"/>
    <w:rsid w:val="00153090"/>
    <w:rsid w:val="001530DC"/>
    <w:rsid w:val="001537F5"/>
    <w:rsid w:val="001539E6"/>
    <w:rsid w:val="00153DF0"/>
    <w:rsid w:val="00154989"/>
    <w:rsid w:val="00154C4A"/>
    <w:rsid w:val="00155A9F"/>
    <w:rsid w:val="0015659C"/>
    <w:rsid w:val="00157139"/>
    <w:rsid w:val="00160262"/>
    <w:rsid w:val="00160B38"/>
    <w:rsid w:val="001613F8"/>
    <w:rsid w:val="0016152F"/>
    <w:rsid w:val="00163167"/>
    <w:rsid w:val="00164077"/>
    <w:rsid w:val="00166725"/>
    <w:rsid w:val="00166A72"/>
    <w:rsid w:val="0016780A"/>
    <w:rsid w:val="00170192"/>
    <w:rsid w:val="001701B0"/>
    <w:rsid w:val="00170E85"/>
    <w:rsid w:val="001713FA"/>
    <w:rsid w:val="00171B1B"/>
    <w:rsid w:val="00171B61"/>
    <w:rsid w:val="00173704"/>
    <w:rsid w:val="00173CFF"/>
    <w:rsid w:val="00173EBF"/>
    <w:rsid w:val="001747BE"/>
    <w:rsid w:val="00175ED3"/>
    <w:rsid w:val="00176494"/>
    <w:rsid w:val="0017722A"/>
    <w:rsid w:val="00177FBB"/>
    <w:rsid w:val="001800E9"/>
    <w:rsid w:val="00183825"/>
    <w:rsid w:val="00183D36"/>
    <w:rsid w:val="001842A2"/>
    <w:rsid w:val="001842D1"/>
    <w:rsid w:val="001843CC"/>
    <w:rsid w:val="001849EA"/>
    <w:rsid w:val="00184CCF"/>
    <w:rsid w:val="00184D07"/>
    <w:rsid w:val="00185546"/>
    <w:rsid w:val="00185BDA"/>
    <w:rsid w:val="00186385"/>
    <w:rsid w:val="0018736B"/>
    <w:rsid w:val="00187FA8"/>
    <w:rsid w:val="001913AE"/>
    <w:rsid w:val="0019159E"/>
    <w:rsid w:val="00192249"/>
    <w:rsid w:val="001922AF"/>
    <w:rsid w:val="00192613"/>
    <w:rsid w:val="00192E6B"/>
    <w:rsid w:val="00192F5E"/>
    <w:rsid w:val="0019332B"/>
    <w:rsid w:val="00193D9F"/>
    <w:rsid w:val="001955CD"/>
    <w:rsid w:val="00196684"/>
    <w:rsid w:val="0019735D"/>
    <w:rsid w:val="00197645"/>
    <w:rsid w:val="00197772"/>
    <w:rsid w:val="001978A6"/>
    <w:rsid w:val="001A013C"/>
    <w:rsid w:val="001A0AE5"/>
    <w:rsid w:val="001A0CD1"/>
    <w:rsid w:val="001A0EB8"/>
    <w:rsid w:val="001A12A4"/>
    <w:rsid w:val="001A14A4"/>
    <w:rsid w:val="001A17BB"/>
    <w:rsid w:val="001A281C"/>
    <w:rsid w:val="001A2D94"/>
    <w:rsid w:val="001A34A7"/>
    <w:rsid w:val="001A440E"/>
    <w:rsid w:val="001A51C8"/>
    <w:rsid w:val="001A528F"/>
    <w:rsid w:val="001A6705"/>
    <w:rsid w:val="001A793D"/>
    <w:rsid w:val="001A79D0"/>
    <w:rsid w:val="001B007B"/>
    <w:rsid w:val="001B045E"/>
    <w:rsid w:val="001B1F92"/>
    <w:rsid w:val="001B21E9"/>
    <w:rsid w:val="001B23B4"/>
    <w:rsid w:val="001B297A"/>
    <w:rsid w:val="001B3785"/>
    <w:rsid w:val="001B3A80"/>
    <w:rsid w:val="001B3C7C"/>
    <w:rsid w:val="001B427F"/>
    <w:rsid w:val="001B4AB6"/>
    <w:rsid w:val="001B4CA8"/>
    <w:rsid w:val="001B4E19"/>
    <w:rsid w:val="001B54F8"/>
    <w:rsid w:val="001B57BE"/>
    <w:rsid w:val="001B5AA8"/>
    <w:rsid w:val="001B5EA1"/>
    <w:rsid w:val="001B5EDC"/>
    <w:rsid w:val="001B686B"/>
    <w:rsid w:val="001B6D14"/>
    <w:rsid w:val="001B7160"/>
    <w:rsid w:val="001C103B"/>
    <w:rsid w:val="001C1D12"/>
    <w:rsid w:val="001C2F17"/>
    <w:rsid w:val="001C3172"/>
    <w:rsid w:val="001C48F1"/>
    <w:rsid w:val="001C4E07"/>
    <w:rsid w:val="001C4F3D"/>
    <w:rsid w:val="001C603C"/>
    <w:rsid w:val="001C624E"/>
    <w:rsid w:val="001C68E7"/>
    <w:rsid w:val="001C6997"/>
    <w:rsid w:val="001C6B9C"/>
    <w:rsid w:val="001C70CA"/>
    <w:rsid w:val="001D00AD"/>
    <w:rsid w:val="001D0A54"/>
    <w:rsid w:val="001D0C48"/>
    <w:rsid w:val="001D0CDC"/>
    <w:rsid w:val="001D0E0D"/>
    <w:rsid w:val="001D13C5"/>
    <w:rsid w:val="001D1713"/>
    <w:rsid w:val="001D1BF0"/>
    <w:rsid w:val="001D1D82"/>
    <w:rsid w:val="001D2CEC"/>
    <w:rsid w:val="001D4871"/>
    <w:rsid w:val="001D55C1"/>
    <w:rsid w:val="001D6C5A"/>
    <w:rsid w:val="001D7069"/>
    <w:rsid w:val="001D7C12"/>
    <w:rsid w:val="001E1182"/>
    <w:rsid w:val="001E1380"/>
    <w:rsid w:val="001E17EB"/>
    <w:rsid w:val="001E1D06"/>
    <w:rsid w:val="001E2F75"/>
    <w:rsid w:val="001E412F"/>
    <w:rsid w:val="001E4161"/>
    <w:rsid w:val="001E53A2"/>
    <w:rsid w:val="001E639E"/>
    <w:rsid w:val="001E713F"/>
    <w:rsid w:val="001E7853"/>
    <w:rsid w:val="001F0991"/>
    <w:rsid w:val="001F17CE"/>
    <w:rsid w:val="001F27F3"/>
    <w:rsid w:val="001F29BF"/>
    <w:rsid w:val="001F2AE3"/>
    <w:rsid w:val="001F3C88"/>
    <w:rsid w:val="001F3C99"/>
    <w:rsid w:val="001F4207"/>
    <w:rsid w:val="001F4CAA"/>
    <w:rsid w:val="001F4F92"/>
    <w:rsid w:val="001F596B"/>
    <w:rsid w:val="001F75AE"/>
    <w:rsid w:val="00200F87"/>
    <w:rsid w:val="002022E9"/>
    <w:rsid w:val="00202C90"/>
    <w:rsid w:val="00202F84"/>
    <w:rsid w:val="002031BA"/>
    <w:rsid w:val="002055AD"/>
    <w:rsid w:val="00205E38"/>
    <w:rsid w:val="00206E55"/>
    <w:rsid w:val="0020799A"/>
    <w:rsid w:val="002102B3"/>
    <w:rsid w:val="00210876"/>
    <w:rsid w:val="00210D66"/>
    <w:rsid w:val="00210F68"/>
    <w:rsid w:val="002112CA"/>
    <w:rsid w:val="002138F4"/>
    <w:rsid w:val="00213DE8"/>
    <w:rsid w:val="002143E0"/>
    <w:rsid w:val="00214C0E"/>
    <w:rsid w:val="00215128"/>
    <w:rsid w:val="00215FE3"/>
    <w:rsid w:val="00216118"/>
    <w:rsid w:val="0021630E"/>
    <w:rsid w:val="00216DC7"/>
    <w:rsid w:val="0021756E"/>
    <w:rsid w:val="00217C1C"/>
    <w:rsid w:val="00217C49"/>
    <w:rsid w:val="00217ECA"/>
    <w:rsid w:val="002209AB"/>
    <w:rsid w:val="00221582"/>
    <w:rsid w:val="00221E97"/>
    <w:rsid w:val="00222BD0"/>
    <w:rsid w:val="00223C3E"/>
    <w:rsid w:val="00224789"/>
    <w:rsid w:val="002251E3"/>
    <w:rsid w:val="002257CB"/>
    <w:rsid w:val="00225D93"/>
    <w:rsid w:val="0022661E"/>
    <w:rsid w:val="002270E2"/>
    <w:rsid w:val="00227603"/>
    <w:rsid w:val="00227A95"/>
    <w:rsid w:val="002302AC"/>
    <w:rsid w:val="0023133F"/>
    <w:rsid w:val="00231599"/>
    <w:rsid w:val="002316BD"/>
    <w:rsid w:val="00231C67"/>
    <w:rsid w:val="0023366D"/>
    <w:rsid w:val="00234169"/>
    <w:rsid w:val="00234940"/>
    <w:rsid w:val="00234F4D"/>
    <w:rsid w:val="002359A0"/>
    <w:rsid w:val="0023670C"/>
    <w:rsid w:val="00237D40"/>
    <w:rsid w:val="002404FC"/>
    <w:rsid w:val="00241F33"/>
    <w:rsid w:val="00242685"/>
    <w:rsid w:val="002429A5"/>
    <w:rsid w:val="00244621"/>
    <w:rsid w:val="00244C9D"/>
    <w:rsid w:val="00244D96"/>
    <w:rsid w:val="00244DAB"/>
    <w:rsid w:val="00244FC0"/>
    <w:rsid w:val="002464B6"/>
    <w:rsid w:val="002472A7"/>
    <w:rsid w:val="002473FC"/>
    <w:rsid w:val="00250188"/>
    <w:rsid w:val="0025171B"/>
    <w:rsid w:val="00252E3C"/>
    <w:rsid w:val="00252EF5"/>
    <w:rsid w:val="00254665"/>
    <w:rsid w:val="00254C2B"/>
    <w:rsid w:val="00254E57"/>
    <w:rsid w:val="002559FD"/>
    <w:rsid w:val="00255BF9"/>
    <w:rsid w:val="00256A47"/>
    <w:rsid w:val="0025708B"/>
    <w:rsid w:val="00257F92"/>
    <w:rsid w:val="00260210"/>
    <w:rsid w:val="00261448"/>
    <w:rsid w:val="00261C49"/>
    <w:rsid w:val="00261FE3"/>
    <w:rsid w:val="0026211D"/>
    <w:rsid w:val="00262198"/>
    <w:rsid w:val="00262521"/>
    <w:rsid w:val="00263514"/>
    <w:rsid w:val="002635C0"/>
    <w:rsid w:val="00264263"/>
    <w:rsid w:val="0026445A"/>
    <w:rsid w:val="00264A6C"/>
    <w:rsid w:val="00265044"/>
    <w:rsid w:val="00265709"/>
    <w:rsid w:val="0026767F"/>
    <w:rsid w:val="00267965"/>
    <w:rsid w:val="0027138D"/>
    <w:rsid w:val="002725F9"/>
    <w:rsid w:val="00272C6A"/>
    <w:rsid w:val="00273613"/>
    <w:rsid w:val="00273AC2"/>
    <w:rsid w:val="00273EEF"/>
    <w:rsid w:val="0027415B"/>
    <w:rsid w:val="002746B4"/>
    <w:rsid w:val="00274B3E"/>
    <w:rsid w:val="00275103"/>
    <w:rsid w:val="002776B1"/>
    <w:rsid w:val="00277762"/>
    <w:rsid w:val="002805DE"/>
    <w:rsid w:val="002816C3"/>
    <w:rsid w:val="00281A58"/>
    <w:rsid w:val="00281BEE"/>
    <w:rsid w:val="00282293"/>
    <w:rsid w:val="00282EA0"/>
    <w:rsid w:val="00283108"/>
    <w:rsid w:val="002833D7"/>
    <w:rsid w:val="002842AB"/>
    <w:rsid w:val="00285F1B"/>
    <w:rsid w:val="002863BD"/>
    <w:rsid w:val="00287189"/>
    <w:rsid w:val="0029048A"/>
    <w:rsid w:val="002908F7"/>
    <w:rsid w:val="0029136B"/>
    <w:rsid w:val="00291560"/>
    <w:rsid w:val="00291C94"/>
    <w:rsid w:val="00292B1E"/>
    <w:rsid w:val="00292B81"/>
    <w:rsid w:val="00294578"/>
    <w:rsid w:val="0029589B"/>
    <w:rsid w:val="00295E2C"/>
    <w:rsid w:val="0029751A"/>
    <w:rsid w:val="00297897"/>
    <w:rsid w:val="002A16C0"/>
    <w:rsid w:val="002A2BA9"/>
    <w:rsid w:val="002A2D81"/>
    <w:rsid w:val="002A420C"/>
    <w:rsid w:val="002A4980"/>
    <w:rsid w:val="002A4A18"/>
    <w:rsid w:val="002A4A1F"/>
    <w:rsid w:val="002A501A"/>
    <w:rsid w:val="002A571C"/>
    <w:rsid w:val="002A5D30"/>
    <w:rsid w:val="002A630C"/>
    <w:rsid w:val="002A6B48"/>
    <w:rsid w:val="002A71A5"/>
    <w:rsid w:val="002A7308"/>
    <w:rsid w:val="002A7310"/>
    <w:rsid w:val="002B168E"/>
    <w:rsid w:val="002B18AE"/>
    <w:rsid w:val="002B2133"/>
    <w:rsid w:val="002B2D4F"/>
    <w:rsid w:val="002B3858"/>
    <w:rsid w:val="002B3C65"/>
    <w:rsid w:val="002B3E7C"/>
    <w:rsid w:val="002B5084"/>
    <w:rsid w:val="002B5148"/>
    <w:rsid w:val="002B5398"/>
    <w:rsid w:val="002B5638"/>
    <w:rsid w:val="002B6310"/>
    <w:rsid w:val="002B648C"/>
    <w:rsid w:val="002B66BD"/>
    <w:rsid w:val="002B6789"/>
    <w:rsid w:val="002B6E6A"/>
    <w:rsid w:val="002B7265"/>
    <w:rsid w:val="002B753C"/>
    <w:rsid w:val="002B769F"/>
    <w:rsid w:val="002B79B0"/>
    <w:rsid w:val="002C1A02"/>
    <w:rsid w:val="002C1C93"/>
    <w:rsid w:val="002C206C"/>
    <w:rsid w:val="002C2137"/>
    <w:rsid w:val="002C31D6"/>
    <w:rsid w:val="002C398C"/>
    <w:rsid w:val="002C3A38"/>
    <w:rsid w:val="002C3EE4"/>
    <w:rsid w:val="002C5066"/>
    <w:rsid w:val="002C51E9"/>
    <w:rsid w:val="002C5813"/>
    <w:rsid w:val="002C6544"/>
    <w:rsid w:val="002C6DB4"/>
    <w:rsid w:val="002D0054"/>
    <w:rsid w:val="002D11E5"/>
    <w:rsid w:val="002D128A"/>
    <w:rsid w:val="002D1868"/>
    <w:rsid w:val="002D2183"/>
    <w:rsid w:val="002D2657"/>
    <w:rsid w:val="002D2D4E"/>
    <w:rsid w:val="002D34C3"/>
    <w:rsid w:val="002D3C03"/>
    <w:rsid w:val="002D42DF"/>
    <w:rsid w:val="002D4AAC"/>
    <w:rsid w:val="002D58F2"/>
    <w:rsid w:val="002D670D"/>
    <w:rsid w:val="002D79C7"/>
    <w:rsid w:val="002E18A6"/>
    <w:rsid w:val="002E18F9"/>
    <w:rsid w:val="002E2012"/>
    <w:rsid w:val="002E28A3"/>
    <w:rsid w:val="002E34B1"/>
    <w:rsid w:val="002E4749"/>
    <w:rsid w:val="002E4AC8"/>
    <w:rsid w:val="002E580C"/>
    <w:rsid w:val="002E64C8"/>
    <w:rsid w:val="002E6786"/>
    <w:rsid w:val="002E7801"/>
    <w:rsid w:val="002E7E12"/>
    <w:rsid w:val="002F045A"/>
    <w:rsid w:val="002F0B87"/>
    <w:rsid w:val="002F0C8B"/>
    <w:rsid w:val="002F2A17"/>
    <w:rsid w:val="002F48F1"/>
    <w:rsid w:val="002F4AA5"/>
    <w:rsid w:val="002F564A"/>
    <w:rsid w:val="002F5DA6"/>
    <w:rsid w:val="002F6B90"/>
    <w:rsid w:val="002F7113"/>
    <w:rsid w:val="002F712A"/>
    <w:rsid w:val="002F7ED2"/>
    <w:rsid w:val="0030039D"/>
    <w:rsid w:val="003009D9"/>
    <w:rsid w:val="00300BC2"/>
    <w:rsid w:val="00301606"/>
    <w:rsid w:val="00302924"/>
    <w:rsid w:val="00302DD2"/>
    <w:rsid w:val="0030326F"/>
    <w:rsid w:val="003033D3"/>
    <w:rsid w:val="003034EE"/>
    <w:rsid w:val="003034FF"/>
    <w:rsid w:val="00306B34"/>
    <w:rsid w:val="00307740"/>
    <w:rsid w:val="00307DA7"/>
    <w:rsid w:val="00310701"/>
    <w:rsid w:val="00310F46"/>
    <w:rsid w:val="003116F4"/>
    <w:rsid w:val="00313570"/>
    <w:rsid w:val="00314AD5"/>
    <w:rsid w:val="00314B2C"/>
    <w:rsid w:val="00314C7A"/>
    <w:rsid w:val="003150EF"/>
    <w:rsid w:val="003156EF"/>
    <w:rsid w:val="00315980"/>
    <w:rsid w:val="00316C79"/>
    <w:rsid w:val="00316F7F"/>
    <w:rsid w:val="00317609"/>
    <w:rsid w:val="00317E05"/>
    <w:rsid w:val="00320A39"/>
    <w:rsid w:val="00320AAC"/>
    <w:rsid w:val="00320CC0"/>
    <w:rsid w:val="003218E8"/>
    <w:rsid w:val="003227AD"/>
    <w:rsid w:val="00323CA8"/>
    <w:rsid w:val="00324B25"/>
    <w:rsid w:val="00325A2F"/>
    <w:rsid w:val="00325E34"/>
    <w:rsid w:val="00326536"/>
    <w:rsid w:val="00326FAA"/>
    <w:rsid w:val="00327EA1"/>
    <w:rsid w:val="003307AF"/>
    <w:rsid w:val="00330DCE"/>
    <w:rsid w:val="00331635"/>
    <w:rsid w:val="003316AE"/>
    <w:rsid w:val="00331E11"/>
    <w:rsid w:val="00332F90"/>
    <w:rsid w:val="003335F6"/>
    <w:rsid w:val="00334354"/>
    <w:rsid w:val="00334761"/>
    <w:rsid w:val="00334E56"/>
    <w:rsid w:val="00334E83"/>
    <w:rsid w:val="0033540A"/>
    <w:rsid w:val="00335753"/>
    <w:rsid w:val="00337EBC"/>
    <w:rsid w:val="00340708"/>
    <w:rsid w:val="00340BF6"/>
    <w:rsid w:val="00341454"/>
    <w:rsid w:val="00341D32"/>
    <w:rsid w:val="00341DCD"/>
    <w:rsid w:val="003425DD"/>
    <w:rsid w:val="0034387D"/>
    <w:rsid w:val="003440A6"/>
    <w:rsid w:val="003443D6"/>
    <w:rsid w:val="00345152"/>
    <w:rsid w:val="0034559E"/>
    <w:rsid w:val="0034563E"/>
    <w:rsid w:val="003456C2"/>
    <w:rsid w:val="0034581B"/>
    <w:rsid w:val="00346416"/>
    <w:rsid w:val="003465E9"/>
    <w:rsid w:val="003466D3"/>
    <w:rsid w:val="00346725"/>
    <w:rsid w:val="003471E3"/>
    <w:rsid w:val="003500B2"/>
    <w:rsid w:val="003504DE"/>
    <w:rsid w:val="003508F1"/>
    <w:rsid w:val="00351223"/>
    <w:rsid w:val="003518D6"/>
    <w:rsid w:val="0035342F"/>
    <w:rsid w:val="0035460C"/>
    <w:rsid w:val="00355094"/>
    <w:rsid w:val="0035549D"/>
    <w:rsid w:val="003556BD"/>
    <w:rsid w:val="00355C36"/>
    <w:rsid w:val="00356E9C"/>
    <w:rsid w:val="003609E5"/>
    <w:rsid w:val="00360D05"/>
    <w:rsid w:val="00361819"/>
    <w:rsid w:val="00361AD9"/>
    <w:rsid w:val="0036238B"/>
    <w:rsid w:val="00362604"/>
    <w:rsid w:val="00362A63"/>
    <w:rsid w:val="0036328B"/>
    <w:rsid w:val="00364A1C"/>
    <w:rsid w:val="00365147"/>
    <w:rsid w:val="00365B25"/>
    <w:rsid w:val="00365F93"/>
    <w:rsid w:val="00366AE0"/>
    <w:rsid w:val="00367C00"/>
    <w:rsid w:val="0037016E"/>
    <w:rsid w:val="003703E8"/>
    <w:rsid w:val="003718ED"/>
    <w:rsid w:val="003727F6"/>
    <w:rsid w:val="00372908"/>
    <w:rsid w:val="003739BB"/>
    <w:rsid w:val="00373A11"/>
    <w:rsid w:val="00373FFE"/>
    <w:rsid w:val="00374DFD"/>
    <w:rsid w:val="00374FFE"/>
    <w:rsid w:val="00375CE6"/>
    <w:rsid w:val="003777B4"/>
    <w:rsid w:val="00377EC2"/>
    <w:rsid w:val="00380189"/>
    <w:rsid w:val="003809B5"/>
    <w:rsid w:val="00381C3D"/>
    <w:rsid w:val="00383020"/>
    <w:rsid w:val="00383605"/>
    <w:rsid w:val="003849BC"/>
    <w:rsid w:val="0038555B"/>
    <w:rsid w:val="003859CC"/>
    <w:rsid w:val="00385DA7"/>
    <w:rsid w:val="00386506"/>
    <w:rsid w:val="00386A8C"/>
    <w:rsid w:val="00387BDC"/>
    <w:rsid w:val="00387D68"/>
    <w:rsid w:val="00390B89"/>
    <w:rsid w:val="003923E6"/>
    <w:rsid w:val="00393834"/>
    <w:rsid w:val="003939C1"/>
    <w:rsid w:val="00393B75"/>
    <w:rsid w:val="00393DF9"/>
    <w:rsid w:val="003941C8"/>
    <w:rsid w:val="00394706"/>
    <w:rsid w:val="00394D7E"/>
    <w:rsid w:val="003950E9"/>
    <w:rsid w:val="00395513"/>
    <w:rsid w:val="00395D51"/>
    <w:rsid w:val="003975FD"/>
    <w:rsid w:val="003A0482"/>
    <w:rsid w:val="003A15C6"/>
    <w:rsid w:val="003A1B86"/>
    <w:rsid w:val="003A1C96"/>
    <w:rsid w:val="003A354A"/>
    <w:rsid w:val="003A55B1"/>
    <w:rsid w:val="003A579F"/>
    <w:rsid w:val="003A636B"/>
    <w:rsid w:val="003A7E3F"/>
    <w:rsid w:val="003B018B"/>
    <w:rsid w:val="003B057D"/>
    <w:rsid w:val="003B06A9"/>
    <w:rsid w:val="003B0ACA"/>
    <w:rsid w:val="003B0AF7"/>
    <w:rsid w:val="003B19B0"/>
    <w:rsid w:val="003B1B19"/>
    <w:rsid w:val="003B227D"/>
    <w:rsid w:val="003B2745"/>
    <w:rsid w:val="003B46AC"/>
    <w:rsid w:val="003B5945"/>
    <w:rsid w:val="003B60CC"/>
    <w:rsid w:val="003B6A7F"/>
    <w:rsid w:val="003B6EB2"/>
    <w:rsid w:val="003B6FB6"/>
    <w:rsid w:val="003B7047"/>
    <w:rsid w:val="003B7133"/>
    <w:rsid w:val="003C086D"/>
    <w:rsid w:val="003C0E18"/>
    <w:rsid w:val="003C1546"/>
    <w:rsid w:val="003C17AA"/>
    <w:rsid w:val="003C1A66"/>
    <w:rsid w:val="003C1B25"/>
    <w:rsid w:val="003C2443"/>
    <w:rsid w:val="003C285B"/>
    <w:rsid w:val="003C2A6C"/>
    <w:rsid w:val="003C3DE3"/>
    <w:rsid w:val="003C404A"/>
    <w:rsid w:val="003C4C11"/>
    <w:rsid w:val="003C5907"/>
    <w:rsid w:val="003C5DA3"/>
    <w:rsid w:val="003C602A"/>
    <w:rsid w:val="003C68F3"/>
    <w:rsid w:val="003C7146"/>
    <w:rsid w:val="003C77C1"/>
    <w:rsid w:val="003C7C92"/>
    <w:rsid w:val="003D0383"/>
    <w:rsid w:val="003D0F51"/>
    <w:rsid w:val="003D18E5"/>
    <w:rsid w:val="003D2956"/>
    <w:rsid w:val="003D3477"/>
    <w:rsid w:val="003D3CFA"/>
    <w:rsid w:val="003D48FD"/>
    <w:rsid w:val="003D4BCD"/>
    <w:rsid w:val="003D51ED"/>
    <w:rsid w:val="003D5E81"/>
    <w:rsid w:val="003D5F8D"/>
    <w:rsid w:val="003D6C2B"/>
    <w:rsid w:val="003E01D8"/>
    <w:rsid w:val="003E1060"/>
    <w:rsid w:val="003E2100"/>
    <w:rsid w:val="003E2833"/>
    <w:rsid w:val="003E2ECC"/>
    <w:rsid w:val="003E3F26"/>
    <w:rsid w:val="003E4122"/>
    <w:rsid w:val="003E4571"/>
    <w:rsid w:val="003E5C82"/>
    <w:rsid w:val="003E7621"/>
    <w:rsid w:val="003E7780"/>
    <w:rsid w:val="003E7F43"/>
    <w:rsid w:val="003F23DA"/>
    <w:rsid w:val="003F24A2"/>
    <w:rsid w:val="003F4117"/>
    <w:rsid w:val="003F48BF"/>
    <w:rsid w:val="003F5989"/>
    <w:rsid w:val="003F6628"/>
    <w:rsid w:val="003F6F5B"/>
    <w:rsid w:val="003F6F7F"/>
    <w:rsid w:val="003F73CD"/>
    <w:rsid w:val="003F79D8"/>
    <w:rsid w:val="003F7CE5"/>
    <w:rsid w:val="0040053E"/>
    <w:rsid w:val="004005FE"/>
    <w:rsid w:val="00400625"/>
    <w:rsid w:val="00400844"/>
    <w:rsid w:val="00400DBA"/>
    <w:rsid w:val="00401DA3"/>
    <w:rsid w:val="00401E49"/>
    <w:rsid w:val="00402338"/>
    <w:rsid w:val="004024F6"/>
    <w:rsid w:val="00403196"/>
    <w:rsid w:val="0040342D"/>
    <w:rsid w:val="00404DF3"/>
    <w:rsid w:val="004056C7"/>
    <w:rsid w:val="00405920"/>
    <w:rsid w:val="004060B1"/>
    <w:rsid w:val="004063B6"/>
    <w:rsid w:val="0040722E"/>
    <w:rsid w:val="00411230"/>
    <w:rsid w:val="0041192D"/>
    <w:rsid w:val="00413EE1"/>
    <w:rsid w:val="004144AE"/>
    <w:rsid w:val="004147F7"/>
    <w:rsid w:val="00415012"/>
    <w:rsid w:val="004164A1"/>
    <w:rsid w:val="004165AA"/>
    <w:rsid w:val="00416740"/>
    <w:rsid w:val="00416B1C"/>
    <w:rsid w:val="00417C3B"/>
    <w:rsid w:val="00420B78"/>
    <w:rsid w:val="0042128E"/>
    <w:rsid w:val="0042143E"/>
    <w:rsid w:val="00421668"/>
    <w:rsid w:val="004218B6"/>
    <w:rsid w:val="00422319"/>
    <w:rsid w:val="00422B23"/>
    <w:rsid w:val="00423621"/>
    <w:rsid w:val="00423ED5"/>
    <w:rsid w:val="00425180"/>
    <w:rsid w:val="00426078"/>
    <w:rsid w:val="004269C2"/>
    <w:rsid w:val="00430A80"/>
    <w:rsid w:val="00430CAE"/>
    <w:rsid w:val="00430E0C"/>
    <w:rsid w:val="004311E1"/>
    <w:rsid w:val="0043153D"/>
    <w:rsid w:val="0043201F"/>
    <w:rsid w:val="00432B60"/>
    <w:rsid w:val="00433667"/>
    <w:rsid w:val="00433FCA"/>
    <w:rsid w:val="0043432D"/>
    <w:rsid w:val="00434C44"/>
    <w:rsid w:val="00434FC4"/>
    <w:rsid w:val="004353BF"/>
    <w:rsid w:val="00436EE1"/>
    <w:rsid w:val="004372E3"/>
    <w:rsid w:val="00440698"/>
    <w:rsid w:val="00441238"/>
    <w:rsid w:val="004412D0"/>
    <w:rsid w:val="00441B21"/>
    <w:rsid w:val="00442094"/>
    <w:rsid w:val="00442894"/>
    <w:rsid w:val="00442DA8"/>
    <w:rsid w:val="00444568"/>
    <w:rsid w:val="00446664"/>
    <w:rsid w:val="004467A3"/>
    <w:rsid w:val="00446EEE"/>
    <w:rsid w:val="00450F8B"/>
    <w:rsid w:val="004522F2"/>
    <w:rsid w:val="004535EC"/>
    <w:rsid w:val="004538FF"/>
    <w:rsid w:val="004540E2"/>
    <w:rsid w:val="00454454"/>
    <w:rsid w:val="004563DE"/>
    <w:rsid w:val="0045783F"/>
    <w:rsid w:val="00457A50"/>
    <w:rsid w:val="004606C9"/>
    <w:rsid w:val="0046263A"/>
    <w:rsid w:val="00463389"/>
    <w:rsid w:val="004638C3"/>
    <w:rsid w:val="004638DE"/>
    <w:rsid w:val="00463A45"/>
    <w:rsid w:val="004649FA"/>
    <w:rsid w:val="00464C83"/>
    <w:rsid w:val="00466091"/>
    <w:rsid w:val="00467085"/>
    <w:rsid w:val="00467924"/>
    <w:rsid w:val="00470765"/>
    <w:rsid w:val="004712A5"/>
    <w:rsid w:val="00471CC1"/>
    <w:rsid w:val="0047266F"/>
    <w:rsid w:val="00472C80"/>
    <w:rsid w:val="00472FAB"/>
    <w:rsid w:val="004739AC"/>
    <w:rsid w:val="00473C8C"/>
    <w:rsid w:val="004758B2"/>
    <w:rsid w:val="00475A65"/>
    <w:rsid w:val="00475E08"/>
    <w:rsid w:val="00475E9A"/>
    <w:rsid w:val="00475EFC"/>
    <w:rsid w:val="004760D1"/>
    <w:rsid w:val="004761B8"/>
    <w:rsid w:val="00476D6B"/>
    <w:rsid w:val="00477312"/>
    <w:rsid w:val="0048129D"/>
    <w:rsid w:val="00482AC4"/>
    <w:rsid w:val="00482E95"/>
    <w:rsid w:val="00483100"/>
    <w:rsid w:val="004832DB"/>
    <w:rsid w:val="00483505"/>
    <w:rsid w:val="00483B2E"/>
    <w:rsid w:val="00483B4B"/>
    <w:rsid w:val="00483C0F"/>
    <w:rsid w:val="00484710"/>
    <w:rsid w:val="00484AFD"/>
    <w:rsid w:val="00484C62"/>
    <w:rsid w:val="004853D2"/>
    <w:rsid w:val="00485522"/>
    <w:rsid w:val="004859D6"/>
    <w:rsid w:val="0048620B"/>
    <w:rsid w:val="00486852"/>
    <w:rsid w:val="00486AF1"/>
    <w:rsid w:val="00486C85"/>
    <w:rsid w:val="00486E02"/>
    <w:rsid w:val="00487036"/>
    <w:rsid w:val="00487573"/>
    <w:rsid w:val="00490692"/>
    <w:rsid w:val="00490C4A"/>
    <w:rsid w:val="00490EF0"/>
    <w:rsid w:val="004916AB"/>
    <w:rsid w:val="00491A09"/>
    <w:rsid w:val="00492C16"/>
    <w:rsid w:val="00493229"/>
    <w:rsid w:val="004936BB"/>
    <w:rsid w:val="004944D6"/>
    <w:rsid w:val="0049500E"/>
    <w:rsid w:val="004951D6"/>
    <w:rsid w:val="004969CF"/>
    <w:rsid w:val="00497159"/>
    <w:rsid w:val="004A0678"/>
    <w:rsid w:val="004A285D"/>
    <w:rsid w:val="004A3CCC"/>
    <w:rsid w:val="004A48A3"/>
    <w:rsid w:val="004A4C57"/>
    <w:rsid w:val="004A5016"/>
    <w:rsid w:val="004A542E"/>
    <w:rsid w:val="004A5A48"/>
    <w:rsid w:val="004A606F"/>
    <w:rsid w:val="004A63AC"/>
    <w:rsid w:val="004A63B9"/>
    <w:rsid w:val="004A7321"/>
    <w:rsid w:val="004B06CF"/>
    <w:rsid w:val="004B0D92"/>
    <w:rsid w:val="004B0EC0"/>
    <w:rsid w:val="004B164B"/>
    <w:rsid w:val="004B1774"/>
    <w:rsid w:val="004B1CC8"/>
    <w:rsid w:val="004B1E8A"/>
    <w:rsid w:val="004B22F1"/>
    <w:rsid w:val="004B38BD"/>
    <w:rsid w:val="004B5DD5"/>
    <w:rsid w:val="004B66F1"/>
    <w:rsid w:val="004B6C01"/>
    <w:rsid w:val="004B6DD8"/>
    <w:rsid w:val="004B733A"/>
    <w:rsid w:val="004C06C7"/>
    <w:rsid w:val="004C0A95"/>
    <w:rsid w:val="004C0AFF"/>
    <w:rsid w:val="004C0DC2"/>
    <w:rsid w:val="004C11CA"/>
    <w:rsid w:val="004C12DD"/>
    <w:rsid w:val="004C1B8D"/>
    <w:rsid w:val="004C1E84"/>
    <w:rsid w:val="004C28DB"/>
    <w:rsid w:val="004C2922"/>
    <w:rsid w:val="004C2FD2"/>
    <w:rsid w:val="004C3D04"/>
    <w:rsid w:val="004C3EA0"/>
    <w:rsid w:val="004C4434"/>
    <w:rsid w:val="004C4525"/>
    <w:rsid w:val="004C4F70"/>
    <w:rsid w:val="004C64C5"/>
    <w:rsid w:val="004C6539"/>
    <w:rsid w:val="004C6B1F"/>
    <w:rsid w:val="004C6D69"/>
    <w:rsid w:val="004C75FD"/>
    <w:rsid w:val="004C7E9F"/>
    <w:rsid w:val="004D04A1"/>
    <w:rsid w:val="004D08EF"/>
    <w:rsid w:val="004D1AEC"/>
    <w:rsid w:val="004D20AD"/>
    <w:rsid w:val="004D2F0A"/>
    <w:rsid w:val="004D45AE"/>
    <w:rsid w:val="004D496D"/>
    <w:rsid w:val="004D4C85"/>
    <w:rsid w:val="004E1205"/>
    <w:rsid w:val="004E14DA"/>
    <w:rsid w:val="004E4EB2"/>
    <w:rsid w:val="004E6C95"/>
    <w:rsid w:val="004E7333"/>
    <w:rsid w:val="004E78FF"/>
    <w:rsid w:val="004F148E"/>
    <w:rsid w:val="004F1C92"/>
    <w:rsid w:val="004F1DC7"/>
    <w:rsid w:val="004F256C"/>
    <w:rsid w:val="004F2987"/>
    <w:rsid w:val="004F3E26"/>
    <w:rsid w:val="004F43E3"/>
    <w:rsid w:val="004F44B8"/>
    <w:rsid w:val="004F45BF"/>
    <w:rsid w:val="004F4746"/>
    <w:rsid w:val="004F5A2A"/>
    <w:rsid w:val="004F6C35"/>
    <w:rsid w:val="004F7169"/>
    <w:rsid w:val="004F79AE"/>
    <w:rsid w:val="0050031B"/>
    <w:rsid w:val="00500D66"/>
    <w:rsid w:val="005015EC"/>
    <w:rsid w:val="005037E3"/>
    <w:rsid w:val="00503A8B"/>
    <w:rsid w:val="00503B72"/>
    <w:rsid w:val="00503C84"/>
    <w:rsid w:val="00504000"/>
    <w:rsid w:val="00506229"/>
    <w:rsid w:val="005067D9"/>
    <w:rsid w:val="0050692E"/>
    <w:rsid w:val="00507675"/>
    <w:rsid w:val="005107E9"/>
    <w:rsid w:val="005112C6"/>
    <w:rsid w:val="005116DA"/>
    <w:rsid w:val="00511843"/>
    <w:rsid w:val="00511B64"/>
    <w:rsid w:val="00512878"/>
    <w:rsid w:val="00512FF6"/>
    <w:rsid w:val="00513D3D"/>
    <w:rsid w:val="00514C8E"/>
    <w:rsid w:val="00515D76"/>
    <w:rsid w:val="005163D7"/>
    <w:rsid w:val="00516DAE"/>
    <w:rsid w:val="00517B3C"/>
    <w:rsid w:val="0052081D"/>
    <w:rsid w:val="00521151"/>
    <w:rsid w:val="0052187B"/>
    <w:rsid w:val="005235CD"/>
    <w:rsid w:val="00523905"/>
    <w:rsid w:val="00524274"/>
    <w:rsid w:val="005244A1"/>
    <w:rsid w:val="005246F7"/>
    <w:rsid w:val="00524D63"/>
    <w:rsid w:val="005266FD"/>
    <w:rsid w:val="0053043F"/>
    <w:rsid w:val="00530D85"/>
    <w:rsid w:val="005313C4"/>
    <w:rsid w:val="00531DBF"/>
    <w:rsid w:val="005329F4"/>
    <w:rsid w:val="005330E9"/>
    <w:rsid w:val="00533885"/>
    <w:rsid w:val="00534090"/>
    <w:rsid w:val="00534237"/>
    <w:rsid w:val="005353DB"/>
    <w:rsid w:val="00536409"/>
    <w:rsid w:val="00537B5C"/>
    <w:rsid w:val="00540602"/>
    <w:rsid w:val="005420D0"/>
    <w:rsid w:val="00542488"/>
    <w:rsid w:val="00542727"/>
    <w:rsid w:val="005431B8"/>
    <w:rsid w:val="00543927"/>
    <w:rsid w:val="00543FA1"/>
    <w:rsid w:val="00543FFC"/>
    <w:rsid w:val="00545433"/>
    <w:rsid w:val="00545759"/>
    <w:rsid w:val="00545BE0"/>
    <w:rsid w:val="00546023"/>
    <w:rsid w:val="00546515"/>
    <w:rsid w:val="00546930"/>
    <w:rsid w:val="005478FE"/>
    <w:rsid w:val="00547C8C"/>
    <w:rsid w:val="00550775"/>
    <w:rsid w:val="00550D61"/>
    <w:rsid w:val="005515E6"/>
    <w:rsid w:val="00551D4C"/>
    <w:rsid w:val="00552520"/>
    <w:rsid w:val="00552DB8"/>
    <w:rsid w:val="00553017"/>
    <w:rsid w:val="005532C1"/>
    <w:rsid w:val="0055397C"/>
    <w:rsid w:val="005547BA"/>
    <w:rsid w:val="00554C6A"/>
    <w:rsid w:val="0055615F"/>
    <w:rsid w:val="00557756"/>
    <w:rsid w:val="00557EC3"/>
    <w:rsid w:val="005603C6"/>
    <w:rsid w:val="005616D2"/>
    <w:rsid w:val="00562AE2"/>
    <w:rsid w:val="00562C13"/>
    <w:rsid w:val="00562E85"/>
    <w:rsid w:val="0056331D"/>
    <w:rsid w:val="0056332F"/>
    <w:rsid w:val="005636FD"/>
    <w:rsid w:val="005640C6"/>
    <w:rsid w:val="005647A5"/>
    <w:rsid w:val="005653CB"/>
    <w:rsid w:val="0056786F"/>
    <w:rsid w:val="00567ECF"/>
    <w:rsid w:val="005719B3"/>
    <w:rsid w:val="005726FB"/>
    <w:rsid w:val="0057295E"/>
    <w:rsid w:val="005731F4"/>
    <w:rsid w:val="005747C3"/>
    <w:rsid w:val="00574B89"/>
    <w:rsid w:val="00574DD7"/>
    <w:rsid w:val="005751AC"/>
    <w:rsid w:val="00575208"/>
    <w:rsid w:val="005806BB"/>
    <w:rsid w:val="005818AF"/>
    <w:rsid w:val="00581BD9"/>
    <w:rsid w:val="00581C39"/>
    <w:rsid w:val="00582B30"/>
    <w:rsid w:val="005832ED"/>
    <w:rsid w:val="00583395"/>
    <w:rsid w:val="005834C9"/>
    <w:rsid w:val="00583889"/>
    <w:rsid w:val="0058398F"/>
    <w:rsid w:val="00583FCC"/>
    <w:rsid w:val="00584284"/>
    <w:rsid w:val="00584456"/>
    <w:rsid w:val="00584569"/>
    <w:rsid w:val="00584575"/>
    <w:rsid w:val="0058465A"/>
    <w:rsid w:val="0058468B"/>
    <w:rsid w:val="005850D7"/>
    <w:rsid w:val="0058536D"/>
    <w:rsid w:val="005858D5"/>
    <w:rsid w:val="00585C24"/>
    <w:rsid w:val="00586348"/>
    <w:rsid w:val="00586908"/>
    <w:rsid w:val="005869AD"/>
    <w:rsid w:val="00586DED"/>
    <w:rsid w:val="00586EBF"/>
    <w:rsid w:val="005872FC"/>
    <w:rsid w:val="005903B6"/>
    <w:rsid w:val="005903DC"/>
    <w:rsid w:val="0059055E"/>
    <w:rsid w:val="00590567"/>
    <w:rsid w:val="00590E3F"/>
    <w:rsid w:val="005916F1"/>
    <w:rsid w:val="005920B5"/>
    <w:rsid w:val="0059234F"/>
    <w:rsid w:val="005927CE"/>
    <w:rsid w:val="00595D72"/>
    <w:rsid w:val="0059757E"/>
    <w:rsid w:val="005977F4"/>
    <w:rsid w:val="005A01FB"/>
    <w:rsid w:val="005A021F"/>
    <w:rsid w:val="005A0247"/>
    <w:rsid w:val="005A108E"/>
    <w:rsid w:val="005A126E"/>
    <w:rsid w:val="005A1480"/>
    <w:rsid w:val="005A25A7"/>
    <w:rsid w:val="005A2634"/>
    <w:rsid w:val="005A3EA9"/>
    <w:rsid w:val="005A452F"/>
    <w:rsid w:val="005A4C4A"/>
    <w:rsid w:val="005A4E9D"/>
    <w:rsid w:val="005A5483"/>
    <w:rsid w:val="005A59BB"/>
    <w:rsid w:val="005A5C6C"/>
    <w:rsid w:val="005A680D"/>
    <w:rsid w:val="005A6C4C"/>
    <w:rsid w:val="005A783B"/>
    <w:rsid w:val="005B066E"/>
    <w:rsid w:val="005B140D"/>
    <w:rsid w:val="005B26F0"/>
    <w:rsid w:val="005B2722"/>
    <w:rsid w:val="005B2D31"/>
    <w:rsid w:val="005B312C"/>
    <w:rsid w:val="005B36B9"/>
    <w:rsid w:val="005B5F6F"/>
    <w:rsid w:val="005B66D8"/>
    <w:rsid w:val="005B7B21"/>
    <w:rsid w:val="005C00D6"/>
    <w:rsid w:val="005C025D"/>
    <w:rsid w:val="005C02FA"/>
    <w:rsid w:val="005C0537"/>
    <w:rsid w:val="005C0636"/>
    <w:rsid w:val="005C0973"/>
    <w:rsid w:val="005C0E17"/>
    <w:rsid w:val="005C10D2"/>
    <w:rsid w:val="005C17AC"/>
    <w:rsid w:val="005C1A05"/>
    <w:rsid w:val="005C1FEA"/>
    <w:rsid w:val="005C290D"/>
    <w:rsid w:val="005C3495"/>
    <w:rsid w:val="005C42FE"/>
    <w:rsid w:val="005C5A34"/>
    <w:rsid w:val="005C70E5"/>
    <w:rsid w:val="005C7844"/>
    <w:rsid w:val="005C7899"/>
    <w:rsid w:val="005D1583"/>
    <w:rsid w:val="005D1E04"/>
    <w:rsid w:val="005D288C"/>
    <w:rsid w:val="005D2B7F"/>
    <w:rsid w:val="005D3F87"/>
    <w:rsid w:val="005D3FD8"/>
    <w:rsid w:val="005D5017"/>
    <w:rsid w:val="005D5500"/>
    <w:rsid w:val="005D6CB9"/>
    <w:rsid w:val="005E1178"/>
    <w:rsid w:val="005E176A"/>
    <w:rsid w:val="005E1CB7"/>
    <w:rsid w:val="005E1DB1"/>
    <w:rsid w:val="005E3CA5"/>
    <w:rsid w:val="005E3DE4"/>
    <w:rsid w:val="005E3DFC"/>
    <w:rsid w:val="005E3EBF"/>
    <w:rsid w:val="005E54BD"/>
    <w:rsid w:val="005E5942"/>
    <w:rsid w:val="005E59CF"/>
    <w:rsid w:val="005E60AF"/>
    <w:rsid w:val="005E7113"/>
    <w:rsid w:val="005E71EC"/>
    <w:rsid w:val="005E759F"/>
    <w:rsid w:val="005F0371"/>
    <w:rsid w:val="005F06BF"/>
    <w:rsid w:val="005F0FAF"/>
    <w:rsid w:val="005F1B82"/>
    <w:rsid w:val="005F1BCF"/>
    <w:rsid w:val="005F1DEA"/>
    <w:rsid w:val="005F1E7A"/>
    <w:rsid w:val="005F1F47"/>
    <w:rsid w:val="005F24DB"/>
    <w:rsid w:val="005F4BB3"/>
    <w:rsid w:val="005F5631"/>
    <w:rsid w:val="005F5A89"/>
    <w:rsid w:val="005F6330"/>
    <w:rsid w:val="005F67E5"/>
    <w:rsid w:val="005F71AE"/>
    <w:rsid w:val="005F768B"/>
    <w:rsid w:val="005F7B29"/>
    <w:rsid w:val="00600C46"/>
    <w:rsid w:val="00600E73"/>
    <w:rsid w:val="00601B3A"/>
    <w:rsid w:val="0060242B"/>
    <w:rsid w:val="0060325F"/>
    <w:rsid w:val="00603F78"/>
    <w:rsid w:val="006044A0"/>
    <w:rsid w:val="006048CC"/>
    <w:rsid w:val="006049E4"/>
    <w:rsid w:val="00605167"/>
    <w:rsid w:val="006056DA"/>
    <w:rsid w:val="006057ED"/>
    <w:rsid w:val="0060776E"/>
    <w:rsid w:val="00607A3A"/>
    <w:rsid w:val="00607FC9"/>
    <w:rsid w:val="00611557"/>
    <w:rsid w:val="00611D83"/>
    <w:rsid w:val="006120D2"/>
    <w:rsid w:val="00612BDE"/>
    <w:rsid w:val="00612C58"/>
    <w:rsid w:val="00612F14"/>
    <w:rsid w:val="006130C3"/>
    <w:rsid w:val="00614417"/>
    <w:rsid w:val="00615774"/>
    <w:rsid w:val="00615A01"/>
    <w:rsid w:val="00615AD9"/>
    <w:rsid w:val="00616A21"/>
    <w:rsid w:val="00617332"/>
    <w:rsid w:val="00620796"/>
    <w:rsid w:val="006207A6"/>
    <w:rsid w:val="00622577"/>
    <w:rsid w:val="0062262D"/>
    <w:rsid w:val="00622FE1"/>
    <w:rsid w:val="006233C2"/>
    <w:rsid w:val="00623CCA"/>
    <w:rsid w:val="0062480C"/>
    <w:rsid w:val="0062521C"/>
    <w:rsid w:val="00625229"/>
    <w:rsid w:val="00625387"/>
    <w:rsid w:val="0062568A"/>
    <w:rsid w:val="00625FFA"/>
    <w:rsid w:val="006263EC"/>
    <w:rsid w:val="00626577"/>
    <w:rsid w:val="00626C02"/>
    <w:rsid w:val="006271C1"/>
    <w:rsid w:val="00627E54"/>
    <w:rsid w:val="00630A2B"/>
    <w:rsid w:val="00630D30"/>
    <w:rsid w:val="00632BD7"/>
    <w:rsid w:val="00632DC7"/>
    <w:rsid w:val="006332CC"/>
    <w:rsid w:val="0063332C"/>
    <w:rsid w:val="00633F59"/>
    <w:rsid w:val="00634301"/>
    <w:rsid w:val="006347F6"/>
    <w:rsid w:val="00634BA1"/>
    <w:rsid w:val="00635018"/>
    <w:rsid w:val="006357FB"/>
    <w:rsid w:val="00636969"/>
    <w:rsid w:val="006369AA"/>
    <w:rsid w:val="00637E24"/>
    <w:rsid w:val="0064013F"/>
    <w:rsid w:val="006406FC"/>
    <w:rsid w:val="00640DE3"/>
    <w:rsid w:val="00640E57"/>
    <w:rsid w:val="00640ECF"/>
    <w:rsid w:val="00642B82"/>
    <w:rsid w:val="00643234"/>
    <w:rsid w:val="006434B7"/>
    <w:rsid w:val="0064427D"/>
    <w:rsid w:val="0064433A"/>
    <w:rsid w:val="00644FA1"/>
    <w:rsid w:val="00645C09"/>
    <w:rsid w:val="00645C89"/>
    <w:rsid w:val="00646122"/>
    <w:rsid w:val="00646AA2"/>
    <w:rsid w:val="00650D58"/>
    <w:rsid w:val="006530B4"/>
    <w:rsid w:val="00653E16"/>
    <w:rsid w:val="00653FE9"/>
    <w:rsid w:val="00654D61"/>
    <w:rsid w:val="00655310"/>
    <w:rsid w:val="00655C8B"/>
    <w:rsid w:val="00655D07"/>
    <w:rsid w:val="00656259"/>
    <w:rsid w:val="00657220"/>
    <w:rsid w:val="00657362"/>
    <w:rsid w:val="006577BA"/>
    <w:rsid w:val="00657927"/>
    <w:rsid w:val="00657E9D"/>
    <w:rsid w:val="00660B62"/>
    <w:rsid w:val="00660CC6"/>
    <w:rsid w:val="00660DB9"/>
    <w:rsid w:val="0066104B"/>
    <w:rsid w:val="006614F0"/>
    <w:rsid w:val="00661AC9"/>
    <w:rsid w:val="006655EE"/>
    <w:rsid w:val="00666EF6"/>
    <w:rsid w:val="006672C1"/>
    <w:rsid w:val="006672EC"/>
    <w:rsid w:val="006672FC"/>
    <w:rsid w:val="00667C10"/>
    <w:rsid w:val="00667EF4"/>
    <w:rsid w:val="00670C73"/>
    <w:rsid w:val="006713EC"/>
    <w:rsid w:val="00672C1E"/>
    <w:rsid w:val="00673473"/>
    <w:rsid w:val="00674A8C"/>
    <w:rsid w:val="006752E9"/>
    <w:rsid w:val="0067531B"/>
    <w:rsid w:val="00675CA5"/>
    <w:rsid w:val="00676FCA"/>
    <w:rsid w:val="00677177"/>
    <w:rsid w:val="00677772"/>
    <w:rsid w:val="0068256F"/>
    <w:rsid w:val="00682B88"/>
    <w:rsid w:val="00682CF8"/>
    <w:rsid w:val="006834CB"/>
    <w:rsid w:val="006847DB"/>
    <w:rsid w:val="0068546A"/>
    <w:rsid w:val="006855D5"/>
    <w:rsid w:val="0068612E"/>
    <w:rsid w:val="006865AE"/>
    <w:rsid w:val="00686C50"/>
    <w:rsid w:val="00687BC5"/>
    <w:rsid w:val="00687C92"/>
    <w:rsid w:val="006911CB"/>
    <w:rsid w:val="00691D8A"/>
    <w:rsid w:val="00692F48"/>
    <w:rsid w:val="006943EB"/>
    <w:rsid w:val="0069534E"/>
    <w:rsid w:val="0069669C"/>
    <w:rsid w:val="00697798"/>
    <w:rsid w:val="00697E81"/>
    <w:rsid w:val="006A0927"/>
    <w:rsid w:val="006A0B0E"/>
    <w:rsid w:val="006A0D06"/>
    <w:rsid w:val="006A1200"/>
    <w:rsid w:val="006A1D78"/>
    <w:rsid w:val="006A1EF5"/>
    <w:rsid w:val="006A23FC"/>
    <w:rsid w:val="006A2B1A"/>
    <w:rsid w:val="006A32D6"/>
    <w:rsid w:val="006A3E8E"/>
    <w:rsid w:val="006A452D"/>
    <w:rsid w:val="006A4F4E"/>
    <w:rsid w:val="006A5239"/>
    <w:rsid w:val="006A576E"/>
    <w:rsid w:val="006A58D7"/>
    <w:rsid w:val="006A5E3B"/>
    <w:rsid w:val="006A66B6"/>
    <w:rsid w:val="006A6C23"/>
    <w:rsid w:val="006A7582"/>
    <w:rsid w:val="006B04B5"/>
    <w:rsid w:val="006B0858"/>
    <w:rsid w:val="006B14DB"/>
    <w:rsid w:val="006B198F"/>
    <w:rsid w:val="006B1EE9"/>
    <w:rsid w:val="006B21C4"/>
    <w:rsid w:val="006B25EC"/>
    <w:rsid w:val="006B265E"/>
    <w:rsid w:val="006B267E"/>
    <w:rsid w:val="006B31A6"/>
    <w:rsid w:val="006B6D93"/>
    <w:rsid w:val="006B6EF9"/>
    <w:rsid w:val="006B713E"/>
    <w:rsid w:val="006C0937"/>
    <w:rsid w:val="006C13DD"/>
    <w:rsid w:val="006C184E"/>
    <w:rsid w:val="006C232B"/>
    <w:rsid w:val="006C26A9"/>
    <w:rsid w:val="006C28AA"/>
    <w:rsid w:val="006C2BA0"/>
    <w:rsid w:val="006C3AD4"/>
    <w:rsid w:val="006C3D53"/>
    <w:rsid w:val="006C465D"/>
    <w:rsid w:val="006C4A1A"/>
    <w:rsid w:val="006C4D89"/>
    <w:rsid w:val="006C5012"/>
    <w:rsid w:val="006C5F41"/>
    <w:rsid w:val="006C676D"/>
    <w:rsid w:val="006C6D6A"/>
    <w:rsid w:val="006C6DEC"/>
    <w:rsid w:val="006D0393"/>
    <w:rsid w:val="006D0BD4"/>
    <w:rsid w:val="006D145B"/>
    <w:rsid w:val="006D175F"/>
    <w:rsid w:val="006D17EA"/>
    <w:rsid w:val="006D1A83"/>
    <w:rsid w:val="006D1DF8"/>
    <w:rsid w:val="006D2A12"/>
    <w:rsid w:val="006D5CBB"/>
    <w:rsid w:val="006D6245"/>
    <w:rsid w:val="006D7278"/>
    <w:rsid w:val="006D754B"/>
    <w:rsid w:val="006D7865"/>
    <w:rsid w:val="006D7DB6"/>
    <w:rsid w:val="006D7FF0"/>
    <w:rsid w:val="006E0A5C"/>
    <w:rsid w:val="006E0F01"/>
    <w:rsid w:val="006E11E6"/>
    <w:rsid w:val="006E1CFE"/>
    <w:rsid w:val="006E2657"/>
    <w:rsid w:val="006E2E39"/>
    <w:rsid w:val="006E320C"/>
    <w:rsid w:val="006E47F9"/>
    <w:rsid w:val="006E4D32"/>
    <w:rsid w:val="006E4EA3"/>
    <w:rsid w:val="006E5DFE"/>
    <w:rsid w:val="006E696D"/>
    <w:rsid w:val="006E71F3"/>
    <w:rsid w:val="006E7851"/>
    <w:rsid w:val="006E78E6"/>
    <w:rsid w:val="006E7DD7"/>
    <w:rsid w:val="006F0A54"/>
    <w:rsid w:val="006F0CA4"/>
    <w:rsid w:val="006F10C4"/>
    <w:rsid w:val="006F1C8F"/>
    <w:rsid w:val="006F1D86"/>
    <w:rsid w:val="006F40E9"/>
    <w:rsid w:val="006F4B5D"/>
    <w:rsid w:val="006F547F"/>
    <w:rsid w:val="006F5603"/>
    <w:rsid w:val="006F577E"/>
    <w:rsid w:val="006F58EA"/>
    <w:rsid w:val="006F60BC"/>
    <w:rsid w:val="006F79A5"/>
    <w:rsid w:val="006F7B87"/>
    <w:rsid w:val="00700C00"/>
    <w:rsid w:val="00701400"/>
    <w:rsid w:val="00701893"/>
    <w:rsid w:val="007018AC"/>
    <w:rsid w:val="00701F48"/>
    <w:rsid w:val="00702A24"/>
    <w:rsid w:val="007033D7"/>
    <w:rsid w:val="007037CF"/>
    <w:rsid w:val="00704725"/>
    <w:rsid w:val="00705B77"/>
    <w:rsid w:val="007060F5"/>
    <w:rsid w:val="007061EC"/>
    <w:rsid w:val="00706689"/>
    <w:rsid w:val="00710186"/>
    <w:rsid w:val="007110A2"/>
    <w:rsid w:val="007111C5"/>
    <w:rsid w:val="00711469"/>
    <w:rsid w:val="00711A79"/>
    <w:rsid w:val="00712350"/>
    <w:rsid w:val="007124E3"/>
    <w:rsid w:val="00712801"/>
    <w:rsid w:val="0071438D"/>
    <w:rsid w:val="00714CF4"/>
    <w:rsid w:val="007167C0"/>
    <w:rsid w:val="00716881"/>
    <w:rsid w:val="00716DFB"/>
    <w:rsid w:val="00716FE4"/>
    <w:rsid w:val="00717EBF"/>
    <w:rsid w:val="00720317"/>
    <w:rsid w:val="00720481"/>
    <w:rsid w:val="007208F4"/>
    <w:rsid w:val="00722016"/>
    <w:rsid w:val="007308AD"/>
    <w:rsid w:val="00731CD5"/>
    <w:rsid w:val="007323CB"/>
    <w:rsid w:val="00732B28"/>
    <w:rsid w:val="00733193"/>
    <w:rsid w:val="007334B5"/>
    <w:rsid w:val="007335E5"/>
    <w:rsid w:val="00734CA7"/>
    <w:rsid w:val="0073586F"/>
    <w:rsid w:val="007358D7"/>
    <w:rsid w:val="00735ABB"/>
    <w:rsid w:val="00735F59"/>
    <w:rsid w:val="007361FC"/>
    <w:rsid w:val="0073732F"/>
    <w:rsid w:val="00737475"/>
    <w:rsid w:val="007403E0"/>
    <w:rsid w:val="00740B0D"/>
    <w:rsid w:val="00740F71"/>
    <w:rsid w:val="0074118B"/>
    <w:rsid w:val="00742761"/>
    <w:rsid w:val="007430E0"/>
    <w:rsid w:val="00744DDA"/>
    <w:rsid w:val="00745AF5"/>
    <w:rsid w:val="00745E03"/>
    <w:rsid w:val="00746AAB"/>
    <w:rsid w:val="00746C63"/>
    <w:rsid w:val="00746F68"/>
    <w:rsid w:val="00747210"/>
    <w:rsid w:val="00747403"/>
    <w:rsid w:val="00750186"/>
    <w:rsid w:val="00750493"/>
    <w:rsid w:val="00750D23"/>
    <w:rsid w:val="00751323"/>
    <w:rsid w:val="00751802"/>
    <w:rsid w:val="00751B41"/>
    <w:rsid w:val="00751D35"/>
    <w:rsid w:val="00753767"/>
    <w:rsid w:val="00753CE5"/>
    <w:rsid w:val="00753F18"/>
    <w:rsid w:val="007543E4"/>
    <w:rsid w:val="0075501A"/>
    <w:rsid w:val="00755360"/>
    <w:rsid w:val="00755D3F"/>
    <w:rsid w:val="0075732A"/>
    <w:rsid w:val="007600D5"/>
    <w:rsid w:val="007600F8"/>
    <w:rsid w:val="00760262"/>
    <w:rsid w:val="0076103B"/>
    <w:rsid w:val="00761A63"/>
    <w:rsid w:val="0076310C"/>
    <w:rsid w:val="00763A82"/>
    <w:rsid w:val="00765704"/>
    <w:rsid w:val="007664B7"/>
    <w:rsid w:val="007665B5"/>
    <w:rsid w:val="007665D5"/>
    <w:rsid w:val="00766B24"/>
    <w:rsid w:val="0076744F"/>
    <w:rsid w:val="00767582"/>
    <w:rsid w:val="00767BCE"/>
    <w:rsid w:val="00767EFC"/>
    <w:rsid w:val="007707DE"/>
    <w:rsid w:val="00770B5D"/>
    <w:rsid w:val="00771658"/>
    <w:rsid w:val="007729F5"/>
    <w:rsid w:val="00772C6B"/>
    <w:rsid w:val="0077489B"/>
    <w:rsid w:val="007752F1"/>
    <w:rsid w:val="00776768"/>
    <w:rsid w:val="007772EF"/>
    <w:rsid w:val="007777A6"/>
    <w:rsid w:val="00780763"/>
    <w:rsid w:val="00780C96"/>
    <w:rsid w:val="00780F91"/>
    <w:rsid w:val="007813CD"/>
    <w:rsid w:val="00781413"/>
    <w:rsid w:val="0078187A"/>
    <w:rsid w:val="00783ABD"/>
    <w:rsid w:val="00784332"/>
    <w:rsid w:val="0078511A"/>
    <w:rsid w:val="007854E9"/>
    <w:rsid w:val="00785AF7"/>
    <w:rsid w:val="007879F6"/>
    <w:rsid w:val="00787F41"/>
    <w:rsid w:val="0079016F"/>
    <w:rsid w:val="0079034C"/>
    <w:rsid w:val="007908A8"/>
    <w:rsid w:val="007911A7"/>
    <w:rsid w:val="007911FE"/>
    <w:rsid w:val="007924A4"/>
    <w:rsid w:val="00793E86"/>
    <w:rsid w:val="007941C5"/>
    <w:rsid w:val="007943F8"/>
    <w:rsid w:val="007946F0"/>
    <w:rsid w:val="00794855"/>
    <w:rsid w:val="00794ED8"/>
    <w:rsid w:val="007963F7"/>
    <w:rsid w:val="00796466"/>
    <w:rsid w:val="007964B5"/>
    <w:rsid w:val="00796D99"/>
    <w:rsid w:val="00797DB7"/>
    <w:rsid w:val="007A028E"/>
    <w:rsid w:val="007A1BE9"/>
    <w:rsid w:val="007A2573"/>
    <w:rsid w:val="007A4D76"/>
    <w:rsid w:val="007A6797"/>
    <w:rsid w:val="007A6D3D"/>
    <w:rsid w:val="007A6FD1"/>
    <w:rsid w:val="007A7A61"/>
    <w:rsid w:val="007B00E1"/>
    <w:rsid w:val="007B106C"/>
    <w:rsid w:val="007B12F2"/>
    <w:rsid w:val="007B15A4"/>
    <w:rsid w:val="007B190B"/>
    <w:rsid w:val="007B1A4E"/>
    <w:rsid w:val="007B2B0D"/>
    <w:rsid w:val="007B3D05"/>
    <w:rsid w:val="007B43C2"/>
    <w:rsid w:val="007B5503"/>
    <w:rsid w:val="007B5BB6"/>
    <w:rsid w:val="007B6170"/>
    <w:rsid w:val="007B61E7"/>
    <w:rsid w:val="007B682F"/>
    <w:rsid w:val="007B6C2A"/>
    <w:rsid w:val="007B6C62"/>
    <w:rsid w:val="007C0391"/>
    <w:rsid w:val="007C0E0C"/>
    <w:rsid w:val="007C1354"/>
    <w:rsid w:val="007C179C"/>
    <w:rsid w:val="007C21E3"/>
    <w:rsid w:val="007C2810"/>
    <w:rsid w:val="007C2AE2"/>
    <w:rsid w:val="007C386F"/>
    <w:rsid w:val="007C486C"/>
    <w:rsid w:val="007C488D"/>
    <w:rsid w:val="007C48F2"/>
    <w:rsid w:val="007C4A03"/>
    <w:rsid w:val="007C6BB3"/>
    <w:rsid w:val="007C6FD7"/>
    <w:rsid w:val="007D043E"/>
    <w:rsid w:val="007D0B98"/>
    <w:rsid w:val="007D0D7B"/>
    <w:rsid w:val="007D14B4"/>
    <w:rsid w:val="007D14FA"/>
    <w:rsid w:val="007D1931"/>
    <w:rsid w:val="007D209F"/>
    <w:rsid w:val="007D2F0A"/>
    <w:rsid w:val="007D36CD"/>
    <w:rsid w:val="007D398C"/>
    <w:rsid w:val="007D3AD7"/>
    <w:rsid w:val="007D3B0D"/>
    <w:rsid w:val="007D406F"/>
    <w:rsid w:val="007D4793"/>
    <w:rsid w:val="007D49AA"/>
    <w:rsid w:val="007D56B7"/>
    <w:rsid w:val="007D5A68"/>
    <w:rsid w:val="007D6FAA"/>
    <w:rsid w:val="007E1B7F"/>
    <w:rsid w:val="007E24F6"/>
    <w:rsid w:val="007E2E78"/>
    <w:rsid w:val="007E33AD"/>
    <w:rsid w:val="007E3426"/>
    <w:rsid w:val="007E3BBC"/>
    <w:rsid w:val="007E6086"/>
    <w:rsid w:val="007E6EBC"/>
    <w:rsid w:val="007E764F"/>
    <w:rsid w:val="007E77D1"/>
    <w:rsid w:val="007F0195"/>
    <w:rsid w:val="007F1615"/>
    <w:rsid w:val="007F171B"/>
    <w:rsid w:val="007F19B3"/>
    <w:rsid w:val="007F1ABC"/>
    <w:rsid w:val="007F2ABC"/>
    <w:rsid w:val="007F38ED"/>
    <w:rsid w:val="007F5530"/>
    <w:rsid w:val="007F65DF"/>
    <w:rsid w:val="007F6D14"/>
    <w:rsid w:val="007F71A8"/>
    <w:rsid w:val="007F79BC"/>
    <w:rsid w:val="00800990"/>
    <w:rsid w:val="00800F64"/>
    <w:rsid w:val="00801050"/>
    <w:rsid w:val="008028D5"/>
    <w:rsid w:val="00802958"/>
    <w:rsid w:val="00802F0B"/>
    <w:rsid w:val="0080417B"/>
    <w:rsid w:val="0080553E"/>
    <w:rsid w:val="008059E1"/>
    <w:rsid w:val="00806A16"/>
    <w:rsid w:val="00807A28"/>
    <w:rsid w:val="00807BB8"/>
    <w:rsid w:val="00807EA7"/>
    <w:rsid w:val="008103DA"/>
    <w:rsid w:val="0081083E"/>
    <w:rsid w:val="00810A67"/>
    <w:rsid w:val="00810C45"/>
    <w:rsid w:val="00810DF1"/>
    <w:rsid w:val="00812205"/>
    <w:rsid w:val="0081251E"/>
    <w:rsid w:val="0081373F"/>
    <w:rsid w:val="00813955"/>
    <w:rsid w:val="00813ED6"/>
    <w:rsid w:val="008142E9"/>
    <w:rsid w:val="00820ED7"/>
    <w:rsid w:val="00821442"/>
    <w:rsid w:val="008224E0"/>
    <w:rsid w:val="008224FF"/>
    <w:rsid w:val="00822633"/>
    <w:rsid w:val="0082304B"/>
    <w:rsid w:val="00823CC8"/>
    <w:rsid w:val="008242C6"/>
    <w:rsid w:val="00825787"/>
    <w:rsid w:val="0083069A"/>
    <w:rsid w:val="00830DEC"/>
    <w:rsid w:val="00831A2C"/>
    <w:rsid w:val="00831C0B"/>
    <w:rsid w:val="00831DBC"/>
    <w:rsid w:val="00833CF7"/>
    <w:rsid w:val="0083451D"/>
    <w:rsid w:val="00834B8D"/>
    <w:rsid w:val="00834CDE"/>
    <w:rsid w:val="00834E02"/>
    <w:rsid w:val="0083506B"/>
    <w:rsid w:val="008364B9"/>
    <w:rsid w:val="0083650F"/>
    <w:rsid w:val="008366C5"/>
    <w:rsid w:val="008407F7"/>
    <w:rsid w:val="00841FF2"/>
    <w:rsid w:val="00842128"/>
    <w:rsid w:val="00842277"/>
    <w:rsid w:val="00842464"/>
    <w:rsid w:val="008436DC"/>
    <w:rsid w:val="008436EE"/>
    <w:rsid w:val="00843907"/>
    <w:rsid w:val="0084407A"/>
    <w:rsid w:val="0084431D"/>
    <w:rsid w:val="00844ED3"/>
    <w:rsid w:val="00845601"/>
    <w:rsid w:val="00846BE3"/>
    <w:rsid w:val="00846D65"/>
    <w:rsid w:val="00847907"/>
    <w:rsid w:val="00847913"/>
    <w:rsid w:val="0085043A"/>
    <w:rsid w:val="00850519"/>
    <w:rsid w:val="0085066F"/>
    <w:rsid w:val="00850926"/>
    <w:rsid w:val="00850BED"/>
    <w:rsid w:val="00850D5E"/>
    <w:rsid w:val="00851FD4"/>
    <w:rsid w:val="008525E7"/>
    <w:rsid w:val="00855305"/>
    <w:rsid w:val="00855C5C"/>
    <w:rsid w:val="00856A95"/>
    <w:rsid w:val="008576ED"/>
    <w:rsid w:val="00861003"/>
    <w:rsid w:val="00861955"/>
    <w:rsid w:val="00861E7E"/>
    <w:rsid w:val="008638C9"/>
    <w:rsid w:val="00864D2B"/>
    <w:rsid w:val="00865A2F"/>
    <w:rsid w:val="0086670A"/>
    <w:rsid w:val="00866858"/>
    <w:rsid w:val="00866AF9"/>
    <w:rsid w:val="00866C8D"/>
    <w:rsid w:val="0086723B"/>
    <w:rsid w:val="0086724A"/>
    <w:rsid w:val="00867590"/>
    <w:rsid w:val="008679B5"/>
    <w:rsid w:val="0087206C"/>
    <w:rsid w:val="008721CA"/>
    <w:rsid w:val="008737AE"/>
    <w:rsid w:val="00873833"/>
    <w:rsid w:val="00874E38"/>
    <w:rsid w:val="00875446"/>
    <w:rsid w:val="00875A0D"/>
    <w:rsid w:val="00875F64"/>
    <w:rsid w:val="00876600"/>
    <w:rsid w:val="008802A6"/>
    <w:rsid w:val="008810E1"/>
    <w:rsid w:val="0088234A"/>
    <w:rsid w:val="00883EB1"/>
    <w:rsid w:val="00885058"/>
    <w:rsid w:val="00885298"/>
    <w:rsid w:val="0088584C"/>
    <w:rsid w:val="00885FE4"/>
    <w:rsid w:val="008863CC"/>
    <w:rsid w:val="008866FA"/>
    <w:rsid w:val="00887241"/>
    <w:rsid w:val="008874C9"/>
    <w:rsid w:val="008903BD"/>
    <w:rsid w:val="00890906"/>
    <w:rsid w:val="00890BCC"/>
    <w:rsid w:val="00891796"/>
    <w:rsid w:val="00891FC0"/>
    <w:rsid w:val="00892769"/>
    <w:rsid w:val="00893305"/>
    <w:rsid w:val="008939F1"/>
    <w:rsid w:val="0089440B"/>
    <w:rsid w:val="0089464F"/>
    <w:rsid w:val="00894BAA"/>
    <w:rsid w:val="00894E10"/>
    <w:rsid w:val="008953EC"/>
    <w:rsid w:val="00895870"/>
    <w:rsid w:val="008968A4"/>
    <w:rsid w:val="008971AC"/>
    <w:rsid w:val="00897628"/>
    <w:rsid w:val="008A0A53"/>
    <w:rsid w:val="008A0D78"/>
    <w:rsid w:val="008A1BE9"/>
    <w:rsid w:val="008A2023"/>
    <w:rsid w:val="008A28AD"/>
    <w:rsid w:val="008A30FB"/>
    <w:rsid w:val="008A365C"/>
    <w:rsid w:val="008A3C01"/>
    <w:rsid w:val="008A3C72"/>
    <w:rsid w:val="008A3C96"/>
    <w:rsid w:val="008A535C"/>
    <w:rsid w:val="008A63F8"/>
    <w:rsid w:val="008A7550"/>
    <w:rsid w:val="008A7562"/>
    <w:rsid w:val="008B1B3A"/>
    <w:rsid w:val="008B4019"/>
    <w:rsid w:val="008B4214"/>
    <w:rsid w:val="008B535B"/>
    <w:rsid w:val="008B65C9"/>
    <w:rsid w:val="008B76BD"/>
    <w:rsid w:val="008C0638"/>
    <w:rsid w:val="008C0CC3"/>
    <w:rsid w:val="008C129F"/>
    <w:rsid w:val="008C14F7"/>
    <w:rsid w:val="008C198D"/>
    <w:rsid w:val="008C1CF9"/>
    <w:rsid w:val="008C1E4B"/>
    <w:rsid w:val="008C2094"/>
    <w:rsid w:val="008C268E"/>
    <w:rsid w:val="008C2859"/>
    <w:rsid w:val="008C2D4A"/>
    <w:rsid w:val="008C2E30"/>
    <w:rsid w:val="008C3107"/>
    <w:rsid w:val="008C5323"/>
    <w:rsid w:val="008C7F39"/>
    <w:rsid w:val="008D02DB"/>
    <w:rsid w:val="008D0B1D"/>
    <w:rsid w:val="008D1411"/>
    <w:rsid w:val="008D222A"/>
    <w:rsid w:val="008D2B65"/>
    <w:rsid w:val="008D3900"/>
    <w:rsid w:val="008D6E1D"/>
    <w:rsid w:val="008D7553"/>
    <w:rsid w:val="008E223B"/>
    <w:rsid w:val="008E2C73"/>
    <w:rsid w:val="008E3115"/>
    <w:rsid w:val="008E3556"/>
    <w:rsid w:val="008E5680"/>
    <w:rsid w:val="008F2102"/>
    <w:rsid w:val="008F3739"/>
    <w:rsid w:val="008F386E"/>
    <w:rsid w:val="008F38BB"/>
    <w:rsid w:val="008F39B4"/>
    <w:rsid w:val="008F4162"/>
    <w:rsid w:val="008F49AC"/>
    <w:rsid w:val="008F4A25"/>
    <w:rsid w:val="008F5560"/>
    <w:rsid w:val="008F576D"/>
    <w:rsid w:val="008F64E5"/>
    <w:rsid w:val="008F6779"/>
    <w:rsid w:val="008F7923"/>
    <w:rsid w:val="008F79DB"/>
    <w:rsid w:val="009006AC"/>
    <w:rsid w:val="009006F0"/>
    <w:rsid w:val="00901FF8"/>
    <w:rsid w:val="00902312"/>
    <w:rsid w:val="00902886"/>
    <w:rsid w:val="00902C88"/>
    <w:rsid w:val="00903107"/>
    <w:rsid w:val="00903E02"/>
    <w:rsid w:val="00904D06"/>
    <w:rsid w:val="00904DEF"/>
    <w:rsid w:val="00905605"/>
    <w:rsid w:val="00906A69"/>
    <w:rsid w:val="00906BBC"/>
    <w:rsid w:val="00911FA8"/>
    <w:rsid w:val="00912684"/>
    <w:rsid w:val="009127F6"/>
    <w:rsid w:val="009128B5"/>
    <w:rsid w:val="00913175"/>
    <w:rsid w:val="009131DE"/>
    <w:rsid w:val="00913281"/>
    <w:rsid w:val="00913B36"/>
    <w:rsid w:val="00913BD7"/>
    <w:rsid w:val="00915426"/>
    <w:rsid w:val="009154E3"/>
    <w:rsid w:val="00915887"/>
    <w:rsid w:val="00916EDB"/>
    <w:rsid w:val="00917406"/>
    <w:rsid w:val="0091750C"/>
    <w:rsid w:val="0092000C"/>
    <w:rsid w:val="00920721"/>
    <w:rsid w:val="00920852"/>
    <w:rsid w:val="00920861"/>
    <w:rsid w:val="00920969"/>
    <w:rsid w:val="00922B13"/>
    <w:rsid w:val="009242EF"/>
    <w:rsid w:val="00924A79"/>
    <w:rsid w:val="00924DD3"/>
    <w:rsid w:val="00925185"/>
    <w:rsid w:val="009257AD"/>
    <w:rsid w:val="00926096"/>
    <w:rsid w:val="00926126"/>
    <w:rsid w:val="00926AD5"/>
    <w:rsid w:val="00927BD9"/>
    <w:rsid w:val="009307F8"/>
    <w:rsid w:val="00930961"/>
    <w:rsid w:val="009309B3"/>
    <w:rsid w:val="00932291"/>
    <w:rsid w:val="0093277A"/>
    <w:rsid w:val="00932861"/>
    <w:rsid w:val="009329B5"/>
    <w:rsid w:val="00933B8C"/>
    <w:rsid w:val="00933CCA"/>
    <w:rsid w:val="0093408E"/>
    <w:rsid w:val="0093584B"/>
    <w:rsid w:val="00935CA5"/>
    <w:rsid w:val="00937180"/>
    <w:rsid w:val="00937374"/>
    <w:rsid w:val="00937DA0"/>
    <w:rsid w:val="00940375"/>
    <w:rsid w:val="0094094A"/>
    <w:rsid w:val="0094198B"/>
    <w:rsid w:val="00941A9C"/>
    <w:rsid w:val="00943483"/>
    <w:rsid w:val="009437A9"/>
    <w:rsid w:val="00944272"/>
    <w:rsid w:val="00944CB2"/>
    <w:rsid w:val="00946148"/>
    <w:rsid w:val="009464CA"/>
    <w:rsid w:val="00946896"/>
    <w:rsid w:val="00947684"/>
    <w:rsid w:val="0095065B"/>
    <w:rsid w:val="00950F73"/>
    <w:rsid w:val="0095124D"/>
    <w:rsid w:val="009518E1"/>
    <w:rsid w:val="00951DC9"/>
    <w:rsid w:val="009526EE"/>
    <w:rsid w:val="00952D3A"/>
    <w:rsid w:val="00952DDF"/>
    <w:rsid w:val="00952FB9"/>
    <w:rsid w:val="009532C9"/>
    <w:rsid w:val="00953E0D"/>
    <w:rsid w:val="00954501"/>
    <w:rsid w:val="00954D63"/>
    <w:rsid w:val="00955D1F"/>
    <w:rsid w:val="009566FB"/>
    <w:rsid w:val="00957101"/>
    <w:rsid w:val="009579E2"/>
    <w:rsid w:val="0096008E"/>
    <w:rsid w:val="009610A3"/>
    <w:rsid w:val="00961954"/>
    <w:rsid w:val="00961E0A"/>
    <w:rsid w:val="00962925"/>
    <w:rsid w:val="009632B4"/>
    <w:rsid w:val="009634B7"/>
    <w:rsid w:val="0096385F"/>
    <w:rsid w:val="00963A83"/>
    <w:rsid w:val="00963B6A"/>
    <w:rsid w:val="0096410D"/>
    <w:rsid w:val="00964563"/>
    <w:rsid w:val="009646AA"/>
    <w:rsid w:val="009648FF"/>
    <w:rsid w:val="00964A47"/>
    <w:rsid w:val="0096746F"/>
    <w:rsid w:val="009679A9"/>
    <w:rsid w:val="00967F62"/>
    <w:rsid w:val="00970950"/>
    <w:rsid w:val="00970A40"/>
    <w:rsid w:val="00971828"/>
    <w:rsid w:val="00971E34"/>
    <w:rsid w:val="00971EF4"/>
    <w:rsid w:val="00972212"/>
    <w:rsid w:val="0097298D"/>
    <w:rsid w:val="0097364C"/>
    <w:rsid w:val="00974464"/>
    <w:rsid w:val="00974861"/>
    <w:rsid w:val="00974ECA"/>
    <w:rsid w:val="00974F32"/>
    <w:rsid w:val="00975B33"/>
    <w:rsid w:val="00975FE8"/>
    <w:rsid w:val="00976871"/>
    <w:rsid w:val="00977BF3"/>
    <w:rsid w:val="0098025D"/>
    <w:rsid w:val="009812D4"/>
    <w:rsid w:val="009813E4"/>
    <w:rsid w:val="009815C7"/>
    <w:rsid w:val="00981E74"/>
    <w:rsid w:val="00981F90"/>
    <w:rsid w:val="00982A84"/>
    <w:rsid w:val="00982DBE"/>
    <w:rsid w:val="00983B2B"/>
    <w:rsid w:val="00983F76"/>
    <w:rsid w:val="00984111"/>
    <w:rsid w:val="009841C8"/>
    <w:rsid w:val="00984223"/>
    <w:rsid w:val="00984D6A"/>
    <w:rsid w:val="00986434"/>
    <w:rsid w:val="0098649F"/>
    <w:rsid w:val="009864B6"/>
    <w:rsid w:val="00986781"/>
    <w:rsid w:val="00986C90"/>
    <w:rsid w:val="00986FE3"/>
    <w:rsid w:val="00990015"/>
    <w:rsid w:val="00990646"/>
    <w:rsid w:val="009915DC"/>
    <w:rsid w:val="00991E08"/>
    <w:rsid w:val="009920D8"/>
    <w:rsid w:val="009922FC"/>
    <w:rsid w:val="00992BC1"/>
    <w:rsid w:val="009936B6"/>
    <w:rsid w:val="00993B95"/>
    <w:rsid w:val="0099492C"/>
    <w:rsid w:val="00994B63"/>
    <w:rsid w:val="0099502E"/>
    <w:rsid w:val="009952F5"/>
    <w:rsid w:val="00995CCC"/>
    <w:rsid w:val="00997238"/>
    <w:rsid w:val="00997CB6"/>
    <w:rsid w:val="009A07A5"/>
    <w:rsid w:val="009A0D72"/>
    <w:rsid w:val="009A1276"/>
    <w:rsid w:val="009A13F2"/>
    <w:rsid w:val="009A1D46"/>
    <w:rsid w:val="009A2002"/>
    <w:rsid w:val="009A31A1"/>
    <w:rsid w:val="009A3F6F"/>
    <w:rsid w:val="009A4046"/>
    <w:rsid w:val="009A4524"/>
    <w:rsid w:val="009A54F7"/>
    <w:rsid w:val="009A5726"/>
    <w:rsid w:val="009A60F8"/>
    <w:rsid w:val="009A6E19"/>
    <w:rsid w:val="009A7592"/>
    <w:rsid w:val="009B1B92"/>
    <w:rsid w:val="009B1D97"/>
    <w:rsid w:val="009B1F22"/>
    <w:rsid w:val="009B22A0"/>
    <w:rsid w:val="009B28A1"/>
    <w:rsid w:val="009B29B4"/>
    <w:rsid w:val="009B2B7E"/>
    <w:rsid w:val="009B38BE"/>
    <w:rsid w:val="009B3F23"/>
    <w:rsid w:val="009B614A"/>
    <w:rsid w:val="009B699C"/>
    <w:rsid w:val="009B6A40"/>
    <w:rsid w:val="009B71E8"/>
    <w:rsid w:val="009B78C8"/>
    <w:rsid w:val="009B7D37"/>
    <w:rsid w:val="009C043B"/>
    <w:rsid w:val="009C057B"/>
    <w:rsid w:val="009C0718"/>
    <w:rsid w:val="009C0B56"/>
    <w:rsid w:val="009C0CFC"/>
    <w:rsid w:val="009C0F99"/>
    <w:rsid w:val="009C318C"/>
    <w:rsid w:val="009C3D0F"/>
    <w:rsid w:val="009C49FC"/>
    <w:rsid w:val="009C4B37"/>
    <w:rsid w:val="009C54E5"/>
    <w:rsid w:val="009C5D51"/>
    <w:rsid w:val="009C6BF1"/>
    <w:rsid w:val="009C7D76"/>
    <w:rsid w:val="009C7E06"/>
    <w:rsid w:val="009D013A"/>
    <w:rsid w:val="009D1543"/>
    <w:rsid w:val="009D16E7"/>
    <w:rsid w:val="009D1744"/>
    <w:rsid w:val="009D27FA"/>
    <w:rsid w:val="009D2C9E"/>
    <w:rsid w:val="009D32E7"/>
    <w:rsid w:val="009D3BFE"/>
    <w:rsid w:val="009D3DE6"/>
    <w:rsid w:val="009D4BA6"/>
    <w:rsid w:val="009D5019"/>
    <w:rsid w:val="009D54D6"/>
    <w:rsid w:val="009D59FE"/>
    <w:rsid w:val="009D7C50"/>
    <w:rsid w:val="009E0063"/>
    <w:rsid w:val="009E13FA"/>
    <w:rsid w:val="009E188D"/>
    <w:rsid w:val="009E1944"/>
    <w:rsid w:val="009E1A68"/>
    <w:rsid w:val="009E1B19"/>
    <w:rsid w:val="009E2D80"/>
    <w:rsid w:val="009E2DBB"/>
    <w:rsid w:val="009E3132"/>
    <w:rsid w:val="009E348F"/>
    <w:rsid w:val="009E3B5C"/>
    <w:rsid w:val="009E4214"/>
    <w:rsid w:val="009E5202"/>
    <w:rsid w:val="009E68B8"/>
    <w:rsid w:val="009F053A"/>
    <w:rsid w:val="009F0A24"/>
    <w:rsid w:val="009F1729"/>
    <w:rsid w:val="009F17AF"/>
    <w:rsid w:val="009F35E2"/>
    <w:rsid w:val="009F3E9B"/>
    <w:rsid w:val="009F4823"/>
    <w:rsid w:val="009F4C3A"/>
    <w:rsid w:val="009F524F"/>
    <w:rsid w:val="009F56CD"/>
    <w:rsid w:val="009F62BE"/>
    <w:rsid w:val="009F65F9"/>
    <w:rsid w:val="009F68BA"/>
    <w:rsid w:val="009F69C6"/>
    <w:rsid w:val="009F6A5E"/>
    <w:rsid w:val="009F6AEB"/>
    <w:rsid w:val="00A00E7A"/>
    <w:rsid w:val="00A0129B"/>
    <w:rsid w:val="00A02FC6"/>
    <w:rsid w:val="00A0363E"/>
    <w:rsid w:val="00A03789"/>
    <w:rsid w:val="00A06277"/>
    <w:rsid w:val="00A07277"/>
    <w:rsid w:val="00A074CE"/>
    <w:rsid w:val="00A0777C"/>
    <w:rsid w:val="00A079DC"/>
    <w:rsid w:val="00A100D9"/>
    <w:rsid w:val="00A101A3"/>
    <w:rsid w:val="00A111C2"/>
    <w:rsid w:val="00A1124F"/>
    <w:rsid w:val="00A11D9D"/>
    <w:rsid w:val="00A133AE"/>
    <w:rsid w:val="00A13842"/>
    <w:rsid w:val="00A13893"/>
    <w:rsid w:val="00A13B37"/>
    <w:rsid w:val="00A15CAB"/>
    <w:rsid w:val="00A17337"/>
    <w:rsid w:val="00A17F5A"/>
    <w:rsid w:val="00A20C8E"/>
    <w:rsid w:val="00A210FD"/>
    <w:rsid w:val="00A21651"/>
    <w:rsid w:val="00A21EB8"/>
    <w:rsid w:val="00A2242D"/>
    <w:rsid w:val="00A236A6"/>
    <w:rsid w:val="00A23801"/>
    <w:rsid w:val="00A23B7A"/>
    <w:rsid w:val="00A249B7"/>
    <w:rsid w:val="00A24B2E"/>
    <w:rsid w:val="00A26753"/>
    <w:rsid w:val="00A26FF1"/>
    <w:rsid w:val="00A31BA0"/>
    <w:rsid w:val="00A338E7"/>
    <w:rsid w:val="00A33A30"/>
    <w:rsid w:val="00A33D7D"/>
    <w:rsid w:val="00A34071"/>
    <w:rsid w:val="00A3506C"/>
    <w:rsid w:val="00A35A29"/>
    <w:rsid w:val="00A35CAA"/>
    <w:rsid w:val="00A36E7F"/>
    <w:rsid w:val="00A37343"/>
    <w:rsid w:val="00A377FB"/>
    <w:rsid w:val="00A40379"/>
    <w:rsid w:val="00A40581"/>
    <w:rsid w:val="00A411F4"/>
    <w:rsid w:val="00A41265"/>
    <w:rsid w:val="00A41E65"/>
    <w:rsid w:val="00A431A8"/>
    <w:rsid w:val="00A43E0A"/>
    <w:rsid w:val="00A44917"/>
    <w:rsid w:val="00A46621"/>
    <w:rsid w:val="00A46DCF"/>
    <w:rsid w:val="00A50006"/>
    <w:rsid w:val="00A50BC7"/>
    <w:rsid w:val="00A50C71"/>
    <w:rsid w:val="00A50EBF"/>
    <w:rsid w:val="00A512B4"/>
    <w:rsid w:val="00A5177C"/>
    <w:rsid w:val="00A51DDD"/>
    <w:rsid w:val="00A525BB"/>
    <w:rsid w:val="00A52692"/>
    <w:rsid w:val="00A530C7"/>
    <w:rsid w:val="00A53638"/>
    <w:rsid w:val="00A54B36"/>
    <w:rsid w:val="00A5514A"/>
    <w:rsid w:val="00A55E55"/>
    <w:rsid w:val="00A55F5B"/>
    <w:rsid w:val="00A56547"/>
    <w:rsid w:val="00A57C8D"/>
    <w:rsid w:val="00A60185"/>
    <w:rsid w:val="00A601C6"/>
    <w:rsid w:val="00A6060C"/>
    <w:rsid w:val="00A60D43"/>
    <w:rsid w:val="00A611FD"/>
    <w:rsid w:val="00A6154A"/>
    <w:rsid w:val="00A61AEE"/>
    <w:rsid w:val="00A61B19"/>
    <w:rsid w:val="00A62343"/>
    <w:rsid w:val="00A63262"/>
    <w:rsid w:val="00A6356E"/>
    <w:rsid w:val="00A638CE"/>
    <w:rsid w:val="00A63C71"/>
    <w:rsid w:val="00A63FA8"/>
    <w:rsid w:val="00A65C74"/>
    <w:rsid w:val="00A65FAC"/>
    <w:rsid w:val="00A661EA"/>
    <w:rsid w:val="00A664F8"/>
    <w:rsid w:val="00A665B9"/>
    <w:rsid w:val="00A66806"/>
    <w:rsid w:val="00A66DDB"/>
    <w:rsid w:val="00A66E51"/>
    <w:rsid w:val="00A67259"/>
    <w:rsid w:val="00A67E10"/>
    <w:rsid w:val="00A71054"/>
    <w:rsid w:val="00A71287"/>
    <w:rsid w:val="00A713AA"/>
    <w:rsid w:val="00A723E9"/>
    <w:rsid w:val="00A7262D"/>
    <w:rsid w:val="00A72AE2"/>
    <w:rsid w:val="00A74AAE"/>
    <w:rsid w:val="00A74EDE"/>
    <w:rsid w:val="00A750EF"/>
    <w:rsid w:val="00A7524F"/>
    <w:rsid w:val="00A75821"/>
    <w:rsid w:val="00A75CA5"/>
    <w:rsid w:val="00A75F6F"/>
    <w:rsid w:val="00A7740B"/>
    <w:rsid w:val="00A7790A"/>
    <w:rsid w:val="00A803D8"/>
    <w:rsid w:val="00A806F4"/>
    <w:rsid w:val="00A82468"/>
    <w:rsid w:val="00A8273A"/>
    <w:rsid w:val="00A8304B"/>
    <w:rsid w:val="00A830E5"/>
    <w:rsid w:val="00A83F28"/>
    <w:rsid w:val="00A840A3"/>
    <w:rsid w:val="00A850CE"/>
    <w:rsid w:val="00A86ED5"/>
    <w:rsid w:val="00A8703E"/>
    <w:rsid w:val="00A87135"/>
    <w:rsid w:val="00A8770C"/>
    <w:rsid w:val="00A8777B"/>
    <w:rsid w:val="00A90180"/>
    <w:rsid w:val="00A90797"/>
    <w:rsid w:val="00A91825"/>
    <w:rsid w:val="00A927AD"/>
    <w:rsid w:val="00A93280"/>
    <w:rsid w:val="00A94147"/>
    <w:rsid w:val="00A951EA"/>
    <w:rsid w:val="00A953EC"/>
    <w:rsid w:val="00A95841"/>
    <w:rsid w:val="00A95F21"/>
    <w:rsid w:val="00A961C6"/>
    <w:rsid w:val="00A97275"/>
    <w:rsid w:val="00A97E2E"/>
    <w:rsid w:val="00AA1E16"/>
    <w:rsid w:val="00AA1E7C"/>
    <w:rsid w:val="00AA2548"/>
    <w:rsid w:val="00AA2DAA"/>
    <w:rsid w:val="00AA2E8B"/>
    <w:rsid w:val="00AA2F68"/>
    <w:rsid w:val="00AA36A9"/>
    <w:rsid w:val="00AA383E"/>
    <w:rsid w:val="00AA3B1A"/>
    <w:rsid w:val="00AA58C4"/>
    <w:rsid w:val="00AA59FE"/>
    <w:rsid w:val="00AA6328"/>
    <w:rsid w:val="00AA6A42"/>
    <w:rsid w:val="00AA7003"/>
    <w:rsid w:val="00AA7E9E"/>
    <w:rsid w:val="00AB0FBA"/>
    <w:rsid w:val="00AB11C8"/>
    <w:rsid w:val="00AB194A"/>
    <w:rsid w:val="00AB1B6C"/>
    <w:rsid w:val="00AB234C"/>
    <w:rsid w:val="00AB400F"/>
    <w:rsid w:val="00AB4088"/>
    <w:rsid w:val="00AB46E2"/>
    <w:rsid w:val="00AB5028"/>
    <w:rsid w:val="00AB535A"/>
    <w:rsid w:val="00AB58E7"/>
    <w:rsid w:val="00AB607B"/>
    <w:rsid w:val="00AB609E"/>
    <w:rsid w:val="00AB72E6"/>
    <w:rsid w:val="00AC04CB"/>
    <w:rsid w:val="00AC051D"/>
    <w:rsid w:val="00AC08A8"/>
    <w:rsid w:val="00AC0F81"/>
    <w:rsid w:val="00AC52E8"/>
    <w:rsid w:val="00AC5F11"/>
    <w:rsid w:val="00AC6102"/>
    <w:rsid w:val="00AC696B"/>
    <w:rsid w:val="00AC6AE4"/>
    <w:rsid w:val="00AC7863"/>
    <w:rsid w:val="00AC7B20"/>
    <w:rsid w:val="00AC7E89"/>
    <w:rsid w:val="00AD2141"/>
    <w:rsid w:val="00AD222B"/>
    <w:rsid w:val="00AD24CF"/>
    <w:rsid w:val="00AD2C9B"/>
    <w:rsid w:val="00AD316A"/>
    <w:rsid w:val="00AD356C"/>
    <w:rsid w:val="00AD50BC"/>
    <w:rsid w:val="00AD5181"/>
    <w:rsid w:val="00AD56C8"/>
    <w:rsid w:val="00AD58F2"/>
    <w:rsid w:val="00AD5DB3"/>
    <w:rsid w:val="00AD64DF"/>
    <w:rsid w:val="00AD7177"/>
    <w:rsid w:val="00AD73B7"/>
    <w:rsid w:val="00AD73D6"/>
    <w:rsid w:val="00AD75FD"/>
    <w:rsid w:val="00AD79CB"/>
    <w:rsid w:val="00AD7B61"/>
    <w:rsid w:val="00AE01BE"/>
    <w:rsid w:val="00AE07B4"/>
    <w:rsid w:val="00AE0C16"/>
    <w:rsid w:val="00AE1173"/>
    <w:rsid w:val="00AE1623"/>
    <w:rsid w:val="00AE1A2B"/>
    <w:rsid w:val="00AE1A40"/>
    <w:rsid w:val="00AE4A59"/>
    <w:rsid w:val="00AE56A5"/>
    <w:rsid w:val="00AE5829"/>
    <w:rsid w:val="00AE5993"/>
    <w:rsid w:val="00AE6B18"/>
    <w:rsid w:val="00AE7070"/>
    <w:rsid w:val="00AE7B03"/>
    <w:rsid w:val="00AF0142"/>
    <w:rsid w:val="00AF1314"/>
    <w:rsid w:val="00AF1776"/>
    <w:rsid w:val="00AF20E0"/>
    <w:rsid w:val="00AF2A8C"/>
    <w:rsid w:val="00AF3778"/>
    <w:rsid w:val="00AF4D73"/>
    <w:rsid w:val="00AF5E7A"/>
    <w:rsid w:val="00AF5F99"/>
    <w:rsid w:val="00AF5FF5"/>
    <w:rsid w:val="00AF7B79"/>
    <w:rsid w:val="00B005E3"/>
    <w:rsid w:val="00B00A90"/>
    <w:rsid w:val="00B03007"/>
    <w:rsid w:val="00B04AA5"/>
    <w:rsid w:val="00B0512A"/>
    <w:rsid w:val="00B0529F"/>
    <w:rsid w:val="00B05CDE"/>
    <w:rsid w:val="00B0629A"/>
    <w:rsid w:val="00B0639B"/>
    <w:rsid w:val="00B06994"/>
    <w:rsid w:val="00B077B7"/>
    <w:rsid w:val="00B10094"/>
    <w:rsid w:val="00B114BE"/>
    <w:rsid w:val="00B120AD"/>
    <w:rsid w:val="00B121E9"/>
    <w:rsid w:val="00B12B99"/>
    <w:rsid w:val="00B1399D"/>
    <w:rsid w:val="00B13A22"/>
    <w:rsid w:val="00B1418B"/>
    <w:rsid w:val="00B14A68"/>
    <w:rsid w:val="00B1585C"/>
    <w:rsid w:val="00B158D6"/>
    <w:rsid w:val="00B160B7"/>
    <w:rsid w:val="00B160E8"/>
    <w:rsid w:val="00B1657D"/>
    <w:rsid w:val="00B165B5"/>
    <w:rsid w:val="00B2076D"/>
    <w:rsid w:val="00B20E76"/>
    <w:rsid w:val="00B21195"/>
    <w:rsid w:val="00B22175"/>
    <w:rsid w:val="00B221D9"/>
    <w:rsid w:val="00B22709"/>
    <w:rsid w:val="00B23750"/>
    <w:rsid w:val="00B23A93"/>
    <w:rsid w:val="00B23B8C"/>
    <w:rsid w:val="00B24A36"/>
    <w:rsid w:val="00B24B22"/>
    <w:rsid w:val="00B250D2"/>
    <w:rsid w:val="00B25310"/>
    <w:rsid w:val="00B253F7"/>
    <w:rsid w:val="00B270FC"/>
    <w:rsid w:val="00B27FEE"/>
    <w:rsid w:val="00B316F4"/>
    <w:rsid w:val="00B31C64"/>
    <w:rsid w:val="00B31E31"/>
    <w:rsid w:val="00B323C9"/>
    <w:rsid w:val="00B325AB"/>
    <w:rsid w:val="00B32F8F"/>
    <w:rsid w:val="00B331E5"/>
    <w:rsid w:val="00B33A4D"/>
    <w:rsid w:val="00B34406"/>
    <w:rsid w:val="00B3492A"/>
    <w:rsid w:val="00B3541E"/>
    <w:rsid w:val="00B35AB1"/>
    <w:rsid w:val="00B3636F"/>
    <w:rsid w:val="00B3664B"/>
    <w:rsid w:val="00B36EB6"/>
    <w:rsid w:val="00B3732E"/>
    <w:rsid w:val="00B37781"/>
    <w:rsid w:val="00B377C7"/>
    <w:rsid w:val="00B37C34"/>
    <w:rsid w:val="00B37FCE"/>
    <w:rsid w:val="00B41391"/>
    <w:rsid w:val="00B44388"/>
    <w:rsid w:val="00B445B0"/>
    <w:rsid w:val="00B45F19"/>
    <w:rsid w:val="00B47723"/>
    <w:rsid w:val="00B50197"/>
    <w:rsid w:val="00B504C0"/>
    <w:rsid w:val="00B50602"/>
    <w:rsid w:val="00B50F5E"/>
    <w:rsid w:val="00B51861"/>
    <w:rsid w:val="00B51FF7"/>
    <w:rsid w:val="00B5309A"/>
    <w:rsid w:val="00B53CCC"/>
    <w:rsid w:val="00B54DE9"/>
    <w:rsid w:val="00B553EC"/>
    <w:rsid w:val="00B55E3F"/>
    <w:rsid w:val="00B56FDF"/>
    <w:rsid w:val="00B6012C"/>
    <w:rsid w:val="00B60250"/>
    <w:rsid w:val="00B6041D"/>
    <w:rsid w:val="00B62009"/>
    <w:rsid w:val="00B62344"/>
    <w:rsid w:val="00B624B6"/>
    <w:rsid w:val="00B62787"/>
    <w:rsid w:val="00B6342E"/>
    <w:rsid w:val="00B63725"/>
    <w:rsid w:val="00B63C1E"/>
    <w:rsid w:val="00B6583D"/>
    <w:rsid w:val="00B66D42"/>
    <w:rsid w:val="00B67489"/>
    <w:rsid w:val="00B67E51"/>
    <w:rsid w:val="00B703E3"/>
    <w:rsid w:val="00B70A1B"/>
    <w:rsid w:val="00B71366"/>
    <w:rsid w:val="00B71BC4"/>
    <w:rsid w:val="00B72A15"/>
    <w:rsid w:val="00B72A43"/>
    <w:rsid w:val="00B73E7F"/>
    <w:rsid w:val="00B769D2"/>
    <w:rsid w:val="00B77FAD"/>
    <w:rsid w:val="00B81811"/>
    <w:rsid w:val="00B82BA2"/>
    <w:rsid w:val="00B866F1"/>
    <w:rsid w:val="00B8762E"/>
    <w:rsid w:val="00B902EA"/>
    <w:rsid w:val="00B90D61"/>
    <w:rsid w:val="00B9272F"/>
    <w:rsid w:val="00B928D6"/>
    <w:rsid w:val="00B92A69"/>
    <w:rsid w:val="00B932B3"/>
    <w:rsid w:val="00B93DD0"/>
    <w:rsid w:val="00B95070"/>
    <w:rsid w:val="00B95B34"/>
    <w:rsid w:val="00B95EE0"/>
    <w:rsid w:val="00B9637B"/>
    <w:rsid w:val="00B96538"/>
    <w:rsid w:val="00B96F41"/>
    <w:rsid w:val="00B972C4"/>
    <w:rsid w:val="00B97732"/>
    <w:rsid w:val="00B9779D"/>
    <w:rsid w:val="00B97B40"/>
    <w:rsid w:val="00BA0438"/>
    <w:rsid w:val="00BA06AF"/>
    <w:rsid w:val="00BA09B7"/>
    <w:rsid w:val="00BA09DB"/>
    <w:rsid w:val="00BA0A6B"/>
    <w:rsid w:val="00BA26E8"/>
    <w:rsid w:val="00BA2A10"/>
    <w:rsid w:val="00BA358F"/>
    <w:rsid w:val="00BA3A92"/>
    <w:rsid w:val="00BA3ACD"/>
    <w:rsid w:val="00BA462A"/>
    <w:rsid w:val="00BA485C"/>
    <w:rsid w:val="00BA48BB"/>
    <w:rsid w:val="00BA4D19"/>
    <w:rsid w:val="00BA534D"/>
    <w:rsid w:val="00BA5D6E"/>
    <w:rsid w:val="00BA65A8"/>
    <w:rsid w:val="00BA6901"/>
    <w:rsid w:val="00BA6D19"/>
    <w:rsid w:val="00BA7461"/>
    <w:rsid w:val="00BA74BC"/>
    <w:rsid w:val="00BA7A53"/>
    <w:rsid w:val="00BA7A75"/>
    <w:rsid w:val="00BA7DA9"/>
    <w:rsid w:val="00BA7FDD"/>
    <w:rsid w:val="00BB0609"/>
    <w:rsid w:val="00BB1512"/>
    <w:rsid w:val="00BB19B1"/>
    <w:rsid w:val="00BB227A"/>
    <w:rsid w:val="00BB33B9"/>
    <w:rsid w:val="00BB4003"/>
    <w:rsid w:val="00BB5290"/>
    <w:rsid w:val="00BB5FA9"/>
    <w:rsid w:val="00BB68BA"/>
    <w:rsid w:val="00BB7A78"/>
    <w:rsid w:val="00BC0495"/>
    <w:rsid w:val="00BC0D26"/>
    <w:rsid w:val="00BC4215"/>
    <w:rsid w:val="00BC4F40"/>
    <w:rsid w:val="00BC5432"/>
    <w:rsid w:val="00BC6EE0"/>
    <w:rsid w:val="00BC791D"/>
    <w:rsid w:val="00BD120A"/>
    <w:rsid w:val="00BD1A6F"/>
    <w:rsid w:val="00BD1F94"/>
    <w:rsid w:val="00BD2046"/>
    <w:rsid w:val="00BD27D0"/>
    <w:rsid w:val="00BD3267"/>
    <w:rsid w:val="00BD3A29"/>
    <w:rsid w:val="00BD4C3D"/>
    <w:rsid w:val="00BD5C2D"/>
    <w:rsid w:val="00BD612E"/>
    <w:rsid w:val="00BD7027"/>
    <w:rsid w:val="00BD7393"/>
    <w:rsid w:val="00BE07C5"/>
    <w:rsid w:val="00BE0A87"/>
    <w:rsid w:val="00BE0B54"/>
    <w:rsid w:val="00BE0F48"/>
    <w:rsid w:val="00BE1392"/>
    <w:rsid w:val="00BE2217"/>
    <w:rsid w:val="00BE3884"/>
    <w:rsid w:val="00BE40B4"/>
    <w:rsid w:val="00BE43C6"/>
    <w:rsid w:val="00BE4A34"/>
    <w:rsid w:val="00BE557B"/>
    <w:rsid w:val="00BE61B6"/>
    <w:rsid w:val="00BE63A3"/>
    <w:rsid w:val="00BE670E"/>
    <w:rsid w:val="00BE68A0"/>
    <w:rsid w:val="00BE6D3C"/>
    <w:rsid w:val="00BE7852"/>
    <w:rsid w:val="00BE790B"/>
    <w:rsid w:val="00BE7BB1"/>
    <w:rsid w:val="00BF0075"/>
    <w:rsid w:val="00BF0367"/>
    <w:rsid w:val="00BF0390"/>
    <w:rsid w:val="00BF05D8"/>
    <w:rsid w:val="00BF0F9E"/>
    <w:rsid w:val="00BF13E4"/>
    <w:rsid w:val="00BF1BBE"/>
    <w:rsid w:val="00BF2135"/>
    <w:rsid w:val="00BF3D43"/>
    <w:rsid w:val="00BF56C2"/>
    <w:rsid w:val="00BF6298"/>
    <w:rsid w:val="00BF7BC0"/>
    <w:rsid w:val="00BF7CEE"/>
    <w:rsid w:val="00BF7EE6"/>
    <w:rsid w:val="00C008C9"/>
    <w:rsid w:val="00C01137"/>
    <w:rsid w:val="00C0295C"/>
    <w:rsid w:val="00C02F35"/>
    <w:rsid w:val="00C02F96"/>
    <w:rsid w:val="00C03342"/>
    <w:rsid w:val="00C03880"/>
    <w:rsid w:val="00C048B1"/>
    <w:rsid w:val="00C053DD"/>
    <w:rsid w:val="00C058D1"/>
    <w:rsid w:val="00C05DCB"/>
    <w:rsid w:val="00C07DA6"/>
    <w:rsid w:val="00C12CC3"/>
    <w:rsid w:val="00C135CF"/>
    <w:rsid w:val="00C1418A"/>
    <w:rsid w:val="00C1464F"/>
    <w:rsid w:val="00C149E8"/>
    <w:rsid w:val="00C14CE0"/>
    <w:rsid w:val="00C14FF6"/>
    <w:rsid w:val="00C159FF"/>
    <w:rsid w:val="00C166E2"/>
    <w:rsid w:val="00C16F4F"/>
    <w:rsid w:val="00C22951"/>
    <w:rsid w:val="00C22C54"/>
    <w:rsid w:val="00C237BD"/>
    <w:rsid w:val="00C23FEC"/>
    <w:rsid w:val="00C24B70"/>
    <w:rsid w:val="00C25373"/>
    <w:rsid w:val="00C25C9C"/>
    <w:rsid w:val="00C2683F"/>
    <w:rsid w:val="00C26BAC"/>
    <w:rsid w:val="00C27AB6"/>
    <w:rsid w:val="00C3184D"/>
    <w:rsid w:val="00C3199F"/>
    <w:rsid w:val="00C327A1"/>
    <w:rsid w:val="00C34B6C"/>
    <w:rsid w:val="00C34FAE"/>
    <w:rsid w:val="00C40268"/>
    <w:rsid w:val="00C40AD0"/>
    <w:rsid w:val="00C40CD7"/>
    <w:rsid w:val="00C41597"/>
    <w:rsid w:val="00C42507"/>
    <w:rsid w:val="00C43275"/>
    <w:rsid w:val="00C43964"/>
    <w:rsid w:val="00C43E44"/>
    <w:rsid w:val="00C446D7"/>
    <w:rsid w:val="00C44769"/>
    <w:rsid w:val="00C449F8"/>
    <w:rsid w:val="00C44E2A"/>
    <w:rsid w:val="00C452E0"/>
    <w:rsid w:val="00C45DD3"/>
    <w:rsid w:val="00C47030"/>
    <w:rsid w:val="00C4714E"/>
    <w:rsid w:val="00C4760C"/>
    <w:rsid w:val="00C509DD"/>
    <w:rsid w:val="00C51A96"/>
    <w:rsid w:val="00C51CCA"/>
    <w:rsid w:val="00C5423F"/>
    <w:rsid w:val="00C546BC"/>
    <w:rsid w:val="00C5504F"/>
    <w:rsid w:val="00C56367"/>
    <w:rsid w:val="00C5644B"/>
    <w:rsid w:val="00C56A19"/>
    <w:rsid w:val="00C571D8"/>
    <w:rsid w:val="00C573F7"/>
    <w:rsid w:val="00C5764E"/>
    <w:rsid w:val="00C57B55"/>
    <w:rsid w:val="00C57EAA"/>
    <w:rsid w:val="00C6013F"/>
    <w:rsid w:val="00C60D58"/>
    <w:rsid w:val="00C61F76"/>
    <w:rsid w:val="00C63376"/>
    <w:rsid w:val="00C656F8"/>
    <w:rsid w:val="00C66856"/>
    <w:rsid w:val="00C674AA"/>
    <w:rsid w:val="00C70BA9"/>
    <w:rsid w:val="00C718F6"/>
    <w:rsid w:val="00C723CD"/>
    <w:rsid w:val="00C73133"/>
    <w:rsid w:val="00C73193"/>
    <w:rsid w:val="00C732B4"/>
    <w:rsid w:val="00C7365E"/>
    <w:rsid w:val="00C73918"/>
    <w:rsid w:val="00C73AFF"/>
    <w:rsid w:val="00C73E80"/>
    <w:rsid w:val="00C743A7"/>
    <w:rsid w:val="00C74572"/>
    <w:rsid w:val="00C74B33"/>
    <w:rsid w:val="00C74F4E"/>
    <w:rsid w:val="00C74F97"/>
    <w:rsid w:val="00C753ED"/>
    <w:rsid w:val="00C75898"/>
    <w:rsid w:val="00C7658A"/>
    <w:rsid w:val="00C76C52"/>
    <w:rsid w:val="00C77545"/>
    <w:rsid w:val="00C807C2"/>
    <w:rsid w:val="00C80A91"/>
    <w:rsid w:val="00C81CCB"/>
    <w:rsid w:val="00C8214A"/>
    <w:rsid w:val="00C8276E"/>
    <w:rsid w:val="00C827C1"/>
    <w:rsid w:val="00C83B59"/>
    <w:rsid w:val="00C842AC"/>
    <w:rsid w:val="00C84397"/>
    <w:rsid w:val="00C845BD"/>
    <w:rsid w:val="00C854C4"/>
    <w:rsid w:val="00C855A0"/>
    <w:rsid w:val="00C85EEC"/>
    <w:rsid w:val="00C86073"/>
    <w:rsid w:val="00C868C1"/>
    <w:rsid w:val="00C86D90"/>
    <w:rsid w:val="00C87B68"/>
    <w:rsid w:val="00C90D66"/>
    <w:rsid w:val="00C91D1A"/>
    <w:rsid w:val="00C9211D"/>
    <w:rsid w:val="00C92195"/>
    <w:rsid w:val="00C92550"/>
    <w:rsid w:val="00C92843"/>
    <w:rsid w:val="00C92B15"/>
    <w:rsid w:val="00C9313C"/>
    <w:rsid w:val="00C93221"/>
    <w:rsid w:val="00C93B12"/>
    <w:rsid w:val="00C93B81"/>
    <w:rsid w:val="00C95293"/>
    <w:rsid w:val="00C954C6"/>
    <w:rsid w:val="00C9582C"/>
    <w:rsid w:val="00C95958"/>
    <w:rsid w:val="00C9643F"/>
    <w:rsid w:val="00C96688"/>
    <w:rsid w:val="00C967BE"/>
    <w:rsid w:val="00C972D6"/>
    <w:rsid w:val="00C97995"/>
    <w:rsid w:val="00C97FD4"/>
    <w:rsid w:val="00CA0723"/>
    <w:rsid w:val="00CA2E3C"/>
    <w:rsid w:val="00CA34F5"/>
    <w:rsid w:val="00CA5156"/>
    <w:rsid w:val="00CA5BD9"/>
    <w:rsid w:val="00CA6E91"/>
    <w:rsid w:val="00CA7708"/>
    <w:rsid w:val="00CA7714"/>
    <w:rsid w:val="00CA7CA3"/>
    <w:rsid w:val="00CB03BA"/>
    <w:rsid w:val="00CB06A4"/>
    <w:rsid w:val="00CB0F7E"/>
    <w:rsid w:val="00CB0FAD"/>
    <w:rsid w:val="00CB1580"/>
    <w:rsid w:val="00CB1690"/>
    <w:rsid w:val="00CB307A"/>
    <w:rsid w:val="00CB348B"/>
    <w:rsid w:val="00CB39C7"/>
    <w:rsid w:val="00CB3C37"/>
    <w:rsid w:val="00CB4CCF"/>
    <w:rsid w:val="00CB63D3"/>
    <w:rsid w:val="00CB6D4C"/>
    <w:rsid w:val="00CC0367"/>
    <w:rsid w:val="00CC04A8"/>
    <w:rsid w:val="00CC0A81"/>
    <w:rsid w:val="00CC1027"/>
    <w:rsid w:val="00CC1CF1"/>
    <w:rsid w:val="00CC4365"/>
    <w:rsid w:val="00CC49B0"/>
    <w:rsid w:val="00CC558D"/>
    <w:rsid w:val="00CC66C5"/>
    <w:rsid w:val="00CC6851"/>
    <w:rsid w:val="00CC77AB"/>
    <w:rsid w:val="00CD0543"/>
    <w:rsid w:val="00CD06E3"/>
    <w:rsid w:val="00CD11B0"/>
    <w:rsid w:val="00CD20F5"/>
    <w:rsid w:val="00CD2221"/>
    <w:rsid w:val="00CD2ACA"/>
    <w:rsid w:val="00CD3D11"/>
    <w:rsid w:val="00CD41FE"/>
    <w:rsid w:val="00CD4D07"/>
    <w:rsid w:val="00CD5106"/>
    <w:rsid w:val="00CD52E5"/>
    <w:rsid w:val="00CD6FB5"/>
    <w:rsid w:val="00CD7901"/>
    <w:rsid w:val="00CD7919"/>
    <w:rsid w:val="00CE0750"/>
    <w:rsid w:val="00CE0A08"/>
    <w:rsid w:val="00CE0BB0"/>
    <w:rsid w:val="00CE2F6E"/>
    <w:rsid w:val="00CE46E3"/>
    <w:rsid w:val="00CE5C2A"/>
    <w:rsid w:val="00CE5D89"/>
    <w:rsid w:val="00CE6F25"/>
    <w:rsid w:val="00CE71C2"/>
    <w:rsid w:val="00CE765A"/>
    <w:rsid w:val="00CE7D9E"/>
    <w:rsid w:val="00CF1501"/>
    <w:rsid w:val="00CF1DE5"/>
    <w:rsid w:val="00CF3226"/>
    <w:rsid w:val="00CF34E9"/>
    <w:rsid w:val="00CF3954"/>
    <w:rsid w:val="00CF40DA"/>
    <w:rsid w:val="00CF4293"/>
    <w:rsid w:val="00CF42D5"/>
    <w:rsid w:val="00CF4EDA"/>
    <w:rsid w:val="00CF590F"/>
    <w:rsid w:val="00CF760F"/>
    <w:rsid w:val="00CF7D7F"/>
    <w:rsid w:val="00D01481"/>
    <w:rsid w:val="00D01615"/>
    <w:rsid w:val="00D01CEA"/>
    <w:rsid w:val="00D021CB"/>
    <w:rsid w:val="00D0248F"/>
    <w:rsid w:val="00D025D5"/>
    <w:rsid w:val="00D02AB8"/>
    <w:rsid w:val="00D03E76"/>
    <w:rsid w:val="00D041E9"/>
    <w:rsid w:val="00D0477B"/>
    <w:rsid w:val="00D05638"/>
    <w:rsid w:val="00D057D0"/>
    <w:rsid w:val="00D05B14"/>
    <w:rsid w:val="00D05EA6"/>
    <w:rsid w:val="00D0752A"/>
    <w:rsid w:val="00D079AD"/>
    <w:rsid w:val="00D10043"/>
    <w:rsid w:val="00D10294"/>
    <w:rsid w:val="00D10553"/>
    <w:rsid w:val="00D10576"/>
    <w:rsid w:val="00D10F1A"/>
    <w:rsid w:val="00D116F8"/>
    <w:rsid w:val="00D11D3D"/>
    <w:rsid w:val="00D129D9"/>
    <w:rsid w:val="00D13103"/>
    <w:rsid w:val="00D13596"/>
    <w:rsid w:val="00D13D3A"/>
    <w:rsid w:val="00D14900"/>
    <w:rsid w:val="00D1499E"/>
    <w:rsid w:val="00D15F20"/>
    <w:rsid w:val="00D16C5F"/>
    <w:rsid w:val="00D16D30"/>
    <w:rsid w:val="00D17596"/>
    <w:rsid w:val="00D17A1E"/>
    <w:rsid w:val="00D20D00"/>
    <w:rsid w:val="00D219A0"/>
    <w:rsid w:val="00D21B6A"/>
    <w:rsid w:val="00D21D54"/>
    <w:rsid w:val="00D22465"/>
    <w:rsid w:val="00D22640"/>
    <w:rsid w:val="00D22E09"/>
    <w:rsid w:val="00D232A5"/>
    <w:rsid w:val="00D2410E"/>
    <w:rsid w:val="00D2468C"/>
    <w:rsid w:val="00D2475A"/>
    <w:rsid w:val="00D2514F"/>
    <w:rsid w:val="00D262E4"/>
    <w:rsid w:val="00D267D5"/>
    <w:rsid w:val="00D26D3A"/>
    <w:rsid w:val="00D27674"/>
    <w:rsid w:val="00D3023D"/>
    <w:rsid w:val="00D30488"/>
    <w:rsid w:val="00D320CD"/>
    <w:rsid w:val="00D33152"/>
    <w:rsid w:val="00D34DFE"/>
    <w:rsid w:val="00D35555"/>
    <w:rsid w:val="00D35D07"/>
    <w:rsid w:val="00D361EF"/>
    <w:rsid w:val="00D362FB"/>
    <w:rsid w:val="00D40B13"/>
    <w:rsid w:val="00D4218D"/>
    <w:rsid w:val="00D4225B"/>
    <w:rsid w:val="00D429DC"/>
    <w:rsid w:val="00D43188"/>
    <w:rsid w:val="00D43566"/>
    <w:rsid w:val="00D44668"/>
    <w:rsid w:val="00D458F4"/>
    <w:rsid w:val="00D45EE3"/>
    <w:rsid w:val="00D460E7"/>
    <w:rsid w:val="00D463C6"/>
    <w:rsid w:val="00D46841"/>
    <w:rsid w:val="00D475B0"/>
    <w:rsid w:val="00D477D9"/>
    <w:rsid w:val="00D5042E"/>
    <w:rsid w:val="00D5047F"/>
    <w:rsid w:val="00D50618"/>
    <w:rsid w:val="00D509E9"/>
    <w:rsid w:val="00D50A3A"/>
    <w:rsid w:val="00D52046"/>
    <w:rsid w:val="00D52BE7"/>
    <w:rsid w:val="00D53B1C"/>
    <w:rsid w:val="00D53C58"/>
    <w:rsid w:val="00D53FBF"/>
    <w:rsid w:val="00D53FD5"/>
    <w:rsid w:val="00D541E7"/>
    <w:rsid w:val="00D54EC8"/>
    <w:rsid w:val="00D55138"/>
    <w:rsid w:val="00D55477"/>
    <w:rsid w:val="00D5780F"/>
    <w:rsid w:val="00D60100"/>
    <w:rsid w:val="00D6027F"/>
    <w:rsid w:val="00D61149"/>
    <w:rsid w:val="00D61CBE"/>
    <w:rsid w:val="00D6304D"/>
    <w:rsid w:val="00D63066"/>
    <w:rsid w:val="00D6335C"/>
    <w:rsid w:val="00D644AE"/>
    <w:rsid w:val="00D67A84"/>
    <w:rsid w:val="00D70859"/>
    <w:rsid w:val="00D70CF2"/>
    <w:rsid w:val="00D71AAC"/>
    <w:rsid w:val="00D71FF4"/>
    <w:rsid w:val="00D720FA"/>
    <w:rsid w:val="00D72810"/>
    <w:rsid w:val="00D730E6"/>
    <w:rsid w:val="00D7416C"/>
    <w:rsid w:val="00D748B9"/>
    <w:rsid w:val="00D74950"/>
    <w:rsid w:val="00D74C9D"/>
    <w:rsid w:val="00D764FC"/>
    <w:rsid w:val="00D76EC2"/>
    <w:rsid w:val="00D76EE1"/>
    <w:rsid w:val="00D77087"/>
    <w:rsid w:val="00D772A6"/>
    <w:rsid w:val="00D80549"/>
    <w:rsid w:val="00D80577"/>
    <w:rsid w:val="00D81EC1"/>
    <w:rsid w:val="00D841D7"/>
    <w:rsid w:val="00D8519C"/>
    <w:rsid w:val="00D86A55"/>
    <w:rsid w:val="00D90553"/>
    <w:rsid w:val="00D915C9"/>
    <w:rsid w:val="00D91750"/>
    <w:rsid w:val="00D91880"/>
    <w:rsid w:val="00D9229B"/>
    <w:rsid w:val="00D9252D"/>
    <w:rsid w:val="00D95E5E"/>
    <w:rsid w:val="00D97C51"/>
    <w:rsid w:val="00D97CBC"/>
    <w:rsid w:val="00DA1B12"/>
    <w:rsid w:val="00DA23F7"/>
    <w:rsid w:val="00DA2795"/>
    <w:rsid w:val="00DA2DCB"/>
    <w:rsid w:val="00DA3001"/>
    <w:rsid w:val="00DA3A36"/>
    <w:rsid w:val="00DA4AEA"/>
    <w:rsid w:val="00DA4E89"/>
    <w:rsid w:val="00DA4E8C"/>
    <w:rsid w:val="00DA54C9"/>
    <w:rsid w:val="00DA5F22"/>
    <w:rsid w:val="00DA6739"/>
    <w:rsid w:val="00DA694C"/>
    <w:rsid w:val="00DA6CAE"/>
    <w:rsid w:val="00DA6F9D"/>
    <w:rsid w:val="00DA71AB"/>
    <w:rsid w:val="00DA7EFC"/>
    <w:rsid w:val="00DB0B56"/>
    <w:rsid w:val="00DB0CD2"/>
    <w:rsid w:val="00DB0DFE"/>
    <w:rsid w:val="00DB17F2"/>
    <w:rsid w:val="00DB1A9E"/>
    <w:rsid w:val="00DB2057"/>
    <w:rsid w:val="00DB277C"/>
    <w:rsid w:val="00DB2CBF"/>
    <w:rsid w:val="00DB31D6"/>
    <w:rsid w:val="00DB342C"/>
    <w:rsid w:val="00DB4005"/>
    <w:rsid w:val="00DB4D33"/>
    <w:rsid w:val="00DB5748"/>
    <w:rsid w:val="00DB58A8"/>
    <w:rsid w:val="00DB5AFC"/>
    <w:rsid w:val="00DB7B11"/>
    <w:rsid w:val="00DB7CC7"/>
    <w:rsid w:val="00DC053C"/>
    <w:rsid w:val="00DC34EB"/>
    <w:rsid w:val="00DC46DE"/>
    <w:rsid w:val="00DC4C98"/>
    <w:rsid w:val="00DC5E48"/>
    <w:rsid w:val="00DC6DD3"/>
    <w:rsid w:val="00DC7D57"/>
    <w:rsid w:val="00DD1783"/>
    <w:rsid w:val="00DD18D2"/>
    <w:rsid w:val="00DD2EC9"/>
    <w:rsid w:val="00DD3071"/>
    <w:rsid w:val="00DD4184"/>
    <w:rsid w:val="00DD478E"/>
    <w:rsid w:val="00DD5116"/>
    <w:rsid w:val="00DD5677"/>
    <w:rsid w:val="00DD613F"/>
    <w:rsid w:val="00DD6CD5"/>
    <w:rsid w:val="00DD7A6B"/>
    <w:rsid w:val="00DD7AE7"/>
    <w:rsid w:val="00DE0B46"/>
    <w:rsid w:val="00DE1041"/>
    <w:rsid w:val="00DE1770"/>
    <w:rsid w:val="00DE17FA"/>
    <w:rsid w:val="00DE41F0"/>
    <w:rsid w:val="00DE505C"/>
    <w:rsid w:val="00DE6656"/>
    <w:rsid w:val="00DE6E2C"/>
    <w:rsid w:val="00DF14BF"/>
    <w:rsid w:val="00DF1E5B"/>
    <w:rsid w:val="00DF2275"/>
    <w:rsid w:val="00DF25A8"/>
    <w:rsid w:val="00DF27FA"/>
    <w:rsid w:val="00DF2A7A"/>
    <w:rsid w:val="00DF2B4E"/>
    <w:rsid w:val="00DF2BCA"/>
    <w:rsid w:val="00DF3B87"/>
    <w:rsid w:val="00DF3F5E"/>
    <w:rsid w:val="00DF5291"/>
    <w:rsid w:val="00DF5653"/>
    <w:rsid w:val="00DF5BB9"/>
    <w:rsid w:val="00DF78CD"/>
    <w:rsid w:val="00E0046F"/>
    <w:rsid w:val="00E02D89"/>
    <w:rsid w:val="00E03141"/>
    <w:rsid w:val="00E03D6A"/>
    <w:rsid w:val="00E03E1F"/>
    <w:rsid w:val="00E03EC8"/>
    <w:rsid w:val="00E045C8"/>
    <w:rsid w:val="00E0489E"/>
    <w:rsid w:val="00E04B56"/>
    <w:rsid w:val="00E04D5B"/>
    <w:rsid w:val="00E0596E"/>
    <w:rsid w:val="00E05A6E"/>
    <w:rsid w:val="00E06DA0"/>
    <w:rsid w:val="00E06F66"/>
    <w:rsid w:val="00E0703A"/>
    <w:rsid w:val="00E07A54"/>
    <w:rsid w:val="00E11BE5"/>
    <w:rsid w:val="00E13CDE"/>
    <w:rsid w:val="00E146B8"/>
    <w:rsid w:val="00E15132"/>
    <w:rsid w:val="00E154D9"/>
    <w:rsid w:val="00E157EE"/>
    <w:rsid w:val="00E169F8"/>
    <w:rsid w:val="00E1706D"/>
    <w:rsid w:val="00E1730D"/>
    <w:rsid w:val="00E17DCD"/>
    <w:rsid w:val="00E21AE7"/>
    <w:rsid w:val="00E225FC"/>
    <w:rsid w:val="00E22929"/>
    <w:rsid w:val="00E22D38"/>
    <w:rsid w:val="00E23762"/>
    <w:rsid w:val="00E2450F"/>
    <w:rsid w:val="00E247B3"/>
    <w:rsid w:val="00E24B5E"/>
    <w:rsid w:val="00E25F4B"/>
    <w:rsid w:val="00E26F09"/>
    <w:rsid w:val="00E27398"/>
    <w:rsid w:val="00E275F3"/>
    <w:rsid w:val="00E30C76"/>
    <w:rsid w:val="00E30CF8"/>
    <w:rsid w:val="00E310B5"/>
    <w:rsid w:val="00E3414D"/>
    <w:rsid w:val="00E34C39"/>
    <w:rsid w:val="00E356E5"/>
    <w:rsid w:val="00E357E4"/>
    <w:rsid w:val="00E35930"/>
    <w:rsid w:val="00E3603A"/>
    <w:rsid w:val="00E36F81"/>
    <w:rsid w:val="00E370AA"/>
    <w:rsid w:val="00E3768F"/>
    <w:rsid w:val="00E37D7E"/>
    <w:rsid w:val="00E4027D"/>
    <w:rsid w:val="00E40A6F"/>
    <w:rsid w:val="00E40F45"/>
    <w:rsid w:val="00E42B82"/>
    <w:rsid w:val="00E4347A"/>
    <w:rsid w:val="00E43AA6"/>
    <w:rsid w:val="00E43C3F"/>
    <w:rsid w:val="00E445B5"/>
    <w:rsid w:val="00E445BD"/>
    <w:rsid w:val="00E450DD"/>
    <w:rsid w:val="00E45765"/>
    <w:rsid w:val="00E45876"/>
    <w:rsid w:val="00E45A85"/>
    <w:rsid w:val="00E45BF7"/>
    <w:rsid w:val="00E45D16"/>
    <w:rsid w:val="00E45DCC"/>
    <w:rsid w:val="00E46AA0"/>
    <w:rsid w:val="00E5098C"/>
    <w:rsid w:val="00E525DA"/>
    <w:rsid w:val="00E52EE1"/>
    <w:rsid w:val="00E5359C"/>
    <w:rsid w:val="00E53AB1"/>
    <w:rsid w:val="00E5459C"/>
    <w:rsid w:val="00E5469B"/>
    <w:rsid w:val="00E54DCA"/>
    <w:rsid w:val="00E565BF"/>
    <w:rsid w:val="00E57AB7"/>
    <w:rsid w:val="00E60213"/>
    <w:rsid w:val="00E60358"/>
    <w:rsid w:val="00E6082E"/>
    <w:rsid w:val="00E6090B"/>
    <w:rsid w:val="00E61171"/>
    <w:rsid w:val="00E61A27"/>
    <w:rsid w:val="00E63D6B"/>
    <w:rsid w:val="00E647B7"/>
    <w:rsid w:val="00E65A31"/>
    <w:rsid w:val="00E65BC4"/>
    <w:rsid w:val="00E661B2"/>
    <w:rsid w:val="00E66BD6"/>
    <w:rsid w:val="00E6746A"/>
    <w:rsid w:val="00E67CDD"/>
    <w:rsid w:val="00E7044D"/>
    <w:rsid w:val="00E710C2"/>
    <w:rsid w:val="00E7196B"/>
    <w:rsid w:val="00E71995"/>
    <w:rsid w:val="00E745C5"/>
    <w:rsid w:val="00E74D29"/>
    <w:rsid w:val="00E7599E"/>
    <w:rsid w:val="00E76472"/>
    <w:rsid w:val="00E7683B"/>
    <w:rsid w:val="00E76A75"/>
    <w:rsid w:val="00E76D8F"/>
    <w:rsid w:val="00E77385"/>
    <w:rsid w:val="00E77469"/>
    <w:rsid w:val="00E7766E"/>
    <w:rsid w:val="00E77F36"/>
    <w:rsid w:val="00E80AFC"/>
    <w:rsid w:val="00E817E8"/>
    <w:rsid w:val="00E81EEC"/>
    <w:rsid w:val="00E83C74"/>
    <w:rsid w:val="00E83CEE"/>
    <w:rsid w:val="00E843B5"/>
    <w:rsid w:val="00E84A74"/>
    <w:rsid w:val="00E84C65"/>
    <w:rsid w:val="00E86861"/>
    <w:rsid w:val="00E879EA"/>
    <w:rsid w:val="00E87C8E"/>
    <w:rsid w:val="00E90637"/>
    <w:rsid w:val="00E91263"/>
    <w:rsid w:val="00E9139A"/>
    <w:rsid w:val="00E914F5"/>
    <w:rsid w:val="00E91AD0"/>
    <w:rsid w:val="00E91B0F"/>
    <w:rsid w:val="00E91F18"/>
    <w:rsid w:val="00E9217E"/>
    <w:rsid w:val="00E9226D"/>
    <w:rsid w:val="00E92491"/>
    <w:rsid w:val="00E92652"/>
    <w:rsid w:val="00E9304F"/>
    <w:rsid w:val="00E93EC8"/>
    <w:rsid w:val="00E943AB"/>
    <w:rsid w:val="00E94DA3"/>
    <w:rsid w:val="00E95286"/>
    <w:rsid w:val="00E97091"/>
    <w:rsid w:val="00EA416C"/>
    <w:rsid w:val="00EA48C9"/>
    <w:rsid w:val="00EA545F"/>
    <w:rsid w:val="00EA5737"/>
    <w:rsid w:val="00EA5941"/>
    <w:rsid w:val="00EA6483"/>
    <w:rsid w:val="00EA6DB3"/>
    <w:rsid w:val="00EB135C"/>
    <w:rsid w:val="00EB1365"/>
    <w:rsid w:val="00EB1767"/>
    <w:rsid w:val="00EB2AFF"/>
    <w:rsid w:val="00EB2B0D"/>
    <w:rsid w:val="00EB3ED7"/>
    <w:rsid w:val="00EB569A"/>
    <w:rsid w:val="00EB5B58"/>
    <w:rsid w:val="00EB6045"/>
    <w:rsid w:val="00EB60CE"/>
    <w:rsid w:val="00EB64EF"/>
    <w:rsid w:val="00EB7D53"/>
    <w:rsid w:val="00EB7DE1"/>
    <w:rsid w:val="00EB7FFE"/>
    <w:rsid w:val="00EC053E"/>
    <w:rsid w:val="00EC097C"/>
    <w:rsid w:val="00EC1C68"/>
    <w:rsid w:val="00EC2079"/>
    <w:rsid w:val="00EC3652"/>
    <w:rsid w:val="00EC3DC2"/>
    <w:rsid w:val="00EC472E"/>
    <w:rsid w:val="00EC61AF"/>
    <w:rsid w:val="00ED07F5"/>
    <w:rsid w:val="00ED0936"/>
    <w:rsid w:val="00ED0A48"/>
    <w:rsid w:val="00ED0F91"/>
    <w:rsid w:val="00ED13FF"/>
    <w:rsid w:val="00ED275F"/>
    <w:rsid w:val="00ED2B44"/>
    <w:rsid w:val="00ED36CE"/>
    <w:rsid w:val="00ED4BEB"/>
    <w:rsid w:val="00ED650E"/>
    <w:rsid w:val="00ED655B"/>
    <w:rsid w:val="00ED6F71"/>
    <w:rsid w:val="00ED7610"/>
    <w:rsid w:val="00ED7705"/>
    <w:rsid w:val="00EE1198"/>
    <w:rsid w:val="00EE2669"/>
    <w:rsid w:val="00EE3146"/>
    <w:rsid w:val="00EE3954"/>
    <w:rsid w:val="00EE409C"/>
    <w:rsid w:val="00EE4B8F"/>
    <w:rsid w:val="00EE51F0"/>
    <w:rsid w:val="00EE5FD3"/>
    <w:rsid w:val="00EE6F23"/>
    <w:rsid w:val="00EE7A8E"/>
    <w:rsid w:val="00EE7E4A"/>
    <w:rsid w:val="00EF1A49"/>
    <w:rsid w:val="00EF2938"/>
    <w:rsid w:val="00EF2FE1"/>
    <w:rsid w:val="00EF3401"/>
    <w:rsid w:val="00EF3AD0"/>
    <w:rsid w:val="00EF50BB"/>
    <w:rsid w:val="00EF50E7"/>
    <w:rsid w:val="00EF53FF"/>
    <w:rsid w:val="00EF6A50"/>
    <w:rsid w:val="00F00192"/>
    <w:rsid w:val="00F00193"/>
    <w:rsid w:val="00F00B1C"/>
    <w:rsid w:val="00F01DF6"/>
    <w:rsid w:val="00F02C8B"/>
    <w:rsid w:val="00F0340D"/>
    <w:rsid w:val="00F035D3"/>
    <w:rsid w:val="00F038F2"/>
    <w:rsid w:val="00F03ECB"/>
    <w:rsid w:val="00F04314"/>
    <w:rsid w:val="00F04415"/>
    <w:rsid w:val="00F04536"/>
    <w:rsid w:val="00F045C1"/>
    <w:rsid w:val="00F04C9E"/>
    <w:rsid w:val="00F054F5"/>
    <w:rsid w:val="00F059A6"/>
    <w:rsid w:val="00F061ED"/>
    <w:rsid w:val="00F06856"/>
    <w:rsid w:val="00F073FD"/>
    <w:rsid w:val="00F1050D"/>
    <w:rsid w:val="00F1103A"/>
    <w:rsid w:val="00F12722"/>
    <w:rsid w:val="00F12C03"/>
    <w:rsid w:val="00F13E8E"/>
    <w:rsid w:val="00F155D2"/>
    <w:rsid w:val="00F15722"/>
    <w:rsid w:val="00F1667D"/>
    <w:rsid w:val="00F16F28"/>
    <w:rsid w:val="00F212D5"/>
    <w:rsid w:val="00F21C8A"/>
    <w:rsid w:val="00F22564"/>
    <w:rsid w:val="00F22C5A"/>
    <w:rsid w:val="00F22E8B"/>
    <w:rsid w:val="00F23756"/>
    <w:rsid w:val="00F24883"/>
    <w:rsid w:val="00F2523A"/>
    <w:rsid w:val="00F259CC"/>
    <w:rsid w:val="00F25FFA"/>
    <w:rsid w:val="00F26280"/>
    <w:rsid w:val="00F264F9"/>
    <w:rsid w:val="00F30079"/>
    <w:rsid w:val="00F30444"/>
    <w:rsid w:val="00F30613"/>
    <w:rsid w:val="00F310D2"/>
    <w:rsid w:val="00F31A63"/>
    <w:rsid w:val="00F31B13"/>
    <w:rsid w:val="00F31CB6"/>
    <w:rsid w:val="00F3309B"/>
    <w:rsid w:val="00F34F54"/>
    <w:rsid w:val="00F35246"/>
    <w:rsid w:val="00F35C24"/>
    <w:rsid w:val="00F366B2"/>
    <w:rsid w:val="00F36F3D"/>
    <w:rsid w:val="00F37F09"/>
    <w:rsid w:val="00F40046"/>
    <w:rsid w:val="00F415C5"/>
    <w:rsid w:val="00F41851"/>
    <w:rsid w:val="00F419E7"/>
    <w:rsid w:val="00F427BF"/>
    <w:rsid w:val="00F428C1"/>
    <w:rsid w:val="00F4297C"/>
    <w:rsid w:val="00F45932"/>
    <w:rsid w:val="00F45F0F"/>
    <w:rsid w:val="00F4605B"/>
    <w:rsid w:val="00F46C91"/>
    <w:rsid w:val="00F477BD"/>
    <w:rsid w:val="00F503F0"/>
    <w:rsid w:val="00F512A1"/>
    <w:rsid w:val="00F52196"/>
    <w:rsid w:val="00F52530"/>
    <w:rsid w:val="00F52C51"/>
    <w:rsid w:val="00F530B6"/>
    <w:rsid w:val="00F53491"/>
    <w:rsid w:val="00F535A2"/>
    <w:rsid w:val="00F54B0D"/>
    <w:rsid w:val="00F54DF4"/>
    <w:rsid w:val="00F56F68"/>
    <w:rsid w:val="00F60C1A"/>
    <w:rsid w:val="00F60F47"/>
    <w:rsid w:val="00F61368"/>
    <w:rsid w:val="00F62416"/>
    <w:rsid w:val="00F629B8"/>
    <w:rsid w:val="00F63254"/>
    <w:rsid w:val="00F63797"/>
    <w:rsid w:val="00F64A44"/>
    <w:rsid w:val="00F65500"/>
    <w:rsid w:val="00F65A1C"/>
    <w:rsid w:val="00F65E2E"/>
    <w:rsid w:val="00F66688"/>
    <w:rsid w:val="00F66F50"/>
    <w:rsid w:val="00F66F59"/>
    <w:rsid w:val="00F70383"/>
    <w:rsid w:val="00F7091E"/>
    <w:rsid w:val="00F71C8F"/>
    <w:rsid w:val="00F72DCB"/>
    <w:rsid w:val="00F7370F"/>
    <w:rsid w:val="00F737E3"/>
    <w:rsid w:val="00F73B38"/>
    <w:rsid w:val="00F73C73"/>
    <w:rsid w:val="00F742AD"/>
    <w:rsid w:val="00F74F9B"/>
    <w:rsid w:val="00F74FEC"/>
    <w:rsid w:val="00F754E4"/>
    <w:rsid w:val="00F76160"/>
    <w:rsid w:val="00F766B8"/>
    <w:rsid w:val="00F768C4"/>
    <w:rsid w:val="00F7785D"/>
    <w:rsid w:val="00F77B26"/>
    <w:rsid w:val="00F80E32"/>
    <w:rsid w:val="00F81884"/>
    <w:rsid w:val="00F81BB6"/>
    <w:rsid w:val="00F8217A"/>
    <w:rsid w:val="00F82A28"/>
    <w:rsid w:val="00F82FF8"/>
    <w:rsid w:val="00F8330D"/>
    <w:rsid w:val="00F835C5"/>
    <w:rsid w:val="00F839FE"/>
    <w:rsid w:val="00F83F63"/>
    <w:rsid w:val="00F8421E"/>
    <w:rsid w:val="00F84305"/>
    <w:rsid w:val="00F8472A"/>
    <w:rsid w:val="00F8485C"/>
    <w:rsid w:val="00F84B83"/>
    <w:rsid w:val="00F8613A"/>
    <w:rsid w:val="00F863D3"/>
    <w:rsid w:val="00F86A5D"/>
    <w:rsid w:val="00F87149"/>
    <w:rsid w:val="00F876B7"/>
    <w:rsid w:val="00F87F7A"/>
    <w:rsid w:val="00F87FFE"/>
    <w:rsid w:val="00F9004A"/>
    <w:rsid w:val="00F92164"/>
    <w:rsid w:val="00F93026"/>
    <w:rsid w:val="00F93A7C"/>
    <w:rsid w:val="00F93DF5"/>
    <w:rsid w:val="00F9446D"/>
    <w:rsid w:val="00F945BC"/>
    <w:rsid w:val="00F94EAB"/>
    <w:rsid w:val="00F94F52"/>
    <w:rsid w:val="00F952C7"/>
    <w:rsid w:val="00F954C9"/>
    <w:rsid w:val="00F9657A"/>
    <w:rsid w:val="00F96A68"/>
    <w:rsid w:val="00F96DB6"/>
    <w:rsid w:val="00FA0F9F"/>
    <w:rsid w:val="00FA2235"/>
    <w:rsid w:val="00FA22AE"/>
    <w:rsid w:val="00FA36DC"/>
    <w:rsid w:val="00FA44D5"/>
    <w:rsid w:val="00FA4A28"/>
    <w:rsid w:val="00FA4CF0"/>
    <w:rsid w:val="00FA4E75"/>
    <w:rsid w:val="00FA4FCA"/>
    <w:rsid w:val="00FA61AA"/>
    <w:rsid w:val="00FA69A4"/>
    <w:rsid w:val="00FA6AF2"/>
    <w:rsid w:val="00FA796C"/>
    <w:rsid w:val="00FB02E2"/>
    <w:rsid w:val="00FB0B27"/>
    <w:rsid w:val="00FB1279"/>
    <w:rsid w:val="00FB1495"/>
    <w:rsid w:val="00FB244F"/>
    <w:rsid w:val="00FB2472"/>
    <w:rsid w:val="00FB43CB"/>
    <w:rsid w:val="00FB47CB"/>
    <w:rsid w:val="00FB656E"/>
    <w:rsid w:val="00FB65E2"/>
    <w:rsid w:val="00FB65E8"/>
    <w:rsid w:val="00FB6893"/>
    <w:rsid w:val="00FB7D7D"/>
    <w:rsid w:val="00FC1563"/>
    <w:rsid w:val="00FC2EBF"/>
    <w:rsid w:val="00FC391F"/>
    <w:rsid w:val="00FC3B13"/>
    <w:rsid w:val="00FC3E88"/>
    <w:rsid w:val="00FC43F5"/>
    <w:rsid w:val="00FC4473"/>
    <w:rsid w:val="00FC4E60"/>
    <w:rsid w:val="00FC5059"/>
    <w:rsid w:val="00FC55DE"/>
    <w:rsid w:val="00FC7280"/>
    <w:rsid w:val="00FD022E"/>
    <w:rsid w:val="00FD081A"/>
    <w:rsid w:val="00FD0C3D"/>
    <w:rsid w:val="00FD12F1"/>
    <w:rsid w:val="00FD1694"/>
    <w:rsid w:val="00FD18B3"/>
    <w:rsid w:val="00FD1B71"/>
    <w:rsid w:val="00FD1F67"/>
    <w:rsid w:val="00FD20D5"/>
    <w:rsid w:val="00FD3D31"/>
    <w:rsid w:val="00FD444E"/>
    <w:rsid w:val="00FD5CE0"/>
    <w:rsid w:val="00FD5E45"/>
    <w:rsid w:val="00FD5FFB"/>
    <w:rsid w:val="00FD6893"/>
    <w:rsid w:val="00FD6AD8"/>
    <w:rsid w:val="00FD7636"/>
    <w:rsid w:val="00FE0EB3"/>
    <w:rsid w:val="00FE10D5"/>
    <w:rsid w:val="00FE1CA3"/>
    <w:rsid w:val="00FE2002"/>
    <w:rsid w:val="00FE3229"/>
    <w:rsid w:val="00FE5611"/>
    <w:rsid w:val="00FE657A"/>
    <w:rsid w:val="00FE6ED9"/>
    <w:rsid w:val="00FE74C3"/>
    <w:rsid w:val="00FE76B8"/>
    <w:rsid w:val="00FE7982"/>
    <w:rsid w:val="00FE7C0C"/>
    <w:rsid w:val="00FE7ECF"/>
    <w:rsid w:val="00FF02EF"/>
    <w:rsid w:val="00FF0A8C"/>
    <w:rsid w:val="00FF215C"/>
    <w:rsid w:val="00FF49E8"/>
    <w:rsid w:val="00FF4AC6"/>
    <w:rsid w:val="00FF560F"/>
    <w:rsid w:val="00FF5F36"/>
    <w:rsid w:val="00FF66E2"/>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92C"/>
    <w:pPr>
      <w:spacing w:before="120" w:after="120"/>
    </w:pPr>
    <w:rPr>
      <w:sz w:val="22"/>
      <w:szCs w:val="22"/>
      <w:lang w:eastAsia="en-US"/>
    </w:rPr>
  </w:style>
  <w:style w:type="paragraph" w:styleId="Heading1">
    <w:name w:val="heading 1"/>
    <w:basedOn w:val="Normal"/>
    <w:next w:val="Normal"/>
    <w:link w:val="Heading1Char"/>
    <w:uiPriority w:val="9"/>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paragraph" w:styleId="Heading5">
    <w:name w:val="heading 5"/>
    <w:basedOn w:val="Heading4"/>
    <w:next w:val="BodyText"/>
    <w:link w:val="Heading5Char"/>
    <w:qFormat/>
    <w:rsid w:val="00BE1392"/>
    <w:pPr>
      <w:tabs>
        <w:tab w:val="num" w:pos="866"/>
        <w:tab w:val="left" w:pos="907"/>
      </w:tabs>
      <w:spacing w:line="300" w:lineRule="atLeast"/>
      <w:ind w:left="866" w:hanging="1008"/>
      <w:outlineLvl w:val="4"/>
    </w:pPr>
    <w:rPr>
      <w:rFonts w:eastAsia="Times New Roman" w:cs="Times New Roman"/>
      <w:b/>
      <w:bCs/>
      <w:i w:val="0"/>
      <w:szCs w:val="28"/>
      <w:lang w:eastAsia="en-AU"/>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CC1027"/>
    <w:pPr>
      <w:numPr>
        <w:numId w:val="6"/>
      </w:numPr>
      <w:spacing w:before="60" w:after="60" w:line="276" w:lineRule="auto"/>
      <w:contextualSpacing/>
    </w:pPr>
    <w:rPr>
      <w:rFonts w:cs="Arial"/>
      <w:sz w:val="20"/>
      <w:szCs w:val="18"/>
    </w:rPr>
  </w:style>
  <w:style w:type="paragraph" w:styleId="ListBullet2">
    <w:name w:val="List Bullet 2"/>
    <w:basedOn w:val="Normal"/>
    <w:uiPriority w:val="99"/>
    <w:unhideWhenUsed/>
    <w:rsid w:val="00CC1027"/>
    <w:pPr>
      <w:numPr>
        <w:numId w:val="9"/>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uiPriority w:val="99"/>
    <w:semiHidden/>
    <w:rsid w:val="00B6012C"/>
    <w:rPr>
      <w:sz w:val="16"/>
      <w:szCs w:val="16"/>
    </w:rPr>
  </w:style>
  <w:style w:type="paragraph" w:styleId="CommentText">
    <w:name w:val="annotation text"/>
    <w:basedOn w:val="Normal"/>
    <w:link w:val="CommentTextChar"/>
    <w:uiPriority w:val="99"/>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nhideWhenUsed/>
    <w:rsid w:val="00A31BA0"/>
    <w:pPr>
      <w:tabs>
        <w:tab w:val="right" w:leader="dot" w:pos="9214"/>
      </w:tabs>
      <w:spacing w:before="0" w:after="200" w:line="276" w:lineRule="auto"/>
      <w:ind w:left="992" w:hanging="992"/>
      <w:jc w:val="both"/>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nhideWhenUsed/>
    <w:rsid w:val="00216DC7"/>
    <w:pPr>
      <w:spacing w:after="100"/>
      <w:ind w:left="440"/>
    </w:pPr>
  </w:style>
  <w:style w:type="paragraph" w:styleId="TOC2">
    <w:name w:val="toc 2"/>
    <w:basedOn w:val="Normal"/>
    <w:next w:val="Normal"/>
    <w:autoRedefine/>
    <w:unhideWhenUsed/>
    <w:rsid w:val="00687BC5"/>
    <w:pPr>
      <w:tabs>
        <w:tab w:val="right" w:leader="dot" w:pos="9202"/>
      </w:tabs>
      <w:spacing w:before="0" w:after="200" w:line="276" w:lineRule="auto"/>
      <w:ind w:left="426"/>
      <w:jc w:val="both"/>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8"/>
      </w:numPr>
      <w:spacing w:after="0"/>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5163D7"/>
    <w:rPr>
      <w:color w:val="800080" w:themeColor="followedHyperlink"/>
      <w:u w:val="single"/>
    </w:rPr>
  </w:style>
  <w:style w:type="character" w:customStyle="1" w:styleId="Heading5Char">
    <w:name w:val="Heading 5 Char"/>
    <w:basedOn w:val="DefaultParagraphFont"/>
    <w:link w:val="Heading5"/>
    <w:uiPriority w:val="9"/>
    <w:rsid w:val="00BE1392"/>
    <w:rPr>
      <w:rFonts w:eastAsia="Times New Roman"/>
      <w:b/>
      <w:bCs/>
      <w:sz w:val="22"/>
      <w:szCs w:val="28"/>
    </w:rPr>
  </w:style>
  <w:style w:type="paragraph" w:styleId="BodyText">
    <w:name w:val="Body Text"/>
    <w:basedOn w:val="Normal"/>
    <w:link w:val="BodyTextChar"/>
    <w:rsid w:val="00BE1392"/>
    <w:pPr>
      <w:spacing w:before="0" w:line="300" w:lineRule="atLeast"/>
    </w:pPr>
    <w:rPr>
      <w:rFonts w:eastAsia="Times New Roman" w:cs="Arial"/>
      <w:sz w:val="20"/>
      <w:szCs w:val="20"/>
      <w:lang w:eastAsia="en-AU"/>
    </w:rPr>
  </w:style>
  <w:style w:type="character" w:customStyle="1" w:styleId="BodyTextChar">
    <w:name w:val="Body Text Char"/>
    <w:basedOn w:val="DefaultParagraphFont"/>
    <w:link w:val="BodyText"/>
    <w:rsid w:val="00BE1392"/>
    <w:rPr>
      <w:rFonts w:eastAsia="Times New Roman" w:cs="Arial"/>
    </w:rPr>
  </w:style>
  <w:style w:type="character" w:customStyle="1" w:styleId="ListParagraphChar">
    <w:name w:val="List Paragraph Char"/>
    <w:basedOn w:val="DefaultParagraphFont"/>
    <w:link w:val="ListParagraph"/>
    <w:uiPriority w:val="34"/>
    <w:rsid w:val="00BE1392"/>
    <w:rPr>
      <w:sz w:val="22"/>
      <w:szCs w:val="22"/>
      <w:lang w:eastAsia="en-US"/>
    </w:rPr>
  </w:style>
  <w:style w:type="character" w:customStyle="1" w:styleId="ref-url">
    <w:name w:val="ref-url"/>
    <w:basedOn w:val="DefaultParagraphFont"/>
    <w:rsid w:val="006C26A9"/>
  </w:style>
  <w:style w:type="character" w:customStyle="1" w:styleId="personname2">
    <w:name w:val="person_name2"/>
    <w:basedOn w:val="DefaultParagraphFont"/>
    <w:rsid w:val="006C26A9"/>
  </w:style>
  <w:style w:type="paragraph" w:customStyle="1" w:styleId="EndNoteBibliography">
    <w:name w:val="EndNote Bibliography"/>
    <w:basedOn w:val="Normal"/>
    <w:link w:val="EndNoteBibliographyChar"/>
    <w:rsid w:val="00AF1776"/>
    <w:pPr>
      <w:spacing w:before="0" w:after="160" w:line="240" w:lineRule="atLeast"/>
    </w:pPr>
    <w:rPr>
      <w:rFonts w:eastAsiaTheme="minorHAnsi" w:cs="Arial"/>
      <w:noProof/>
      <w:sz w:val="20"/>
      <w:szCs w:val="20"/>
      <w:lang w:val="en-US"/>
    </w:rPr>
  </w:style>
  <w:style w:type="character" w:customStyle="1" w:styleId="EndNoteBibliographyChar">
    <w:name w:val="EndNote Bibliography Char"/>
    <w:basedOn w:val="DefaultParagraphFont"/>
    <w:link w:val="EndNoteBibliography"/>
    <w:rsid w:val="00AF1776"/>
    <w:rPr>
      <w:rFonts w:eastAsiaTheme="minorHAnsi" w:cs="Arial"/>
      <w:noProof/>
      <w:lang w:val="en-US" w:eastAsia="en-US"/>
    </w:rPr>
  </w:style>
  <w:style w:type="character" w:styleId="HTMLCite">
    <w:name w:val="HTML Cite"/>
    <w:basedOn w:val="DefaultParagraphFont"/>
    <w:uiPriority w:val="99"/>
    <w:semiHidden/>
    <w:unhideWhenUsed/>
    <w:rsid w:val="000F51FC"/>
    <w:rPr>
      <w:i/>
      <w:iCs/>
    </w:rPr>
  </w:style>
  <w:style w:type="character" w:customStyle="1" w:styleId="personname">
    <w:name w:val="person_name"/>
    <w:basedOn w:val="DefaultParagraphFont"/>
    <w:rsid w:val="00421668"/>
  </w:style>
  <w:style w:type="character" w:customStyle="1" w:styleId="UnresolvedMention1">
    <w:name w:val="Unresolved Mention1"/>
    <w:basedOn w:val="DefaultParagraphFont"/>
    <w:uiPriority w:val="99"/>
    <w:semiHidden/>
    <w:unhideWhenUsed/>
    <w:rsid w:val="00BB33B9"/>
    <w:rPr>
      <w:color w:val="605E5C"/>
      <w:shd w:val="clear" w:color="auto" w:fill="E1DFDD"/>
    </w:rPr>
  </w:style>
  <w:style w:type="paragraph" w:customStyle="1" w:styleId="pdf">
    <w:name w:val="pdf"/>
    <w:basedOn w:val="Normal"/>
    <w:rsid w:val="00F22E8B"/>
    <w:pPr>
      <w:spacing w:before="0" w:after="0"/>
      <w:ind w:left="-336"/>
      <w:textAlignment w:val="baseline"/>
    </w:pPr>
    <w:rPr>
      <w:rFonts w:ascii="Times New Roman" w:eastAsia="Times New Roman" w:hAnsi="Times New Roman"/>
      <w:sz w:val="24"/>
      <w:szCs w:val="24"/>
      <w:lang w:eastAsia="en-AU"/>
    </w:rPr>
  </w:style>
  <w:style w:type="paragraph" w:customStyle="1" w:styleId="ReportTitle">
    <w:name w:val="Report Title"/>
    <w:basedOn w:val="Normal"/>
    <w:uiPriority w:val="11"/>
    <w:qFormat/>
    <w:rsid w:val="003C3DE3"/>
    <w:pPr>
      <w:spacing w:before="0" w:after="200" w:line="276" w:lineRule="auto"/>
    </w:pPr>
    <w:rPr>
      <w:b/>
      <w:color w:val="17365D" w:themeColor="text2" w:themeShade="BF"/>
      <w:sz w:val="52"/>
    </w:rPr>
  </w:style>
  <w:style w:type="character" w:styleId="UnresolvedMention">
    <w:name w:val="Unresolved Mention"/>
    <w:basedOn w:val="DefaultParagraphFont"/>
    <w:uiPriority w:val="99"/>
    <w:semiHidden/>
    <w:unhideWhenUsed/>
    <w:rsid w:val="00E04D5B"/>
    <w:rPr>
      <w:color w:val="605E5C"/>
      <w:shd w:val="clear" w:color="auto" w:fill="E1DFDD"/>
    </w:rPr>
  </w:style>
  <w:style w:type="paragraph" w:customStyle="1" w:styleId="epblock">
    <w:name w:val="ep_block"/>
    <w:basedOn w:val="Normal"/>
    <w:rsid w:val="00A611FD"/>
    <w:pPr>
      <w:spacing w:before="60" w:after="60"/>
      <w:jc w:val="center"/>
    </w:pPr>
    <w:rPr>
      <w:rFonts w:ascii="Times New Roman" w:eastAsia="Times New Roman" w:hAnsi="Times New Roman"/>
      <w:color w:val="000000"/>
      <w:sz w:val="24"/>
      <w:szCs w:val="24"/>
      <w:lang w:eastAsia="en-AU"/>
    </w:rPr>
  </w:style>
  <w:style w:type="character" w:customStyle="1" w:styleId="ref-text">
    <w:name w:val="ref-text"/>
    <w:basedOn w:val="DefaultParagraphFont"/>
    <w:rsid w:val="00E647B7"/>
  </w:style>
  <w:style w:type="paragraph" w:customStyle="1" w:styleId="Subtitle1">
    <w:name w:val="Subtitle1"/>
    <w:basedOn w:val="Normal"/>
    <w:rsid w:val="00971E34"/>
    <w:pPr>
      <w:spacing w:before="0" w:after="0" w:line="288" w:lineRule="atLeast"/>
    </w:pPr>
    <w:rPr>
      <w:rFonts w:ascii="Times New Roman" w:eastAsia="Times New Roman" w:hAnsi="Times New Roman"/>
      <w:sz w:val="24"/>
      <w:szCs w:val="24"/>
      <w:lang w:eastAsia="en-AU"/>
    </w:rPr>
  </w:style>
  <w:style w:type="character" w:customStyle="1" w:styleId="organisation2">
    <w:name w:val="organisation2"/>
    <w:basedOn w:val="DefaultParagraphFont"/>
    <w:rsid w:val="00971E34"/>
  </w:style>
  <w:style w:type="paragraph" w:customStyle="1" w:styleId="footnotedescription">
    <w:name w:val="footnote description"/>
    <w:next w:val="Normal"/>
    <w:link w:val="footnotedescriptionChar"/>
    <w:hidden/>
    <w:rsid w:val="00511B64"/>
    <w:pPr>
      <w:spacing w:line="259" w:lineRule="auto"/>
    </w:pPr>
    <w:rPr>
      <w:rFonts w:ascii="Calibri" w:hAnsi="Calibri" w:cs="Calibri"/>
      <w:color w:val="0000FF"/>
      <w:szCs w:val="22"/>
      <w:u w:val="single" w:color="0000FF"/>
    </w:rPr>
  </w:style>
  <w:style w:type="character" w:customStyle="1" w:styleId="footnotedescriptionChar">
    <w:name w:val="footnote description Char"/>
    <w:link w:val="footnotedescription"/>
    <w:rsid w:val="00511B64"/>
    <w:rPr>
      <w:rFonts w:ascii="Calibri" w:hAnsi="Calibri" w:cs="Calibri"/>
      <w:color w:val="0000FF"/>
      <w:szCs w:val="22"/>
      <w:u w:val="single" w:color="0000FF"/>
    </w:rPr>
  </w:style>
  <w:style w:type="character" w:customStyle="1" w:styleId="footnotemark">
    <w:name w:val="footnote mark"/>
    <w:hidden/>
    <w:rsid w:val="00511B64"/>
    <w:rPr>
      <w:rFonts w:ascii="Calibri" w:eastAsia="Calibri" w:hAnsi="Calibri" w:cs="Calibri"/>
      <w:color w:val="000000"/>
      <w:sz w:val="20"/>
      <w:vertAlign w:val="superscript"/>
    </w:rPr>
  </w:style>
  <w:style w:type="table" w:customStyle="1" w:styleId="TableGrid0">
    <w:name w:val="TableGrid"/>
    <w:rsid w:val="00511B64"/>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53563">
      <w:bodyDiv w:val="1"/>
      <w:marLeft w:val="0"/>
      <w:marRight w:val="0"/>
      <w:marTop w:val="0"/>
      <w:marBottom w:val="0"/>
      <w:divBdr>
        <w:top w:val="none" w:sz="0" w:space="0" w:color="auto"/>
        <w:left w:val="none" w:sz="0" w:space="0" w:color="auto"/>
        <w:bottom w:val="none" w:sz="0" w:space="0" w:color="auto"/>
        <w:right w:val="none" w:sz="0" w:space="0" w:color="auto"/>
      </w:divBdr>
    </w:div>
    <w:div w:id="27611771">
      <w:bodyDiv w:val="1"/>
      <w:marLeft w:val="0"/>
      <w:marRight w:val="0"/>
      <w:marTop w:val="0"/>
      <w:marBottom w:val="0"/>
      <w:divBdr>
        <w:top w:val="none" w:sz="0" w:space="0" w:color="auto"/>
        <w:left w:val="none" w:sz="0" w:space="0" w:color="auto"/>
        <w:bottom w:val="none" w:sz="0" w:space="0" w:color="auto"/>
        <w:right w:val="none" w:sz="0" w:space="0" w:color="auto"/>
      </w:divBdr>
      <w:divsChild>
        <w:div w:id="650987380">
          <w:marLeft w:val="0"/>
          <w:marRight w:val="0"/>
          <w:marTop w:val="225"/>
          <w:marBottom w:val="225"/>
          <w:divBdr>
            <w:top w:val="none" w:sz="0" w:space="0" w:color="auto"/>
            <w:left w:val="none" w:sz="0" w:space="0" w:color="auto"/>
            <w:bottom w:val="none" w:sz="0" w:space="0" w:color="auto"/>
            <w:right w:val="none" w:sz="0" w:space="0" w:color="auto"/>
          </w:divBdr>
          <w:divsChild>
            <w:div w:id="1869904318">
              <w:marLeft w:val="0"/>
              <w:marRight w:val="0"/>
              <w:marTop w:val="0"/>
              <w:marBottom w:val="0"/>
              <w:divBdr>
                <w:top w:val="none" w:sz="0" w:space="0" w:color="auto"/>
                <w:left w:val="none" w:sz="0" w:space="0" w:color="auto"/>
                <w:bottom w:val="none" w:sz="0" w:space="0" w:color="auto"/>
                <w:right w:val="none" w:sz="0" w:space="0" w:color="auto"/>
              </w:divBdr>
              <w:divsChild>
                <w:div w:id="1977832750">
                  <w:marLeft w:val="0"/>
                  <w:marRight w:val="0"/>
                  <w:marTop w:val="0"/>
                  <w:marBottom w:val="0"/>
                  <w:divBdr>
                    <w:top w:val="none" w:sz="0" w:space="0" w:color="auto"/>
                    <w:left w:val="none" w:sz="0" w:space="0" w:color="auto"/>
                    <w:bottom w:val="none" w:sz="0" w:space="0" w:color="auto"/>
                    <w:right w:val="none" w:sz="0" w:space="0" w:color="auto"/>
                  </w:divBdr>
                  <w:divsChild>
                    <w:div w:id="724135355">
                      <w:marLeft w:val="0"/>
                      <w:marRight w:val="0"/>
                      <w:marTop w:val="0"/>
                      <w:marBottom w:val="0"/>
                      <w:divBdr>
                        <w:top w:val="none" w:sz="0" w:space="0" w:color="auto"/>
                        <w:left w:val="none" w:sz="0" w:space="0" w:color="auto"/>
                        <w:bottom w:val="none" w:sz="0" w:space="0" w:color="auto"/>
                        <w:right w:val="none" w:sz="0" w:space="0" w:color="auto"/>
                      </w:divBdr>
                    </w:div>
                    <w:div w:id="132038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439260">
          <w:marLeft w:val="0"/>
          <w:marRight w:val="0"/>
          <w:marTop w:val="225"/>
          <w:marBottom w:val="225"/>
          <w:divBdr>
            <w:top w:val="none" w:sz="0" w:space="0" w:color="auto"/>
            <w:left w:val="none" w:sz="0" w:space="0" w:color="auto"/>
            <w:bottom w:val="none" w:sz="0" w:space="0" w:color="auto"/>
            <w:right w:val="none" w:sz="0" w:space="0" w:color="auto"/>
          </w:divBdr>
          <w:divsChild>
            <w:div w:id="126407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6503">
      <w:bodyDiv w:val="1"/>
      <w:marLeft w:val="0"/>
      <w:marRight w:val="0"/>
      <w:marTop w:val="0"/>
      <w:marBottom w:val="0"/>
      <w:divBdr>
        <w:top w:val="none" w:sz="0" w:space="0" w:color="auto"/>
        <w:left w:val="none" w:sz="0" w:space="0" w:color="auto"/>
        <w:bottom w:val="none" w:sz="0" w:space="0" w:color="auto"/>
        <w:right w:val="none" w:sz="0" w:space="0" w:color="auto"/>
      </w:divBdr>
    </w:div>
    <w:div w:id="110637724">
      <w:bodyDiv w:val="1"/>
      <w:marLeft w:val="0"/>
      <w:marRight w:val="0"/>
      <w:marTop w:val="0"/>
      <w:marBottom w:val="0"/>
      <w:divBdr>
        <w:top w:val="none" w:sz="0" w:space="0" w:color="auto"/>
        <w:left w:val="none" w:sz="0" w:space="0" w:color="auto"/>
        <w:bottom w:val="none" w:sz="0" w:space="0" w:color="auto"/>
        <w:right w:val="none" w:sz="0" w:space="0" w:color="auto"/>
      </w:divBdr>
    </w:div>
    <w:div w:id="191305606">
      <w:bodyDiv w:val="1"/>
      <w:marLeft w:val="0"/>
      <w:marRight w:val="0"/>
      <w:marTop w:val="0"/>
      <w:marBottom w:val="0"/>
      <w:divBdr>
        <w:top w:val="none" w:sz="0" w:space="0" w:color="auto"/>
        <w:left w:val="none" w:sz="0" w:space="0" w:color="auto"/>
        <w:bottom w:val="none" w:sz="0" w:space="0" w:color="auto"/>
        <w:right w:val="none" w:sz="0" w:space="0" w:color="auto"/>
      </w:divBdr>
    </w:div>
    <w:div w:id="239486559">
      <w:bodyDiv w:val="1"/>
      <w:marLeft w:val="0"/>
      <w:marRight w:val="0"/>
      <w:marTop w:val="0"/>
      <w:marBottom w:val="0"/>
      <w:divBdr>
        <w:top w:val="none" w:sz="0" w:space="0" w:color="auto"/>
        <w:left w:val="none" w:sz="0" w:space="0" w:color="auto"/>
        <w:bottom w:val="none" w:sz="0" w:space="0" w:color="auto"/>
        <w:right w:val="none" w:sz="0" w:space="0" w:color="auto"/>
      </w:divBdr>
    </w:div>
    <w:div w:id="329413687">
      <w:bodyDiv w:val="1"/>
      <w:marLeft w:val="0"/>
      <w:marRight w:val="0"/>
      <w:marTop w:val="0"/>
      <w:marBottom w:val="0"/>
      <w:divBdr>
        <w:top w:val="none" w:sz="0" w:space="0" w:color="auto"/>
        <w:left w:val="none" w:sz="0" w:space="0" w:color="auto"/>
        <w:bottom w:val="none" w:sz="0" w:space="0" w:color="auto"/>
        <w:right w:val="none" w:sz="0" w:space="0" w:color="auto"/>
      </w:divBdr>
      <w:divsChild>
        <w:div w:id="1825927220">
          <w:marLeft w:val="0"/>
          <w:marRight w:val="0"/>
          <w:marTop w:val="0"/>
          <w:marBottom w:val="0"/>
          <w:divBdr>
            <w:top w:val="none" w:sz="0" w:space="0" w:color="auto"/>
            <w:left w:val="none" w:sz="0" w:space="0" w:color="auto"/>
            <w:bottom w:val="none" w:sz="0" w:space="0" w:color="auto"/>
            <w:right w:val="none" w:sz="0" w:space="0" w:color="auto"/>
          </w:divBdr>
          <w:divsChild>
            <w:div w:id="1953125101">
              <w:marLeft w:val="0"/>
              <w:marRight w:val="0"/>
              <w:marTop w:val="0"/>
              <w:marBottom w:val="0"/>
              <w:divBdr>
                <w:top w:val="none" w:sz="0" w:space="0" w:color="auto"/>
                <w:left w:val="none" w:sz="0" w:space="0" w:color="auto"/>
                <w:bottom w:val="none" w:sz="0" w:space="0" w:color="auto"/>
                <w:right w:val="none" w:sz="0" w:space="0" w:color="auto"/>
              </w:divBdr>
              <w:divsChild>
                <w:div w:id="1352032626">
                  <w:marLeft w:val="0"/>
                  <w:marRight w:val="0"/>
                  <w:marTop w:val="0"/>
                  <w:marBottom w:val="0"/>
                  <w:divBdr>
                    <w:top w:val="none" w:sz="0" w:space="0" w:color="auto"/>
                    <w:left w:val="none" w:sz="0" w:space="0" w:color="auto"/>
                    <w:bottom w:val="none" w:sz="0" w:space="0" w:color="auto"/>
                    <w:right w:val="none" w:sz="0" w:space="0" w:color="auto"/>
                  </w:divBdr>
                  <w:divsChild>
                    <w:div w:id="468401252">
                      <w:marLeft w:val="0"/>
                      <w:marRight w:val="0"/>
                      <w:marTop w:val="0"/>
                      <w:marBottom w:val="0"/>
                      <w:divBdr>
                        <w:top w:val="none" w:sz="0" w:space="0" w:color="auto"/>
                        <w:left w:val="none" w:sz="0" w:space="0" w:color="auto"/>
                        <w:bottom w:val="none" w:sz="0" w:space="0" w:color="auto"/>
                        <w:right w:val="none" w:sz="0" w:space="0" w:color="auto"/>
                      </w:divBdr>
                      <w:divsChild>
                        <w:div w:id="186497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7318624">
      <w:bodyDiv w:val="1"/>
      <w:marLeft w:val="0"/>
      <w:marRight w:val="0"/>
      <w:marTop w:val="0"/>
      <w:marBottom w:val="0"/>
      <w:divBdr>
        <w:top w:val="none" w:sz="0" w:space="0" w:color="auto"/>
        <w:left w:val="none" w:sz="0" w:space="0" w:color="auto"/>
        <w:bottom w:val="none" w:sz="0" w:space="0" w:color="auto"/>
        <w:right w:val="none" w:sz="0" w:space="0" w:color="auto"/>
      </w:divBdr>
      <w:divsChild>
        <w:div w:id="731775497">
          <w:marLeft w:val="0"/>
          <w:marRight w:val="0"/>
          <w:marTop w:val="0"/>
          <w:marBottom w:val="0"/>
          <w:divBdr>
            <w:top w:val="none" w:sz="0" w:space="0" w:color="auto"/>
            <w:left w:val="none" w:sz="0" w:space="0" w:color="auto"/>
            <w:bottom w:val="none" w:sz="0" w:space="0" w:color="auto"/>
            <w:right w:val="none" w:sz="0" w:space="0" w:color="auto"/>
          </w:divBdr>
          <w:divsChild>
            <w:div w:id="1648629983">
              <w:marLeft w:val="0"/>
              <w:marRight w:val="0"/>
              <w:marTop w:val="0"/>
              <w:marBottom w:val="0"/>
              <w:divBdr>
                <w:top w:val="none" w:sz="0" w:space="0" w:color="auto"/>
                <w:left w:val="none" w:sz="0" w:space="0" w:color="auto"/>
                <w:bottom w:val="none" w:sz="0" w:space="0" w:color="auto"/>
                <w:right w:val="none" w:sz="0" w:space="0" w:color="auto"/>
              </w:divBdr>
              <w:divsChild>
                <w:div w:id="1142771817">
                  <w:marLeft w:val="0"/>
                  <w:marRight w:val="0"/>
                  <w:marTop w:val="0"/>
                  <w:marBottom w:val="0"/>
                  <w:divBdr>
                    <w:top w:val="none" w:sz="0" w:space="0" w:color="auto"/>
                    <w:left w:val="none" w:sz="0" w:space="0" w:color="auto"/>
                    <w:bottom w:val="none" w:sz="0" w:space="0" w:color="auto"/>
                    <w:right w:val="none" w:sz="0" w:space="0" w:color="auto"/>
                  </w:divBdr>
                  <w:divsChild>
                    <w:div w:id="172314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664524">
      <w:bodyDiv w:val="1"/>
      <w:marLeft w:val="0"/>
      <w:marRight w:val="0"/>
      <w:marTop w:val="0"/>
      <w:marBottom w:val="0"/>
      <w:divBdr>
        <w:top w:val="none" w:sz="0" w:space="0" w:color="auto"/>
        <w:left w:val="none" w:sz="0" w:space="0" w:color="auto"/>
        <w:bottom w:val="none" w:sz="0" w:space="0" w:color="auto"/>
        <w:right w:val="none" w:sz="0" w:space="0" w:color="auto"/>
      </w:divBdr>
      <w:divsChild>
        <w:div w:id="840000920">
          <w:marLeft w:val="0"/>
          <w:marRight w:val="0"/>
          <w:marTop w:val="0"/>
          <w:marBottom w:val="0"/>
          <w:divBdr>
            <w:top w:val="none" w:sz="0" w:space="0" w:color="auto"/>
            <w:left w:val="none" w:sz="0" w:space="0" w:color="auto"/>
            <w:bottom w:val="none" w:sz="0" w:space="0" w:color="auto"/>
            <w:right w:val="none" w:sz="0" w:space="0" w:color="auto"/>
          </w:divBdr>
          <w:divsChild>
            <w:div w:id="2116435957">
              <w:marLeft w:val="0"/>
              <w:marRight w:val="0"/>
              <w:marTop w:val="0"/>
              <w:marBottom w:val="0"/>
              <w:divBdr>
                <w:top w:val="none" w:sz="0" w:space="0" w:color="auto"/>
                <w:left w:val="none" w:sz="0" w:space="0" w:color="auto"/>
                <w:bottom w:val="none" w:sz="0" w:space="0" w:color="auto"/>
                <w:right w:val="none" w:sz="0" w:space="0" w:color="auto"/>
              </w:divBdr>
              <w:divsChild>
                <w:div w:id="709650279">
                  <w:marLeft w:val="0"/>
                  <w:marRight w:val="0"/>
                  <w:marTop w:val="0"/>
                  <w:marBottom w:val="0"/>
                  <w:divBdr>
                    <w:top w:val="none" w:sz="0" w:space="0" w:color="auto"/>
                    <w:left w:val="none" w:sz="0" w:space="0" w:color="auto"/>
                    <w:bottom w:val="none" w:sz="0" w:space="0" w:color="auto"/>
                    <w:right w:val="none" w:sz="0" w:space="0" w:color="auto"/>
                  </w:divBdr>
                  <w:divsChild>
                    <w:div w:id="62639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0132695">
      <w:bodyDiv w:val="1"/>
      <w:marLeft w:val="0"/>
      <w:marRight w:val="0"/>
      <w:marTop w:val="0"/>
      <w:marBottom w:val="0"/>
      <w:divBdr>
        <w:top w:val="none" w:sz="0" w:space="0" w:color="auto"/>
        <w:left w:val="none" w:sz="0" w:space="0" w:color="auto"/>
        <w:bottom w:val="none" w:sz="0" w:space="0" w:color="auto"/>
        <w:right w:val="none" w:sz="0" w:space="0" w:color="auto"/>
      </w:divBdr>
      <w:divsChild>
        <w:div w:id="21979664">
          <w:marLeft w:val="0"/>
          <w:marRight w:val="0"/>
          <w:marTop w:val="0"/>
          <w:marBottom w:val="0"/>
          <w:divBdr>
            <w:top w:val="none" w:sz="0" w:space="0" w:color="auto"/>
            <w:left w:val="none" w:sz="0" w:space="0" w:color="auto"/>
            <w:bottom w:val="none" w:sz="0" w:space="0" w:color="auto"/>
            <w:right w:val="none" w:sz="0" w:space="0" w:color="auto"/>
          </w:divBdr>
          <w:divsChild>
            <w:div w:id="1850099677">
              <w:marLeft w:val="0"/>
              <w:marRight w:val="0"/>
              <w:marTop w:val="0"/>
              <w:marBottom w:val="0"/>
              <w:divBdr>
                <w:top w:val="none" w:sz="0" w:space="0" w:color="auto"/>
                <w:left w:val="none" w:sz="0" w:space="0" w:color="auto"/>
                <w:bottom w:val="none" w:sz="0" w:space="0" w:color="auto"/>
                <w:right w:val="none" w:sz="0" w:space="0" w:color="auto"/>
              </w:divBdr>
              <w:divsChild>
                <w:div w:id="2074155296">
                  <w:marLeft w:val="0"/>
                  <w:marRight w:val="0"/>
                  <w:marTop w:val="0"/>
                  <w:marBottom w:val="0"/>
                  <w:divBdr>
                    <w:top w:val="none" w:sz="0" w:space="0" w:color="auto"/>
                    <w:left w:val="none" w:sz="0" w:space="0" w:color="auto"/>
                    <w:bottom w:val="none" w:sz="0" w:space="0" w:color="auto"/>
                    <w:right w:val="none" w:sz="0" w:space="0" w:color="auto"/>
                  </w:divBdr>
                  <w:divsChild>
                    <w:div w:id="5274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274513">
      <w:bodyDiv w:val="1"/>
      <w:marLeft w:val="0"/>
      <w:marRight w:val="0"/>
      <w:marTop w:val="0"/>
      <w:marBottom w:val="0"/>
      <w:divBdr>
        <w:top w:val="none" w:sz="0" w:space="0" w:color="auto"/>
        <w:left w:val="none" w:sz="0" w:space="0" w:color="auto"/>
        <w:bottom w:val="none" w:sz="0" w:space="0" w:color="auto"/>
        <w:right w:val="none" w:sz="0" w:space="0" w:color="auto"/>
      </w:divBdr>
      <w:divsChild>
        <w:div w:id="469639511">
          <w:marLeft w:val="0"/>
          <w:marRight w:val="0"/>
          <w:marTop w:val="0"/>
          <w:marBottom w:val="0"/>
          <w:divBdr>
            <w:top w:val="none" w:sz="0" w:space="0" w:color="auto"/>
            <w:left w:val="none" w:sz="0" w:space="0" w:color="auto"/>
            <w:bottom w:val="none" w:sz="0" w:space="0" w:color="auto"/>
            <w:right w:val="none" w:sz="0" w:space="0" w:color="auto"/>
          </w:divBdr>
        </w:div>
      </w:divsChild>
    </w:div>
    <w:div w:id="524710369">
      <w:bodyDiv w:val="1"/>
      <w:marLeft w:val="0"/>
      <w:marRight w:val="0"/>
      <w:marTop w:val="0"/>
      <w:marBottom w:val="0"/>
      <w:divBdr>
        <w:top w:val="none" w:sz="0" w:space="0" w:color="auto"/>
        <w:left w:val="none" w:sz="0" w:space="0" w:color="auto"/>
        <w:bottom w:val="none" w:sz="0" w:space="0" w:color="auto"/>
        <w:right w:val="none" w:sz="0" w:space="0" w:color="auto"/>
      </w:divBdr>
    </w:div>
    <w:div w:id="555700244">
      <w:bodyDiv w:val="1"/>
      <w:marLeft w:val="0"/>
      <w:marRight w:val="0"/>
      <w:marTop w:val="0"/>
      <w:marBottom w:val="0"/>
      <w:divBdr>
        <w:top w:val="none" w:sz="0" w:space="0" w:color="auto"/>
        <w:left w:val="none" w:sz="0" w:space="0" w:color="auto"/>
        <w:bottom w:val="none" w:sz="0" w:space="0" w:color="auto"/>
        <w:right w:val="none" w:sz="0" w:space="0" w:color="auto"/>
      </w:divBdr>
      <w:divsChild>
        <w:div w:id="859507010">
          <w:marLeft w:val="0"/>
          <w:marRight w:val="0"/>
          <w:marTop w:val="0"/>
          <w:marBottom w:val="0"/>
          <w:divBdr>
            <w:top w:val="none" w:sz="0" w:space="0" w:color="auto"/>
            <w:left w:val="none" w:sz="0" w:space="0" w:color="auto"/>
            <w:bottom w:val="none" w:sz="0" w:space="0" w:color="auto"/>
            <w:right w:val="none" w:sz="0" w:space="0" w:color="auto"/>
          </w:divBdr>
          <w:divsChild>
            <w:div w:id="1135022800">
              <w:marLeft w:val="0"/>
              <w:marRight w:val="0"/>
              <w:marTop w:val="0"/>
              <w:marBottom w:val="0"/>
              <w:divBdr>
                <w:top w:val="none" w:sz="0" w:space="0" w:color="auto"/>
                <w:left w:val="none" w:sz="0" w:space="0" w:color="auto"/>
                <w:bottom w:val="none" w:sz="0" w:space="0" w:color="auto"/>
                <w:right w:val="none" w:sz="0" w:space="0" w:color="auto"/>
              </w:divBdr>
              <w:divsChild>
                <w:div w:id="2032291240">
                  <w:marLeft w:val="0"/>
                  <w:marRight w:val="0"/>
                  <w:marTop w:val="0"/>
                  <w:marBottom w:val="0"/>
                  <w:divBdr>
                    <w:top w:val="none" w:sz="0" w:space="0" w:color="auto"/>
                    <w:left w:val="none" w:sz="0" w:space="0" w:color="auto"/>
                    <w:bottom w:val="none" w:sz="0" w:space="0" w:color="auto"/>
                    <w:right w:val="none" w:sz="0" w:space="0" w:color="auto"/>
                  </w:divBdr>
                  <w:divsChild>
                    <w:div w:id="1101414367">
                      <w:marLeft w:val="0"/>
                      <w:marRight w:val="0"/>
                      <w:marTop w:val="0"/>
                      <w:marBottom w:val="0"/>
                      <w:divBdr>
                        <w:top w:val="none" w:sz="0" w:space="0" w:color="auto"/>
                        <w:left w:val="none" w:sz="0" w:space="0" w:color="auto"/>
                        <w:bottom w:val="none" w:sz="0" w:space="0" w:color="auto"/>
                        <w:right w:val="none" w:sz="0" w:space="0" w:color="auto"/>
                      </w:divBdr>
                      <w:divsChild>
                        <w:div w:id="48970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568411">
      <w:bodyDiv w:val="1"/>
      <w:marLeft w:val="0"/>
      <w:marRight w:val="0"/>
      <w:marTop w:val="0"/>
      <w:marBottom w:val="0"/>
      <w:divBdr>
        <w:top w:val="none" w:sz="0" w:space="0" w:color="auto"/>
        <w:left w:val="none" w:sz="0" w:space="0" w:color="auto"/>
        <w:bottom w:val="none" w:sz="0" w:space="0" w:color="auto"/>
        <w:right w:val="none" w:sz="0" w:space="0" w:color="auto"/>
      </w:divBdr>
      <w:divsChild>
        <w:div w:id="1771731597">
          <w:marLeft w:val="0"/>
          <w:marRight w:val="0"/>
          <w:marTop w:val="0"/>
          <w:marBottom w:val="0"/>
          <w:divBdr>
            <w:top w:val="none" w:sz="0" w:space="0" w:color="auto"/>
            <w:left w:val="none" w:sz="0" w:space="0" w:color="auto"/>
            <w:bottom w:val="none" w:sz="0" w:space="0" w:color="auto"/>
            <w:right w:val="none" w:sz="0" w:space="0" w:color="auto"/>
          </w:divBdr>
          <w:divsChild>
            <w:div w:id="424764422">
              <w:marLeft w:val="0"/>
              <w:marRight w:val="0"/>
              <w:marTop w:val="0"/>
              <w:marBottom w:val="0"/>
              <w:divBdr>
                <w:top w:val="none" w:sz="0" w:space="0" w:color="auto"/>
                <w:left w:val="none" w:sz="0" w:space="0" w:color="auto"/>
                <w:bottom w:val="none" w:sz="0" w:space="0" w:color="auto"/>
                <w:right w:val="none" w:sz="0" w:space="0" w:color="auto"/>
              </w:divBdr>
              <w:divsChild>
                <w:div w:id="351035146">
                  <w:marLeft w:val="0"/>
                  <w:marRight w:val="0"/>
                  <w:marTop w:val="0"/>
                  <w:marBottom w:val="0"/>
                  <w:divBdr>
                    <w:top w:val="none" w:sz="0" w:space="0" w:color="auto"/>
                    <w:left w:val="none" w:sz="0" w:space="0" w:color="auto"/>
                    <w:bottom w:val="none" w:sz="0" w:space="0" w:color="auto"/>
                    <w:right w:val="none" w:sz="0" w:space="0" w:color="auto"/>
                  </w:divBdr>
                  <w:divsChild>
                    <w:div w:id="198751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19652732">
      <w:bodyDiv w:val="1"/>
      <w:marLeft w:val="0"/>
      <w:marRight w:val="0"/>
      <w:marTop w:val="0"/>
      <w:marBottom w:val="0"/>
      <w:divBdr>
        <w:top w:val="none" w:sz="0" w:space="0" w:color="auto"/>
        <w:left w:val="none" w:sz="0" w:space="0" w:color="auto"/>
        <w:bottom w:val="none" w:sz="0" w:space="0" w:color="auto"/>
        <w:right w:val="none" w:sz="0" w:space="0" w:color="auto"/>
      </w:divBdr>
      <w:divsChild>
        <w:div w:id="143857636">
          <w:marLeft w:val="0"/>
          <w:marRight w:val="0"/>
          <w:marTop w:val="0"/>
          <w:marBottom w:val="0"/>
          <w:divBdr>
            <w:top w:val="none" w:sz="0" w:space="0" w:color="auto"/>
            <w:left w:val="none" w:sz="0" w:space="0" w:color="auto"/>
            <w:bottom w:val="none" w:sz="0" w:space="0" w:color="auto"/>
            <w:right w:val="none" w:sz="0" w:space="0" w:color="auto"/>
          </w:divBdr>
          <w:divsChild>
            <w:div w:id="167185079">
              <w:marLeft w:val="0"/>
              <w:marRight w:val="0"/>
              <w:marTop w:val="0"/>
              <w:marBottom w:val="0"/>
              <w:divBdr>
                <w:top w:val="none" w:sz="0" w:space="0" w:color="auto"/>
                <w:left w:val="none" w:sz="0" w:space="0" w:color="auto"/>
                <w:bottom w:val="none" w:sz="0" w:space="0" w:color="auto"/>
                <w:right w:val="none" w:sz="0" w:space="0" w:color="auto"/>
              </w:divBdr>
              <w:divsChild>
                <w:div w:id="105975055">
                  <w:marLeft w:val="0"/>
                  <w:marRight w:val="0"/>
                  <w:marTop w:val="0"/>
                  <w:marBottom w:val="0"/>
                  <w:divBdr>
                    <w:top w:val="none" w:sz="0" w:space="0" w:color="auto"/>
                    <w:left w:val="none" w:sz="0" w:space="0" w:color="auto"/>
                    <w:bottom w:val="none" w:sz="0" w:space="0" w:color="auto"/>
                    <w:right w:val="none" w:sz="0" w:space="0" w:color="auto"/>
                  </w:divBdr>
                  <w:divsChild>
                    <w:div w:id="1635940424">
                      <w:marLeft w:val="0"/>
                      <w:marRight w:val="0"/>
                      <w:marTop w:val="0"/>
                      <w:marBottom w:val="0"/>
                      <w:divBdr>
                        <w:top w:val="none" w:sz="0" w:space="0" w:color="auto"/>
                        <w:left w:val="none" w:sz="0" w:space="0" w:color="auto"/>
                        <w:bottom w:val="none" w:sz="0" w:space="0" w:color="auto"/>
                        <w:right w:val="none" w:sz="0" w:space="0" w:color="auto"/>
                      </w:divBdr>
                      <w:divsChild>
                        <w:div w:id="135333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3536911">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844319156">
      <w:bodyDiv w:val="1"/>
      <w:marLeft w:val="0"/>
      <w:marRight w:val="0"/>
      <w:marTop w:val="0"/>
      <w:marBottom w:val="0"/>
      <w:divBdr>
        <w:top w:val="none" w:sz="0" w:space="0" w:color="auto"/>
        <w:left w:val="none" w:sz="0" w:space="0" w:color="auto"/>
        <w:bottom w:val="none" w:sz="0" w:space="0" w:color="auto"/>
        <w:right w:val="none" w:sz="0" w:space="0" w:color="auto"/>
      </w:divBdr>
      <w:divsChild>
        <w:div w:id="1524054935">
          <w:marLeft w:val="0"/>
          <w:marRight w:val="0"/>
          <w:marTop w:val="0"/>
          <w:marBottom w:val="0"/>
          <w:divBdr>
            <w:top w:val="none" w:sz="0" w:space="0" w:color="auto"/>
            <w:left w:val="none" w:sz="0" w:space="0" w:color="auto"/>
            <w:bottom w:val="none" w:sz="0" w:space="0" w:color="auto"/>
            <w:right w:val="none" w:sz="0" w:space="0" w:color="auto"/>
          </w:divBdr>
          <w:divsChild>
            <w:div w:id="187764903">
              <w:marLeft w:val="0"/>
              <w:marRight w:val="0"/>
              <w:marTop w:val="0"/>
              <w:marBottom w:val="0"/>
              <w:divBdr>
                <w:top w:val="none" w:sz="0" w:space="0" w:color="auto"/>
                <w:left w:val="none" w:sz="0" w:space="0" w:color="auto"/>
                <w:bottom w:val="none" w:sz="0" w:space="0" w:color="auto"/>
                <w:right w:val="none" w:sz="0" w:space="0" w:color="auto"/>
              </w:divBdr>
              <w:divsChild>
                <w:div w:id="1594316306">
                  <w:marLeft w:val="0"/>
                  <w:marRight w:val="0"/>
                  <w:marTop w:val="0"/>
                  <w:marBottom w:val="0"/>
                  <w:divBdr>
                    <w:top w:val="none" w:sz="0" w:space="0" w:color="auto"/>
                    <w:left w:val="none" w:sz="0" w:space="0" w:color="auto"/>
                    <w:bottom w:val="none" w:sz="0" w:space="0" w:color="auto"/>
                    <w:right w:val="none" w:sz="0" w:space="0" w:color="auto"/>
                  </w:divBdr>
                  <w:divsChild>
                    <w:div w:id="1690914897">
                      <w:marLeft w:val="0"/>
                      <w:marRight w:val="0"/>
                      <w:marTop w:val="0"/>
                      <w:marBottom w:val="0"/>
                      <w:divBdr>
                        <w:top w:val="none" w:sz="0" w:space="0" w:color="auto"/>
                        <w:left w:val="none" w:sz="0" w:space="0" w:color="auto"/>
                        <w:bottom w:val="none" w:sz="0" w:space="0" w:color="auto"/>
                        <w:right w:val="none" w:sz="0" w:space="0" w:color="auto"/>
                      </w:divBdr>
                      <w:divsChild>
                        <w:div w:id="35369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8348561">
      <w:bodyDiv w:val="1"/>
      <w:marLeft w:val="0"/>
      <w:marRight w:val="0"/>
      <w:marTop w:val="0"/>
      <w:marBottom w:val="0"/>
      <w:divBdr>
        <w:top w:val="none" w:sz="0" w:space="0" w:color="auto"/>
        <w:left w:val="none" w:sz="0" w:space="0" w:color="auto"/>
        <w:bottom w:val="none" w:sz="0" w:space="0" w:color="auto"/>
        <w:right w:val="none" w:sz="0" w:space="0" w:color="auto"/>
      </w:divBdr>
    </w:div>
    <w:div w:id="915750740">
      <w:bodyDiv w:val="1"/>
      <w:marLeft w:val="0"/>
      <w:marRight w:val="0"/>
      <w:marTop w:val="0"/>
      <w:marBottom w:val="0"/>
      <w:divBdr>
        <w:top w:val="none" w:sz="0" w:space="0" w:color="auto"/>
        <w:left w:val="none" w:sz="0" w:space="0" w:color="auto"/>
        <w:bottom w:val="none" w:sz="0" w:space="0" w:color="auto"/>
        <w:right w:val="none" w:sz="0" w:space="0" w:color="auto"/>
      </w:divBdr>
      <w:divsChild>
        <w:div w:id="585000281">
          <w:marLeft w:val="0"/>
          <w:marRight w:val="0"/>
          <w:marTop w:val="0"/>
          <w:marBottom w:val="0"/>
          <w:divBdr>
            <w:top w:val="none" w:sz="0" w:space="0" w:color="auto"/>
            <w:left w:val="none" w:sz="0" w:space="0" w:color="auto"/>
            <w:bottom w:val="none" w:sz="0" w:space="0" w:color="auto"/>
            <w:right w:val="none" w:sz="0" w:space="0" w:color="auto"/>
          </w:divBdr>
          <w:divsChild>
            <w:div w:id="5450038">
              <w:marLeft w:val="0"/>
              <w:marRight w:val="0"/>
              <w:marTop w:val="0"/>
              <w:marBottom w:val="0"/>
              <w:divBdr>
                <w:top w:val="none" w:sz="0" w:space="0" w:color="auto"/>
                <w:left w:val="none" w:sz="0" w:space="0" w:color="auto"/>
                <w:bottom w:val="none" w:sz="0" w:space="0" w:color="auto"/>
                <w:right w:val="none" w:sz="0" w:space="0" w:color="auto"/>
              </w:divBdr>
              <w:divsChild>
                <w:div w:id="1991788662">
                  <w:marLeft w:val="0"/>
                  <w:marRight w:val="0"/>
                  <w:marTop w:val="0"/>
                  <w:marBottom w:val="0"/>
                  <w:divBdr>
                    <w:top w:val="none" w:sz="0" w:space="0" w:color="auto"/>
                    <w:left w:val="none" w:sz="0" w:space="0" w:color="auto"/>
                    <w:bottom w:val="none" w:sz="0" w:space="0" w:color="auto"/>
                    <w:right w:val="none" w:sz="0" w:space="0" w:color="auto"/>
                  </w:divBdr>
                  <w:divsChild>
                    <w:div w:id="41420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614818">
      <w:bodyDiv w:val="1"/>
      <w:marLeft w:val="0"/>
      <w:marRight w:val="0"/>
      <w:marTop w:val="0"/>
      <w:marBottom w:val="0"/>
      <w:divBdr>
        <w:top w:val="none" w:sz="0" w:space="0" w:color="auto"/>
        <w:left w:val="none" w:sz="0" w:space="0" w:color="auto"/>
        <w:bottom w:val="none" w:sz="0" w:space="0" w:color="auto"/>
        <w:right w:val="none" w:sz="0" w:space="0" w:color="auto"/>
      </w:divBdr>
    </w:div>
    <w:div w:id="998342206">
      <w:bodyDiv w:val="1"/>
      <w:marLeft w:val="0"/>
      <w:marRight w:val="0"/>
      <w:marTop w:val="0"/>
      <w:marBottom w:val="0"/>
      <w:divBdr>
        <w:top w:val="none" w:sz="0" w:space="0" w:color="auto"/>
        <w:left w:val="none" w:sz="0" w:space="0" w:color="auto"/>
        <w:bottom w:val="none" w:sz="0" w:space="0" w:color="auto"/>
        <w:right w:val="none" w:sz="0" w:space="0" w:color="auto"/>
      </w:divBdr>
      <w:divsChild>
        <w:div w:id="1127547326">
          <w:marLeft w:val="0"/>
          <w:marRight w:val="0"/>
          <w:marTop w:val="0"/>
          <w:marBottom w:val="0"/>
          <w:divBdr>
            <w:top w:val="none" w:sz="0" w:space="0" w:color="auto"/>
            <w:left w:val="none" w:sz="0" w:space="0" w:color="auto"/>
            <w:bottom w:val="none" w:sz="0" w:space="0" w:color="auto"/>
            <w:right w:val="none" w:sz="0" w:space="0" w:color="auto"/>
          </w:divBdr>
          <w:divsChild>
            <w:div w:id="67935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887654">
      <w:bodyDiv w:val="1"/>
      <w:marLeft w:val="0"/>
      <w:marRight w:val="0"/>
      <w:marTop w:val="0"/>
      <w:marBottom w:val="0"/>
      <w:divBdr>
        <w:top w:val="none" w:sz="0" w:space="0" w:color="auto"/>
        <w:left w:val="none" w:sz="0" w:space="0" w:color="auto"/>
        <w:bottom w:val="none" w:sz="0" w:space="0" w:color="auto"/>
        <w:right w:val="none" w:sz="0" w:space="0" w:color="auto"/>
      </w:divBdr>
      <w:divsChild>
        <w:div w:id="1256017743">
          <w:marLeft w:val="0"/>
          <w:marRight w:val="0"/>
          <w:marTop w:val="0"/>
          <w:marBottom w:val="0"/>
          <w:divBdr>
            <w:top w:val="none" w:sz="0" w:space="0" w:color="auto"/>
            <w:left w:val="none" w:sz="0" w:space="0" w:color="auto"/>
            <w:bottom w:val="none" w:sz="0" w:space="0" w:color="auto"/>
            <w:right w:val="none" w:sz="0" w:space="0" w:color="auto"/>
          </w:divBdr>
          <w:divsChild>
            <w:div w:id="1246842547">
              <w:marLeft w:val="0"/>
              <w:marRight w:val="0"/>
              <w:marTop w:val="0"/>
              <w:marBottom w:val="0"/>
              <w:divBdr>
                <w:top w:val="none" w:sz="0" w:space="0" w:color="auto"/>
                <w:left w:val="none" w:sz="0" w:space="0" w:color="auto"/>
                <w:bottom w:val="none" w:sz="0" w:space="0" w:color="auto"/>
                <w:right w:val="none" w:sz="0" w:space="0" w:color="auto"/>
              </w:divBdr>
              <w:divsChild>
                <w:div w:id="402878577">
                  <w:marLeft w:val="0"/>
                  <w:marRight w:val="0"/>
                  <w:marTop w:val="0"/>
                  <w:marBottom w:val="0"/>
                  <w:divBdr>
                    <w:top w:val="none" w:sz="0" w:space="0" w:color="auto"/>
                    <w:left w:val="none" w:sz="0" w:space="0" w:color="auto"/>
                    <w:bottom w:val="none" w:sz="0" w:space="0" w:color="auto"/>
                    <w:right w:val="none" w:sz="0" w:space="0" w:color="auto"/>
                  </w:divBdr>
                  <w:divsChild>
                    <w:div w:id="202902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430005">
      <w:bodyDiv w:val="1"/>
      <w:marLeft w:val="0"/>
      <w:marRight w:val="0"/>
      <w:marTop w:val="0"/>
      <w:marBottom w:val="0"/>
      <w:divBdr>
        <w:top w:val="none" w:sz="0" w:space="0" w:color="auto"/>
        <w:left w:val="none" w:sz="0" w:space="0" w:color="auto"/>
        <w:bottom w:val="none" w:sz="0" w:space="0" w:color="auto"/>
        <w:right w:val="none" w:sz="0" w:space="0" w:color="auto"/>
      </w:divBdr>
      <w:divsChild>
        <w:div w:id="2008484029">
          <w:marLeft w:val="0"/>
          <w:marRight w:val="0"/>
          <w:marTop w:val="0"/>
          <w:marBottom w:val="0"/>
          <w:divBdr>
            <w:top w:val="none" w:sz="0" w:space="0" w:color="auto"/>
            <w:left w:val="none" w:sz="0" w:space="0" w:color="auto"/>
            <w:bottom w:val="none" w:sz="0" w:space="0" w:color="auto"/>
            <w:right w:val="none" w:sz="0" w:space="0" w:color="auto"/>
          </w:divBdr>
          <w:divsChild>
            <w:div w:id="254943995">
              <w:marLeft w:val="0"/>
              <w:marRight w:val="0"/>
              <w:marTop w:val="0"/>
              <w:marBottom w:val="0"/>
              <w:divBdr>
                <w:top w:val="none" w:sz="0" w:space="0" w:color="auto"/>
                <w:left w:val="none" w:sz="0" w:space="0" w:color="auto"/>
                <w:bottom w:val="none" w:sz="0" w:space="0" w:color="auto"/>
                <w:right w:val="none" w:sz="0" w:space="0" w:color="auto"/>
              </w:divBdr>
              <w:divsChild>
                <w:div w:id="2022389527">
                  <w:marLeft w:val="0"/>
                  <w:marRight w:val="0"/>
                  <w:marTop w:val="0"/>
                  <w:marBottom w:val="0"/>
                  <w:divBdr>
                    <w:top w:val="none" w:sz="0" w:space="0" w:color="auto"/>
                    <w:left w:val="none" w:sz="0" w:space="0" w:color="auto"/>
                    <w:bottom w:val="none" w:sz="0" w:space="0" w:color="auto"/>
                    <w:right w:val="none" w:sz="0" w:space="0" w:color="auto"/>
                  </w:divBdr>
                  <w:divsChild>
                    <w:div w:id="36902019">
                      <w:marLeft w:val="0"/>
                      <w:marRight w:val="0"/>
                      <w:marTop w:val="0"/>
                      <w:marBottom w:val="0"/>
                      <w:divBdr>
                        <w:top w:val="none" w:sz="0" w:space="0" w:color="auto"/>
                        <w:left w:val="none" w:sz="0" w:space="0" w:color="auto"/>
                        <w:bottom w:val="none" w:sz="0" w:space="0" w:color="auto"/>
                        <w:right w:val="none" w:sz="0" w:space="0" w:color="auto"/>
                      </w:divBdr>
                      <w:divsChild>
                        <w:div w:id="25135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794262">
      <w:bodyDiv w:val="1"/>
      <w:marLeft w:val="0"/>
      <w:marRight w:val="0"/>
      <w:marTop w:val="0"/>
      <w:marBottom w:val="0"/>
      <w:divBdr>
        <w:top w:val="none" w:sz="0" w:space="0" w:color="auto"/>
        <w:left w:val="none" w:sz="0" w:space="0" w:color="auto"/>
        <w:bottom w:val="none" w:sz="0" w:space="0" w:color="auto"/>
        <w:right w:val="none" w:sz="0" w:space="0" w:color="auto"/>
      </w:divBdr>
    </w:div>
    <w:div w:id="1135176922">
      <w:bodyDiv w:val="1"/>
      <w:marLeft w:val="0"/>
      <w:marRight w:val="0"/>
      <w:marTop w:val="0"/>
      <w:marBottom w:val="0"/>
      <w:divBdr>
        <w:top w:val="none" w:sz="0" w:space="0" w:color="auto"/>
        <w:left w:val="none" w:sz="0" w:space="0" w:color="auto"/>
        <w:bottom w:val="none" w:sz="0" w:space="0" w:color="auto"/>
        <w:right w:val="none" w:sz="0" w:space="0" w:color="auto"/>
      </w:divBdr>
      <w:divsChild>
        <w:div w:id="379980269">
          <w:marLeft w:val="0"/>
          <w:marRight w:val="0"/>
          <w:marTop w:val="0"/>
          <w:marBottom w:val="0"/>
          <w:divBdr>
            <w:top w:val="none" w:sz="0" w:space="0" w:color="auto"/>
            <w:left w:val="none" w:sz="0" w:space="0" w:color="auto"/>
            <w:bottom w:val="none" w:sz="0" w:space="0" w:color="auto"/>
            <w:right w:val="none" w:sz="0" w:space="0" w:color="auto"/>
          </w:divBdr>
          <w:divsChild>
            <w:div w:id="725573025">
              <w:marLeft w:val="0"/>
              <w:marRight w:val="0"/>
              <w:marTop w:val="0"/>
              <w:marBottom w:val="0"/>
              <w:divBdr>
                <w:top w:val="none" w:sz="0" w:space="0" w:color="auto"/>
                <w:left w:val="none" w:sz="0" w:space="0" w:color="auto"/>
                <w:bottom w:val="none" w:sz="0" w:space="0" w:color="auto"/>
                <w:right w:val="none" w:sz="0" w:space="0" w:color="auto"/>
              </w:divBdr>
              <w:divsChild>
                <w:div w:id="858083882">
                  <w:marLeft w:val="0"/>
                  <w:marRight w:val="0"/>
                  <w:marTop w:val="0"/>
                  <w:marBottom w:val="0"/>
                  <w:divBdr>
                    <w:top w:val="none" w:sz="0" w:space="0" w:color="auto"/>
                    <w:left w:val="none" w:sz="0" w:space="0" w:color="auto"/>
                    <w:bottom w:val="none" w:sz="0" w:space="0" w:color="auto"/>
                    <w:right w:val="none" w:sz="0" w:space="0" w:color="auto"/>
                  </w:divBdr>
                  <w:divsChild>
                    <w:div w:id="110233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209009">
      <w:bodyDiv w:val="1"/>
      <w:marLeft w:val="0"/>
      <w:marRight w:val="0"/>
      <w:marTop w:val="0"/>
      <w:marBottom w:val="0"/>
      <w:divBdr>
        <w:top w:val="none" w:sz="0" w:space="0" w:color="auto"/>
        <w:left w:val="none" w:sz="0" w:space="0" w:color="auto"/>
        <w:bottom w:val="none" w:sz="0" w:space="0" w:color="auto"/>
        <w:right w:val="none" w:sz="0" w:space="0" w:color="auto"/>
      </w:divBdr>
      <w:divsChild>
        <w:div w:id="342589030">
          <w:marLeft w:val="0"/>
          <w:marRight w:val="0"/>
          <w:marTop w:val="225"/>
          <w:marBottom w:val="225"/>
          <w:divBdr>
            <w:top w:val="none" w:sz="0" w:space="0" w:color="auto"/>
            <w:left w:val="none" w:sz="0" w:space="0" w:color="auto"/>
            <w:bottom w:val="none" w:sz="0" w:space="0" w:color="auto"/>
            <w:right w:val="none" w:sz="0" w:space="0" w:color="auto"/>
          </w:divBdr>
          <w:divsChild>
            <w:div w:id="2090761135">
              <w:marLeft w:val="0"/>
              <w:marRight w:val="0"/>
              <w:marTop w:val="0"/>
              <w:marBottom w:val="0"/>
              <w:divBdr>
                <w:top w:val="none" w:sz="0" w:space="0" w:color="auto"/>
                <w:left w:val="none" w:sz="0" w:space="0" w:color="auto"/>
                <w:bottom w:val="none" w:sz="0" w:space="0" w:color="auto"/>
                <w:right w:val="none" w:sz="0" w:space="0" w:color="auto"/>
              </w:divBdr>
              <w:divsChild>
                <w:div w:id="2137793428">
                  <w:marLeft w:val="0"/>
                  <w:marRight w:val="0"/>
                  <w:marTop w:val="0"/>
                  <w:marBottom w:val="0"/>
                  <w:divBdr>
                    <w:top w:val="none" w:sz="0" w:space="0" w:color="auto"/>
                    <w:left w:val="none" w:sz="0" w:space="0" w:color="auto"/>
                    <w:bottom w:val="none" w:sz="0" w:space="0" w:color="auto"/>
                    <w:right w:val="none" w:sz="0" w:space="0" w:color="auto"/>
                  </w:divBdr>
                  <w:divsChild>
                    <w:div w:id="131485680">
                      <w:marLeft w:val="0"/>
                      <w:marRight w:val="0"/>
                      <w:marTop w:val="0"/>
                      <w:marBottom w:val="0"/>
                      <w:divBdr>
                        <w:top w:val="none" w:sz="0" w:space="0" w:color="auto"/>
                        <w:left w:val="none" w:sz="0" w:space="0" w:color="auto"/>
                        <w:bottom w:val="none" w:sz="0" w:space="0" w:color="auto"/>
                        <w:right w:val="none" w:sz="0" w:space="0" w:color="auto"/>
                      </w:divBdr>
                    </w:div>
                    <w:div w:id="112407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872022">
          <w:marLeft w:val="0"/>
          <w:marRight w:val="0"/>
          <w:marTop w:val="225"/>
          <w:marBottom w:val="225"/>
          <w:divBdr>
            <w:top w:val="none" w:sz="0" w:space="0" w:color="auto"/>
            <w:left w:val="none" w:sz="0" w:space="0" w:color="auto"/>
            <w:bottom w:val="none" w:sz="0" w:space="0" w:color="auto"/>
            <w:right w:val="none" w:sz="0" w:space="0" w:color="auto"/>
          </w:divBdr>
          <w:divsChild>
            <w:div w:id="73729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3441">
      <w:bodyDiv w:val="1"/>
      <w:marLeft w:val="0"/>
      <w:marRight w:val="0"/>
      <w:marTop w:val="0"/>
      <w:marBottom w:val="0"/>
      <w:divBdr>
        <w:top w:val="none" w:sz="0" w:space="0" w:color="auto"/>
        <w:left w:val="none" w:sz="0" w:space="0" w:color="auto"/>
        <w:bottom w:val="none" w:sz="0" w:space="0" w:color="auto"/>
        <w:right w:val="none" w:sz="0" w:space="0" w:color="auto"/>
      </w:divBdr>
      <w:divsChild>
        <w:div w:id="1561790586">
          <w:marLeft w:val="0"/>
          <w:marRight w:val="0"/>
          <w:marTop w:val="0"/>
          <w:marBottom w:val="0"/>
          <w:divBdr>
            <w:top w:val="none" w:sz="0" w:space="0" w:color="auto"/>
            <w:left w:val="none" w:sz="0" w:space="0" w:color="auto"/>
            <w:bottom w:val="none" w:sz="0" w:space="0" w:color="auto"/>
            <w:right w:val="none" w:sz="0" w:space="0" w:color="auto"/>
          </w:divBdr>
          <w:divsChild>
            <w:div w:id="2114007666">
              <w:marLeft w:val="0"/>
              <w:marRight w:val="0"/>
              <w:marTop w:val="0"/>
              <w:marBottom w:val="0"/>
              <w:divBdr>
                <w:top w:val="none" w:sz="0" w:space="0" w:color="auto"/>
                <w:left w:val="none" w:sz="0" w:space="0" w:color="auto"/>
                <w:bottom w:val="none" w:sz="0" w:space="0" w:color="auto"/>
                <w:right w:val="none" w:sz="0" w:space="0" w:color="auto"/>
              </w:divBdr>
              <w:divsChild>
                <w:div w:id="2044599081">
                  <w:marLeft w:val="0"/>
                  <w:marRight w:val="0"/>
                  <w:marTop w:val="0"/>
                  <w:marBottom w:val="0"/>
                  <w:divBdr>
                    <w:top w:val="none" w:sz="0" w:space="0" w:color="auto"/>
                    <w:left w:val="none" w:sz="0" w:space="0" w:color="auto"/>
                    <w:bottom w:val="none" w:sz="0" w:space="0" w:color="auto"/>
                    <w:right w:val="none" w:sz="0" w:space="0" w:color="auto"/>
                  </w:divBdr>
                  <w:divsChild>
                    <w:div w:id="952444003">
                      <w:marLeft w:val="0"/>
                      <w:marRight w:val="0"/>
                      <w:marTop w:val="0"/>
                      <w:marBottom w:val="0"/>
                      <w:divBdr>
                        <w:top w:val="none" w:sz="0" w:space="0" w:color="auto"/>
                        <w:left w:val="none" w:sz="0" w:space="0" w:color="auto"/>
                        <w:bottom w:val="none" w:sz="0" w:space="0" w:color="auto"/>
                        <w:right w:val="none" w:sz="0" w:space="0" w:color="auto"/>
                      </w:divBdr>
                      <w:divsChild>
                        <w:div w:id="12361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007471">
      <w:bodyDiv w:val="1"/>
      <w:marLeft w:val="0"/>
      <w:marRight w:val="0"/>
      <w:marTop w:val="0"/>
      <w:marBottom w:val="0"/>
      <w:divBdr>
        <w:top w:val="none" w:sz="0" w:space="0" w:color="auto"/>
        <w:left w:val="none" w:sz="0" w:space="0" w:color="auto"/>
        <w:bottom w:val="none" w:sz="0" w:space="0" w:color="auto"/>
        <w:right w:val="none" w:sz="0" w:space="0" w:color="auto"/>
      </w:divBdr>
    </w:div>
    <w:div w:id="1329872063">
      <w:bodyDiv w:val="1"/>
      <w:marLeft w:val="0"/>
      <w:marRight w:val="0"/>
      <w:marTop w:val="0"/>
      <w:marBottom w:val="0"/>
      <w:divBdr>
        <w:top w:val="none" w:sz="0" w:space="0" w:color="auto"/>
        <w:left w:val="none" w:sz="0" w:space="0" w:color="auto"/>
        <w:bottom w:val="none" w:sz="0" w:space="0" w:color="auto"/>
        <w:right w:val="none" w:sz="0" w:space="0" w:color="auto"/>
      </w:divBdr>
      <w:divsChild>
        <w:div w:id="275916691">
          <w:marLeft w:val="0"/>
          <w:marRight w:val="0"/>
          <w:marTop w:val="0"/>
          <w:marBottom w:val="0"/>
          <w:divBdr>
            <w:top w:val="none" w:sz="0" w:space="0" w:color="auto"/>
            <w:left w:val="none" w:sz="0" w:space="0" w:color="auto"/>
            <w:bottom w:val="none" w:sz="0" w:space="0" w:color="auto"/>
            <w:right w:val="none" w:sz="0" w:space="0" w:color="auto"/>
          </w:divBdr>
          <w:divsChild>
            <w:div w:id="1535464431">
              <w:marLeft w:val="0"/>
              <w:marRight w:val="0"/>
              <w:marTop w:val="0"/>
              <w:marBottom w:val="0"/>
              <w:divBdr>
                <w:top w:val="none" w:sz="0" w:space="0" w:color="auto"/>
                <w:left w:val="none" w:sz="0" w:space="0" w:color="auto"/>
                <w:bottom w:val="none" w:sz="0" w:space="0" w:color="auto"/>
                <w:right w:val="none" w:sz="0" w:space="0" w:color="auto"/>
              </w:divBdr>
              <w:divsChild>
                <w:div w:id="1461878198">
                  <w:marLeft w:val="0"/>
                  <w:marRight w:val="0"/>
                  <w:marTop w:val="0"/>
                  <w:marBottom w:val="0"/>
                  <w:divBdr>
                    <w:top w:val="none" w:sz="0" w:space="0" w:color="auto"/>
                    <w:left w:val="none" w:sz="0" w:space="0" w:color="auto"/>
                    <w:bottom w:val="none" w:sz="0" w:space="0" w:color="auto"/>
                    <w:right w:val="none" w:sz="0" w:space="0" w:color="auto"/>
                  </w:divBdr>
                  <w:divsChild>
                    <w:div w:id="1778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989879">
      <w:bodyDiv w:val="1"/>
      <w:marLeft w:val="0"/>
      <w:marRight w:val="0"/>
      <w:marTop w:val="0"/>
      <w:marBottom w:val="0"/>
      <w:divBdr>
        <w:top w:val="none" w:sz="0" w:space="0" w:color="auto"/>
        <w:left w:val="none" w:sz="0" w:space="0" w:color="auto"/>
        <w:bottom w:val="none" w:sz="0" w:space="0" w:color="auto"/>
        <w:right w:val="none" w:sz="0" w:space="0" w:color="auto"/>
      </w:divBdr>
      <w:divsChild>
        <w:div w:id="2038239315">
          <w:marLeft w:val="0"/>
          <w:marRight w:val="0"/>
          <w:marTop w:val="0"/>
          <w:marBottom w:val="0"/>
          <w:divBdr>
            <w:top w:val="none" w:sz="0" w:space="0" w:color="auto"/>
            <w:left w:val="none" w:sz="0" w:space="0" w:color="auto"/>
            <w:bottom w:val="none" w:sz="0" w:space="0" w:color="auto"/>
            <w:right w:val="none" w:sz="0" w:space="0" w:color="auto"/>
          </w:divBdr>
          <w:divsChild>
            <w:div w:id="1220365340">
              <w:marLeft w:val="0"/>
              <w:marRight w:val="0"/>
              <w:marTop w:val="0"/>
              <w:marBottom w:val="0"/>
              <w:divBdr>
                <w:top w:val="none" w:sz="0" w:space="0" w:color="auto"/>
                <w:left w:val="none" w:sz="0" w:space="0" w:color="auto"/>
                <w:bottom w:val="none" w:sz="0" w:space="0" w:color="auto"/>
                <w:right w:val="none" w:sz="0" w:space="0" w:color="auto"/>
              </w:divBdr>
              <w:divsChild>
                <w:div w:id="700474413">
                  <w:marLeft w:val="0"/>
                  <w:marRight w:val="0"/>
                  <w:marTop w:val="0"/>
                  <w:marBottom w:val="0"/>
                  <w:divBdr>
                    <w:top w:val="none" w:sz="0" w:space="0" w:color="auto"/>
                    <w:left w:val="none" w:sz="0" w:space="0" w:color="auto"/>
                    <w:bottom w:val="none" w:sz="0" w:space="0" w:color="auto"/>
                    <w:right w:val="none" w:sz="0" w:space="0" w:color="auto"/>
                  </w:divBdr>
                  <w:divsChild>
                    <w:div w:id="575089882">
                      <w:marLeft w:val="0"/>
                      <w:marRight w:val="0"/>
                      <w:marTop w:val="0"/>
                      <w:marBottom w:val="0"/>
                      <w:divBdr>
                        <w:top w:val="none" w:sz="0" w:space="0" w:color="auto"/>
                        <w:left w:val="none" w:sz="0" w:space="0" w:color="auto"/>
                        <w:bottom w:val="none" w:sz="0" w:space="0" w:color="auto"/>
                        <w:right w:val="none" w:sz="0" w:space="0" w:color="auto"/>
                      </w:divBdr>
                      <w:divsChild>
                        <w:div w:id="204047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1626570">
      <w:bodyDiv w:val="1"/>
      <w:marLeft w:val="0"/>
      <w:marRight w:val="0"/>
      <w:marTop w:val="0"/>
      <w:marBottom w:val="0"/>
      <w:divBdr>
        <w:top w:val="none" w:sz="0" w:space="0" w:color="auto"/>
        <w:left w:val="none" w:sz="0" w:space="0" w:color="auto"/>
        <w:bottom w:val="none" w:sz="0" w:space="0" w:color="auto"/>
        <w:right w:val="none" w:sz="0" w:space="0" w:color="auto"/>
      </w:divBdr>
      <w:divsChild>
        <w:div w:id="689375135">
          <w:marLeft w:val="0"/>
          <w:marRight w:val="0"/>
          <w:marTop w:val="0"/>
          <w:marBottom w:val="0"/>
          <w:divBdr>
            <w:top w:val="none" w:sz="0" w:space="0" w:color="auto"/>
            <w:left w:val="none" w:sz="0" w:space="0" w:color="auto"/>
            <w:bottom w:val="none" w:sz="0" w:space="0" w:color="auto"/>
            <w:right w:val="none" w:sz="0" w:space="0" w:color="auto"/>
          </w:divBdr>
          <w:divsChild>
            <w:div w:id="735858895">
              <w:marLeft w:val="0"/>
              <w:marRight w:val="0"/>
              <w:marTop w:val="0"/>
              <w:marBottom w:val="0"/>
              <w:divBdr>
                <w:top w:val="none" w:sz="0" w:space="0" w:color="auto"/>
                <w:left w:val="none" w:sz="0" w:space="0" w:color="auto"/>
                <w:bottom w:val="none" w:sz="0" w:space="0" w:color="auto"/>
                <w:right w:val="none" w:sz="0" w:space="0" w:color="auto"/>
              </w:divBdr>
              <w:divsChild>
                <w:div w:id="2072652487">
                  <w:marLeft w:val="0"/>
                  <w:marRight w:val="0"/>
                  <w:marTop w:val="0"/>
                  <w:marBottom w:val="0"/>
                  <w:divBdr>
                    <w:top w:val="none" w:sz="0" w:space="0" w:color="auto"/>
                    <w:left w:val="none" w:sz="0" w:space="0" w:color="auto"/>
                    <w:bottom w:val="none" w:sz="0" w:space="0" w:color="auto"/>
                    <w:right w:val="none" w:sz="0" w:space="0" w:color="auto"/>
                  </w:divBdr>
                  <w:divsChild>
                    <w:div w:id="785663521">
                      <w:marLeft w:val="150"/>
                      <w:marRight w:val="150"/>
                      <w:marTop w:val="0"/>
                      <w:marBottom w:val="0"/>
                      <w:divBdr>
                        <w:top w:val="none" w:sz="0" w:space="0" w:color="auto"/>
                        <w:left w:val="none" w:sz="0" w:space="0" w:color="auto"/>
                        <w:bottom w:val="none" w:sz="0" w:space="0" w:color="auto"/>
                        <w:right w:val="none" w:sz="0" w:space="0" w:color="auto"/>
                      </w:divBdr>
                      <w:divsChild>
                        <w:div w:id="1631859653">
                          <w:marLeft w:val="0"/>
                          <w:marRight w:val="0"/>
                          <w:marTop w:val="0"/>
                          <w:marBottom w:val="0"/>
                          <w:divBdr>
                            <w:top w:val="none" w:sz="0" w:space="0" w:color="auto"/>
                            <w:left w:val="none" w:sz="0" w:space="0" w:color="auto"/>
                            <w:bottom w:val="none" w:sz="0" w:space="0" w:color="auto"/>
                            <w:right w:val="none" w:sz="0" w:space="0" w:color="auto"/>
                          </w:divBdr>
                          <w:divsChild>
                            <w:div w:id="1906530096">
                              <w:marLeft w:val="0"/>
                              <w:marRight w:val="0"/>
                              <w:marTop w:val="0"/>
                              <w:marBottom w:val="240"/>
                              <w:divBdr>
                                <w:top w:val="none" w:sz="0" w:space="0" w:color="auto"/>
                                <w:left w:val="none" w:sz="0" w:space="0" w:color="auto"/>
                                <w:bottom w:val="none" w:sz="0" w:space="0" w:color="auto"/>
                                <w:right w:val="none" w:sz="0" w:space="0" w:color="auto"/>
                              </w:divBdr>
                              <w:divsChild>
                                <w:div w:id="1880819252">
                                  <w:marLeft w:val="0"/>
                                  <w:marRight w:val="0"/>
                                  <w:marTop w:val="0"/>
                                  <w:marBottom w:val="0"/>
                                  <w:divBdr>
                                    <w:top w:val="none" w:sz="0" w:space="0" w:color="auto"/>
                                    <w:left w:val="none" w:sz="0" w:space="0" w:color="auto"/>
                                    <w:bottom w:val="none" w:sz="0" w:space="0" w:color="auto"/>
                                    <w:right w:val="none" w:sz="0" w:space="0" w:color="auto"/>
                                  </w:divBdr>
                                  <w:divsChild>
                                    <w:div w:id="1910574034">
                                      <w:marLeft w:val="0"/>
                                      <w:marRight w:val="0"/>
                                      <w:marTop w:val="0"/>
                                      <w:marBottom w:val="0"/>
                                      <w:divBdr>
                                        <w:top w:val="none" w:sz="0" w:space="0" w:color="auto"/>
                                        <w:left w:val="none" w:sz="0" w:space="0" w:color="auto"/>
                                        <w:bottom w:val="none" w:sz="0" w:space="0" w:color="auto"/>
                                        <w:right w:val="none" w:sz="0" w:space="0" w:color="auto"/>
                                      </w:divBdr>
                                      <w:divsChild>
                                        <w:div w:id="817839068">
                                          <w:marLeft w:val="0"/>
                                          <w:marRight w:val="0"/>
                                          <w:marTop w:val="0"/>
                                          <w:marBottom w:val="0"/>
                                          <w:divBdr>
                                            <w:top w:val="none" w:sz="0" w:space="0" w:color="auto"/>
                                            <w:left w:val="none" w:sz="0" w:space="0" w:color="auto"/>
                                            <w:bottom w:val="none" w:sz="0" w:space="0" w:color="auto"/>
                                            <w:right w:val="none" w:sz="0" w:space="0" w:color="auto"/>
                                          </w:divBdr>
                                          <w:divsChild>
                                            <w:div w:id="1476680291">
                                              <w:marLeft w:val="0"/>
                                              <w:marRight w:val="0"/>
                                              <w:marTop w:val="0"/>
                                              <w:marBottom w:val="0"/>
                                              <w:divBdr>
                                                <w:top w:val="none" w:sz="0" w:space="0" w:color="auto"/>
                                                <w:left w:val="none" w:sz="0" w:space="0" w:color="auto"/>
                                                <w:bottom w:val="none" w:sz="0" w:space="0" w:color="auto"/>
                                                <w:right w:val="none" w:sz="0" w:space="0" w:color="auto"/>
                                              </w:divBdr>
                                              <w:divsChild>
                                                <w:div w:id="1726221288">
                                                  <w:marLeft w:val="0"/>
                                                  <w:marRight w:val="0"/>
                                                  <w:marTop w:val="0"/>
                                                  <w:marBottom w:val="0"/>
                                                  <w:divBdr>
                                                    <w:top w:val="none" w:sz="0" w:space="0" w:color="auto"/>
                                                    <w:left w:val="none" w:sz="0" w:space="0" w:color="auto"/>
                                                    <w:bottom w:val="none" w:sz="0" w:space="0" w:color="auto"/>
                                                    <w:right w:val="none" w:sz="0" w:space="0" w:color="auto"/>
                                                  </w:divBdr>
                                                  <w:divsChild>
                                                    <w:div w:id="84182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40723279">
      <w:bodyDiv w:val="1"/>
      <w:marLeft w:val="0"/>
      <w:marRight w:val="0"/>
      <w:marTop w:val="0"/>
      <w:marBottom w:val="0"/>
      <w:divBdr>
        <w:top w:val="none" w:sz="0" w:space="0" w:color="auto"/>
        <w:left w:val="none" w:sz="0" w:space="0" w:color="auto"/>
        <w:bottom w:val="none" w:sz="0" w:space="0" w:color="auto"/>
        <w:right w:val="none" w:sz="0" w:space="0" w:color="auto"/>
      </w:divBdr>
      <w:divsChild>
        <w:div w:id="1005281579">
          <w:marLeft w:val="0"/>
          <w:marRight w:val="0"/>
          <w:marTop w:val="0"/>
          <w:marBottom w:val="0"/>
          <w:divBdr>
            <w:top w:val="none" w:sz="0" w:space="0" w:color="auto"/>
            <w:left w:val="none" w:sz="0" w:space="0" w:color="auto"/>
            <w:bottom w:val="none" w:sz="0" w:space="0" w:color="auto"/>
            <w:right w:val="none" w:sz="0" w:space="0" w:color="auto"/>
          </w:divBdr>
          <w:divsChild>
            <w:div w:id="1025641591">
              <w:marLeft w:val="0"/>
              <w:marRight w:val="0"/>
              <w:marTop w:val="0"/>
              <w:marBottom w:val="0"/>
              <w:divBdr>
                <w:top w:val="none" w:sz="0" w:space="0" w:color="auto"/>
                <w:left w:val="none" w:sz="0" w:space="0" w:color="auto"/>
                <w:bottom w:val="none" w:sz="0" w:space="0" w:color="auto"/>
                <w:right w:val="none" w:sz="0" w:space="0" w:color="auto"/>
              </w:divBdr>
              <w:divsChild>
                <w:div w:id="1946839639">
                  <w:marLeft w:val="0"/>
                  <w:marRight w:val="0"/>
                  <w:marTop w:val="0"/>
                  <w:marBottom w:val="0"/>
                  <w:divBdr>
                    <w:top w:val="none" w:sz="0" w:space="0" w:color="auto"/>
                    <w:left w:val="none" w:sz="0" w:space="0" w:color="auto"/>
                    <w:bottom w:val="none" w:sz="0" w:space="0" w:color="auto"/>
                    <w:right w:val="none" w:sz="0" w:space="0" w:color="auto"/>
                  </w:divBdr>
                  <w:divsChild>
                    <w:div w:id="14976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33559">
      <w:bodyDiv w:val="1"/>
      <w:marLeft w:val="0"/>
      <w:marRight w:val="0"/>
      <w:marTop w:val="0"/>
      <w:marBottom w:val="0"/>
      <w:divBdr>
        <w:top w:val="none" w:sz="0" w:space="0" w:color="auto"/>
        <w:left w:val="none" w:sz="0" w:space="0" w:color="auto"/>
        <w:bottom w:val="none" w:sz="0" w:space="0" w:color="auto"/>
        <w:right w:val="none" w:sz="0" w:space="0" w:color="auto"/>
      </w:divBdr>
      <w:divsChild>
        <w:div w:id="314115568">
          <w:marLeft w:val="0"/>
          <w:marRight w:val="0"/>
          <w:marTop w:val="0"/>
          <w:marBottom w:val="0"/>
          <w:divBdr>
            <w:top w:val="none" w:sz="0" w:space="0" w:color="auto"/>
            <w:left w:val="none" w:sz="0" w:space="0" w:color="auto"/>
            <w:bottom w:val="none" w:sz="0" w:space="0" w:color="auto"/>
            <w:right w:val="none" w:sz="0" w:space="0" w:color="auto"/>
          </w:divBdr>
          <w:divsChild>
            <w:div w:id="361979551">
              <w:marLeft w:val="0"/>
              <w:marRight w:val="0"/>
              <w:marTop w:val="0"/>
              <w:marBottom w:val="0"/>
              <w:divBdr>
                <w:top w:val="none" w:sz="0" w:space="0" w:color="auto"/>
                <w:left w:val="none" w:sz="0" w:space="0" w:color="auto"/>
                <w:bottom w:val="none" w:sz="0" w:space="0" w:color="auto"/>
                <w:right w:val="none" w:sz="0" w:space="0" w:color="auto"/>
              </w:divBdr>
              <w:divsChild>
                <w:div w:id="1974554156">
                  <w:marLeft w:val="0"/>
                  <w:marRight w:val="0"/>
                  <w:marTop w:val="0"/>
                  <w:marBottom w:val="0"/>
                  <w:divBdr>
                    <w:top w:val="none" w:sz="0" w:space="0" w:color="auto"/>
                    <w:left w:val="none" w:sz="0" w:space="0" w:color="auto"/>
                    <w:bottom w:val="none" w:sz="0" w:space="0" w:color="auto"/>
                    <w:right w:val="none" w:sz="0" w:space="0" w:color="auto"/>
                  </w:divBdr>
                  <w:divsChild>
                    <w:div w:id="1198352594">
                      <w:marLeft w:val="0"/>
                      <w:marRight w:val="0"/>
                      <w:marTop w:val="0"/>
                      <w:marBottom w:val="0"/>
                      <w:divBdr>
                        <w:top w:val="none" w:sz="0" w:space="0" w:color="auto"/>
                        <w:left w:val="none" w:sz="0" w:space="0" w:color="auto"/>
                        <w:bottom w:val="none" w:sz="0" w:space="0" w:color="auto"/>
                        <w:right w:val="none" w:sz="0" w:space="0" w:color="auto"/>
                      </w:divBdr>
                      <w:divsChild>
                        <w:div w:id="61336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80077">
      <w:bodyDiv w:val="1"/>
      <w:marLeft w:val="0"/>
      <w:marRight w:val="0"/>
      <w:marTop w:val="0"/>
      <w:marBottom w:val="0"/>
      <w:divBdr>
        <w:top w:val="none" w:sz="0" w:space="0" w:color="auto"/>
        <w:left w:val="none" w:sz="0" w:space="0" w:color="auto"/>
        <w:bottom w:val="none" w:sz="0" w:space="0" w:color="auto"/>
        <w:right w:val="none" w:sz="0" w:space="0" w:color="auto"/>
      </w:divBdr>
      <w:divsChild>
        <w:div w:id="988170651">
          <w:marLeft w:val="0"/>
          <w:marRight w:val="0"/>
          <w:marTop w:val="0"/>
          <w:marBottom w:val="0"/>
          <w:divBdr>
            <w:top w:val="none" w:sz="0" w:space="0" w:color="auto"/>
            <w:left w:val="none" w:sz="0" w:space="0" w:color="auto"/>
            <w:bottom w:val="none" w:sz="0" w:space="0" w:color="auto"/>
            <w:right w:val="none" w:sz="0" w:space="0" w:color="auto"/>
          </w:divBdr>
          <w:divsChild>
            <w:div w:id="1099258371">
              <w:marLeft w:val="0"/>
              <w:marRight w:val="0"/>
              <w:marTop w:val="0"/>
              <w:marBottom w:val="0"/>
              <w:divBdr>
                <w:top w:val="none" w:sz="0" w:space="0" w:color="auto"/>
                <w:left w:val="none" w:sz="0" w:space="0" w:color="auto"/>
                <w:bottom w:val="none" w:sz="0" w:space="0" w:color="auto"/>
                <w:right w:val="none" w:sz="0" w:space="0" w:color="auto"/>
              </w:divBdr>
              <w:divsChild>
                <w:div w:id="1028528281">
                  <w:marLeft w:val="0"/>
                  <w:marRight w:val="0"/>
                  <w:marTop w:val="0"/>
                  <w:marBottom w:val="0"/>
                  <w:divBdr>
                    <w:top w:val="none" w:sz="0" w:space="0" w:color="auto"/>
                    <w:left w:val="none" w:sz="0" w:space="0" w:color="auto"/>
                    <w:bottom w:val="none" w:sz="0" w:space="0" w:color="auto"/>
                    <w:right w:val="none" w:sz="0" w:space="0" w:color="auto"/>
                  </w:divBdr>
                  <w:divsChild>
                    <w:div w:id="1466194448">
                      <w:marLeft w:val="0"/>
                      <w:marRight w:val="0"/>
                      <w:marTop w:val="0"/>
                      <w:marBottom w:val="0"/>
                      <w:divBdr>
                        <w:top w:val="none" w:sz="0" w:space="0" w:color="auto"/>
                        <w:left w:val="none" w:sz="0" w:space="0" w:color="auto"/>
                        <w:bottom w:val="none" w:sz="0" w:space="0" w:color="auto"/>
                        <w:right w:val="none" w:sz="0" w:space="0" w:color="auto"/>
                      </w:divBdr>
                      <w:divsChild>
                        <w:div w:id="1331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16143728">
      <w:bodyDiv w:val="1"/>
      <w:marLeft w:val="0"/>
      <w:marRight w:val="0"/>
      <w:marTop w:val="0"/>
      <w:marBottom w:val="0"/>
      <w:divBdr>
        <w:top w:val="none" w:sz="0" w:space="0" w:color="auto"/>
        <w:left w:val="none" w:sz="0" w:space="0" w:color="auto"/>
        <w:bottom w:val="none" w:sz="0" w:space="0" w:color="auto"/>
        <w:right w:val="none" w:sz="0" w:space="0" w:color="auto"/>
      </w:divBdr>
      <w:divsChild>
        <w:div w:id="481964558">
          <w:marLeft w:val="0"/>
          <w:marRight w:val="0"/>
          <w:marTop w:val="0"/>
          <w:marBottom w:val="0"/>
          <w:divBdr>
            <w:top w:val="none" w:sz="0" w:space="0" w:color="auto"/>
            <w:left w:val="none" w:sz="0" w:space="0" w:color="auto"/>
            <w:bottom w:val="none" w:sz="0" w:space="0" w:color="auto"/>
            <w:right w:val="none" w:sz="0" w:space="0" w:color="auto"/>
          </w:divBdr>
          <w:divsChild>
            <w:div w:id="1231306190">
              <w:marLeft w:val="0"/>
              <w:marRight w:val="0"/>
              <w:marTop w:val="0"/>
              <w:marBottom w:val="0"/>
              <w:divBdr>
                <w:top w:val="none" w:sz="0" w:space="0" w:color="auto"/>
                <w:left w:val="none" w:sz="0" w:space="0" w:color="auto"/>
                <w:bottom w:val="none" w:sz="0" w:space="0" w:color="auto"/>
                <w:right w:val="none" w:sz="0" w:space="0" w:color="auto"/>
              </w:divBdr>
              <w:divsChild>
                <w:div w:id="418143260">
                  <w:marLeft w:val="0"/>
                  <w:marRight w:val="0"/>
                  <w:marTop w:val="0"/>
                  <w:marBottom w:val="0"/>
                  <w:divBdr>
                    <w:top w:val="none" w:sz="0" w:space="0" w:color="auto"/>
                    <w:left w:val="none" w:sz="0" w:space="0" w:color="auto"/>
                    <w:bottom w:val="none" w:sz="0" w:space="0" w:color="auto"/>
                    <w:right w:val="none" w:sz="0" w:space="0" w:color="auto"/>
                  </w:divBdr>
                  <w:divsChild>
                    <w:div w:id="385179885">
                      <w:marLeft w:val="150"/>
                      <w:marRight w:val="150"/>
                      <w:marTop w:val="0"/>
                      <w:marBottom w:val="0"/>
                      <w:divBdr>
                        <w:top w:val="none" w:sz="0" w:space="0" w:color="auto"/>
                        <w:left w:val="none" w:sz="0" w:space="0" w:color="auto"/>
                        <w:bottom w:val="none" w:sz="0" w:space="0" w:color="auto"/>
                        <w:right w:val="none" w:sz="0" w:space="0" w:color="auto"/>
                      </w:divBdr>
                      <w:divsChild>
                        <w:div w:id="797453342">
                          <w:marLeft w:val="0"/>
                          <w:marRight w:val="0"/>
                          <w:marTop w:val="0"/>
                          <w:marBottom w:val="0"/>
                          <w:divBdr>
                            <w:top w:val="none" w:sz="0" w:space="0" w:color="auto"/>
                            <w:left w:val="none" w:sz="0" w:space="0" w:color="auto"/>
                            <w:bottom w:val="none" w:sz="0" w:space="0" w:color="auto"/>
                            <w:right w:val="none" w:sz="0" w:space="0" w:color="auto"/>
                          </w:divBdr>
                          <w:divsChild>
                            <w:div w:id="1428188249">
                              <w:marLeft w:val="0"/>
                              <w:marRight w:val="0"/>
                              <w:marTop w:val="0"/>
                              <w:marBottom w:val="240"/>
                              <w:divBdr>
                                <w:top w:val="none" w:sz="0" w:space="0" w:color="auto"/>
                                <w:left w:val="none" w:sz="0" w:space="0" w:color="auto"/>
                                <w:bottom w:val="none" w:sz="0" w:space="0" w:color="auto"/>
                                <w:right w:val="none" w:sz="0" w:space="0" w:color="auto"/>
                              </w:divBdr>
                              <w:divsChild>
                                <w:div w:id="1593784826">
                                  <w:marLeft w:val="0"/>
                                  <w:marRight w:val="0"/>
                                  <w:marTop w:val="0"/>
                                  <w:marBottom w:val="0"/>
                                  <w:divBdr>
                                    <w:top w:val="none" w:sz="0" w:space="0" w:color="auto"/>
                                    <w:left w:val="none" w:sz="0" w:space="0" w:color="auto"/>
                                    <w:bottom w:val="none" w:sz="0" w:space="0" w:color="auto"/>
                                    <w:right w:val="none" w:sz="0" w:space="0" w:color="auto"/>
                                  </w:divBdr>
                                  <w:divsChild>
                                    <w:div w:id="1961182862">
                                      <w:marLeft w:val="0"/>
                                      <w:marRight w:val="0"/>
                                      <w:marTop w:val="0"/>
                                      <w:marBottom w:val="0"/>
                                      <w:divBdr>
                                        <w:top w:val="none" w:sz="0" w:space="0" w:color="auto"/>
                                        <w:left w:val="none" w:sz="0" w:space="0" w:color="auto"/>
                                        <w:bottom w:val="none" w:sz="0" w:space="0" w:color="auto"/>
                                        <w:right w:val="none" w:sz="0" w:space="0" w:color="auto"/>
                                      </w:divBdr>
                                      <w:divsChild>
                                        <w:div w:id="1352024865">
                                          <w:marLeft w:val="0"/>
                                          <w:marRight w:val="0"/>
                                          <w:marTop w:val="0"/>
                                          <w:marBottom w:val="0"/>
                                          <w:divBdr>
                                            <w:top w:val="none" w:sz="0" w:space="0" w:color="auto"/>
                                            <w:left w:val="none" w:sz="0" w:space="0" w:color="auto"/>
                                            <w:bottom w:val="none" w:sz="0" w:space="0" w:color="auto"/>
                                            <w:right w:val="none" w:sz="0" w:space="0" w:color="auto"/>
                                          </w:divBdr>
                                          <w:divsChild>
                                            <w:div w:id="291717650">
                                              <w:marLeft w:val="0"/>
                                              <w:marRight w:val="0"/>
                                              <w:marTop w:val="0"/>
                                              <w:marBottom w:val="0"/>
                                              <w:divBdr>
                                                <w:top w:val="none" w:sz="0" w:space="0" w:color="auto"/>
                                                <w:left w:val="none" w:sz="0" w:space="0" w:color="auto"/>
                                                <w:bottom w:val="none" w:sz="0" w:space="0" w:color="auto"/>
                                                <w:right w:val="none" w:sz="0" w:space="0" w:color="auto"/>
                                              </w:divBdr>
                                              <w:divsChild>
                                                <w:div w:id="1883471428">
                                                  <w:marLeft w:val="0"/>
                                                  <w:marRight w:val="0"/>
                                                  <w:marTop w:val="0"/>
                                                  <w:marBottom w:val="0"/>
                                                  <w:divBdr>
                                                    <w:top w:val="none" w:sz="0" w:space="0" w:color="auto"/>
                                                    <w:left w:val="none" w:sz="0" w:space="0" w:color="auto"/>
                                                    <w:bottom w:val="none" w:sz="0" w:space="0" w:color="auto"/>
                                                    <w:right w:val="none" w:sz="0" w:space="0" w:color="auto"/>
                                                  </w:divBdr>
                                                  <w:divsChild>
                                                    <w:div w:id="50713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53765266">
      <w:bodyDiv w:val="1"/>
      <w:marLeft w:val="0"/>
      <w:marRight w:val="0"/>
      <w:marTop w:val="0"/>
      <w:marBottom w:val="0"/>
      <w:divBdr>
        <w:top w:val="none" w:sz="0" w:space="0" w:color="auto"/>
        <w:left w:val="none" w:sz="0" w:space="0" w:color="auto"/>
        <w:bottom w:val="none" w:sz="0" w:space="0" w:color="auto"/>
        <w:right w:val="none" w:sz="0" w:space="0" w:color="auto"/>
      </w:divBdr>
    </w:div>
    <w:div w:id="1856648393">
      <w:bodyDiv w:val="1"/>
      <w:marLeft w:val="0"/>
      <w:marRight w:val="0"/>
      <w:marTop w:val="0"/>
      <w:marBottom w:val="0"/>
      <w:divBdr>
        <w:top w:val="none" w:sz="0" w:space="0" w:color="auto"/>
        <w:left w:val="none" w:sz="0" w:space="0" w:color="auto"/>
        <w:bottom w:val="none" w:sz="0" w:space="0" w:color="auto"/>
        <w:right w:val="none" w:sz="0" w:space="0" w:color="auto"/>
      </w:divBdr>
    </w:div>
    <w:div w:id="1873883509">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44679067">
      <w:bodyDiv w:val="1"/>
      <w:marLeft w:val="0"/>
      <w:marRight w:val="0"/>
      <w:marTop w:val="0"/>
      <w:marBottom w:val="0"/>
      <w:divBdr>
        <w:top w:val="none" w:sz="0" w:space="0" w:color="auto"/>
        <w:left w:val="none" w:sz="0" w:space="0" w:color="auto"/>
        <w:bottom w:val="none" w:sz="0" w:space="0" w:color="auto"/>
        <w:right w:val="none" w:sz="0" w:space="0" w:color="auto"/>
      </w:divBdr>
    </w:div>
    <w:div w:id="1971932747">
      <w:bodyDiv w:val="1"/>
      <w:marLeft w:val="0"/>
      <w:marRight w:val="0"/>
      <w:marTop w:val="0"/>
      <w:marBottom w:val="0"/>
      <w:divBdr>
        <w:top w:val="none" w:sz="0" w:space="0" w:color="auto"/>
        <w:left w:val="none" w:sz="0" w:space="0" w:color="auto"/>
        <w:bottom w:val="none" w:sz="0" w:space="0" w:color="auto"/>
        <w:right w:val="none" w:sz="0" w:space="0" w:color="auto"/>
      </w:divBdr>
      <w:divsChild>
        <w:div w:id="76287370">
          <w:marLeft w:val="0"/>
          <w:marRight w:val="0"/>
          <w:marTop w:val="0"/>
          <w:marBottom w:val="0"/>
          <w:divBdr>
            <w:top w:val="none" w:sz="0" w:space="0" w:color="auto"/>
            <w:left w:val="none" w:sz="0" w:space="0" w:color="auto"/>
            <w:bottom w:val="none" w:sz="0" w:space="0" w:color="auto"/>
            <w:right w:val="none" w:sz="0" w:space="0" w:color="auto"/>
          </w:divBdr>
          <w:divsChild>
            <w:div w:id="1367171769">
              <w:marLeft w:val="0"/>
              <w:marRight w:val="0"/>
              <w:marTop w:val="0"/>
              <w:marBottom w:val="0"/>
              <w:divBdr>
                <w:top w:val="none" w:sz="0" w:space="0" w:color="auto"/>
                <w:left w:val="none" w:sz="0" w:space="0" w:color="auto"/>
                <w:bottom w:val="none" w:sz="0" w:space="0" w:color="auto"/>
                <w:right w:val="none" w:sz="0" w:space="0" w:color="auto"/>
              </w:divBdr>
              <w:divsChild>
                <w:div w:id="1751389524">
                  <w:marLeft w:val="0"/>
                  <w:marRight w:val="0"/>
                  <w:marTop w:val="0"/>
                  <w:marBottom w:val="0"/>
                  <w:divBdr>
                    <w:top w:val="none" w:sz="0" w:space="0" w:color="auto"/>
                    <w:left w:val="none" w:sz="0" w:space="0" w:color="auto"/>
                    <w:bottom w:val="none" w:sz="0" w:space="0" w:color="auto"/>
                    <w:right w:val="none" w:sz="0" w:space="0" w:color="auto"/>
                  </w:divBdr>
                  <w:divsChild>
                    <w:div w:id="13670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936967">
      <w:bodyDiv w:val="1"/>
      <w:marLeft w:val="0"/>
      <w:marRight w:val="0"/>
      <w:marTop w:val="0"/>
      <w:marBottom w:val="0"/>
      <w:divBdr>
        <w:top w:val="none" w:sz="0" w:space="0" w:color="auto"/>
        <w:left w:val="none" w:sz="0" w:space="0" w:color="auto"/>
        <w:bottom w:val="none" w:sz="0" w:space="0" w:color="auto"/>
        <w:right w:val="none" w:sz="0" w:space="0" w:color="auto"/>
      </w:divBdr>
      <w:divsChild>
        <w:div w:id="568346502">
          <w:marLeft w:val="0"/>
          <w:marRight w:val="0"/>
          <w:marTop w:val="0"/>
          <w:marBottom w:val="0"/>
          <w:divBdr>
            <w:top w:val="none" w:sz="0" w:space="0" w:color="auto"/>
            <w:left w:val="none" w:sz="0" w:space="0" w:color="auto"/>
            <w:bottom w:val="none" w:sz="0" w:space="0" w:color="auto"/>
            <w:right w:val="none" w:sz="0" w:space="0" w:color="auto"/>
          </w:divBdr>
          <w:divsChild>
            <w:div w:id="1136490885">
              <w:marLeft w:val="0"/>
              <w:marRight w:val="0"/>
              <w:marTop w:val="0"/>
              <w:marBottom w:val="0"/>
              <w:divBdr>
                <w:top w:val="none" w:sz="0" w:space="0" w:color="auto"/>
                <w:left w:val="none" w:sz="0" w:space="0" w:color="auto"/>
                <w:bottom w:val="none" w:sz="0" w:space="0" w:color="auto"/>
                <w:right w:val="none" w:sz="0" w:space="0" w:color="auto"/>
              </w:divBdr>
              <w:divsChild>
                <w:div w:id="188835946">
                  <w:marLeft w:val="0"/>
                  <w:marRight w:val="0"/>
                  <w:marTop w:val="0"/>
                  <w:marBottom w:val="0"/>
                  <w:divBdr>
                    <w:top w:val="none" w:sz="0" w:space="0" w:color="auto"/>
                    <w:left w:val="none" w:sz="0" w:space="0" w:color="auto"/>
                    <w:bottom w:val="none" w:sz="0" w:space="0" w:color="auto"/>
                    <w:right w:val="none" w:sz="0" w:space="0" w:color="auto"/>
                  </w:divBdr>
                  <w:divsChild>
                    <w:div w:id="94026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ublications.csiro.au/rpr/download?pid=csiro:EP1311565&amp;dsid=DS2" TargetMode="External"/><Relationship Id="rId21" Type="http://schemas.openxmlformats.org/officeDocument/2006/relationships/hyperlink" Target="https://www.daf.qld.gov.au/business-priorities/fisheries/sustainable/sustainable-fisheries-expert-panel" TargetMode="External"/><Relationship Id="rId42" Type="http://schemas.openxmlformats.org/officeDocument/2006/relationships/hyperlink" Target="https://www.daf.qld.gov.au/__data/assets/pdf_file/0007/52774/Fisheries-PMS-Beche-de-mer-2008.pdf" TargetMode="External"/><Relationship Id="rId47" Type="http://schemas.openxmlformats.org/officeDocument/2006/relationships/hyperlink" Target="https://www.publications.qld.gov.au/dataset/queensland-sustainable-fisheries-strategy/resource/fc7da976-661c-43ba-aaaa-9df8c2cb39d3" TargetMode="External"/><Relationship Id="rId63" Type="http://schemas.openxmlformats.org/officeDocument/2006/relationships/hyperlink" Target="https://www.daf.qld.gov.au/__data/assets/pdf_file/0007/52774/Fisheries-PMS-Beche-de-mer-2008.pdf" TargetMode="External"/><Relationship Id="rId68" Type="http://schemas.openxmlformats.org/officeDocument/2006/relationships/hyperlink" Target="http://www.environment.gov.au/system/files/resources/1d989144-ec34-4e7f-adec-d10ec09052ab/files/guidelines-decision-makers-reef-2050-plan.pdf" TargetMode="External"/><Relationship Id="rId16" Type="http://schemas.openxmlformats.org/officeDocument/2006/relationships/hyperlink" Target="https://www.daf.qld.gov.au/business-priorities/fisheries/sustainable/sustainable-fisheries-strategy/sustainable-fisheries-expert-panel" TargetMode="External"/><Relationship Id="rId11" Type="http://schemas.openxmlformats.org/officeDocument/2006/relationships/header" Target="header2.xml"/><Relationship Id="rId32" Type="http://schemas.openxmlformats.org/officeDocument/2006/relationships/hyperlink" Target="http://www.environment.gov.au/biodiversity/threatened/publications/tap/marine-debris-2018" TargetMode="External"/><Relationship Id="rId37" Type="http://schemas.openxmlformats.org/officeDocument/2006/relationships/hyperlink" Target="https://publications.csiro.au/rpr/download?pid=csiro:EP1311565&amp;dsid=DS2" TargetMode="External"/><Relationship Id="rId53" Type="http://schemas.openxmlformats.org/officeDocument/2006/relationships/hyperlink" Target="https://www.daf.qld.gov.au/__data/assets/pdf_file/0007/52774/Fisheries-PMS-Beche-de-mer-2008.pdf" TargetMode="External"/><Relationship Id="rId58" Type="http://schemas.openxmlformats.org/officeDocument/2006/relationships/hyperlink" Target="https://www.publications.qld.gov.au/dataset/queensland-sustainable-fisheries-strategy/resource/fc7da976-661c-43ba-aaaa-9df8c2cb39d3" TargetMode="External"/><Relationship Id="rId74" Type="http://schemas.openxmlformats.org/officeDocument/2006/relationships/header" Target="header4.xm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www.environment.gov.au/topics/marine/marine-bioregional-plans/temperate-east" TargetMode="External"/><Relationship Id="rId82" Type="http://schemas.openxmlformats.org/officeDocument/2006/relationships/customXml" Target="../customXml/item2.xml"/><Relationship Id="rId19" Type="http://schemas.openxmlformats.org/officeDocument/2006/relationships/hyperlink" Target="https://www.business.qld.gov.au/industries/farms-fishing-forestry/fisheries/fisheries-profiles/commercial-harvest-fisheries/sea-cucumber" TargetMode="External"/><Relationship Id="rId14" Type="http://schemas.openxmlformats.org/officeDocument/2006/relationships/hyperlink" Target="http://www.environment.gov.au/marine/fisheries/qld/sea-cucumber" TargetMode="External"/><Relationship Id="rId22" Type="http://schemas.openxmlformats.org/officeDocument/2006/relationships/hyperlink" Target="https://www.daf.qld.gov.au/__data/assets/pdf_file/0007/52774/Fisheries-PMS-Beche-de-mer-2008.pdf" TargetMode="External"/><Relationship Id="rId27" Type="http://schemas.openxmlformats.org/officeDocument/2006/relationships/hyperlink" Target="https://www.daf.qld.gov.au/__data/assets/pdf_file/0007/62278/Beche-de-merBuyers-Logbook.pdf" TargetMode="External"/><Relationship Id="rId30" Type="http://schemas.openxmlformats.org/officeDocument/2006/relationships/hyperlink" Target="https://publications.csiro.au/rpr/download?pid=csiro:EP1311565&amp;dsid=DS2" TargetMode="External"/><Relationship Id="rId35" Type="http://schemas.openxmlformats.org/officeDocument/2006/relationships/hyperlink" Target="https://www.daf.qld.gov.au/__data/assets/pdf_file/0019/60832/Bech-de-merAndTrochus-Fisheries-Logbook.pdf" TargetMode="External"/><Relationship Id="rId43" Type="http://schemas.openxmlformats.org/officeDocument/2006/relationships/hyperlink" Target="https://www.daf.qld.gov.au/__data/assets/pdf_file/0007/52774/Fisheries-PMS-Beche-de-mer-2008.pdf" TargetMode="External"/><Relationship Id="rId48" Type="http://schemas.openxmlformats.org/officeDocument/2006/relationships/hyperlink" Target="https://www.publications.qld.gov.au/dataset/queensland-sustainable-fisheries-strategy/resource/fc7da976-661c-43ba-aaaa-9df8c2cb39d3" TargetMode="External"/><Relationship Id="rId56" Type="http://schemas.openxmlformats.org/officeDocument/2006/relationships/hyperlink" Target="http://era.daf.qld.gov.au/id/eprint/6971/" TargetMode="External"/><Relationship Id="rId64" Type="http://schemas.openxmlformats.org/officeDocument/2006/relationships/hyperlink" Target="https://www.daf.qld.gov.au/__data/assets/pdf_file/0007/52774/Fisheries-PMS-Beche-de-mer-2008.pdf" TargetMode="External"/><Relationship Id="rId69" Type="http://schemas.openxmlformats.org/officeDocument/2006/relationships/hyperlink" Target="http://www.fao.org/3/i1384e/i1384e00.htm" TargetMode="External"/><Relationship Id="rId77" Type="http://schemas.openxmlformats.org/officeDocument/2006/relationships/header" Target="header5.xml"/><Relationship Id="rId8" Type="http://schemas.openxmlformats.org/officeDocument/2006/relationships/header" Target="header1.xml"/><Relationship Id="rId51" Type="http://schemas.openxmlformats.org/officeDocument/2006/relationships/hyperlink" Target="https://www.publications.qld.gov.au/dataset/queensland-sustainable-fisheries-strategy/resource/fc7da976-661c-43ba-aaaa-9df8c2cb39d3" TargetMode="External"/><Relationship Id="rId72" Type="http://schemas.openxmlformats.org/officeDocument/2006/relationships/hyperlink" Target="https://publications.csiro.au/rpr/download?pid=csiro:EP1311565&amp;dsid=DS2"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publications.csiro.au/rpr/download?pid=csiro:EP1311565&amp;dsid=DS2" TargetMode="External"/><Relationship Id="rId25" Type="http://schemas.openxmlformats.org/officeDocument/2006/relationships/hyperlink" Target="https://publications.csiro.au/rpr/download?pid=csiro:EP1311565&amp;dsid=DS2" TargetMode="External"/><Relationship Id="rId33" Type="http://schemas.openxmlformats.org/officeDocument/2006/relationships/hyperlink" Target="http://www.environment.gov.au/marine/publications/recovery-plan-marine-turtles-australia-2017" TargetMode="External"/><Relationship Id="rId38" Type="http://schemas.openxmlformats.org/officeDocument/2006/relationships/hyperlink" Target="https://publications.csiro.au/rpr/download?pid=csiro:EP1311565&amp;dsid=DS2" TargetMode="External"/><Relationship Id="rId46" Type="http://schemas.openxmlformats.org/officeDocument/2006/relationships/hyperlink" Target="https://www.daf.qld.gov.au/__data/assets/pdf_file/0007/62278/Beche-de-merBuyers-Logbook.pdf" TargetMode="External"/><Relationship Id="rId59" Type="http://schemas.openxmlformats.org/officeDocument/2006/relationships/hyperlink" Target="https://www.publications.qld.gov.au/dataset/queensland-sustainable-fisheries-strategy/resource/fc7da976-661c-43ba-aaaa-9df8c2cb39d3" TargetMode="External"/><Relationship Id="rId67" Type="http://schemas.openxmlformats.org/officeDocument/2006/relationships/hyperlink" Target="http://www.environment.gov.au/topics/marine/marine-bioregional-plans/temperate-east" TargetMode="External"/><Relationship Id="rId20" Type="http://schemas.openxmlformats.org/officeDocument/2006/relationships/hyperlink" Target="https://www.daf.qld.gov.au/business-priorities/fisheries/sustainable/fishery-working-groups/sea-cucumber-working-group" TargetMode="External"/><Relationship Id="rId41" Type="http://schemas.openxmlformats.org/officeDocument/2006/relationships/hyperlink" Target="https://www.legislation.qld.gov.au/view/pdf/asmade/sl-2019-0178" TargetMode="External"/><Relationship Id="rId54" Type="http://schemas.openxmlformats.org/officeDocument/2006/relationships/hyperlink" Target="https://www.publications.qld.gov.au/dataset/queensland-sustainable-fisheries-strategy/resource/fc7da976-661c-43ba-aaaa-9df8c2cb39d3" TargetMode="External"/><Relationship Id="rId62" Type="http://schemas.openxmlformats.org/officeDocument/2006/relationships/hyperlink" Target="http://www.environment.gov.au/system/files/resources/1d989144-ec34-4e7f-adec-d10ec09052ab/files/guidelines-decision-makers-reef-2050-plan.pdf" TargetMode="External"/><Relationship Id="rId70" Type="http://schemas.openxmlformats.org/officeDocument/2006/relationships/hyperlink" Target="https://www.daf.qld.gov.au/__data/assets/pdf_file/0007/52774/Fisheries-PMS-Beche-de-mer-2008.pdf" TargetMode="External"/><Relationship Id="rId75" Type="http://schemas.openxmlformats.org/officeDocument/2006/relationships/footer" Target="footer5.xml"/><Relationship Id="rId83"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environment.gov.au/resource/guidelines-ecologically-sustainable-management-fisheries" TargetMode="External"/><Relationship Id="rId23" Type="http://schemas.openxmlformats.org/officeDocument/2006/relationships/hyperlink" Target="https://www.legislation.qld.gov.au/view/pdf/asmade/sl-2019-0178" TargetMode="External"/><Relationship Id="rId28" Type="http://schemas.openxmlformats.org/officeDocument/2006/relationships/hyperlink" Target="https://www.daf.qld.gov.au/__data/assets/pdf_file/0018/284112/fisheries-compliance-qld.pdf" TargetMode="External"/><Relationship Id="rId36" Type="http://schemas.openxmlformats.org/officeDocument/2006/relationships/hyperlink" Target="https://www.daf.qld.gov.au/__data/assets/pdf_file/0007/62278/Beche-de-merBuyers-Logbook.pdf" TargetMode="External"/><Relationship Id="rId49" Type="http://schemas.openxmlformats.org/officeDocument/2006/relationships/hyperlink" Target="http://era.daf.qld.gov.au/id/eprint/6971/" TargetMode="External"/><Relationship Id="rId57" Type="http://schemas.openxmlformats.org/officeDocument/2006/relationships/hyperlink" Target="https://www.daf.qld.gov.au/__data/assets/pdf_file/0007/52774/Fisheries-PMS-Beche-de-mer-2008.pdf" TargetMode="External"/><Relationship Id="rId10" Type="http://schemas.openxmlformats.org/officeDocument/2006/relationships/image" Target="media/image2.jpeg"/><Relationship Id="rId31" Type="http://schemas.openxmlformats.org/officeDocument/2006/relationships/hyperlink" Target="https://publications.csiro.au/rpr/download?pid=csiro:EP1311565&amp;dsid=DS2" TargetMode="External"/><Relationship Id="rId44" Type="http://schemas.openxmlformats.org/officeDocument/2006/relationships/hyperlink" Target="https://publications.csiro.au/rpr/download?pid=csiro:EP1311565&amp;dsid=DS2" TargetMode="External"/><Relationship Id="rId52" Type="http://schemas.openxmlformats.org/officeDocument/2006/relationships/hyperlink" Target="http://era.daf.qld.gov.au/id/eprint/6971/" TargetMode="External"/><Relationship Id="rId60" Type="http://schemas.openxmlformats.org/officeDocument/2006/relationships/hyperlink" Target="http://era.daf.qld.gov.au/id/eprint/6971/" TargetMode="External"/><Relationship Id="rId65" Type="http://schemas.openxmlformats.org/officeDocument/2006/relationships/hyperlink" Target="https://publications.csiro.au/rpr/download?pid=csiro:EP1311565&amp;dsid=DS2" TargetMode="External"/><Relationship Id="rId73" Type="http://schemas.openxmlformats.org/officeDocument/2006/relationships/header" Target="header3.xml"/><Relationship Id="rId78" Type="http://schemas.openxmlformats.org/officeDocument/2006/relationships/footer" Target="footer7.xml"/><Relationship Id="rId8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3" Type="http://schemas.openxmlformats.org/officeDocument/2006/relationships/footer" Target="footer4.xml"/><Relationship Id="rId18" Type="http://schemas.openxmlformats.org/officeDocument/2006/relationships/hyperlink" Target="http://www.fao.org/3/i1384e/i1384e00.htm" TargetMode="External"/><Relationship Id="rId39" Type="http://schemas.openxmlformats.org/officeDocument/2006/relationships/hyperlink" Target="https://www.daf.qld.gov.au/__data/assets/pdf_file/0007/52774/Fisheries-PMS-Beche-de-mer-2008.pdf" TargetMode="External"/><Relationship Id="rId34" Type="http://schemas.openxmlformats.org/officeDocument/2006/relationships/hyperlink" Target="https://www.daf.qld.gov.au/__data/assets/pdf_file/0003/61446/SOCI02-Template.pdf" TargetMode="External"/><Relationship Id="rId50" Type="http://schemas.openxmlformats.org/officeDocument/2006/relationships/hyperlink" Target="https://www.publications.qld.gov.au/dataset/queensland-sustainable-fisheries-strategy/resource/fc7da976-661c-43ba-aaaa-9df8c2cb39d3" TargetMode="External"/><Relationship Id="rId55" Type="http://schemas.openxmlformats.org/officeDocument/2006/relationships/hyperlink" Target="https://www.publications.qld.gov.au/dataset/queensland-sustainable-fisheries-strategy/resource/fc7da976-661c-43ba-aaaa-9df8c2cb39d3" TargetMode="External"/><Relationship Id="rId76" Type="http://schemas.openxmlformats.org/officeDocument/2006/relationships/footer" Target="footer6.xml"/><Relationship Id="rId7" Type="http://schemas.openxmlformats.org/officeDocument/2006/relationships/footer" Target="footer1.xml"/><Relationship Id="rId71" Type="http://schemas.openxmlformats.org/officeDocument/2006/relationships/hyperlink" Target="https://www.fish.gov.au/report/169-White-Teatfish-(Sea-Cucumber)-2018" TargetMode="External"/><Relationship Id="rId2" Type="http://schemas.openxmlformats.org/officeDocument/2006/relationships/styles" Target="styles.xml"/><Relationship Id="rId29" Type="http://schemas.openxmlformats.org/officeDocument/2006/relationships/hyperlink" Target="https://www.daf.qld.gov.au/__data/assets/pdf_file/0007/52774/Fisheries-PMS-Beche-de-mer-2008.pdf" TargetMode="External"/><Relationship Id="rId24" Type="http://schemas.openxmlformats.org/officeDocument/2006/relationships/hyperlink" Target="https://www.daf.qld.gov.au/__data/assets/pdf_file/0007/52774/Fisheries-PMS-Beche-de-mer-2008.pdf" TargetMode="External"/><Relationship Id="rId40" Type="http://schemas.openxmlformats.org/officeDocument/2006/relationships/hyperlink" Target="https://www.daf.qld.gov.au/__data/assets/pdf_file/0007/52774/Fisheries-PMS-Beche-de-mer-2008.pdf" TargetMode="External"/><Relationship Id="rId45" Type="http://schemas.openxmlformats.org/officeDocument/2006/relationships/hyperlink" Target="https://publications.csiro.au/rpr/download?pid=csiro:EP1311565&amp;dsid=DS2" TargetMode="External"/><Relationship Id="rId66" Type="http://schemas.openxmlformats.org/officeDocument/2006/relationships/hyperlink" Target="https://publications.csiro.au/rpr/download?pid=csiro:EP1311565&amp;dsid=DS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6AB73656-1396-44AC-B728-2937789F1507}"/>
</file>

<file path=customXml/itemProps2.xml><?xml version="1.0" encoding="utf-8"?>
<ds:datastoreItem xmlns:ds="http://schemas.openxmlformats.org/officeDocument/2006/customXml" ds:itemID="{FF353463-5E61-430C-9B7E-939481CF0EBC}"/>
</file>

<file path=customXml/itemProps3.xml><?xml version="1.0" encoding="utf-8"?>
<ds:datastoreItem xmlns:ds="http://schemas.openxmlformats.org/officeDocument/2006/customXml" ds:itemID="{DBC1B063-9694-4D1E-9AC3-7100B4436552}"/>
</file>

<file path=docProps/app.xml><?xml version="1.0" encoding="utf-8"?>
<Properties xmlns="http://schemas.openxmlformats.org/officeDocument/2006/extended-properties" xmlns:vt="http://schemas.openxmlformats.org/officeDocument/2006/docPropsVTypes">
  <Template>Normal.dotm</Template>
  <TotalTime>2</TotalTime>
  <Pages>58</Pages>
  <Words>16646</Words>
  <Characters>94883</Characters>
  <Application>Microsoft Office Word</Application>
  <DocSecurity>4</DocSecurity>
  <Lines>790</Lines>
  <Paragraphs>222</Paragraphs>
  <ScaleCrop>false</ScaleCrop>
  <HeadingPairs>
    <vt:vector size="2" baseType="variant">
      <vt:variant>
        <vt:lpstr>Title</vt:lpstr>
      </vt:variant>
      <vt:variant>
        <vt:i4>1</vt:i4>
      </vt:variant>
    </vt:vector>
  </HeadingPairs>
  <TitlesOfParts>
    <vt:vector size="1" baseType="lpstr">
      <vt:lpstr>Assessment of the Queensland Sea Cucumber Fishery (East Coast) September 2020</vt:lpstr>
    </vt:vector>
  </TitlesOfParts>
  <Company>Department of Agriculture, Water and the Environment</Company>
  <LinksUpToDate>false</LinksUpToDate>
  <CharactersWithSpaces>111307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Sea Cucumber Fishery (East Coast) September 2020</dc:title>
  <dc:creator>Department of Agriculture, Water and the Environment</dc:creator>
  <cp:lastModifiedBy>Bec Durack</cp:lastModifiedBy>
  <cp:revision>2</cp:revision>
  <dcterms:created xsi:type="dcterms:W3CDTF">2020-09-28T07:32:00Z</dcterms:created>
  <dcterms:modified xsi:type="dcterms:W3CDTF">2020-09-28T07:32:00Z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