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1B256" w14:textId="77777777" w:rsidR="006C6712" w:rsidRPr="00F6308F" w:rsidRDefault="006C6712" w:rsidP="006C6712">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0779C86E" wp14:editId="660AE4C6">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9"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5D736E59" w14:textId="77777777" w:rsidR="006C6712" w:rsidRPr="00F6308F" w:rsidRDefault="006C6712" w:rsidP="006C6712">
      <w:pPr>
        <w:widowControl w:val="0"/>
        <w:tabs>
          <w:tab w:val="left" w:pos="6700"/>
        </w:tabs>
        <w:spacing w:after="120"/>
        <w:jc w:val="center"/>
        <w:rPr>
          <w:b/>
          <w:sz w:val="48"/>
        </w:rPr>
      </w:pPr>
    </w:p>
    <w:p w14:paraId="305D35C2" w14:textId="77777777" w:rsidR="006C6712" w:rsidRPr="00F6308F" w:rsidRDefault="006C6712" w:rsidP="006C6712">
      <w:pPr>
        <w:widowControl w:val="0"/>
        <w:tabs>
          <w:tab w:val="left" w:pos="6700"/>
        </w:tabs>
        <w:spacing w:after="120"/>
        <w:jc w:val="center"/>
        <w:rPr>
          <w:b/>
          <w:sz w:val="48"/>
        </w:rPr>
      </w:pPr>
    </w:p>
    <w:p w14:paraId="02E41CC3" w14:textId="77777777" w:rsidR="006C6712" w:rsidRPr="00F6308F" w:rsidRDefault="006C6712" w:rsidP="006C6712">
      <w:pPr>
        <w:widowControl w:val="0"/>
        <w:tabs>
          <w:tab w:val="left" w:pos="6700"/>
        </w:tabs>
        <w:spacing w:after="120"/>
        <w:jc w:val="center"/>
        <w:rPr>
          <w:b/>
          <w:sz w:val="48"/>
        </w:rPr>
      </w:pPr>
    </w:p>
    <w:p w14:paraId="04300AAF" w14:textId="77777777" w:rsidR="006C6712" w:rsidRPr="00F6308F" w:rsidRDefault="006C6712" w:rsidP="006C6712">
      <w:pPr>
        <w:spacing w:after="120"/>
        <w:jc w:val="center"/>
        <w:rPr>
          <w:sz w:val="36"/>
        </w:rPr>
      </w:pPr>
      <w:bookmarkStart w:id="1" w:name="_GoBack"/>
      <w:r w:rsidRPr="00F6308F">
        <w:rPr>
          <w:sz w:val="36"/>
        </w:rPr>
        <w:t>Assessment of the</w:t>
      </w:r>
    </w:p>
    <w:p w14:paraId="421684A3" w14:textId="3E65E6F5" w:rsidR="006C6712" w:rsidRPr="00F6308F" w:rsidRDefault="006C6712" w:rsidP="006C6712">
      <w:pPr>
        <w:pStyle w:val="Heading6"/>
        <w:spacing w:after="120"/>
        <w:jc w:val="center"/>
        <w:rPr>
          <w:rFonts w:ascii="Arial" w:hAnsi="Arial"/>
          <w:b w:val="0"/>
          <w:i/>
          <w:sz w:val="36"/>
        </w:rPr>
      </w:pPr>
      <w:r>
        <w:rPr>
          <w:rFonts w:ascii="Arial" w:hAnsi="Arial"/>
          <w:sz w:val="36"/>
        </w:rPr>
        <w:t>Commonwealth Bass Strait Central Zone Scallop Fishery</w:t>
      </w:r>
      <w:bookmarkEnd w:id="1"/>
    </w:p>
    <w:p w14:paraId="74EB405D" w14:textId="77777777" w:rsidR="006C6712" w:rsidRPr="00F6308F" w:rsidRDefault="006C6712" w:rsidP="006C6712">
      <w:pPr>
        <w:widowControl w:val="0"/>
        <w:tabs>
          <w:tab w:val="left" w:pos="6700"/>
        </w:tabs>
        <w:spacing w:after="120"/>
        <w:jc w:val="center"/>
        <w:rPr>
          <w:b/>
          <w:sz w:val="48"/>
        </w:rPr>
      </w:pPr>
    </w:p>
    <w:p w14:paraId="00111491" w14:textId="77777777" w:rsidR="006C6712" w:rsidRPr="00F6308F" w:rsidRDefault="006C6712" w:rsidP="006C6712">
      <w:pPr>
        <w:widowControl w:val="0"/>
        <w:tabs>
          <w:tab w:val="left" w:pos="6700"/>
        </w:tabs>
        <w:spacing w:after="120"/>
        <w:jc w:val="center"/>
        <w:rPr>
          <w:b/>
          <w:sz w:val="48"/>
        </w:rPr>
      </w:pPr>
    </w:p>
    <w:p w14:paraId="2A4EBDFE" w14:textId="77777777" w:rsidR="006C6712" w:rsidRPr="00176CE1" w:rsidRDefault="006C6712" w:rsidP="006C6712">
      <w:pPr>
        <w:widowControl w:val="0"/>
        <w:tabs>
          <w:tab w:val="left" w:pos="6700"/>
        </w:tabs>
        <w:spacing w:after="120"/>
        <w:jc w:val="center"/>
        <w:rPr>
          <w:b/>
          <w:sz w:val="32"/>
        </w:rPr>
      </w:pPr>
    </w:p>
    <w:p w14:paraId="29DB7F69" w14:textId="77777777" w:rsidR="006C6712" w:rsidRPr="00176CE1" w:rsidRDefault="006C6712" w:rsidP="006C6712">
      <w:pPr>
        <w:widowControl w:val="0"/>
        <w:tabs>
          <w:tab w:val="left" w:pos="6700"/>
        </w:tabs>
        <w:spacing w:after="120"/>
        <w:jc w:val="center"/>
        <w:rPr>
          <w:b/>
          <w:sz w:val="32"/>
        </w:rPr>
      </w:pPr>
    </w:p>
    <w:p w14:paraId="64B3A0DB" w14:textId="77777777" w:rsidR="006C6712" w:rsidRPr="00176CE1" w:rsidRDefault="006C6712" w:rsidP="006C6712">
      <w:pPr>
        <w:widowControl w:val="0"/>
        <w:tabs>
          <w:tab w:val="left" w:pos="6700"/>
        </w:tabs>
        <w:spacing w:after="120"/>
        <w:jc w:val="center"/>
        <w:rPr>
          <w:b/>
          <w:sz w:val="32"/>
        </w:rPr>
      </w:pPr>
    </w:p>
    <w:p w14:paraId="5A2ED6DC" w14:textId="77777777" w:rsidR="006C6712" w:rsidRPr="00176CE1" w:rsidRDefault="006C6712" w:rsidP="006C6712">
      <w:pPr>
        <w:widowControl w:val="0"/>
        <w:tabs>
          <w:tab w:val="left" w:pos="6700"/>
        </w:tabs>
        <w:spacing w:after="120"/>
        <w:jc w:val="center"/>
        <w:rPr>
          <w:b/>
          <w:sz w:val="32"/>
        </w:rPr>
      </w:pPr>
    </w:p>
    <w:p w14:paraId="51F5A5F0" w14:textId="77777777" w:rsidR="006C6712" w:rsidRPr="00176CE1" w:rsidRDefault="006C6712" w:rsidP="006C6712">
      <w:pPr>
        <w:widowControl w:val="0"/>
        <w:tabs>
          <w:tab w:val="left" w:pos="6700"/>
        </w:tabs>
        <w:spacing w:after="120"/>
        <w:jc w:val="center"/>
        <w:rPr>
          <w:b/>
          <w:sz w:val="32"/>
        </w:rPr>
      </w:pPr>
    </w:p>
    <w:p w14:paraId="57EBD73B" w14:textId="77777777" w:rsidR="006C6712" w:rsidRPr="00176CE1" w:rsidRDefault="006C6712" w:rsidP="006C6712">
      <w:pPr>
        <w:widowControl w:val="0"/>
        <w:tabs>
          <w:tab w:val="left" w:pos="6700"/>
        </w:tabs>
        <w:spacing w:after="120"/>
        <w:jc w:val="center"/>
        <w:rPr>
          <w:b/>
          <w:sz w:val="32"/>
        </w:rPr>
      </w:pPr>
    </w:p>
    <w:p w14:paraId="0DACD39E" w14:textId="77777777" w:rsidR="006C6712" w:rsidRPr="00176CE1" w:rsidRDefault="006C6712" w:rsidP="006C6712">
      <w:pPr>
        <w:widowControl w:val="0"/>
        <w:tabs>
          <w:tab w:val="left" w:pos="6700"/>
        </w:tabs>
        <w:spacing w:after="120"/>
        <w:jc w:val="center"/>
        <w:rPr>
          <w:b/>
          <w:sz w:val="32"/>
        </w:rPr>
      </w:pPr>
    </w:p>
    <w:p w14:paraId="3A3F1E6E" w14:textId="77777777" w:rsidR="006C6712" w:rsidRPr="00176CE1" w:rsidRDefault="006C6712" w:rsidP="006C6712">
      <w:pPr>
        <w:widowControl w:val="0"/>
        <w:tabs>
          <w:tab w:val="left" w:pos="6700"/>
        </w:tabs>
        <w:spacing w:after="120"/>
        <w:jc w:val="center"/>
        <w:rPr>
          <w:b/>
          <w:sz w:val="32"/>
        </w:rPr>
      </w:pPr>
    </w:p>
    <w:p w14:paraId="227F271F" w14:textId="77777777" w:rsidR="006C6712" w:rsidRPr="00176CE1" w:rsidRDefault="006C6712" w:rsidP="006C6712">
      <w:pPr>
        <w:widowControl w:val="0"/>
        <w:tabs>
          <w:tab w:val="left" w:pos="6700"/>
        </w:tabs>
        <w:spacing w:after="120"/>
        <w:jc w:val="center"/>
        <w:rPr>
          <w:b/>
          <w:sz w:val="32"/>
        </w:rPr>
      </w:pPr>
    </w:p>
    <w:p w14:paraId="030C9CD8" w14:textId="77777777" w:rsidR="006C6712" w:rsidRPr="00176CE1" w:rsidRDefault="006C6712" w:rsidP="006C6712">
      <w:pPr>
        <w:widowControl w:val="0"/>
        <w:tabs>
          <w:tab w:val="left" w:pos="6700"/>
        </w:tabs>
        <w:spacing w:after="120"/>
        <w:jc w:val="center"/>
        <w:rPr>
          <w:b/>
          <w:sz w:val="32"/>
        </w:rPr>
      </w:pPr>
    </w:p>
    <w:p w14:paraId="15E9B003" w14:textId="77777777" w:rsidR="006C6712" w:rsidRPr="00176CE1" w:rsidRDefault="006C6712" w:rsidP="006C6712">
      <w:pPr>
        <w:widowControl w:val="0"/>
        <w:tabs>
          <w:tab w:val="left" w:pos="6700"/>
        </w:tabs>
        <w:spacing w:after="120"/>
        <w:jc w:val="center"/>
        <w:rPr>
          <w:b/>
          <w:sz w:val="32"/>
        </w:rPr>
      </w:pPr>
    </w:p>
    <w:p w14:paraId="411216A5" w14:textId="1C1E5471" w:rsidR="006C6712" w:rsidRPr="00F6308F" w:rsidRDefault="006C6712" w:rsidP="006C6712">
      <w:pPr>
        <w:pStyle w:val="Heading7"/>
        <w:rPr>
          <w:rFonts w:ascii="Arial" w:hAnsi="Arial"/>
          <w:lang w:val="en-AU"/>
        </w:rPr>
      </w:pPr>
      <w:r>
        <w:rPr>
          <w:rFonts w:ascii="Arial" w:hAnsi="Arial"/>
          <w:lang w:val="en-AU"/>
        </w:rPr>
        <w:t>October</w:t>
      </w:r>
      <w:r w:rsidRPr="00176CE1">
        <w:rPr>
          <w:rFonts w:ascii="Arial" w:hAnsi="Arial"/>
          <w:lang w:val="en-AU"/>
        </w:rPr>
        <w:t xml:space="preserve"> 2016</w:t>
      </w:r>
      <w:r>
        <w:rPr>
          <w:rFonts w:ascii="Arial" w:hAnsi="Arial"/>
          <w:lang w:val="en-AU"/>
        </w:rPr>
        <w:t xml:space="preserve"> </w:t>
      </w:r>
    </w:p>
    <w:p w14:paraId="6DFB8138" w14:textId="77777777" w:rsidR="006C6712" w:rsidRPr="00F6308F" w:rsidRDefault="006C6712" w:rsidP="006C6712"/>
    <w:p w14:paraId="649933E8" w14:textId="77777777" w:rsidR="006C6712" w:rsidRPr="00F6308F" w:rsidRDefault="006C6712" w:rsidP="006C6712"/>
    <w:p w14:paraId="64694124" w14:textId="77777777" w:rsidR="006C6712" w:rsidRDefault="006C6712" w:rsidP="006C6712">
      <w:pPr>
        <w:sectPr w:rsidR="006C6712" w:rsidSect="001955CD">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14:paraId="34F4F791" w14:textId="77777777" w:rsidR="006C6712" w:rsidRPr="00574DD7" w:rsidRDefault="006C6712" w:rsidP="006C6712">
      <w:pPr>
        <w:spacing w:before="60" w:after="0"/>
        <w:rPr>
          <w:sz w:val="20"/>
          <w:szCs w:val="20"/>
        </w:rPr>
      </w:pPr>
    </w:p>
    <w:p w14:paraId="34CA4853" w14:textId="77777777" w:rsidR="006C6712" w:rsidRPr="00574DD7" w:rsidRDefault="006C6712" w:rsidP="006C6712">
      <w:pPr>
        <w:spacing w:before="60" w:after="0"/>
        <w:rPr>
          <w:rStyle w:val="Hyperlink"/>
          <w:rFonts w:eastAsia="Times New Roman"/>
          <w:noProof/>
          <w:color w:val="auto"/>
          <w:sz w:val="20"/>
          <w:szCs w:val="20"/>
          <w:lang w:eastAsia="en-AU"/>
        </w:rPr>
      </w:pPr>
    </w:p>
    <w:p w14:paraId="4F45590A" w14:textId="77777777" w:rsidR="006C6712" w:rsidRPr="00574DD7" w:rsidRDefault="006C6712" w:rsidP="006C6712">
      <w:pPr>
        <w:spacing w:before="60" w:after="0"/>
        <w:rPr>
          <w:rStyle w:val="Hyperlink"/>
          <w:rFonts w:eastAsia="Times New Roman"/>
          <w:noProof/>
          <w:color w:val="auto"/>
          <w:sz w:val="20"/>
          <w:szCs w:val="20"/>
          <w:lang w:eastAsia="en-AU"/>
        </w:rPr>
      </w:pPr>
    </w:p>
    <w:p w14:paraId="3275BA03" w14:textId="77777777" w:rsidR="006C6712" w:rsidRPr="00574DD7" w:rsidRDefault="006C6712" w:rsidP="006C6712">
      <w:pPr>
        <w:spacing w:before="60" w:after="0"/>
        <w:rPr>
          <w:rStyle w:val="Hyperlink"/>
          <w:rFonts w:eastAsia="Times New Roman"/>
          <w:noProof/>
          <w:color w:val="auto"/>
          <w:sz w:val="20"/>
          <w:szCs w:val="20"/>
          <w:lang w:eastAsia="en-AU"/>
        </w:rPr>
      </w:pPr>
    </w:p>
    <w:p w14:paraId="696DD5B6" w14:textId="77777777" w:rsidR="006C6712" w:rsidRPr="00574DD7" w:rsidRDefault="006C6712" w:rsidP="006C6712">
      <w:pPr>
        <w:spacing w:before="60" w:after="0"/>
        <w:rPr>
          <w:rStyle w:val="Hyperlink"/>
          <w:rFonts w:eastAsia="Times New Roman"/>
          <w:noProof/>
          <w:color w:val="auto"/>
          <w:sz w:val="20"/>
          <w:szCs w:val="20"/>
          <w:lang w:eastAsia="en-AU"/>
        </w:rPr>
      </w:pPr>
    </w:p>
    <w:p w14:paraId="35AC920A" w14:textId="77777777" w:rsidR="006C6712" w:rsidRPr="00574DD7" w:rsidRDefault="006C6712" w:rsidP="006C6712">
      <w:pPr>
        <w:spacing w:before="60" w:after="0"/>
        <w:rPr>
          <w:rStyle w:val="Hyperlink"/>
          <w:rFonts w:eastAsia="Times New Roman"/>
          <w:noProof/>
          <w:color w:val="auto"/>
          <w:sz w:val="20"/>
          <w:szCs w:val="20"/>
          <w:lang w:eastAsia="en-AU"/>
        </w:rPr>
      </w:pPr>
    </w:p>
    <w:p w14:paraId="386B6B31" w14:textId="77777777" w:rsidR="006C6712" w:rsidRPr="00574DD7" w:rsidRDefault="006C6712" w:rsidP="006C6712">
      <w:pPr>
        <w:spacing w:before="60" w:after="0"/>
        <w:rPr>
          <w:rStyle w:val="Hyperlink"/>
          <w:rFonts w:eastAsia="Times New Roman"/>
          <w:noProof/>
          <w:color w:val="auto"/>
          <w:sz w:val="20"/>
          <w:szCs w:val="20"/>
          <w:lang w:eastAsia="en-AU"/>
        </w:rPr>
      </w:pPr>
    </w:p>
    <w:p w14:paraId="0BFBFD50" w14:textId="77777777" w:rsidR="006C6712" w:rsidRPr="00574DD7" w:rsidRDefault="006C6712" w:rsidP="006C6712">
      <w:pPr>
        <w:spacing w:before="60" w:after="0"/>
        <w:rPr>
          <w:rStyle w:val="Hyperlink"/>
          <w:rFonts w:eastAsia="Times New Roman"/>
          <w:noProof/>
          <w:color w:val="auto"/>
          <w:sz w:val="20"/>
          <w:szCs w:val="20"/>
          <w:lang w:eastAsia="en-AU"/>
        </w:rPr>
      </w:pPr>
    </w:p>
    <w:p w14:paraId="5D31969D" w14:textId="77777777" w:rsidR="006C6712" w:rsidRPr="00574DD7" w:rsidRDefault="006C6712" w:rsidP="006C6712">
      <w:pPr>
        <w:tabs>
          <w:tab w:val="right" w:leader="dot" w:pos="8302"/>
        </w:tabs>
        <w:spacing w:before="60" w:after="0"/>
        <w:rPr>
          <w:noProof/>
          <w:webHidden/>
          <w:sz w:val="20"/>
          <w:szCs w:val="20"/>
        </w:rPr>
      </w:pPr>
    </w:p>
    <w:p w14:paraId="526BF9D9" w14:textId="77777777" w:rsidR="006C6712" w:rsidRPr="00574DD7" w:rsidRDefault="006C6712" w:rsidP="006C6712">
      <w:pPr>
        <w:tabs>
          <w:tab w:val="right" w:leader="dot" w:pos="8302"/>
        </w:tabs>
        <w:spacing w:before="60" w:after="0"/>
        <w:rPr>
          <w:noProof/>
          <w:webHidden/>
          <w:sz w:val="20"/>
          <w:szCs w:val="20"/>
        </w:rPr>
      </w:pPr>
    </w:p>
    <w:p w14:paraId="135CDA7E" w14:textId="77777777" w:rsidR="006C6712" w:rsidRPr="00574DD7" w:rsidRDefault="006C6712" w:rsidP="006C6712">
      <w:pPr>
        <w:tabs>
          <w:tab w:val="right" w:leader="dot" w:pos="8302"/>
        </w:tabs>
        <w:spacing w:before="60" w:after="0"/>
        <w:rPr>
          <w:noProof/>
          <w:webHidden/>
          <w:sz w:val="20"/>
          <w:szCs w:val="20"/>
        </w:rPr>
      </w:pPr>
    </w:p>
    <w:p w14:paraId="6C36D363" w14:textId="77777777" w:rsidR="006C6712" w:rsidRDefault="006C6712" w:rsidP="006C6712">
      <w:pPr>
        <w:tabs>
          <w:tab w:val="right" w:leader="dot" w:pos="8302"/>
        </w:tabs>
        <w:spacing w:before="60" w:after="0"/>
        <w:rPr>
          <w:noProof/>
          <w:webHidden/>
          <w:sz w:val="20"/>
          <w:szCs w:val="20"/>
        </w:rPr>
      </w:pPr>
    </w:p>
    <w:p w14:paraId="0E585EF9" w14:textId="77777777" w:rsidR="006C6712" w:rsidRDefault="006C6712" w:rsidP="006C6712">
      <w:pPr>
        <w:tabs>
          <w:tab w:val="right" w:leader="dot" w:pos="8302"/>
        </w:tabs>
        <w:spacing w:before="60" w:after="0"/>
        <w:rPr>
          <w:noProof/>
          <w:webHidden/>
          <w:sz w:val="20"/>
          <w:szCs w:val="20"/>
        </w:rPr>
      </w:pPr>
    </w:p>
    <w:p w14:paraId="6F404069" w14:textId="77777777" w:rsidR="006C6712" w:rsidRDefault="006C6712" w:rsidP="006C6712">
      <w:pPr>
        <w:tabs>
          <w:tab w:val="right" w:leader="dot" w:pos="8302"/>
        </w:tabs>
        <w:spacing w:before="60" w:after="0"/>
        <w:rPr>
          <w:noProof/>
          <w:webHidden/>
          <w:sz w:val="20"/>
          <w:szCs w:val="20"/>
        </w:rPr>
      </w:pPr>
    </w:p>
    <w:p w14:paraId="0EF3E0B4" w14:textId="77777777" w:rsidR="006C6712" w:rsidRDefault="006C6712" w:rsidP="006C6712">
      <w:pPr>
        <w:tabs>
          <w:tab w:val="right" w:leader="dot" w:pos="8302"/>
        </w:tabs>
        <w:spacing w:before="60" w:after="0"/>
        <w:rPr>
          <w:noProof/>
          <w:webHidden/>
          <w:sz w:val="20"/>
          <w:szCs w:val="20"/>
        </w:rPr>
      </w:pPr>
    </w:p>
    <w:p w14:paraId="3D0003E0" w14:textId="77777777" w:rsidR="006C6712" w:rsidRDefault="006C6712" w:rsidP="006C6712">
      <w:pPr>
        <w:tabs>
          <w:tab w:val="right" w:leader="dot" w:pos="8302"/>
        </w:tabs>
        <w:spacing w:before="60" w:after="0"/>
        <w:rPr>
          <w:noProof/>
          <w:webHidden/>
          <w:sz w:val="20"/>
          <w:szCs w:val="20"/>
        </w:rPr>
      </w:pPr>
    </w:p>
    <w:p w14:paraId="44A181D7" w14:textId="77777777" w:rsidR="006C6712" w:rsidRDefault="006C6712" w:rsidP="006C6712">
      <w:pPr>
        <w:tabs>
          <w:tab w:val="right" w:leader="dot" w:pos="8302"/>
        </w:tabs>
        <w:spacing w:before="60" w:after="0"/>
        <w:rPr>
          <w:noProof/>
          <w:webHidden/>
          <w:sz w:val="20"/>
          <w:szCs w:val="20"/>
        </w:rPr>
      </w:pPr>
    </w:p>
    <w:p w14:paraId="02FEEA4E" w14:textId="77777777" w:rsidR="006C6712" w:rsidRDefault="006C6712" w:rsidP="006C6712">
      <w:pPr>
        <w:tabs>
          <w:tab w:val="right" w:leader="dot" w:pos="8302"/>
        </w:tabs>
        <w:spacing w:before="60" w:after="0"/>
        <w:rPr>
          <w:noProof/>
          <w:webHidden/>
          <w:sz w:val="20"/>
          <w:szCs w:val="20"/>
        </w:rPr>
      </w:pPr>
    </w:p>
    <w:p w14:paraId="086F539C" w14:textId="77777777" w:rsidR="006C6712" w:rsidRDefault="006C6712" w:rsidP="006C6712">
      <w:pPr>
        <w:tabs>
          <w:tab w:val="right" w:leader="dot" w:pos="8302"/>
        </w:tabs>
        <w:spacing w:before="60" w:after="0"/>
        <w:rPr>
          <w:noProof/>
          <w:webHidden/>
          <w:sz w:val="20"/>
          <w:szCs w:val="20"/>
        </w:rPr>
      </w:pPr>
    </w:p>
    <w:p w14:paraId="31E72DAA" w14:textId="77777777" w:rsidR="006C6712" w:rsidRDefault="006C6712" w:rsidP="006C6712">
      <w:pPr>
        <w:spacing w:before="60" w:after="0"/>
        <w:rPr>
          <w:sz w:val="20"/>
          <w:szCs w:val="20"/>
        </w:rPr>
      </w:pPr>
    </w:p>
    <w:p w14:paraId="0CCFA0C1" w14:textId="77777777" w:rsidR="006C6712" w:rsidRDefault="006C6712" w:rsidP="006C6712">
      <w:pPr>
        <w:spacing w:before="60" w:after="0"/>
        <w:rPr>
          <w:sz w:val="20"/>
          <w:szCs w:val="20"/>
        </w:rPr>
      </w:pPr>
    </w:p>
    <w:p w14:paraId="1456B3B7" w14:textId="77777777" w:rsidR="006C6712" w:rsidRDefault="006C6712" w:rsidP="006C6712">
      <w:pPr>
        <w:spacing w:before="60" w:after="0"/>
        <w:rPr>
          <w:sz w:val="20"/>
          <w:szCs w:val="20"/>
        </w:rPr>
      </w:pPr>
    </w:p>
    <w:p w14:paraId="5D393A06" w14:textId="77777777" w:rsidR="006C6712" w:rsidRDefault="006C6712" w:rsidP="006C6712">
      <w:pPr>
        <w:spacing w:before="60" w:after="0"/>
        <w:rPr>
          <w:sz w:val="20"/>
          <w:szCs w:val="20"/>
        </w:rPr>
      </w:pPr>
    </w:p>
    <w:p w14:paraId="7773E5C2" w14:textId="77777777" w:rsidR="006C6712" w:rsidRDefault="006C6712" w:rsidP="006C6712">
      <w:pPr>
        <w:spacing w:before="60" w:after="0"/>
        <w:rPr>
          <w:sz w:val="20"/>
          <w:szCs w:val="20"/>
        </w:rPr>
      </w:pPr>
    </w:p>
    <w:p w14:paraId="34424973" w14:textId="77777777" w:rsidR="006C6712" w:rsidRDefault="006C6712" w:rsidP="006C6712">
      <w:pPr>
        <w:spacing w:before="60" w:after="0"/>
        <w:rPr>
          <w:sz w:val="20"/>
          <w:szCs w:val="20"/>
        </w:rPr>
      </w:pPr>
    </w:p>
    <w:p w14:paraId="6E0891EC" w14:textId="77777777" w:rsidR="006C6712" w:rsidRDefault="006C6712" w:rsidP="006C6712">
      <w:pPr>
        <w:spacing w:before="60" w:after="0"/>
        <w:rPr>
          <w:sz w:val="20"/>
          <w:szCs w:val="20"/>
        </w:rPr>
      </w:pPr>
    </w:p>
    <w:p w14:paraId="59D30012" w14:textId="77777777" w:rsidR="006C6712" w:rsidRDefault="006C6712" w:rsidP="006C6712">
      <w:pPr>
        <w:spacing w:before="60" w:after="0"/>
        <w:rPr>
          <w:sz w:val="20"/>
          <w:szCs w:val="20"/>
        </w:rPr>
      </w:pPr>
    </w:p>
    <w:p w14:paraId="0EB69DC4" w14:textId="77777777" w:rsidR="006C6712" w:rsidRPr="00574DD7" w:rsidRDefault="006C6712" w:rsidP="006C6712">
      <w:pPr>
        <w:spacing w:before="60" w:after="0"/>
        <w:rPr>
          <w:sz w:val="20"/>
          <w:szCs w:val="20"/>
        </w:rPr>
      </w:pPr>
    </w:p>
    <w:p w14:paraId="0ECF18E9" w14:textId="77777777" w:rsidR="006C6712" w:rsidRPr="00480A40" w:rsidRDefault="006C6712" w:rsidP="006C6712">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39FB58AB" w14:textId="77777777" w:rsidR="006C6712" w:rsidRPr="00480A40" w:rsidRDefault="006C6712" w:rsidP="006C6712">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4AF75E57" wp14:editId="0EEB045A">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A857089" w14:textId="56BCCC6F" w:rsidR="006C6712" w:rsidRPr="008403C4" w:rsidRDefault="006C6712" w:rsidP="006C6712">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Pr>
          <w:rFonts w:ascii="Arial" w:hAnsi="Arial" w:cs="Arial"/>
          <w:i/>
          <w:sz w:val="16"/>
          <w:szCs w:val="16"/>
        </w:rPr>
        <w:t>Commonwealth Bass Strait Central Zone Scallop</w:t>
      </w:r>
      <w:r w:rsidRPr="008403C4">
        <w:rPr>
          <w:rFonts w:ascii="Arial" w:hAnsi="Arial" w:cs="Arial"/>
          <w:i/>
          <w:sz w:val="16"/>
          <w:szCs w:val="16"/>
        </w:rPr>
        <w:t xml:space="preserve"> Fishery </w:t>
      </w:r>
      <w:r>
        <w:rPr>
          <w:rFonts w:ascii="Arial" w:hAnsi="Arial" w:cs="Arial"/>
          <w:i/>
          <w:sz w:val="16"/>
          <w:szCs w:val="16"/>
        </w:rPr>
        <w:t xml:space="preserve">October </w:t>
      </w:r>
      <w:r w:rsidRPr="008403C4">
        <w:rPr>
          <w:rFonts w:ascii="Arial" w:hAnsi="Arial" w:cs="Arial"/>
          <w:i/>
          <w:sz w:val="16"/>
          <w:szCs w:val="16"/>
        </w:rPr>
        <w:t xml:space="preserve">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C3B1E7E" w14:textId="7C1C8B31" w:rsidR="006C6712" w:rsidRPr="00480A40" w:rsidRDefault="006C6712" w:rsidP="006C6712">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Pr>
          <w:rFonts w:ascii="Arial" w:hAnsi="Arial" w:cs="Arial"/>
          <w:i/>
          <w:sz w:val="16"/>
          <w:szCs w:val="16"/>
        </w:rPr>
        <w:t>Commonwealth Bass Strait Central Zone Scallop</w:t>
      </w:r>
      <w:r w:rsidRPr="008403C4">
        <w:rPr>
          <w:rFonts w:ascii="Arial" w:hAnsi="Arial" w:cs="Arial"/>
          <w:i/>
          <w:sz w:val="16"/>
          <w:szCs w:val="16"/>
        </w:rPr>
        <w:t xml:space="preserve"> Fishery </w:t>
      </w:r>
      <w:r>
        <w:rPr>
          <w:rFonts w:ascii="Arial" w:hAnsi="Arial" w:cs="Arial"/>
          <w:i/>
          <w:sz w:val="16"/>
          <w:szCs w:val="16"/>
        </w:rPr>
        <w:t xml:space="preserve">October </w:t>
      </w:r>
      <w:r w:rsidRPr="008403C4">
        <w:rPr>
          <w:rFonts w:ascii="Arial" w:hAnsi="Arial" w:cs="Arial"/>
          <w:i/>
          <w:sz w:val="16"/>
          <w:szCs w:val="16"/>
        </w:rPr>
        <w:t>2016</w:t>
      </w:r>
      <w:r w:rsidRPr="008403C4">
        <w:rPr>
          <w:rFonts w:ascii="Arial" w:hAnsi="Arial" w:cs="Arial"/>
          <w:sz w:val="16"/>
          <w:szCs w:val="16"/>
        </w:rPr>
        <w:t>, Commonwealth of Australia 2016’.</w:t>
      </w:r>
    </w:p>
    <w:p w14:paraId="330DC92D" w14:textId="77777777" w:rsidR="006C6712" w:rsidRPr="00F6308F" w:rsidRDefault="006C6712" w:rsidP="006C6712">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32EB9180" w14:textId="77777777" w:rsidR="006C6712" w:rsidRPr="00F6308F" w:rsidRDefault="006C6712" w:rsidP="006C6712">
      <w:pPr>
        <w:spacing w:before="60" w:after="0"/>
        <w:rPr>
          <w:b/>
          <w:sz w:val="16"/>
          <w:szCs w:val="16"/>
        </w:rPr>
      </w:pPr>
      <w:r w:rsidRPr="00F6308F">
        <w:rPr>
          <w:b/>
          <w:sz w:val="16"/>
          <w:szCs w:val="16"/>
        </w:rPr>
        <w:t>Disclaimer</w:t>
      </w:r>
    </w:p>
    <w:p w14:paraId="1239A04A" w14:textId="77777777" w:rsidR="006C6712" w:rsidRPr="00F6308F" w:rsidRDefault="006C6712" w:rsidP="006C6712">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47C6E09E" w14:textId="77777777" w:rsidR="006C6712" w:rsidRDefault="006C6712" w:rsidP="006C6712">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3A3EDE8" w14:textId="77777777" w:rsidR="006C6712" w:rsidRDefault="006C6712" w:rsidP="006C6712">
      <w:pPr>
        <w:spacing w:before="60" w:after="0"/>
        <w:rPr>
          <w:sz w:val="16"/>
          <w:szCs w:val="16"/>
        </w:rPr>
      </w:pPr>
    </w:p>
    <w:p w14:paraId="32EAB553" w14:textId="77777777" w:rsidR="006C6712" w:rsidRPr="00F6308F" w:rsidRDefault="006C6712" w:rsidP="006C6712">
      <w:pPr>
        <w:spacing w:before="60" w:after="0"/>
        <w:rPr>
          <w:sz w:val="16"/>
          <w:szCs w:val="16"/>
        </w:rPr>
      </w:pPr>
    </w:p>
    <w:p w14:paraId="713AF509" w14:textId="77777777" w:rsidR="006C6712" w:rsidRPr="00A14FF4" w:rsidRDefault="006C6712" w:rsidP="006C6712">
      <w:pPr>
        <w:pStyle w:val="Heading1"/>
      </w:pPr>
    </w:p>
    <w:p w14:paraId="7DD749D6" w14:textId="77777777" w:rsidR="006C6712" w:rsidRDefault="006C6712" w:rsidP="006C6712">
      <w:pPr>
        <w:rPr>
          <w:b/>
        </w:rPr>
        <w:sectPr w:rsidR="006C6712"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4738826A" w14:textId="77777777" w:rsidR="006C6712" w:rsidRPr="00E22088" w:rsidRDefault="006C6712" w:rsidP="006C6712">
          <w:pPr>
            <w:rPr>
              <w:b/>
            </w:rPr>
          </w:pPr>
          <w:r w:rsidRPr="00E22088">
            <w:rPr>
              <w:b/>
            </w:rPr>
            <w:t>CONTENTS</w:t>
          </w:r>
        </w:p>
        <w:p w14:paraId="5DEFF718" w14:textId="77777777" w:rsidR="006C6712" w:rsidRDefault="006C6712" w:rsidP="006C6712">
          <w:pPr>
            <w:pStyle w:val="TOC1"/>
          </w:pPr>
        </w:p>
        <w:p w14:paraId="662D9AFF" w14:textId="77777777" w:rsidR="008E1D19" w:rsidRDefault="006C6712">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184519" w:history="1">
            <w:r w:rsidR="008E1D19" w:rsidRPr="008406F3">
              <w:rPr>
                <w:rStyle w:val="Hyperlink"/>
              </w:rPr>
              <w:t>Section 1: Summary of the Assessment for the Commonwealth Bass Strait Central Zone Scallop Fishery Against the Guidelines for the Ecologically Sustainable Management of Fisheries (2nd Edition)</w:t>
            </w:r>
            <w:r w:rsidR="008E1D19">
              <w:rPr>
                <w:webHidden/>
              </w:rPr>
              <w:tab/>
            </w:r>
            <w:r w:rsidR="008E1D19">
              <w:rPr>
                <w:webHidden/>
              </w:rPr>
              <w:fldChar w:fldCharType="begin"/>
            </w:r>
            <w:r w:rsidR="008E1D19">
              <w:rPr>
                <w:webHidden/>
              </w:rPr>
              <w:instrText xml:space="preserve"> PAGEREF _Toc522184519 \h </w:instrText>
            </w:r>
            <w:r w:rsidR="008E1D19">
              <w:rPr>
                <w:webHidden/>
              </w:rPr>
            </w:r>
            <w:r w:rsidR="008E1D19">
              <w:rPr>
                <w:webHidden/>
              </w:rPr>
              <w:fldChar w:fldCharType="separate"/>
            </w:r>
            <w:r w:rsidR="00207590">
              <w:rPr>
                <w:webHidden/>
              </w:rPr>
              <w:t>3</w:t>
            </w:r>
            <w:r w:rsidR="008E1D19">
              <w:rPr>
                <w:webHidden/>
              </w:rPr>
              <w:fldChar w:fldCharType="end"/>
            </w:r>
          </w:hyperlink>
        </w:p>
        <w:p w14:paraId="7EA00ADD" w14:textId="77777777" w:rsidR="008E1D19" w:rsidRDefault="006A1422">
          <w:pPr>
            <w:pStyle w:val="TOC1"/>
            <w:rPr>
              <w:rFonts w:asciiTheme="minorHAnsi" w:eastAsiaTheme="minorEastAsia" w:hAnsiTheme="minorHAnsi" w:cstheme="minorBidi"/>
              <w:sz w:val="22"/>
              <w:szCs w:val="22"/>
            </w:rPr>
          </w:pPr>
          <w:hyperlink w:anchor="_Toc522184520" w:history="1">
            <w:r w:rsidR="008E1D19" w:rsidRPr="008406F3">
              <w:rPr>
                <w:rStyle w:val="Hyperlink"/>
              </w:rPr>
              <w:t>Section 2: Detailed Analysis of the Commonwealth Bass Strait Central Zone Scallop Fishery Against the Guidelines for the Ecologically Sustainable Management of Fisheries (2nd Edition)</w:t>
            </w:r>
            <w:r w:rsidR="008E1D19">
              <w:rPr>
                <w:webHidden/>
              </w:rPr>
              <w:tab/>
            </w:r>
            <w:r w:rsidR="008E1D19">
              <w:rPr>
                <w:webHidden/>
              </w:rPr>
              <w:fldChar w:fldCharType="begin"/>
            </w:r>
            <w:r w:rsidR="008E1D19">
              <w:rPr>
                <w:webHidden/>
              </w:rPr>
              <w:instrText xml:space="preserve"> PAGEREF _Toc522184520 \h </w:instrText>
            </w:r>
            <w:r w:rsidR="008E1D19">
              <w:rPr>
                <w:webHidden/>
              </w:rPr>
            </w:r>
            <w:r w:rsidR="008E1D19">
              <w:rPr>
                <w:webHidden/>
              </w:rPr>
              <w:fldChar w:fldCharType="separate"/>
            </w:r>
            <w:r w:rsidR="00207590">
              <w:rPr>
                <w:webHidden/>
              </w:rPr>
              <w:t>6</w:t>
            </w:r>
            <w:r w:rsidR="008E1D19">
              <w:rPr>
                <w:webHidden/>
              </w:rPr>
              <w:fldChar w:fldCharType="end"/>
            </w:r>
          </w:hyperlink>
        </w:p>
        <w:p w14:paraId="5CCDC582" w14:textId="77777777" w:rsidR="008E1D19" w:rsidRDefault="006A1422">
          <w:pPr>
            <w:pStyle w:val="TOC1"/>
            <w:rPr>
              <w:rFonts w:asciiTheme="minorHAnsi" w:eastAsiaTheme="minorEastAsia" w:hAnsiTheme="minorHAnsi" w:cstheme="minorBidi"/>
              <w:sz w:val="22"/>
              <w:szCs w:val="22"/>
            </w:rPr>
          </w:pPr>
          <w:hyperlink w:anchor="_Toc522184521" w:history="1">
            <w:r w:rsidR="008E1D19" w:rsidRPr="008406F3">
              <w:rPr>
                <w:rStyle w:val="Hyperlink"/>
              </w:rPr>
              <w:t>Section 3: Assessment of the Commonwealth Bass Strait Central Zone Scallop Fishery Against the Requirements of the EPBC Act</w:t>
            </w:r>
            <w:r w:rsidR="008E1D19">
              <w:rPr>
                <w:webHidden/>
              </w:rPr>
              <w:tab/>
            </w:r>
            <w:r w:rsidR="008E1D19">
              <w:rPr>
                <w:webHidden/>
              </w:rPr>
              <w:fldChar w:fldCharType="begin"/>
            </w:r>
            <w:r w:rsidR="008E1D19">
              <w:rPr>
                <w:webHidden/>
              </w:rPr>
              <w:instrText xml:space="preserve"> PAGEREF _Toc522184521 \h </w:instrText>
            </w:r>
            <w:r w:rsidR="008E1D19">
              <w:rPr>
                <w:webHidden/>
              </w:rPr>
            </w:r>
            <w:r w:rsidR="008E1D19">
              <w:rPr>
                <w:webHidden/>
              </w:rPr>
              <w:fldChar w:fldCharType="separate"/>
            </w:r>
            <w:r w:rsidR="00207590">
              <w:rPr>
                <w:webHidden/>
              </w:rPr>
              <w:t>15</w:t>
            </w:r>
            <w:r w:rsidR="008E1D19">
              <w:rPr>
                <w:webHidden/>
              </w:rPr>
              <w:fldChar w:fldCharType="end"/>
            </w:r>
          </w:hyperlink>
        </w:p>
        <w:p w14:paraId="6F42A60C" w14:textId="77777777" w:rsidR="006C6712" w:rsidRPr="00893305" w:rsidRDefault="006C6712" w:rsidP="006C6712">
          <w:r w:rsidRPr="00893305">
            <w:rPr>
              <w:b/>
              <w:bCs/>
              <w:noProof/>
            </w:rPr>
            <w:fldChar w:fldCharType="end"/>
          </w:r>
        </w:p>
      </w:sdtContent>
    </w:sdt>
    <w:p w14:paraId="6AE8FE89" w14:textId="77777777" w:rsidR="006C6712" w:rsidRDefault="006C6712" w:rsidP="006C6712">
      <w:pPr>
        <w:spacing w:after="0"/>
        <w:rPr>
          <w:rStyle w:val="Emphasis"/>
          <w:rFonts w:cs="Arial"/>
          <w:b/>
          <w:i w:val="0"/>
          <w:iCs w:val="0"/>
        </w:rPr>
        <w:sectPr w:rsidR="006C6712" w:rsidSect="006C6712">
          <w:headerReference w:type="even" r:id="rId17"/>
          <w:headerReference w:type="default" r:id="rId18"/>
          <w:footerReference w:type="default" r:id="rId19"/>
          <w:headerReference w:type="first" r:id="rId20"/>
          <w:pgSz w:w="11906" w:h="16838"/>
          <w:pgMar w:top="1361" w:right="709" w:bottom="1361" w:left="709" w:header="709" w:footer="57" w:gutter="0"/>
          <w:cols w:space="708"/>
          <w:docGrid w:linePitch="360"/>
        </w:sectPr>
      </w:pPr>
    </w:p>
    <w:p w14:paraId="418130E3" w14:textId="5F36DD0D" w:rsidR="006C6712" w:rsidRPr="00146E3A" w:rsidRDefault="006C6712" w:rsidP="00146E3A">
      <w:pPr>
        <w:pStyle w:val="Heading1"/>
        <w:spacing w:before="60" w:after="60" w:line="240" w:lineRule="auto"/>
      </w:pPr>
      <w:bookmarkStart w:id="2" w:name="_Toc514849743"/>
      <w:bookmarkStart w:id="3" w:name="_Toc522184519"/>
      <w:bookmarkStart w:id="4" w:name="_Toc514848955"/>
      <w:bookmarkStart w:id="5" w:name="_Toc514848956"/>
      <w:r w:rsidRPr="00146E3A">
        <w:lastRenderedPageBreak/>
        <w:t>Section 1: Summary of the Assessment for the Commonwealth Bass Strait Central Zone Scallop Fishery Against the Guidelines for the Ecologically Sustainable Management of Fisheries (2nd Edition)</w:t>
      </w:r>
      <w:bookmarkEnd w:id="2"/>
      <w:bookmarkEnd w:id="3"/>
    </w:p>
    <w:bookmarkEnd w:id="4"/>
    <w:bookmarkEnd w:id="5"/>
    <w:p w14:paraId="1631B33C" w14:textId="77777777" w:rsidR="008E3774" w:rsidRPr="006C6712" w:rsidRDefault="008E3774" w:rsidP="00146E3A">
      <w:pPr>
        <w:spacing w:before="60" w:after="60" w:line="240" w:lineRule="auto"/>
        <w:rPr>
          <w:rStyle w:val="Emphasis"/>
          <w:rFonts w:cs="Arial"/>
          <w:i w:val="0"/>
          <w:iCs w:val="0"/>
          <w:sz w:val="20"/>
          <w:szCs w:val="20"/>
        </w:rPr>
      </w:pPr>
      <w:r w:rsidRPr="006C6712">
        <w:rPr>
          <w:rStyle w:val="Emphasis"/>
          <w:rFonts w:cs="Arial"/>
          <w:b/>
          <w:i w:val="0"/>
          <w:iCs w:val="0"/>
          <w:sz w:val="20"/>
          <w:szCs w:val="20"/>
        </w:rPr>
        <w:t>Purpose</w:t>
      </w:r>
      <w:r w:rsidRPr="006C6712">
        <w:rPr>
          <w:rStyle w:val="Emphasis"/>
          <w:rFonts w:cs="Arial"/>
          <w:i w:val="0"/>
          <w:iCs w:val="0"/>
          <w:sz w:val="20"/>
          <w:szCs w:val="20"/>
        </w:rPr>
        <w:t xml:space="preserve">: </w:t>
      </w:r>
      <w:r w:rsidR="00B16E10" w:rsidRPr="006C6712">
        <w:rPr>
          <w:rStyle w:val="Emphasis"/>
          <w:rFonts w:cs="Arial"/>
          <w:i w:val="0"/>
          <w:iCs w:val="0"/>
          <w:sz w:val="20"/>
          <w:szCs w:val="20"/>
        </w:rPr>
        <w:t>T</w:t>
      </w:r>
      <w:r w:rsidRPr="006C6712">
        <w:rPr>
          <w:rStyle w:val="Emphasis"/>
          <w:rFonts w:cs="Arial"/>
          <w:i w:val="0"/>
          <w:iCs w:val="0"/>
          <w:sz w:val="20"/>
          <w:szCs w:val="20"/>
        </w:rPr>
        <w:t>o enable transparent articulation of which commercial fisheries assessed under the EPBC Act clearly meet all legislative requirements</w:t>
      </w:r>
      <w:r w:rsidR="00B16E10" w:rsidRPr="006C6712">
        <w:rPr>
          <w:rStyle w:val="Emphasis"/>
          <w:rFonts w:cs="Arial"/>
          <w:i w:val="0"/>
          <w:iCs w:val="0"/>
          <w:sz w:val="20"/>
          <w:szCs w:val="20"/>
        </w:rPr>
        <w:t xml:space="preserve"> and all Guidelines, and </w:t>
      </w:r>
      <w:r w:rsidR="00164155" w:rsidRPr="006C6712">
        <w:rPr>
          <w:rStyle w:val="Emphasis"/>
          <w:rFonts w:cs="Arial"/>
          <w:i w:val="0"/>
          <w:iCs w:val="0"/>
          <w:sz w:val="20"/>
          <w:szCs w:val="20"/>
        </w:rPr>
        <w:t xml:space="preserve">those </w:t>
      </w:r>
      <w:r w:rsidR="00B16E10" w:rsidRPr="006C6712">
        <w:rPr>
          <w:rStyle w:val="Emphasis"/>
          <w:rFonts w:cs="Arial"/>
          <w:i w:val="0"/>
          <w:iCs w:val="0"/>
          <w:sz w:val="20"/>
          <w:szCs w:val="20"/>
        </w:rPr>
        <w:t>which may require further investigation or assessment to demonstrate requirements are met.</w:t>
      </w:r>
    </w:p>
    <w:p w14:paraId="1631B33F" w14:textId="0BCA394C" w:rsidR="00DF5905" w:rsidRPr="006C6712" w:rsidRDefault="000E549D" w:rsidP="00146E3A">
      <w:pPr>
        <w:spacing w:before="60" w:after="60" w:line="240" w:lineRule="auto"/>
        <w:rPr>
          <w:rStyle w:val="Emphasis"/>
          <w:rFonts w:cs="Arial"/>
          <w:i w:val="0"/>
          <w:iCs w:val="0"/>
          <w:sz w:val="20"/>
          <w:szCs w:val="20"/>
        </w:rPr>
      </w:pPr>
      <w:r w:rsidRPr="006C6712">
        <w:rPr>
          <w:rStyle w:val="Emphasis"/>
          <w:rFonts w:cs="Arial"/>
          <w:b/>
          <w:i w:val="0"/>
          <w:iCs w:val="0"/>
          <w:sz w:val="20"/>
          <w:szCs w:val="20"/>
        </w:rPr>
        <w:t>Summary</w:t>
      </w:r>
      <w:r w:rsidR="00146E3A">
        <w:rPr>
          <w:rStyle w:val="Emphasis"/>
          <w:rFonts w:cs="Arial"/>
          <w:b/>
          <w:i w:val="0"/>
          <w:iCs w:val="0"/>
          <w:sz w:val="20"/>
          <w:szCs w:val="20"/>
        </w:rPr>
        <w:t xml:space="preserve">: </w:t>
      </w:r>
      <w:r w:rsidR="004D2EE3" w:rsidRPr="006C6712">
        <w:rPr>
          <w:rStyle w:val="Emphasis"/>
          <w:rFonts w:cs="Arial"/>
          <w:i w:val="0"/>
          <w:iCs w:val="0"/>
          <w:sz w:val="20"/>
          <w:szCs w:val="20"/>
        </w:rPr>
        <w:t xml:space="preserve">Overview of </w:t>
      </w:r>
      <w:r w:rsidR="00080671" w:rsidRPr="006C6712">
        <w:rPr>
          <w:rStyle w:val="Emphasis"/>
          <w:rFonts w:cs="Arial"/>
          <w:i w:val="0"/>
          <w:iCs w:val="0"/>
          <w:sz w:val="20"/>
          <w:szCs w:val="20"/>
        </w:rPr>
        <w:t xml:space="preserve">Bass Strait Central Zone Scallop </w:t>
      </w:r>
      <w:r w:rsidR="004D2EE3" w:rsidRPr="006C6712">
        <w:rPr>
          <w:rStyle w:val="Emphasis"/>
          <w:rFonts w:cs="Arial"/>
          <w:i w:val="0"/>
          <w:iCs w:val="0"/>
          <w:sz w:val="20"/>
          <w:szCs w:val="20"/>
        </w:rPr>
        <w:t xml:space="preserve">Fishery </w:t>
      </w:r>
      <w:r w:rsidR="009750F0" w:rsidRPr="006C6712">
        <w:rPr>
          <w:rStyle w:val="Emphasis"/>
          <w:rFonts w:cs="Arial"/>
          <w:i w:val="0"/>
          <w:iCs w:val="0"/>
          <w:sz w:val="20"/>
          <w:szCs w:val="20"/>
        </w:rPr>
        <w:t xml:space="preserve">(BSCZSF) </w:t>
      </w:r>
      <w:r w:rsidR="004D2EE3" w:rsidRPr="006C6712">
        <w:rPr>
          <w:rStyle w:val="Emphasis"/>
          <w:rFonts w:cs="Arial"/>
          <w:i w:val="0"/>
          <w:iCs w:val="0"/>
          <w:sz w:val="20"/>
          <w:szCs w:val="20"/>
        </w:rPr>
        <w:t xml:space="preserve">against the relevant requirements of the </w:t>
      </w:r>
      <w:r w:rsidR="00B16E10" w:rsidRPr="006C6712">
        <w:rPr>
          <w:rStyle w:val="Emphasis"/>
          <w:rFonts w:cs="Arial"/>
          <w:i w:val="0"/>
          <w:iCs w:val="0"/>
          <w:sz w:val="20"/>
          <w:szCs w:val="20"/>
        </w:rPr>
        <w:t xml:space="preserve">Guidelines </w:t>
      </w:r>
      <w:r w:rsidR="004D2EE3" w:rsidRPr="006C6712">
        <w:rPr>
          <w:rStyle w:val="Emphasis"/>
          <w:rFonts w:cs="Arial"/>
          <w:i w:val="0"/>
          <w:iCs w:val="0"/>
          <w:sz w:val="20"/>
          <w:szCs w:val="20"/>
        </w:rPr>
        <w:t xml:space="preserve">and the </w:t>
      </w:r>
      <w:r w:rsidR="00B16E10" w:rsidRPr="006C6712">
        <w:rPr>
          <w:rStyle w:val="Emphasis"/>
          <w:rFonts w:cs="Arial"/>
          <w:i w:val="0"/>
          <w:iCs w:val="0"/>
          <w:sz w:val="20"/>
          <w:szCs w:val="20"/>
        </w:rPr>
        <w:t>EPBC</w:t>
      </w:r>
      <w:r w:rsidR="00360F51" w:rsidRPr="006C6712">
        <w:rPr>
          <w:rStyle w:val="Emphasis"/>
          <w:rFonts w:cs="Arial"/>
          <w:i w:val="0"/>
          <w:iCs w:val="0"/>
          <w:sz w:val="20"/>
          <w:szCs w:val="20"/>
        </w:rPr>
        <w:t> </w:t>
      </w:r>
      <w:r w:rsidR="00B16E10" w:rsidRPr="006C6712">
        <w:rPr>
          <w:rStyle w:val="Emphasis"/>
          <w:rFonts w:cs="Arial"/>
          <w:i w:val="0"/>
          <w:iCs w:val="0"/>
          <w:sz w:val="20"/>
          <w:szCs w:val="20"/>
        </w:rPr>
        <w:t>Act.</w:t>
      </w:r>
    </w:p>
    <w:tbl>
      <w:tblPr>
        <w:tblStyle w:val="TableGrid"/>
        <w:tblW w:w="5000" w:type="pct"/>
        <w:tblLook w:val="04A0" w:firstRow="1" w:lastRow="0" w:firstColumn="1" w:lastColumn="0" w:noHBand="0" w:noVBand="1"/>
      </w:tblPr>
      <w:tblGrid>
        <w:gridCol w:w="3526"/>
        <w:gridCol w:w="1410"/>
        <w:gridCol w:w="1411"/>
        <w:gridCol w:w="1411"/>
        <w:gridCol w:w="6348"/>
      </w:tblGrid>
      <w:tr w:rsidR="000E549D" w:rsidRPr="00146E3A" w14:paraId="1631B345" w14:textId="77777777" w:rsidTr="00A762F9">
        <w:trPr>
          <w:cnfStyle w:val="100000000000" w:firstRow="1" w:lastRow="0" w:firstColumn="0" w:lastColumn="0" w:oddVBand="0" w:evenVBand="0" w:oddHBand="0" w:evenHBand="0" w:firstRowFirstColumn="0" w:firstRowLastColumn="0" w:lastRowFirstColumn="0" w:lastRowLastColumn="0"/>
        </w:trPr>
        <w:tc>
          <w:tcPr>
            <w:tcW w:w="1250" w:type="pct"/>
            <w:vAlign w:val="center"/>
          </w:tcPr>
          <w:p w14:paraId="1631B340" w14:textId="7E9630AC" w:rsidR="000E549D" w:rsidRPr="00146E3A" w:rsidRDefault="00146E3A" w:rsidP="00146E3A">
            <w:pPr>
              <w:spacing w:before="60" w:after="60" w:line="240" w:lineRule="auto"/>
              <w:rPr>
                <w:rFonts w:cs="Arial"/>
                <w:b/>
                <w:sz w:val="20"/>
                <w:szCs w:val="20"/>
              </w:rPr>
            </w:pPr>
            <w:r w:rsidRPr="00146E3A">
              <w:rPr>
                <w:rFonts w:cs="Arial"/>
                <w:b/>
                <w:sz w:val="20"/>
                <w:szCs w:val="20"/>
              </w:rPr>
              <w:t>Guidelines</w:t>
            </w:r>
          </w:p>
        </w:tc>
        <w:tc>
          <w:tcPr>
            <w:tcW w:w="500" w:type="pct"/>
            <w:shd w:val="clear" w:color="auto" w:fill="92D050"/>
            <w:vAlign w:val="center"/>
          </w:tcPr>
          <w:p w14:paraId="1631B341" w14:textId="77777777" w:rsidR="000E549D" w:rsidRPr="00146E3A" w:rsidRDefault="000E549D" w:rsidP="00146E3A">
            <w:pPr>
              <w:spacing w:before="60" w:after="60" w:line="240" w:lineRule="auto"/>
              <w:rPr>
                <w:rFonts w:cs="Arial"/>
                <w:b/>
                <w:sz w:val="20"/>
                <w:szCs w:val="20"/>
              </w:rPr>
            </w:pPr>
            <w:r w:rsidRPr="00146E3A">
              <w:rPr>
                <w:rFonts w:cs="Arial"/>
                <w:b/>
                <w:sz w:val="20"/>
                <w:szCs w:val="20"/>
              </w:rPr>
              <w:t>Meets</w:t>
            </w:r>
          </w:p>
        </w:tc>
        <w:tc>
          <w:tcPr>
            <w:tcW w:w="500" w:type="pct"/>
            <w:shd w:val="clear" w:color="auto" w:fill="FFC000"/>
            <w:vAlign w:val="center"/>
          </w:tcPr>
          <w:p w14:paraId="1631B342" w14:textId="77777777" w:rsidR="000E549D" w:rsidRPr="00146E3A" w:rsidRDefault="000E549D" w:rsidP="00146E3A">
            <w:pPr>
              <w:spacing w:before="60" w:after="60" w:line="240" w:lineRule="auto"/>
              <w:rPr>
                <w:rFonts w:cs="Arial"/>
                <w:b/>
                <w:sz w:val="20"/>
                <w:szCs w:val="20"/>
              </w:rPr>
            </w:pPr>
            <w:r w:rsidRPr="00146E3A">
              <w:rPr>
                <w:rFonts w:cs="Arial"/>
                <w:b/>
                <w:sz w:val="20"/>
                <w:szCs w:val="20"/>
              </w:rPr>
              <w:t>Partially meets</w:t>
            </w:r>
          </w:p>
        </w:tc>
        <w:tc>
          <w:tcPr>
            <w:tcW w:w="500" w:type="pct"/>
            <w:shd w:val="clear" w:color="auto" w:fill="FF0000"/>
            <w:vAlign w:val="center"/>
          </w:tcPr>
          <w:p w14:paraId="1631B343" w14:textId="77777777" w:rsidR="000E549D" w:rsidRPr="00146E3A" w:rsidRDefault="000E549D" w:rsidP="00146E3A">
            <w:pPr>
              <w:spacing w:before="60" w:after="60" w:line="240" w:lineRule="auto"/>
              <w:rPr>
                <w:rFonts w:cs="Arial"/>
                <w:b/>
                <w:sz w:val="20"/>
                <w:szCs w:val="20"/>
              </w:rPr>
            </w:pPr>
            <w:r w:rsidRPr="00146E3A">
              <w:rPr>
                <w:rFonts w:cs="Arial"/>
                <w:b/>
                <w:sz w:val="20"/>
                <w:szCs w:val="20"/>
              </w:rPr>
              <w:t>Does not meet</w:t>
            </w:r>
          </w:p>
        </w:tc>
        <w:tc>
          <w:tcPr>
            <w:tcW w:w="2250" w:type="pct"/>
            <w:vAlign w:val="center"/>
          </w:tcPr>
          <w:p w14:paraId="1631B344" w14:textId="77777777" w:rsidR="000E549D" w:rsidRPr="00146E3A" w:rsidRDefault="00B16E10" w:rsidP="00146E3A">
            <w:pPr>
              <w:spacing w:before="60" w:after="60" w:line="240" w:lineRule="auto"/>
              <w:rPr>
                <w:rFonts w:cs="Arial"/>
                <w:b/>
                <w:sz w:val="20"/>
                <w:szCs w:val="20"/>
              </w:rPr>
            </w:pPr>
            <w:r w:rsidRPr="00146E3A">
              <w:rPr>
                <w:rFonts w:cs="Arial"/>
                <w:b/>
                <w:sz w:val="20"/>
                <w:szCs w:val="20"/>
              </w:rPr>
              <w:t>Details</w:t>
            </w:r>
          </w:p>
        </w:tc>
      </w:tr>
      <w:tr w:rsidR="00B01489" w:rsidRPr="00146E3A" w14:paraId="1631B34D" w14:textId="77777777" w:rsidTr="00A762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1631B348" w14:textId="77777777" w:rsidR="00B01489" w:rsidRPr="00146E3A" w:rsidRDefault="00B01489" w:rsidP="00146E3A">
            <w:pPr>
              <w:spacing w:before="60" w:after="60" w:line="240" w:lineRule="auto"/>
              <w:rPr>
                <w:rFonts w:cs="Arial"/>
                <w:sz w:val="20"/>
                <w:szCs w:val="20"/>
              </w:rPr>
            </w:pPr>
            <w:r w:rsidRPr="00146E3A">
              <w:rPr>
                <w:rFonts w:cs="Arial"/>
                <w:sz w:val="20"/>
                <w:szCs w:val="20"/>
              </w:rPr>
              <w:t>Management regime</w:t>
            </w:r>
          </w:p>
        </w:tc>
        <w:tc>
          <w:tcPr>
            <w:tcW w:w="500" w:type="pct"/>
            <w:shd w:val="clear" w:color="auto" w:fill="92D050"/>
          </w:tcPr>
          <w:p w14:paraId="1631B349" w14:textId="55A9DB4B" w:rsidR="00B01489" w:rsidRPr="00146E3A" w:rsidRDefault="00A732DF" w:rsidP="00146E3A">
            <w:pPr>
              <w:spacing w:before="60" w:after="60" w:line="240" w:lineRule="auto"/>
              <w:jc w:val="center"/>
              <w:rPr>
                <w:rFonts w:cs="Arial"/>
                <w:sz w:val="20"/>
                <w:szCs w:val="20"/>
              </w:rPr>
            </w:pPr>
            <w:r w:rsidRPr="00146E3A">
              <w:rPr>
                <w:rFonts w:cs="Arial"/>
                <w:sz w:val="20"/>
                <w:szCs w:val="20"/>
              </w:rPr>
              <w:t>9</w:t>
            </w:r>
            <w:r w:rsidR="004B36D0" w:rsidRPr="00146E3A">
              <w:rPr>
                <w:rFonts w:cs="Arial"/>
                <w:sz w:val="20"/>
                <w:szCs w:val="20"/>
              </w:rPr>
              <w:t xml:space="preserve"> of 9</w:t>
            </w:r>
          </w:p>
        </w:tc>
        <w:tc>
          <w:tcPr>
            <w:tcW w:w="500" w:type="pct"/>
            <w:shd w:val="clear" w:color="auto" w:fill="auto"/>
          </w:tcPr>
          <w:p w14:paraId="1631B34A" w14:textId="77777777" w:rsidR="00B01489" w:rsidRPr="00146E3A" w:rsidRDefault="00A732DF" w:rsidP="00146E3A">
            <w:pPr>
              <w:spacing w:before="60" w:after="60" w:line="240" w:lineRule="auto"/>
              <w:jc w:val="center"/>
              <w:rPr>
                <w:rFonts w:cs="Arial"/>
                <w:sz w:val="20"/>
                <w:szCs w:val="20"/>
              </w:rPr>
            </w:pPr>
            <w:r w:rsidRPr="00146E3A">
              <w:rPr>
                <w:rFonts w:cs="Arial"/>
                <w:sz w:val="20"/>
                <w:szCs w:val="20"/>
              </w:rPr>
              <w:t>0</w:t>
            </w:r>
          </w:p>
        </w:tc>
        <w:tc>
          <w:tcPr>
            <w:tcW w:w="500" w:type="pct"/>
            <w:shd w:val="clear" w:color="auto" w:fill="auto"/>
          </w:tcPr>
          <w:p w14:paraId="1631B34B" w14:textId="77777777" w:rsidR="00B01489" w:rsidRPr="00146E3A" w:rsidRDefault="00A732DF" w:rsidP="00146E3A">
            <w:pPr>
              <w:spacing w:before="60" w:after="60" w:line="240" w:lineRule="auto"/>
              <w:jc w:val="center"/>
              <w:rPr>
                <w:rFonts w:cs="Arial"/>
                <w:sz w:val="20"/>
                <w:szCs w:val="20"/>
              </w:rPr>
            </w:pPr>
            <w:r w:rsidRPr="00146E3A">
              <w:rPr>
                <w:rFonts w:cs="Arial"/>
                <w:sz w:val="20"/>
                <w:szCs w:val="20"/>
              </w:rPr>
              <w:t>0</w:t>
            </w:r>
          </w:p>
        </w:tc>
        <w:tc>
          <w:tcPr>
            <w:tcW w:w="2250" w:type="pct"/>
          </w:tcPr>
          <w:p w14:paraId="1631B34C" w14:textId="77777777" w:rsidR="00B01489" w:rsidRPr="00F52599" w:rsidRDefault="00740DDF" w:rsidP="00146E3A">
            <w:pPr>
              <w:spacing w:before="60" w:after="60" w:line="240" w:lineRule="auto"/>
              <w:rPr>
                <w:rFonts w:cs="Arial"/>
                <w:sz w:val="20"/>
                <w:szCs w:val="20"/>
              </w:rPr>
            </w:pPr>
            <w:r w:rsidRPr="00F52599">
              <w:rPr>
                <w:rFonts w:cs="Arial"/>
                <w:sz w:val="20"/>
                <w:szCs w:val="20"/>
              </w:rPr>
              <w:t>Despite</w:t>
            </w:r>
            <w:r w:rsidR="002F12D0" w:rsidRPr="00F52599">
              <w:rPr>
                <w:rFonts w:cs="Arial"/>
                <w:sz w:val="20"/>
                <w:szCs w:val="20"/>
              </w:rPr>
              <w:t xml:space="preserve"> </w:t>
            </w:r>
            <w:r w:rsidR="0030114D" w:rsidRPr="00F52599">
              <w:rPr>
                <w:rFonts w:cs="Arial"/>
                <w:sz w:val="20"/>
                <w:szCs w:val="20"/>
              </w:rPr>
              <w:t xml:space="preserve">the </w:t>
            </w:r>
            <w:r w:rsidR="00B01489" w:rsidRPr="00F52599">
              <w:rPr>
                <w:rFonts w:cs="Arial"/>
                <w:sz w:val="20"/>
                <w:szCs w:val="20"/>
              </w:rPr>
              <w:t xml:space="preserve">challenges </w:t>
            </w:r>
            <w:r w:rsidR="0030114D" w:rsidRPr="00F52599">
              <w:rPr>
                <w:rFonts w:cs="Arial"/>
                <w:sz w:val="20"/>
                <w:szCs w:val="20"/>
              </w:rPr>
              <w:t xml:space="preserve">associated </w:t>
            </w:r>
            <w:r w:rsidR="00B01489" w:rsidRPr="00F52599">
              <w:rPr>
                <w:rFonts w:cs="Arial"/>
                <w:sz w:val="20"/>
                <w:szCs w:val="20"/>
              </w:rPr>
              <w:t xml:space="preserve">with </w:t>
            </w:r>
            <w:r w:rsidR="0030114D" w:rsidRPr="00F52599">
              <w:rPr>
                <w:rFonts w:cs="Arial"/>
                <w:sz w:val="20"/>
                <w:szCs w:val="20"/>
              </w:rPr>
              <w:t xml:space="preserve">managing a </w:t>
            </w:r>
            <w:r w:rsidR="00B01489" w:rsidRPr="00F52599">
              <w:rPr>
                <w:rFonts w:cs="Arial"/>
                <w:sz w:val="20"/>
                <w:szCs w:val="20"/>
              </w:rPr>
              <w:t xml:space="preserve">naturally fluctuating stock, </w:t>
            </w:r>
            <w:r w:rsidRPr="00F52599">
              <w:rPr>
                <w:rFonts w:cs="Arial"/>
                <w:sz w:val="20"/>
                <w:szCs w:val="20"/>
              </w:rPr>
              <w:t xml:space="preserve">the </w:t>
            </w:r>
            <w:r w:rsidR="00B01489" w:rsidRPr="00F52599">
              <w:rPr>
                <w:rFonts w:cs="Arial"/>
                <w:sz w:val="20"/>
                <w:szCs w:val="20"/>
              </w:rPr>
              <w:t>fishery is well managed with transparent arrangements.</w:t>
            </w:r>
          </w:p>
        </w:tc>
      </w:tr>
      <w:tr w:rsidR="00B01489" w:rsidRPr="00146E3A" w14:paraId="1631B355" w14:textId="77777777" w:rsidTr="00A762F9">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1631B34E" w14:textId="77777777" w:rsidR="00B01489" w:rsidRPr="00146E3A" w:rsidRDefault="00B01489" w:rsidP="00146E3A">
            <w:pPr>
              <w:spacing w:before="60" w:after="60" w:line="240" w:lineRule="auto"/>
              <w:rPr>
                <w:rFonts w:cs="Arial"/>
                <w:sz w:val="20"/>
                <w:szCs w:val="20"/>
              </w:rPr>
            </w:pPr>
            <w:r w:rsidRPr="00146E3A">
              <w:rPr>
                <w:rFonts w:cs="Arial"/>
                <w:sz w:val="20"/>
                <w:szCs w:val="20"/>
              </w:rPr>
              <w:t>Principle 1 (target stocks)</w:t>
            </w:r>
          </w:p>
        </w:tc>
        <w:tc>
          <w:tcPr>
            <w:tcW w:w="500" w:type="pct"/>
            <w:shd w:val="clear" w:color="auto" w:fill="92D050"/>
          </w:tcPr>
          <w:p w14:paraId="1631B34F" w14:textId="47EDB813" w:rsidR="00B01489" w:rsidRPr="00146E3A" w:rsidRDefault="00A732DF" w:rsidP="00146E3A">
            <w:pPr>
              <w:spacing w:before="60" w:after="60" w:line="240" w:lineRule="auto"/>
              <w:jc w:val="center"/>
              <w:rPr>
                <w:rFonts w:cs="Arial"/>
                <w:sz w:val="20"/>
                <w:szCs w:val="20"/>
              </w:rPr>
            </w:pPr>
            <w:r w:rsidRPr="00146E3A">
              <w:rPr>
                <w:rFonts w:cs="Arial"/>
                <w:sz w:val="20"/>
                <w:szCs w:val="20"/>
              </w:rPr>
              <w:t>9</w:t>
            </w:r>
            <w:r w:rsidR="004B36D0" w:rsidRPr="00146E3A">
              <w:rPr>
                <w:rFonts w:cs="Arial"/>
                <w:sz w:val="20"/>
                <w:szCs w:val="20"/>
              </w:rPr>
              <w:t xml:space="preserve"> of 9</w:t>
            </w:r>
          </w:p>
        </w:tc>
        <w:tc>
          <w:tcPr>
            <w:tcW w:w="500" w:type="pct"/>
            <w:shd w:val="clear" w:color="auto" w:fill="auto"/>
          </w:tcPr>
          <w:p w14:paraId="1631B350" w14:textId="77777777" w:rsidR="00B01489" w:rsidRPr="00146E3A" w:rsidRDefault="00A732DF" w:rsidP="00146E3A">
            <w:pPr>
              <w:spacing w:before="60" w:after="60" w:line="240" w:lineRule="auto"/>
              <w:jc w:val="center"/>
              <w:rPr>
                <w:rFonts w:cs="Arial"/>
                <w:sz w:val="20"/>
                <w:szCs w:val="20"/>
              </w:rPr>
            </w:pPr>
            <w:r w:rsidRPr="00146E3A">
              <w:rPr>
                <w:rFonts w:cs="Arial"/>
                <w:sz w:val="20"/>
                <w:szCs w:val="20"/>
              </w:rPr>
              <w:t>0</w:t>
            </w:r>
          </w:p>
        </w:tc>
        <w:tc>
          <w:tcPr>
            <w:tcW w:w="500" w:type="pct"/>
            <w:shd w:val="clear" w:color="auto" w:fill="auto"/>
          </w:tcPr>
          <w:p w14:paraId="1631B351" w14:textId="77777777" w:rsidR="00B01489" w:rsidRPr="00146E3A" w:rsidRDefault="00A732DF" w:rsidP="00146E3A">
            <w:pPr>
              <w:spacing w:before="60" w:after="60" w:line="240" w:lineRule="auto"/>
              <w:jc w:val="center"/>
              <w:rPr>
                <w:rFonts w:cs="Arial"/>
                <w:sz w:val="20"/>
                <w:szCs w:val="20"/>
              </w:rPr>
            </w:pPr>
            <w:r w:rsidRPr="00146E3A">
              <w:rPr>
                <w:rFonts w:cs="Arial"/>
                <w:sz w:val="20"/>
                <w:szCs w:val="20"/>
              </w:rPr>
              <w:t>0</w:t>
            </w:r>
          </w:p>
        </w:tc>
        <w:tc>
          <w:tcPr>
            <w:tcW w:w="2250" w:type="pct"/>
          </w:tcPr>
          <w:p w14:paraId="1631B352" w14:textId="77777777" w:rsidR="00382E41" w:rsidRPr="00F52599" w:rsidRDefault="0030114D" w:rsidP="00146E3A">
            <w:pPr>
              <w:spacing w:before="60" w:after="60" w:line="240" w:lineRule="auto"/>
              <w:rPr>
                <w:rFonts w:cs="Arial"/>
                <w:sz w:val="20"/>
                <w:szCs w:val="20"/>
              </w:rPr>
            </w:pPr>
            <w:r w:rsidRPr="00F52599">
              <w:rPr>
                <w:rFonts w:cs="Arial"/>
                <w:sz w:val="20"/>
                <w:szCs w:val="20"/>
              </w:rPr>
              <w:t>S</w:t>
            </w:r>
            <w:r w:rsidR="00B01489" w:rsidRPr="00F52599">
              <w:rPr>
                <w:rFonts w:cs="Arial"/>
                <w:sz w:val="20"/>
                <w:szCs w:val="20"/>
              </w:rPr>
              <w:t xml:space="preserve">callops </w:t>
            </w:r>
            <w:r w:rsidR="008D5654" w:rsidRPr="00F52599">
              <w:rPr>
                <w:rFonts w:cs="Arial"/>
                <w:sz w:val="20"/>
                <w:szCs w:val="20"/>
              </w:rPr>
              <w:t>stocks are naturally variable</w:t>
            </w:r>
            <w:r w:rsidR="00B01489" w:rsidRPr="00F52599">
              <w:rPr>
                <w:rFonts w:cs="Arial"/>
                <w:sz w:val="20"/>
                <w:szCs w:val="20"/>
              </w:rPr>
              <w:t xml:space="preserve"> and the current ABARES </w:t>
            </w:r>
            <w:r w:rsidR="00C52F7A" w:rsidRPr="00F52599">
              <w:rPr>
                <w:rFonts w:cs="Arial"/>
                <w:sz w:val="20"/>
                <w:szCs w:val="20"/>
              </w:rPr>
              <w:t xml:space="preserve">stock status </w:t>
            </w:r>
            <w:r w:rsidR="00F519E9" w:rsidRPr="00F52599">
              <w:rPr>
                <w:rFonts w:cs="Arial"/>
                <w:sz w:val="20"/>
                <w:szCs w:val="20"/>
              </w:rPr>
              <w:t xml:space="preserve">assessment is ‘uncertain’. </w:t>
            </w:r>
            <w:r w:rsidR="00B01489" w:rsidRPr="00F52599">
              <w:rPr>
                <w:rFonts w:cs="Arial"/>
                <w:sz w:val="20"/>
                <w:szCs w:val="20"/>
              </w:rPr>
              <w:t xml:space="preserve">However, </w:t>
            </w:r>
            <w:r w:rsidR="00C52F7A" w:rsidRPr="00F52599">
              <w:rPr>
                <w:rFonts w:cs="Arial"/>
                <w:sz w:val="20"/>
                <w:szCs w:val="20"/>
              </w:rPr>
              <w:t xml:space="preserve">the </w:t>
            </w:r>
            <w:r w:rsidR="00B01489" w:rsidRPr="00F52599">
              <w:rPr>
                <w:rFonts w:cs="Arial"/>
                <w:sz w:val="20"/>
                <w:szCs w:val="20"/>
              </w:rPr>
              <w:t xml:space="preserve">harvest </w:t>
            </w:r>
            <w:r w:rsidR="00C52F7A" w:rsidRPr="00F52599">
              <w:rPr>
                <w:rFonts w:cs="Arial"/>
                <w:sz w:val="20"/>
                <w:szCs w:val="20"/>
              </w:rPr>
              <w:t xml:space="preserve">strategy contains clear control rules capable of responding to </w:t>
            </w:r>
            <w:r w:rsidR="00B01489" w:rsidRPr="00F52599">
              <w:rPr>
                <w:rFonts w:cs="Arial"/>
                <w:sz w:val="20"/>
                <w:szCs w:val="20"/>
              </w:rPr>
              <w:t>fluctuations and constrain</w:t>
            </w:r>
            <w:r w:rsidR="008D5654" w:rsidRPr="00F52599">
              <w:rPr>
                <w:rFonts w:cs="Arial"/>
                <w:sz w:val="20"/>
                <w:szCs w:val="20"/>
              </w:rPr>
              <w:t>ing</w:t>
            </w:r>
            <w:r w:rsidR="00B01489" w:rsidRPr="00F52599">
              <w:rPr>
                <w:rFonts w:cs="Arial"/>
                <w:sz w:val="20"/>
                <w:szCs w:val="20"/>
              </w:rPr>
              <w:t xml:space="preserve"> fishing effort if </w:t>
            </w:r>
            <w:r w:rsidR="008D5654" w:rsidRPr="00F52599">
              <w:rPr>
                <w:rFonts w:cs="Arial"/>
                <w:sz w:val="20"/>
                <w:szCs w:val="20"/>
              </w:rPr>
              <w:t>pre-</w:t>
            </w:r>
            <w:r w:rsidR="00B01489" w:rsidRPr="00F52599">
              <w:rPr>
                <w:rFonts w:cs="Arial"/>
                <w:sz w:val="20"/>
                <w:szCs w:val="20"/>
              </w:rPr>
              <w:t>season surveys show low abundance.</w:t>
            </w:r>
            <w:r w:rsidR="008D5654" w:rsidRPr="00F52599">
              <w:rPr>
                <w:rFonts w:cs="Arial"/>
                <w:sz w:val="20"/>
                <w:szCs w:val="20"/>
              </w:rPr>
              <w:t xml:space="preserve"> </w:t>
            </w:r>
          </w:p>
          <w:p w14:paraId="1631B354" w14:textId="659E92BF" w:rsidR="006342C8" w:rsidRPr="00F52599" w:rsidRDefault="006342C8" w:rsidP="00146E3A">
            <w:pPr>
              <w:spacing w:before="60" w:after="60" w:line="240" w:lineRule="auto"/>
              <w:rPr>
                <w:rFonts w:cs="Arial"/>
                <w:sz w:val="20"/>
                <w:szCs w:val="20"/>
              </w:rPr>
            </w:pPr>
            <w:r w:rsidRPr="00F52599">
              <w:rPr>
                <w:rFonts w:cs="Arial"/>
                <w:sz w:val="20"/>
                <w:szCs w:val="20"/>
              </w:rPr>
              <w:t>Recent stock</w:t>
            </w:r>
            <w:r w:rsidR="008D5654" w:rsidRPr="00F52599">
              <w:rPr>
                <w:rFonts w:cs="Arial"/>
                <w:sz w:val="20"/>
                <w:szCs w:val="20"/>
              </w:rPr>
              <w:t>s (based on these surveys) appear st</w:t>
            </w:r>
            <w:r w:rsidRPr="00F52599">
              <w:rPr>
                <w:rFonts w:cs="Arial"/>
                <w:sz w:val="20"/>
                <w:szCs w:val="20"/>
              </w:rPr>
              <w:t xml:space="preserve">rong and may reflect the </w:t>
            </w:r>
            <w:r w:rsidR="008D5654" w:rsidRPr="00F52599">
              <w:rPr>
                <w:rFonts w:cs="Arial"/>
                <w:sz w:val="20"/>
                <w:szCs w:val="20"/>
              </w:rPr>
              <w:t>improvements made to the harvest strategy.</w:t>
            </w:r>
          </w:p>
        </w:tc>
      </w:tr>
      <w:tr w:rsidR="00B01489" w:rsidRPr="00146E3A" w14:paraId="1631B35C" w14:textId="77777777" w:rsidTr="00A762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1631B356" w14:textId="77777777" w:rsidR="00B01489" w:rsidRPr="00146E3A" w:rsidRDefault="00B01489" w:rsidP="00146E3A">
            <w:pPr>
              <w:spacing w:before="60" w:after="60" w:line="240" w:lineRule="auto"/>
              <w:rPr>
                <w:rFonts w:cs="Arial"/>
                <w:sz w:val="20"/>
                <w:szCs w:val="20"/>
              </w:rPr>
            </w:pPr>
            <w:r w:rsidRPr="00146E3A">
              <w:rPr>
                <w:rFonts w:cs="Arial"/>
                <w:sz w:val="20"/>
                <w:szCs w:val="20"/>
              </w:rPr>
              <w:t>Principle 2 (bycatch and TEPS)</w:t>
            </w:r>
          </w:p>
        </w:tc>
        <w:tc>
          <w:tcPr>
            <w:tcW w:w="500" w:type="pct"/>
            <w:tcBorders>
              <w:bottom w:val="single" w:sz="4" w:space="0" w:color="auto"/>
            </w:tcBorders>
            <w:shd w:val="clear" w:color="auto" w:fill="92D050"/>
          </w:tcPr>
          <w:p w14:paraId="1631B357" w14:textId="23BE175B" w:rsidR="00B01489" w:rsidRPr="00146E3A" w:rsidRDefault="00FB6C7E" w:rsidP="00146E3A">
            <w:pPr>
              <w:spacing w:before="60" w:after="60" w:line="240" w:lineRule="auto"/>
              <w:jc w:val="center"/>
              <w:rPr>
                <w:rFonts w:cs="Arial"/>
                <w:sz w:val="20"/>
                <w:szCs w:val="20"/>
              </w:rPr>
            </w:pPr>
            <w:r w:rsidRPr="00146E3A">
              <w:rPr>
                <w:rFonts w:cs="Arial"/>
                <w:sz w:val="20"/>
                <w:szCs w:val="20"/>
              </w:rPr>
              <w:t xml:space="preserve">7 of </w:t>
            </w:r>
            <w:r w:rsidR="00A732DF" w:rsidRPr="00146E3A">
              <w:rPr>
                <w:rFonts w:cs="Arial"/>
                <w:sz w:val="20"/>
                <w:szCs w:val="20"/>
              </w:rPr>
              <w:t>8</w:t>
            </w:r>
          </w:p>
        </w:tc>
        <w:tc>
          <w:tcPr>
            <w:tcW w:w="500" w:type="pct"/>
            <w:shd w:val="clear" w:color="auto" w:fill="FFC000"/>
          </w:tcPr>
          <w:p w14:paraId="1631B358" w14:textId="3B51FF16" w:rsidR="00B01489" w:rsidRPr="00146E3A" w:rsidRDefault="00A732DF" w:rsidP="00146E3A">
            <w:pPr>
              <w:spacing w:before="60" w:after="60" w:line="240" w:lineRule="auto"/>
              <w:jc w:val="center"/>
              <w:rPr>
                <w:rFonts w:cs="Arial"/>
                <w:sz w:val="20"/>
                <w:szCs w:val="20"/>
              </w:rPr>
            </w:pPr>
            <w:r w:rsidRPr="00146E3A">
              <w:rPr>
                <w:rFonts w:cs="Arial"/>
                <w:sz w:val="20"/>
                <w:szCs w:val="20"/>
              </w:rPr>
              <w:t>1</w:t>
            </w:r>
            <w:r w:rsidR="004B36D0" w:rsidRPr="00146E3A">
              <w:rPr>
                <w:rFonts w:cs="Arial"/>
                <w:sz w:val="20"/>
                <w:szCs w:val="20"/>
              </w:rPr>
              <w:t xml:space="preserve"> of </w:t>
            </w:r>
            <w:r w:rsidR="00FB6C7E" w:rsidRPr="00146E3A">
              <w:rPr>
                <w:rFonts w:cs="Arial"/>
                <w:sz w:val="20"/>
                <w:szCs w:val="20"/>
              </w:rPr>
              <w:t>8</w:t>
            </w:r>
          </w:p>
        </w:tc>
        <w:tc>
          <w:tcPr>
            <w:tcW w:w="500" w:type="pct"/>
            <w:shd w:val="clear" w:color="auto" w:fill="auto"/>
          </w:tcPr>
          <w:p w14:paraId="1631B359" w14:textId="77777777" w:rsidR="00B01489" w:rsidRPr="00146E3A" w:rsidRDefault="00A732DF" w:rsidP="00146E3A">
            <w:pPr>
              <w:spacing w:before="60" w:after="60" w:line="240" w:lineRule="auto"/>
              <w:jc w:val="center"/>
              <w:rPr>
                <w:rFonts w:cs="Arial"/>
                <w:sz w:val="20"/>
                <w:szCs w:val="20"/>
              </w:rPr>
            </w:pPr>
            <w:r w:rsidRPr="00146E3A">
              <w:rPr>
                <w:rFonts w:cs="Arial"/>
                <w:sz w:val="20"/>
                <w:szCs w:val="20"/>
              </w:rPr>
              <w:t>0</w:t>
            </w:r>
          </w:p>
        </w:tc>
        <w:tc>
          <w:tcPr>
            <w:tcW w:w="2250" w:type="pct"/>
          </w:tcPr>
          <w:p w14:paraId="1631B35A" w14:textId="77777777" w:rsidR="00924B13" w:rsidRPr="00F52599" w:rsidRDefault="00B01489" w:rsidP="00146E3A">
            <w:pPr>
              <w:spacing w:before="60" w:after="60" w:line="240" w:lineRule="auto"/>
              <w:rPr>
                <w:rFonts w:cs="Arial"/>
                <w:sz w:val="20"/>
                <w:szCs w:val="20"/>
              </w:rPr>
            </w:pPr>
            <w:r w:rsidRPr="00F52599">
              <w:rPr>
                <w:rFonts w:cs="Arial"/>
                <w:sz w:val="20"/>
                <w:szCs w:val="20"/>
              </w:rPr>
              <w:t>Risk</w:t>
            </w:r>
            <w:r w:rsidR="00DC2524" w:rsidRPr="00F52599">
              <w:rPr>
                <w:rFonts w:cs="Arial"/>
                <w:sz w:val="20"/>
                <w:szCs w:val="20"/>
              </w:rPr>
              <w:t>s</w:t>
            </w:r>
            <w:r w:rsidRPr="00F52599">
              <w:rPr>
                <w:rFonts w:cs="Arial"/>
                <w:sz w:val="20"/>
                <w:szCs w:val="20"/>
              </w:rPr>
              <w:t xml:space="preserve"> to bycatch and </w:t>
            </w:r>
            <w:r w:rsidR="008D5654" w:rsidRPr="00F52599">
              <w:rPr>
                <w:rFonts w:cs="Arial"/>
                <w:sz w:val="20"/>
                <w:szCs w:val="20"/>
              </w:rPr>
              <w:t xml:space="preserve">protected species are </w:t>
            </w:r>
            <w:r w:rsidRPr="00F52599">
              <w:rPr>
                <w:rFonts w:cs="Arial"/>
                <w:sz w:val="20"/>
                <w:szCs w:val="20"/>
              </w:rPr>
              <w:t xml:space="preserve">addressed through </w:t>
            </w:r>
            <w:r w:rsidR="008D5654" w:rsidRPr="00F52599">
              <w:rPr>
                <w:rFonts w:cs="Arial"/>
                <w:sz w:val="20"/>
                <w:szCs w:val="20"/>
              </w:rPr>
              <w:t>the ecological risk assessment and ecological risk management processes</w:t>
            </w:r>
            <w:r w:rsidR="00DC2524" w:rsidRPr="00F52599">
              <w:rPr>
                <w:rFonts w:cs="Arial"/>
                <w:sz w:val="20"/>
                <w:szCs w:val="20"/>
              </w:rPr>
              <w:t xml:space="preserve"> (including the </w:t>
            </w:r>
            <w:r w:rsidRPr="00F52599">
              <w:rPr>
                <w:rFonts w:cs="Arial"/>
                <w:sz w:val="20"/>
                <w:szCs w:val="20"/>
              </w:rPr>
              <w:t xml:space="preserve">Bycatch and Discard </w:t>
            </w:r>
            <w:proofErr w:type="spellStart"/>
            <w:r w:rsidRPr="00F52599">
              <w:rPr>
                <w:rFonts w:cs="Arial"/>
                <w:sz w:val="20"/>
                <w:szCs w:val="20"/>
              </w:rPr>
              <w:t>Workplan</w:t>
            </w:r>
            <w:proofErr w:type="spellEnd"/>
            <w:r w:rsidR="00DC2524" w:rsidRPr="00F52599">
              <w:rPr>
                <w:rFonts w:cs="Arial"/>
                <w:sz w:val="20"/>
                <w:szCs w:val="20"/>
              </w:rPr>
              <w:t>)</w:t>
            </w:r>
            <w:r w:rsidRPr="00F52599">
              <w:rPr>
                <w:rFonts w:cs="Arial"/>
                <w:sz w:val="20"/>
                <w:szCs w:val="20"/>
              </w:rPr>
              <w:t>.</w:t>
            </w:r>
          </w:p>
          <w:p w14:paraId="1631B35B" w14:textId="77777777" w:rsidR="00F91197" w:rsidRPr="00F52599" w:rsidRDefault="008D5654" w:rsidP="00146E3A">
            <w:pPr>
              <w:spacing w:before="60" w:after="60" w:line="240" w:lineRule="auto"/>
              <w:rPr>
                <w:rFonts w:cs="Arial"/>
                <w:sz w:val="20"/>
                <w:szCs w:val="20"/>
              </w:rPr>
            </w:pPr>
            <w:r w:rsidRPr="00F52599">
              <w:rPr>
                <w:rFonts w:cs="Arial"/>
                <w:sz w:val="20"/>
                <w:szCs w:val="20"/>
              </w:rPr>
              <w:t xml:space="preserve">There is generally low bycatch and no protected species interactions </w:t>
            </w:r>
            <w:r w:rsidR="00924B13" w:rsidRPr="00F52599">
              <w:rPr>
                <w:rFonts w:cs="Arial"/>
                <w:sz w:val="20"/>
                <w:szCs w:val="20"/>
              </w:rPr>
              <w:t>(</w:t>
            </w:r>
            <w:r w:rsidR="00DC2524" w:rsidRPr="00F52599">
              <w:rPr>
                <w:rFonts w:cs="Arial"/>
                <w:sz w:val="20"/>
                <w:szCs w:val="20"/>
              </w:rPr>
              <w:t xml:space="preserve">other than </w:t>
            </w:r>
            <w:r w:rsidR="008374E4" w:rsidRPr="00F52599">
              <w:rPr>
                <w:rFonts w:cs="Arial"/>
                <w:sz w:val="20"/>
                <w:szCs w:val="20"/>
              </w:rPr>
              <w:t>two sy</w:t>
            </w:r>
            <w:r w:rsidR="006407AD" w:rsidRPr="00F52599">
              <w:rPr>
                <w:rFonts w:cs="Arial"/>
                <w:sz w:val="20"/>
                <w:szCs w:val="20"/>
              </w:rPr>
              <w:t>n</w:t>
            </w:r>
            <w:r w:rsidR="00B01489" w:rsidRPr="00F52599">
              <w:rPr>
                <w:rFonts w:cs="Arial"/>
                <w:sz w:val="20"/>
                <w:szCs w:val="20"/>
              </w:rPr>
              <w:t xml:space="preserve">gnathid species </w:t>
            </w:r>
            <w:r w:rsidR="00DC2524" w:rsidRPr="00F52599">
              <w:rPr>
                <w:rFonts w:cs="Arial"/>
                <w:sz w:val="20"/>
                <w:szCs w:val="20"/>
              </w:rPr>
              <w:t xml:space="preserve">which were </w:t>
            </w:r>
            <w:r w:rsidR="00B01489" w:rsidRPr="00F52599">
              <w:rPr>
                <w:rFonts w:cs="Arial"/>
                <w:sz w:val="20"/>
                <w:szCs w:val="20"/>
              </w:rPr>
              <w:t xml:space="preserve">recorded </w:t>
            </w:r>
            <w:r w:rsidR="00DC2524" w:rsidRPr="00F52599">
              <w:rPr>
                <w:rFonts w:cs="Arial"/>
                <w:sz w:val="20"/>
                <w:szCs w:val="20"/>
              </w:rPr>
              <w:t>in 2009 during a pre-season survey</w:t>
            </w:r>
            <w:r w:rsidR="00924B13" w:rsidRPr="00F52599">
              <w:rPr>
                <w:rFonts w:cs="Arial"/>
                <w:sz w:val="20"/>
                <w:szCs w:val="20"/>
              </w:rPr>
              <w:t>)</w:t>
            </w:r>
            <w:r w:rsidR="00BF7DBE" w:rsidRPr="00F52599">
              <w:rPr>
                <w:rFonts w:cs="Arial"/>
                <w:sz w:val="20"/>
                <w:szCs w:val="20"/>
              </w:rPr>
              <w:t>.</w:t>
            </w:r>
          </w:p>
        </w:tc>
      </w:tr>
      <w:tr w:rsidR="00B01489" w:rsidRPr="00146E3A" w14:paraId="1631B363" w14:textId="77777777" w:rsidTr="00A762F9">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1631B35D" w14:textId="77777777" w:rsidR="00B01489" w:rsidRPr="00146E3A" w:rsidRDefault="00B01489" w:rsidP="00146E3A">
            <w:pPr>
              <w:spacing w:before="60" w:after="60" w:line="240" w:lineRule="auto"/>
              <w:rPr>
                <w:rFonts w:cs="Arial"/>
                <w:sz w:val="20"/>
                <w:szCs w:val="20"/>
              </w:rPr>
            </w:pPr>
            <w:r w:rsidRPr="00146E3A">
              <w:rPr>
                <w:rFonts w:cs="Arial"/>
                <w:sz w:val="20"/>
                <w:szCs w:val="20"/>
              </w:rPr>
              <w:t>Principle 2 (ecosystem impacts)</w:t>
            </w:r>
          </w:p>
        </w:tc>
        <w:tc>
          <w:tcPr>
            <w:tcW w:w="500" w:type="pct"/>
            <w:shd w:val="clear" w:color="auto" w:fill="92D050"/>
          </w:tcPr>
          <w:p w14:paraId="1631B35E" w14:textId="0EE8E4BD" w:rsidR="00B01489" w:rsidRPr="00146E3A" w:rsidRDefault="00A6139F" w:rsidP="00146E3A">
            <w:pPr>
              <w:spacing w:before="60" w:after="60" w:line="240" w:lineRule="auto"/>
              <w:jc w:val="center"/>
              <w:rPr>
                <w:rFonts w:cs="Arial"/>
                <w:sz w:val="20"/>
                <w:szCs w:val="20"/>
              </w:rPr>
            </w:pPr>
            <w:r w:rsidRPr="00146E3A">
              <w:rPr>
                <w:rFonts w:cs="Arial"/>
                <w:sz w:val="20"/>
                <w:szCs w:val="20"/>
              </w:rPr>
              <w:t>4</w:t>
            </w:r>
            <w:r w:rsidR="004B36D0" w:rsidRPr="00146E3A">
              <w:rPr>
                <w:rFonts w:cs="Arial"/>
                <w:sz w:val="20"/>
                <w:szCs w:val="20"/>
              </w:rPr>
              <w:t xml:space="preserve"> of 5</w:t>
            </w:r>
          </w:p>
        </w:tc>
        <w:tc>
          <w:tcPr>
            <w:tcW w:w="500" w:type="pct"/>
            <w:shd w:val="clear" w:color="auto" w:fill="FFC000"/>
          </w:tcPr>
          <w:p w14:paraId="1631B35F" w14:textId="5FA2CBCB" w:rsidR="00B01489" w:rsidRPr="00146E3A" w:rsidRDefault="00A732DF" w:rsidP="00146E3A">
            <w:pPr>
              <w:spacing w:before="60" w:after="60" w:line="240" w:lineRule="auto"/>
              <w:jc w:val="center"/>
              <w:rPr>
                <w:rFonts w:cs="Arial"/>
                <w:sz w:val="20"/>
                <w:szCs w:val="20"/>
              </w:rPr>
            </w:pPr>
            <w:r w:rsidRPr="00146E3A">
              <w:rPr>
                <w:rFonts w:cs="Arial"/>
                <w:sz w:val="20"/>
                <w:szCs w:val="20"/>
              </w:rPr>
              <w:t>1</w:t>
            </w:r>
            <w:r w:rsidR="004B36D0" w:rsidRPr="00146E3A">
              <w:rPr>
                <w:rFonts w:cs="Arial"/>
                <w:sz w:val="20"/>
                <w:szCs w:val="20"/>
              </w:rPr>
              <w:t xml:space="preserve"> of 5</w:t>
            </w:r>
          </w:p>
        </w:tc>
        <w:tc>
          <w:tcPr>
            <w:tcW w:w="500" w:type="pct"/>
            <w:shd w:val="clear" w:color="auto" w:fill="auto"/>
          </w:tcPr>
          <w:p w14:paraId="1631B360" w14:textId="77777777" w:rsidR="00B01489" w:rsidRPr="00146E3A" w:rsidRDefault="00A6139F" w:rsidP="00146E3A">
            <w:pPr>
              <w:spacing w:before="60" w:after="60" w:line="240" w:lineRule="auto"/>
              <w:jc w:val="center"/>
              <w:rPr>
                <w:rFonts w:cs="Arial"/>
                <w:sz w:val="20"/>
                <w:szCs w:val="20"/>
              </w:rPr>
            </w:pPr>
            <w:r w:rsidRPr="00146E3A">
              <w:rPr>
                <w:rFonts w:cs="Arial"/>
                <w:sz w:val="20"/>
                <w:szCs w:val="20"/>
              </w:rPr>
              <w:t>0</w:t>
            </w:r>
          </w:p>
        </w:tc>
        <w:tc>
          <w:tcPr>
            <w:tcW w:w="2250" w:type="pct"/>
            <w:vAlign w:val="center"/>
          </w:tcPr>
          <w:p w14:paraId="1631B361" w14:textId="77777777" w:rsidR="00A6139F" w:rsidRPr="00F52599" w:rsidRDefault="005D3C79" w:rsidP="00146E3A">
            <w:pPr>
              <w:spacing w:before="60" w:after="60" w:line="240" w:lineRule="auto"/>
              <w:rPr>
                <w:rFonts w:cs="Arial"/>
                <w:sz w:val="20"/>
                <w:szCs w:val="20"/>
              </w:rPr>
            </w:pPr>
            <w:r w:rsidRPr="00F52599">
              <w:rPr>
                <w:rFonts w:cs="Arial"/>
                <w:sz w:val="20"/>
                <w:szCs w:val="20"/>
              </w:rPr>
              <w:t>E</w:t>
            </w:r>
            <w:r w:rsidR="008A2BFE" w:rsidRPr="00F52599">
              <w:rPr>
                <w:rFonts w:cs="Arial"/>
                <w:sz w:val="20"/>
                <w:szCs w:val="20"/>
              </w:rPr>
              <w:t>cological risk assessment</w:t>
            </w:r>
            <w:r w:rsidRPr="00F52599">
              <w:rPr>
                <w:rFonts w:cs="Arial"/>
                <w:sz w:val="20"/>
                <w:szCs w:val="20"/>
              </w:rPr>
              <w:t>s (ERAs)</w:t>
            </w:r>
            <w:r w:rsidR="008A2BFE" w:rsidRPr="00F52599">
              <w:rPr>
                <w:rFonts w:cs="Arial"/>
                <w:sz w:val="20"/>
                <w:szCs w:val="20"/>
              </w:rPr>
              <w:t xml:space="preserve"> ha</w:t>
            </w:r>
            <w:r w:rsidRPr="00F52599">
              <w:rPr>
                <w:rFonts w:cs="Arial"/>
                <w:sz w:val="20"/>
                <w:szCs w:val="20"/>
              </w:rPr>
              <w:t>ve</w:t>
            </w:r>
            <w:r w:rsidR="008A2BFE" w:rsidRPr="00F52599">
              <w:rPr>
                <w:rFonts w:cs="Arial"/>
                <w:sz w:val="20"/>
                <w:szCs w:val="20"/>
              </w:rPr>
              <w:t xml:space="preserve"> been undertaken and an ecological risk management strategy </w:t>
            </w:r>
            <w:r w:rsidR="00F33E32" w:rsidRPr="00F52599">
              <w:rPr>
                <w:rFonts w:cs="Arial"/>
                <w:sz w:val="20"/>
                <w:szCs w:val="20"/>
              </w:rPr>
              <w:t xml:space="preserve">is being </w:t>
            </w:r>
            <w:r w:rsidR="008A2BFE" w:rsidRPr="00F52599">
              <w:rPr>
                <w:rFonts w:cs="Arial"/>
                <w:sz w:val="20"/>
                <w:szCs w:val="20"/>
              </w:rPr>
              <w:t>implemented</w:t>
            </w:r>
            <w:r w:rsidR="00B01489" w:rsidRPr="00F52599">
              <w:rPr>
                <w:rFonts w:cs="Arial"/>
                <w:sz w:val="20"/>
                <w:szCs w:val="20"/>
              </w:rPr>
              <w:t>.</w:t>
            </w:r>
            <w:r w:rsidR="00924B13" w:rsidRPr="00F52599">
              <w:rPr>
                <w:rFonts w:cs="Arial"/>
                <w:sz w:val="20"/>
                <w:szCs w:val="20"/>
              </w:rPr>
              <w:t xml:space="preserve"> </w:t>
            </w:r>
          </w:p>
          <w:p w14:paraId="1631B362" w14:textId="091BA6E6" w:rsidR="007E3D0F" w:rsidRPr="00F52599" w:rsidRDefault="005D3C79" w:rsidP="00146E3A">
            <w:pPr>
              <w:spacing w:before="60" w:after="60" w:line="240" w:lineRule="auto"/>
              <w:rPr>
                <w:rFonts w:cs="Arial"/>
                <w:sz w:val="20"/>
                <w:szCs w:val="20"/>
              </w:rPr>
            </w:pPr>
            <w:r w:rsidRPr="00F52599">
              <w:rPr>
                <w:rFonts w:cs="Arial"/>
                <w:sz w:val="20"/>
                <w:szCs w:val="20"/>
              </w:rPr>
              <w:t>T</w:t>
            </w:r>
            <w:r w:rsidR="00924B13" w:rsidRPr="00F52599">
              <w:rPr>
                <w:rFonts w:cs="Arial"/>
                <w:sz w:val="20"/>
                <w:szCs w:val="20"/>
              </w:rPr>
              <w:t xml:space="preserve">hese arrangements </w:t>
            </w:r>
            <w:r w:rsidRPr="00F52599">
              <w:rPr>
                <w:rFonts w:cs="Arial"/>
                <w:sz w:val="20"/>
                <w:szCs w:val="20"/>
              </w:rPr>
              <w:t xml:space="preserve">consider risks to species and habitats but </w:t>
            </w:r>
            <w:r w:rsidR="00924B13" w:rsidRPr="00F52599">
              <w:rPr>
                <w:rFonts w:cs="Arial"/>
                <w:sz w:val="20"/>
                <w:szCs w:val="20"/>
              </w:rPr>
              <w:t>not ecological communities.</w:t>
            </w:r>
            <w:r w:rsidR="00F519E9" w:rsidRPr="00F52599">
              <w:rPr>
                <w:rFonts w:cs="Arial"/>
                <w:sz w:val="20"/>
                <w:szCs w:val="20"/>
              </w:rPr>
              <w:t xml:space="preserve"> </w:t>
            </w:r>
            <w:r w:rsidRPr="00F52599">
              <w:rPr>
                <w:rFonts w:cs="Arial"/>
                <w:sz w:val="20"/>
                <w:szCs w:val="20"/>
              </w:rPr>
              <w:t xml:space="preserve">While the risks are thought to be low, </w:t>
            </w:r>
            <w:r w:rsidR="00752F07" w:rsidRPr="00F52599">
              <w:rPr>
                <w:rFonts w:cs="Arial"/>
                <w:sz w:val="20"/>
                <w:szCs w:val="20"/>
              </w:rPr>
              <w:t>future ERAs undertaken by AFMA should give greater consideration to the risks to ecological communities.</w:t>
            </w:r>
          </w:p>
        </w:tc>
      </w:tr>
      <w:tr w:rsidR="00810CFF" w:rsidRPr="00146E3A" w14:paraId="1631B365" w14:textId="77777777" w:rsidTr="00F52599">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1631B364" w14:textId="73FB7281" w:rsidR="00810CFF" w:rsidRPr="00146E3A" w:rsidRDefault="00810CFF" w:rsidP="00146E3A">
            <w:pPr>
              <w:spacing w:before="60" w:after="60" w:line="240" w:lineRule="auto"/>
              <w:rPr>
                <w:rFonts w:cs="Arial"/>
                <w:b/>
                <w:sz w:val="20"/>
                <w:szCs w:val="20"/>
              </w:rPr>
            </w:pPr>
            <w:r w:rsidRPr="00146E3A">
              <w:rPr>
                <w:rFonts w:cs="Arial"/>
                <w:b/>
                <w:sz w:val="20"/>
                <w:szCs w:val="20"/>
              </w:rPr>
              <w:t>EPBC requirements</w:t>
            </w:r>
          </w:p>
        </w:tc>
      </w:tr>
      <w:tr w:rsidR="00F52599" w:rsidRPr="00146E3A" w14:paraId="718287E7" w14:textId="77777777" w:rsidTr="006A1422">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36251152" w14:textId="77777777" w:rsidR="00F52599" w:rsidRPr="00146E3A" w:rsidRDefault="00F52599" w:rsidP="006A1422">
            <w:pPr>
              <w:spacing w:before="60" w:after="60" w:line="240" w:lineRule="auto"/>
              <w:rPr>
                <w:rFonts w:cs="Arial"/>
                <w:sz w:val="20"/>
                <w:szCs w:val="20"/>
              </w:rPr>
            </w:pPr>
            <w:r w:rsidRPr="00146E3A">
              <w:rPr>
                <w:rFonts w:cs="Arial"/>
                <w:sz w:val="20"/>
                <w:szCs w:val="20"/>
              </w:rPr>
              <w:t>Part 12</w:t>
            </w:r>
          </w:p>
        </w:tc>
        <w:tc>
          <w:tcPr>
            <w:tcW w:w="500" w:type="pct"/>
            <w:shd w:val="clear" w:color="auto" w:fill="auto"/>
            <w:vAlign w:val="center"/>
          </w:tcPr>
          <w:p w14:paraId="471649A9" w14:textId="77777777" w:rsidR="00F52599" w:rsidRPr="00146E3A" w:rsidRDefault="00F52599" w:rsidP="006A1422">
            <w:pPr>
              <w:spacing w:before="60" w:after="60" w:line="240" w:lineRule="auto"/>
              <w:jc w:val="center"/>
              <w:rPr>
                <w:rFonts w:cs="Arial"/>
                <w:sz w:val="20"/>
                <w:szCs w:val="20"/>
              </w:rPr>
            </w:pPr>
            <w:r w:rsidRPr="00146E3A">
              <w:rPr>
                <w:rFonts w:cs="Arial"/>
                <w:sz w:val="20"/>
                <w:szCs w:val="20"/>
              </w:rPr>
              <w:t>-</w:t>
            </w:r>
          </w:p>
        </w:tc>
        <w:tc>
          <w:tcPr>
            <w:tcW w:w="500" w:type="pct"/>
            <w:shd w:val="clear" w:color="auto" w:fill="auto"/>
            <w:vAlign w:val="center"/>
          </w:tcPr>
          <w:p w14:paraId="3D14AE30" w14:textId="77777777" w:rsidR="00F52599" w:rsidRPr="00146E3A" w:rsidRDefault="00F52599" w:rsidP="006A1422">
            <w:pPr>
              <w:spacing w:before="60" w:after="60" w:line="240" w:lineRule="auto"/>
              <w:jc w:val="center"/>
              <w:rPr>
                <w:rFonts w:cs="Arial"/>
                <w:sz w:val="20"/>
                <w:szCs w:val="20"/>
              </w:rPr>
            </w:pPr>
            <w:r w:rsidRPr="00146E3A">
              <w:rPr>
                <w:rFonts w:cs="Arial"/>
                <w:sz w:val="20"/>
                <w:szCs w:val="20"/>
              </w:rPr>
              <w:t>-</w:t>
            </w:r>
          </w:p>
        </w:tc>
        <w:tc>
          <w:tcPr>
            <w:tcW w:w="500" w:type="pct"/>
            <w:shd w:val="clear" w:color="auto" w:fill="auto"/>
            <w:vAlign w:val="center"/>
          </w:tcPr>
          <w:p w14:paraId="5D6B4073" w14:textId="77777777" w:rsidR="00F52599" w:rsidRPr="00146E3A" w:rsidRDefault="00F52599" w:rsidP="006A1422">
            <w:pPr>
              <w:spacing w:before="60" w:after="60" w:line="240" w:lineRule="auto"/>
              <w:jc w:val="center"/>
              <w:rPr>
                <w:rFonts w:cs="Arial"/>
                <w:sz w:val="20"/>
                <w:szCs w:val="20"/>
              </w:rPr>
            </w:pPr>
            <w:r w:rsidRPr="00146E3A">
              <w:rPr>
                <w:rFonts w:cs="Arial"/>
                <w:sz w:val="20"/>
                <w:szCs w:val="20"/>
              </w:rPr>
              <w:t>-</w:t>
            </w:r>
          </w:p>
        </w:tc>
        <w:tc>
          <w:tcPr>
            <w:tcW w:w="2250" w:type="pct"/>
            <w:shd w:val="clear" w:color="auto" w:fill="auto"/>
            <w:vAlign w:val="center"/>
          </w:tcPr>
          <w:p w14:paraId="769473E2" w14:textId="77777777" w:rsidR="00F52599" w:rsidRPr="00146E3A" w:rsidRDefault="00F52599" w:rsidP="006A1422">
            <w:pPr>
              <w:spacing w:before="60" w:after="60" w:line="240" w:lineRule="auto"/>
              <w:rPr>
                <w:rFonts w:cs="Arial"/>
                <w:sz w:val="20"/>
                <w:szCs w:val="20"/>
              </w:rPr>
            </w:pPr>
            <w:r w:rsidRPr="00146E3A">
              <w:rPr>
                <w:rFonts w:cs="Arial"/>
                <w:sz w:val="20"/>
                <w:szCs w:val="20"/>
              </w:rPr>
              <w:t>Not applicable.</w:t>
            </w:r>
          </w:p>
          <w:p w14:paraId="382EABD3" w14:textId="77777777" w:rsidR="00F52599" w:rsidRPr="00146E3A" w:rsidRDefault="00F52599" w:rsidP="006A1422">
            <w:pPr>
              <w:spacing w:before="60" w:after="60" w:line="240" w:lineRule="auto"/>
              <w:rPr>
                <w:rFonts w:cs="Arial"/>
                <w:sz w:val="20"/>
                <w:szCs w:val="20"/>
              </w:rPr>
            </w:pPr>
            <w:r w:rsidRPr="00146E3A">
              <w:rPr>
                <w:rFonts w:cs="Arial"/>
                <w:sz w:val="20"/>
                <w:szCs w:val="20"/>
              </w:rPr>
              <w:t>No Marine Bioregional Plan for the South-east Marine Region.</w:t>
            </w:r>
          </w:p>
        </w:tc>
      </w:tr>
      <w:tr w:rsidR="00B01489" w:rsidRPr="00146E3A" w14:paraId="1631B36B" w14:textId="77777777" w:rsidTr="00A762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1631B366" w14:textId="77777777" w:rsidR="00B01489" w:rsidRPr="00146E3A" w:rsidRDefault="00B01489" w:rsidP="00146E3A">
            <w:pPr>
              <w:spacing w:before="60" w:after="60" w:line="240" w:lineRule="auto"/>
              <w:rPr>
                <w:rFonts w:cs="Arial"/>
                <w:sz w:val="20"/>
                <w:szCs w:val="20"/>
              </w:rPr>
            </w:pPr>
            <w:r w:rsidRPr="00146E3A">
              <w:rPr>
                <w:rFonts w:cs="Arial"/>
                <w:sz w:val="20"/>
                <w:szCs w:val="20"/>
              </w:rPr>
              <w:t>Part 13</w:t>
            </w:r>
          </w:p>
        </w:tc>
        <w:tc>
          <w:tcPr>
            <w:tcW w:w="500" w:type="pct"/>
            <w:shd w:val="clear" w:color="auto" w:fill="92D050"/>
          </w:tcPr>
          <w:p w14:paraId="1631B367" w14:textId="6A6E401C" w:rsidR="00B01489" w:rsidRPr="00146E3A" w:rsidRDefault="00A732DF" w:rsidP="00146E3A">
            <w:pPr>
              <w:spacing w:before="60" w:after="60" w:line="240" w:lineRule="auto"/>
              <w:jc w:val="center"/>
              <w:rPr>
                <w:rFonts w:cs="Arial"/>
                <w:sz w:val="20"/>
                <w:szCs w:val="20"/>
              </w:rPr>
            </w:pPr>
            <w:r w:rsidRPr="00146E3A">
              <w:rPr>
                <w:rFonts w:cs="Arial"/>
                <w:sz w:val="20"/>
                <w:szCs w:val="20"/>
              </w:rPr>
              <w:t>1</w:t>
            </w:r>
            <w:r w:rsidR="00675FD8" w:rsidRPr="00146E3A">
              <w:rPr>
                <w:rFonts w:cs="Arial"/>
                <w:sz w:val="20"/>
                <w:szCs w:val="20"/>
              </w:rPr>
              <w:t>1</w:t>
            </w:r>
            <w:r w:rsidR="004B36D0" w:rsidRPr="00146E3A">
              <w:rPr>
                <w:rFonts w:cs="Arial"/>
                <w:sz w:val="20"/>
                <w:szCs w:val="20"/>
              </w:rPr>
              <w:t xml:space="preserve"> of 1</w:t>
            </w:r>
            <w:r w:rsidR="00675FD8" w:rsidRPr="00146E3A">
              <w:rPr>
                <w:rFonts w:cs="Arial"/>
                <w:sz w:val="20"/>
                <w:szCs w:val="20"/>
              </w:rPr>
              <w:t>1</w:t>
            </w:r>
          </w:p>
        </w:tc>
        <w:tc>
          <w:tcPr>
            <w:tcW w:w="500" w:type="pct"/>
            <w:shd w:val="clear" w:color="auto" w:fill="auto"/>
            <w:vAlign w:val="center"/>
          </w:tcPr>
          <w:p w14:paraId="1631B368" w14:textId="77777777" w:rsidR="00B01489" w:rsidRPr="00146E3A" w:rsidRDefault="00A732DF" w:rsidP="00146E3A">
            <w:pPr>
              <w:spacing w:before="60" w:after="60" w:line="240" w:lineRule="auto"/>
              <w:jc w:val="center"/>
              <w:rPr>
                <w:rFonts w:cs="Arial"/>
                <w:sz w:val="20"/>
                <w:szCs w:val="20"/>
              </w:rPr>
            </w:pPr>
            <w:r w:rsidRPr="00146E3A">
              <w:rPr>
                <w:rFonts w:cs="Arial"/>
                <w:sz w:val="20"/>
                <w:szCs w:val="20"/>
              </w:rPr>
              <w:t>0</w:t>
            </w:r>
          </w:p>
        </w:tc>
        <w:tc>
          <w:tcPr>
            <w:tcW w:w="500" w:type="pct"/>
            <w:shd w:val="clear" w:color="auto" w:fill="auto"/>
            <w:vAlign w:val="center"/>
          </w:tcPr>
          <w:p w14:paraId="1631B369" w14:textId="77777777" w:rsidR="00B01489" w:rsidRPr="00146E3A" w:rsidRDefault="00A732DF" w:rsidP="00146E3A">
            <w:pPr>
              <w:spacing w:before="60" w:after="60" w:line="240" w:lineRule="auto"/>
              <w:jc w:val="center"/>
              <w:rPr>
                <w:rFonts w:cs="Arial"/>
                <w:sz w:val="20"/>
                <w:szCs w:val="20"/>
              </w:rPr>
            </w:pPr>
            <w:r w:rsidRPr="00146E3A">
              <w:rPr>
                <w:rFonts w:cs="Arial"/>
                <w:sz w:val="20"/>
                <w:szCs w:val="20"/>
              </w:rPr>
              <w:t>0</w:t>
            </w:r>
          </w:p>
        </w:tc>
        <w:tc>
          <w:tcPr>
            <w:tcW w:w="2250" w:type="pct"/>
            <w:vAlign w:val="center"/>
          </w:tcPr>
          <w:p w14:paraId="1631B36A" w14:textId="77777777" w:rsidR="00B01489" w:rsidRPr="00146E3A" w:rsidRDefault="003C1844" w:rsidP="00146E3A">
            <w:pPr>
              <w:spacing w:before="60" w:after="60" w:line="240" w:lineRule="auto"/>
              <w:rPr>
                <w:rFonts w:cs="Arial"/>
                <w:sz w:val="20"/>
                <w:szCs w:val="20"/>
              </w:rPr>
            </w:pPr>
            <w:r w:rsidRPr="00146E3A">
              <w:rPr>
                <w:rFonts w:cs="Arial"/>
                <w:sz w:val="20"/>
                <w:szCs w:val="20"/>
              </w:rPr>
              <w:t xml:space="preserve">Negligible </w:t>
            </w:r>
            <w:r w:rsidR="00F732E5" w:rsidRPr="00146E3A">
              <w:rPr>
                <w:rFonts w:cs="Arial"/>
                <w:sz w:val="20"/>
                <w:szCs w:val="20"/>
              </w:rPr>
              <w:t xml:space="preserve">interaction with </w:t>
            </w:r>
            <w:r w:rsidRPr="00146E3A">
              <w:rPr>
                <w:rFonts w:cs="Arial"/>
                <w:sz w:val="20"/>
                <w:szCs w:val="20"/>
              </w:rPr>
              <w:t xml:space="preserve">protected species </w:t>
            </w:r>
            <w:r w:rsidR="00B01489" w:rsidRPr="00146E3A">
              <w:rPr>
                <w:rFonts w:cs="Arial"/>
                <w:sz w:val="20"/>
                <w:szCs w:val="20"/>
              </w:rPr>
              <w:t>re</w:t>
            </w:r>
            <w:r w:rsidRPr="00146E3A">
              <w:rPr>
                <w:rFonts w:cs="Arial"/>
                <w:sz w:val="20"/>
                <w:szCs w:val="20"/>
              </w:rPr>
              <w:t>corded</w:t>
            </w:r>
            <w:r w:rsidR="00F732E5" w:rsidRPr="00146E3A">
              <w:rPr>
                <w:rFonts w:cs="Arial"/>
                <w:sz w:val="20"/>
                <w:szCs w:val="20"/>
              </w:rPr>
              <w:t xml:space="preserve"> to date,</w:t>
            </w:r>
            <w:r w:rsidRPr="00146E3A">
              <w:rPr>
                <w:rFonts w:cs="Arial"/>
                <w:sz w:val="20"/>
                <w:szCs w:val="20"/>
              </w:rPr>
              <w:t xml:space="preserve"> and none since </w:t>
            </w:r>
            <w:r w:rsidR="007E3D0F" w:rsidRPr="00146E3A">
              <w:rPr>
                <w:rFonts w:cs="Arial"/>
                <w:sz w:val="20"/>
                <w:szCs w:val="20"/>
              </w:rPr>
              <w:t>2009</w:t>
            </w:r>
            <w:r w:rsidR="00B01489" w:rsidRPr="00146E3A">
              <w:rPr>
                <w:rFonts w:cs="Arial"/>
                <w:sz w:val="20"/>
                <w:szCs w:val="20"/>
              </w:rPr>
              <w:t>.</w:t>
            </w:r>
          </w:p>
        </w:tc>
      </w:tr>
      <w:tr w:rsidR="00DD1227" w:rsidRPr="00146E3A" w14:paraId="1631B371" w14:textId="77777777" w:rsidTr="00A762F9">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1631B36C" w14:textId="77777777" w:rsidR="00DD1227" w:rsidRPr="00146E3A" w:rsidRDefault="00DD1227" w:rsidP="00146E3A">
            <w:pPr>
              <w:spacing w:before="60" w:after="60" w:line="240" w:lineRule="auto"/>
              <w:rPr>
                <w:rFonts w:cs="Arial"/>
                <w:sz w:val="20"/>
                <w:szCs w:val="20"/>
              </w:rPr>
            </w:pPr>
            <w:r w:rsidRPr="00146E3A">
              <w:rPr>
                <w:rFonts w:cs="Arial"/>
                <w:sz w:val="20"/>
                <w:szCs w:val="20"/>
              </w:rPr>
              <w:t>Part 13A</w:t>
            </w:r>
          </w:p>
        </w:tc>
        <w:tc>
          <w:tcPr>
            <w:tcW w:w="500" w:type="pct"/>
            <w:shd w:val="clear" w:color="auto" w:fill="92D050"/>
            <w:vAlign w:val="center"/>
          </w:tcPr>
          <w:p w14:paraId="1631B36D" w14:textId="0FD7F47F" w:rsidR="00DD1227" w:rsidRPr="00146E3A" w:rsidRDefault="00A732DF" w:rsidP="00146E3A">
            <w:pPr>
              <w:spacing w:before="60" w:after="60" w:line="240" w:lineRule="auto"/>
              <w:jc w:val="center"/>
              <w:rPr>
                <w:rFonts w:cs="Arial"/>
                <w:sz w:val="20"/>
                <w:szCs w:val="20"/>
              </w:rPr>
            </w:pPr>
            <w:r w:rsidRPr="00146E3A">
              <w:rPr>
                <w:rFonts w:cs="Arial"/>
                <w:sz w:val="20"/>
                <w:szCs w:val="20"/>
              </w:rPr>
              <w:t>2</w:t>
            </w:r>
            <w:r w:rsidR="004B36D0" w:rsidRPr="00146E3A">
              <w:rPr>
                <w:rFonts w:cs="Arial"/>
                <w:sz w:val="20"/>
                <w:szCs w:val="20"/>
              </w:rPr>
              <w:t xml:space="preserve"> of 3</w:t>
            </w:r>
          </w:p>
        </w:tc>
        <w:tc>
          <w:tcPr>
            <w:tcW w:w="500" w:type="pct"/>
            <w:shd w:val="clear" w:color="auto" w:fill="FFC000"/>
            <w:vAlign w:val="center"/>
          </w:tcPr>
          <w:p w14:paraId="1631B36E" w14:textId="21C10A1E" w:rsidR="00DD1227" w:rsidRPr="00146E3A" w:rsidRDefault="00A732DF" w:rsidP="00146E3A">
            <w:pPr>
              <w:spacing w:before="60" w:after="60" w:line="240" w:lineRule="auto"/>
              <w:jc w:val="center"/>
              <w:rPr>
                <w:rFonts w:cs="Arial"/>
                <w:sz w:val="20"/>
                <w:szCs w:val="20"/>
              </w:rPr>
            </w:pPr>
            <w:r w:rsidRPr="00146E3A">
              <w:rPr>
                <w:rFonts w:cs="Arial"/>
                <w:sz w:val="20"/>
                <w:szCs w:val="20"/>
              </w:rPr>
              <w:t>1</w:t>
            </w:r>
            <w:r w:rsidR="004B36D0" w:rsidRPr="00146E3A">
              <w:rPr>
                <w:rFonts w:cs="Arial"/>
                <w:sz w:val="20"/>
                <w:szCs w:val="20"/>
              </w:rPr>
              <w:t xml:space="preserve"> of 3</w:t>
            </w:r>
            <w:r w:rsidRPr="00146E3A">
              <w:rPr>
                <w:rFonts w:cs="Arial"/>
                <w:sz w:val="20"/>
                <w:szCs w:val="20"/>
              </w:rPr>
              <w:br/>
              <w:t>(</w:t>
            </w:r>
            <w:r w:rsidR="00DD1227" w:rsidRPr="00146E3A">
              <w:rPr>
                <w:rFonts w:cs="Arial"/>
                <w:sz w:val="20"/>
                <w:szCs w:val="20"/>
              </w:rPr>
              <w:t>S303DC(3)</w:t>
            </w:r>
            <w:r w:rsidR="0065515A" w:rsidRPr="00146E3A">
              <w:rPr>
                <w:rFonts w:cs="Arial"/>
                <w:sz w:val="20"/>
                <w:szCs w:val="20"/>
              </w:rPr>
              <w:t>)</w:t>
            </w:r>
          </w:p>
        </w:tc>
        <w:tc>
          <w:tcPr>
            <w:tcW w:w="500" w:type="pct"/>
            <w:shd w:val="clear" w:color="auto" w:fill="auto"/>
            <w:vAlign w:val="center"/>
          </w:tcPr>
          <w:p w14:paraId="1631B36F" w14:textId="77777777" w:rsidR="00DD1227" w:rsidRPr="00146E3A" w:rsidRDefault="0065515A" w:rsidP="00146E3A">
            <w:pPr>
              <w:spacing w:before="60" w:after="60" w:line="240" w:lineRule="auto"/>
              <w:jc w:val="center"/>
              <w:rPr>
                <w:rFonts w:cs="Arial"/>
                <w:sz w:val="20"/>
                <w:szCs w:val="20"/>
              </w:rPr>
            </w:pPr>
            <w:r w:rsidRPr="00146E3A">
              <w:rPr>
                <w:rFonts w:cs="Arial"/>
                <w:sz w:val="20"/>
                <w:szCs w:val="20"/>
              </w:rPr>
              <w:t>0</w:t>
            </w:r>
          </w:p>
        </w:tc>
        <w:tc>
          <w:tcPr>
            <w:tcW w:w="2250" w:type="pct"/>
            <w:vAlign w:val="center"/>
          </w:tcPr>
          <w:p w14:paraId="1631B370" w14:textId="77777777" w:rsidR="00DD1227" w:rsidRPr="00146E3A" w:rsidRDefault="00DD1227" w:rsidP="00146E3A">
            <w:pPr>
              <w:spacing w:before="60" w:after="60" w:line="240" w:lineRule="auto"/>
              <w:rPr>
                <w:rFonts w:cs="Arial"/>
                <w:sz w:val="20"/>
                <w:szCs w:val="20"/>
              </w:rPr>
            </w:pPr>
            <w:r w:rsidRPr="00146E3A">
              <w:rPr>
                <w:rFonts w:cs="Arial"/>
                <w:sz w:val="20"/>
                <w:szCs w:val="20"/>
              </w:rPr>
              <w:t xml:space="preserve">Limited consultation if LENS is amended, although sufficient for strict requirements, as per advice to Minister </w:t>
            </w:r>
            <w:r w:rsidR="009B34D1" w:rsidRPr="00146E3A">
              <w:rPr>
                <w:rFonts w:cs="Arial"/>
                <w:sz w:val="20"/>
                <w:szCs w:val="20"/>
              </w:rPr>
              <w:t>(</w:t>
            </w:r>
            <w:r w:rsidRPr="00146E3A">
              <w:rPr>
                <w:rFonts w:cs="Arial"/>
                <w:sz w:val="20"/>
                <w:szCs w:val="20"/>
              </w:rPr>
              <w:t>MS14-002367</w:t>
            </w:r>
            <w:r w:rsidR="009B34D1" w:rsidRPr="00146E3A">
              <w:rPr>
                <w:rFonts w:cs="Arial"/>
                <w:sz w:val="20"/>
                <w:szCs w:val="20"/>
              </w:rPr>
              <w:t>)</w:t>
            </w:r>
            <w:r w:rsidRPr="00146E3A">
              <w:rPr>
                <w:rFonts w:cs="Arial"/>
                <w:sz w:val="20"/>
                <w:szCs w:val="20"/>
              </w:rPr>
              <w:t>.</w:t>
            </w:r>
          </w:p>
        </w:tc>
      </w:tr>
      <w:tr w:rsidR="00B01489" w:rsidRPr="00146E3A" w14:paraId="1631B37E" w14:textId="77777777" w:rsidTr="00A762F9">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1631B379" w14:textId="77777777" w:rsidR="00B01489" w:rsidRPr="00146E3A" w:rsidRDefault="00B01489" w:rsidP="00146E3A">
            <w:pPr>
              <w:spacing w:before="60" w:after="60" w:line="240" w:lineRule="auto"/>
              <w:rPr>
                <w:rFonts w:cs="Arial"/>
                <w:sz w:val="20"/>
                <w:szCs w:val="20"/>
              </w:rPr>
            </w:pPr>
            <w:r w:rsidRPr="00146E3A">
              <w:rPr>
                <w:rFonts w:cs="Arial"/>
                <w:sz w:val="20"/>
                <w:szCs w:val="20"/>
              </w:rPr>
              <w:lastRenderedPageBreak/>
              <w:t>Part 16</w:t>
            </w:r>
          </w:p>
        </w:tc>
        <w:tc>
          <w:tcPr>
            <w:tcW w:w="500" w:type="pct"/>
            <w:shd w:val="clear" w:color="auto" w:fill="92D050"/>
            <w:vAlign w:val="center"/>
          </w:tcPr>
          <w:p w14:paraId="1631B37A" w14:textId="70CED258" w:rsidR="00B01489" w:rsidRPr="00146E3A" w:rsidRDefault="0065515A" w:rsidP="00146E3A">
            <w:pPr>
              <w:spacing w:before="60" w:after="60" w:line="240" w:lineRule="auto"/>
              <w:jc w:val="center"/>
              <w:rPr>
                <w:rFonts w:cs="Arial"/>
                <w:sz w:val="20"/>
                <w:szCs w:val="20"/>
              </w:rPr>
            </w:pPr>
            <w:r w:rsidRPr="00146E3A">
              <w:rPr>
                <w:rFonts w:cs="Arial"/>
                <w:sz w:val="20"/>
                <w:szCs w:val="20"/>
              </w:rPr>
              <w:t>1</w:t>
            </w:r>
            <w:r w:rsidR="004B36D0" w:rsidRPr="00146E3A">
              <w:rPr>
                <w:rFonts w:cs="Arial"/>
                <w:sz w:val="20"/>
                <w:szCs w:val="20"/>
              </w:rPr>
              <w:t xml:space="preserve"> of 1</w:t>
            </w:r>
          </w:p>
        </w:tc>
        <w:tc>
          <w:tcPr>
            <w:tcW w:w="500" w:type="pct"/>
            <w:shd w:val="clear" w:color="auto" w:fill="auto"/>
            <w:vAlign w:val="center"/>
          </w:tcPr>
          <w:p w14:paraId="1631B37B" w14:textId="77777777" w:rsidR="00B01489" w:rsidRPr="00146E3A" w:rsidRDefault="0065515A" w:rsidP="00146E3A">
            <w:pPr>
              <w:spacing w:before="60" w:after="60" w:line="240" w:lineRule="auto"/>
              <w:jc w:val="center"/>
              <w:rPr>
                <w:rFonts w:cs="Arial"/>
                <w:sz w:val="20"/>
                <w:szCs w:val="20"/>
              </w:rPr>
            </w:pPr>
            <w:r w:rsidRPr="00146E3A">
              <w:rPr>
                <w:rFonts w:cs="Arial"/>
                <w:sz w:val="20"/>
                <w:szCs w:val="20"/>
              </w:rPr>
              <w:t>0</w:t>
            </w:r>
          </w:p>
        </w:tc>
        <w:tc>
          <w:tcPr>
            <w:tcW w:w="500" w:type="pct"/>
            <w:shd w:val="clear" w:color="auto" w:fill="auto"/>
            <w:vAlign w:val="center"/>
          </w:tcPr>
          <w:p w14:paraId="1631B37C" w14:textId="77777777" w:rsidR="00B01489" w:rsidRPr="00146E3A" w:rsidRDefault="0065515A" w:rsidP="00146E3A">
            <w:pPr>
              <w:spacing w:before="60" w:after="60" w:line="240" w:lineRule="auto"/>
              <w:jc w:val="center"/>
              <w:rPr>
                <w:rFonts w:cs="Arial"/>
                <w:sz w:val="20"/>
                <w:szCs w:val="20"/>
              </w:rPr>
            </w:pPr>
            <w:r w:rsidRPr="00146E3A">
              <w:rPr>
                <w:rFonts w:cs="Arial"/>
                <w:sz w:val="20"/>
                <w:szCs w:val="20"/>
              </w:rPr>
              <w:t>0</w:t>
            </w:r>
          </w:p>
        </w:tc>
        <w:tc>
          <w:tcPr>
            <w:tcW w:w="2250" w:type="pct"/>
            <w:vAlign w:val="center"/>
          </w:tcPr>
          <w:p w14:paraId="1631B37D" w14:textId="77777777" w:rsidR="00B01489" w:rsidRPr="00146E3A" w:rsidRDefault="00307B51" w:rsidP="00146E3A">
            <w:pPr>
              <w:spacing w:before="60" w:after="60" w:line="240" w:lineRule="auto"/>
              <w:rPr>
                <w:rFonts w:cs="Arial"/>
                <w:sz w:val="20"/>
                <w:szCs w:val="20"/>
              </w:rPr>
            </w:pPr>
            <w:r w:rsidRPr="00146E3A">
              <w:rPr>
                <w:rFonts w:cs="Arial"/>
                <w:sz w:val="20"/>
                <w:szCs w:val="20"/>
              </w:rPr>
              <w:t xml:space="preserve">Precautionary catch limits </w:t>
            </w:r>
            <w:r w:rsidR="00F33E32" w:rsidRPr="00146E3A">
              <w:rPr>
                <w:rFonts w:cs="Arial"/>
                <w:sz w:val="20"/>
                <w:szCs w:val="20"/>
              </w:rPr>
              <w:t xml:space="preserve">are </w:t>
            </w:r>
            <w:r w:rsidRPr="00146E3A">
              <w:rPr>
                <w:rFonts w:cs="Arial"/>
                <w:sz w:val="20"/>
                <w:szCs w:val="20"/>
              </w:rPr>
              <w:t>determined annually.</w:t>
            </w:r>
          </w:p>
        </w:tc>
      </w:tr>
      <w:tr w:rsidR="004D2EE3" w:rsidRPr="00146E3A" w14:paraId="1631B381" w14:textId="77777777" w:rsidTr="00F52599">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1631B37F" w14:textId="2F15E7F3" w:rsidR="00DD1227" w:rsidRPr="00146E3A" w:rsidRDefault="004D2EE3" w:rsidP="00146E3A">
            <w:pPr>
              <w:spacing w:before="60" w:after="60" w:line="240" w:lineRule="auto"/>
              <w:rPr>
                <w:rStyle w:val="Emphasis"/>
                <w:rFonts w:cs="Arial"/>
                <w:i w:val="0"/>
                <w:iCs w:val="0"/>
                <w:sz w:val="20"/>
                <w:szCs w:val="20"/>
              </w:rPr>
            </w:pPr>
            <w:r w:rsidRPr="00146E3A">
              <w:rPr>
                <w:rStyle w:val="Emphasis"/>
                <w:rFonts w:cs="Arial"/>
                <w:b/>
                <w:i w:val="0"/>
                <w:iCs w:val="0"/>
                <w:sz w:val="20"/>
                <w:szCs w:val="20"/>
              </w:rPr>
              <w:t>Conclusion</w:t>
            </w:r>
            <w:r w:rsidRPr="00146E3A">
              <w:rPr>
                <w:rStyle w:val="Emphasis"/>
                <w:rFonts w:cs="Arial"/>
                <w:i w:val="0"/>
                <w:iCs w:val="0"/>
                <w:sz w:val="20"/>
                <w:szCs w:val="20"/>
              </w:rPr>
              <w:t>:</w:t>
            </w:r>
            <w:r w:rsidR="00A96349" w:rsidRPr="00146E3A">
              <w:rPr>
                <w:rStyle w:val="Emphasis"/>
                <w:rFonts w:cs="Arial"/>
                <w:i w:val="0"/>
                <w:iCs w:val="0"/>
                <w:sz w:val="20"/>
                <w:szCs w:val="20"/>
              </w:rPr>
              <w:t xml:space="preserve"> </w:t>
            </w:r>
            <w:r w:rsidR="00857BF2" w:rsidRPr="00146E3A">
              <w:rPr>
                <w:rStyle w:val="Emphasis"/>
                <w:rFonts w:cs="Arial"/>
                <w:i w:val="0"/>
                <w:iCs w:val="0"/>
                <w:sz w:val="20"/>
                <w:szCs w:val="20"/>
              </w:rPr>
              <w:t xml:space="preserve">Scallop stocks </w:t>
            </w:r>
            <w:r w:rsidR="00DD1227" w:rsidRPr="00146E3A">
              <w:rPr>
                <w:rStyle w:val="Emphasis"/>
                <w:rFonts w:cs="Arial"/>
                <w:i w:val="0"/>
                <w:iCs w:val="0"/>
                <w:sz w:val="20"/>
                <w:szCs w:val="20"/>
              </w:rPr>
              <w:t xml:space="preserve">have high natural variability and the fishery </w:t>
            </w:r>
            <w:r w:rsidR="00180E08" w:rsidRPr="00146E3A">
              <w:rPr>
                <w:rStyle w:val="Emphasis"/>
                <w:rFonts w:cs="Arial"/>
                <w:i w:val="0"/>
                <w:iCs w:val="0"/>
                <w:sz w:val="20"/>
                <w:szCs w:val="20"/>
              </w:rPr>
              <w:t>w</w:t>
            </w:r>
            <w:r w:rsidR="00DD1227" w:rsidRPr="00146E3A">
              <w:rPr>
                <w:rStyle w:val="Emphasis"/>
                <w:rFonts w:cs="Arial"/>
                <w:i w:val="0"/>
                <w:iCs w:val="0"/>
                <w:sz w:val="20"/>
                <w:szCs w:val="20"/>
              </w:rPr>
              <w:t xml:space="preserve">as </w:t>
            </w:r>
            <w:r w:rsidR="00180E08" w:rsidRPr="00146E3A">
              <w:rPr>
                <w:rStyle w:val="Emphasis"/>
                <w:rFonts w:cs="Arial"/>
                <w:i w:val="0"/>
                <w:iCs w:val="0"/>
                <w:sz w:val="20"/>
                <w:szCs w:val="20"/>
              </w:rPr>
              <w:t xml:space="preserve">classified as </w:t>
            </w:r>
            <w:r w:rsidR="00DD1227" w:rsidRPr="00146E3A">
              <w:rPr>
                <w:rStyle w:val="Emphasis"/>
                <w:rFonts w:cs="Arial"/>
                <w:i w:val="0"/>
                <w:iCs w:val="0"/>
                <w:sz w:val="20"/>
                <w:szCs w:val="20"/>
              </w:rPr>
              <w:t xml:space="preserve">overfished at various times </w:t>
            </w:r>
            <w:r w:rsidR="00180E08" w:rsidRPr="00146E3A">
              <w:rPr>
                <w:rStyle w:val="Emphasis"/>
                <w:rFonts w:cs="Arial"/>
                <w:i w:val="0"/>
                <w:iCs w:val="0"/>
                <w:sz w:val="20"/>
                <w:szCs w:val="20"/>
              </w:rPr>
              <w:t xml:space="preserve">prior to 2008. </w:t>
            </w:r>
            <w:r w:rsidR="003C1844" w:rsidRPr="00146E3A">
              <w:rPr>
                <w:rStyle w:val="Emphasis"/>
                <w:rFonts w:cs="Arial"/>
                <w:i w:val="0"/>
                <w:iCs w:val="0"/>
                <w:sz w:val="20"/>
                <w:szCs w:val="20"/>
              </w:rPr>
              <w:t xml:space="preserve">However, recent changes to the </w:t>
            </w:r>
            <w:r w:rsidR="00DD1227" w:rsidRPr="00146E3A">
              <w:rPr>
                <w:rStyle w:val="Emphasis"/>
                <w:rFonts w:cs="Arial"/>
                <w:i w:val="0"/>
                <w:iCs w:val="0"/>
                <w:sz w:val="20"/>
                <w:szCs w:val="20"/>
              </w:rPr>
              <w:t xml:space="preserve">harvest strategy </w:t>
            </w:r>
            <w:r w:rsidR="00E12A5B" w:rsidRPr="00146E3A">
              <w:rPr>
                <w:rStyle w:val="Emphasis"/>
                <w:rFonts w:cs="Arial"/>
                <w:i w:val="0"/>
                <w:iCs w:val="0"/>
                <w:sz w:val="20"/>
                <w:szCs w:val="20"/>
              </w:rPr>
              <w:t xml:space="preserve">have </w:t>
            </w:r>
            <w:r w:rsidR="003C1844" w:rsidRPr="00146E3A">
              <w:rPr>
                <w:rStyle w:val="Emphasis"/>
                <w:rFonts w:cs="Arial"/>
                <w:i w:val="0"/>
                <w:iCs w:val="0"/>
                <w:sz w:val="20"/>
                <w:szCs w:val="20"/>
              </w:rPr>
              <w:t>provide</w:t>
            </w:r>
            <w:r w:rsidR="00E12A5B" w:rsidRPr="00146E3A">
              <w:rPr>
                <w:rStyle w:val="Emphasis"/>
                <w:rFonts w:cs="Arial"/>
                <w:i w:val="0"/>
                <w:iCs w:val="0"/>
                <w:sz w:val="20"/>
                <w:szCs w:val="20"/>
              </w:rPr>
              <w:t>d</w:t>
            </w:r>
            <w:r w:rsidR="00120E71" w:rsidRPr="00146E3A">
              <w:rPr>
                <w:rStyle w:val="Emphasis"/>
                <w:rFonts w:cs="Arial"/>
                <w:i w:val="0"/>
                <w:iCs w:val="0"/>
                <w:sz w:val="20"/>
                <w:szCs w:val="20"/>
              </w:rPr>
              <w:t xml:space="preserve"> </w:t>
            </w:r>
            <w:r w:rsidR="00E12A5B" w:rsidRPr="00146E3A">
              <w:rPr>
                <w:rStyle w:val="Emphasis"/>
                <w:rFonts w:cs="Arial"/>
                <w:i w:val="0"/>
                <w:iCs w:val="0"/>
                <w:sz w:val="20"/>
                <w:szCs w:val="20"/>
              </w:rPr>
              <w:t xml:space="preserve">more </w:t>
            </w:r>
            <w:r w:rsidR="00DD1227" w:rsidRPr="00146E3A">
              <w:rPr>
                <w:rStyle w:val="Emphasis"/>
                <w:rFonts w:cs="Arial"/>
                <w:i w:val="0"/>
                <w:iCs w:val="0"/>
                <w:sz w:val="20"/>
                <w:szCs w:val="20"/>
              </w:rPr>
              <w:t>flexibility to respond to natural fluctuations</w:t>
            </w:r>
            <w:r w:rsidR="003C1844" w:rsidRPr="00146E3A">
              <w:rPr>
                <w:rStyle w:val="Emphasis"/>
                <w:rFonts w:cs="Arial"/>
                <w:i w:val="0"/>
                <w:iCs w:val="0"/>
                <w:sz w:val="20"/>
                <w:szCs w:val="20"/>
              </w:rPr>
              <w:t xml:space="preserve"> and stocks have presented strongly since that time</w:t>
            </w:r>
            <w:r w:rsidR="00DD1227" w:rsidRPr="00146E3A">
              <w:rPr>
                <w:rStyle w:val="Emphasis"/>
                <w:rFonts w:cs="Arial"/>
                <w:i w:val="0"/>
                <w:iCs w:val="0"/>
                <w:sz w:val="20"/>
                <w:szCs w:val="20"/>
              </w:rPr>
              <w:t>.</w:t>
            </w:r>
          </w:p>
          <w:p w14:paraId="1631B380" w14:textId="77777777" w:rsidR="004D2EE3" w:rsidRPr="00146E3A" w:rsidRDefault="00857BF2" w:rsidP="00146E3A">
            <w:pPr>
              <w:spacing w:before="60" w:after="60" w:line="240" w:lineRule="auto"/>
              <w:rPr>
                <w:rStyle w:val="Emphasis"/>
                <w:rFonts w:cs="Arial"/>
                <w:i w:val="0"/>
                <w:iCs w:val="0"/>
                <w:sz w:val="20"/>
                <w:szCs w:val="20"/>
              </w:rPr>
            </w:pPr>
            <w:r w:rsidRPr="00146E3A">
              <w:rPr>
                <w:rStyle w:val="Emphasis"/>
                <w:rFonts w:cs="Arial"/>
                <w:i w:val="0"/>
                <w:iCs w:val="0"/>
                <w:sz w:val="20"/>
                <w:szCs w:val="20"/>
              </w:rPr>
              <w:t>Risks</w:t>
            </w:r>
            <w:r w:rsidR="00DD1227" w:rsidRPr="00146E3A">
              <w:rPr>
                <w:rStyle w:val="Emphasis"/>
                <w:rFonts w:cs="Arial"/>
                <w:i w:val="0"/>
                <w:iCs w:val="0"/>
                <w:sz w:val="20"/>
                <w:szCs w:val="20"/>
              </w:rPr>
              <w:t xml:space="preserve"> to bycatch</w:t>
            </w:r>
            <w:r w:rsidR="003C1844" w:rsidRPr="00146E3A">
              <w:rPr>
                <w:rStyle w:val="Emphasis"/>
                <w:rFonts w:cs="Arial"/>
                <w:i w:val="0"/>
                <w:iCs w:val="0"/>
                <w:sz w:val="20"/>
                <w:szCs w:val="20"/>
              </w:rPr>
              <w:t xml:space="preserve"> and protected </w:t>
            </w:r>
            <w:r w:rsidR="00DD1227" w:rsidRPr="00146E3A">
              <w:rPr>
                <w:rStyle w:val="Emphasis"/>
                <w:rFonts w:cs="Arial"/>
                <w:i w:val="0"/>
                <w:iCs w:val="0"/>
                <w:sz w:val="20"/>
                <w:szCs w:val="20"/>
              </w:rPr>
              <w:t>species</w:t>
            </w:r>
            <w:r w:rsidRPr="00146E3A">
              <w:rPr>
                <w:rStyle w:val="Emphasis"/>
                <w:rFonts w:cs="Arial"/>
                <w:i w:val="0"/>
                <w:iCs w:val="0"/>
                <w:sz w:val="20"/>
                <w:szCs w:val="20"/>
              </w:rPr>
              <w:t>,</w:t>
            </w:r>
            <w:r w:rsidR="00DD1227" w:rsidRPr="00146E3A">
              <w:rPr>
                <w:rStyle w:val="Emphasis"/>
                <w:rFonts w:cs="Arial"/>
                <w:i w:val="0"/>
                <w:iCs w:val="0"/>
                <w:sz w:val="20"/>
                <w:szCs w:val="20"/>
              </w:rPr>
              <w:t xml:space="preserve"> </w:t>
            </w:r>
            <w:r w:rsidR="003C1844" w:rsidRPr="00146E3A">
              <w:rPr>
                <w:rStyle w:val="Emphasis"/>
                <w:rFonts w:cs="Arial"/>
                <w:i w:val="0"/>
                <w:iCs w:val="0"/>
                <w:sz w:val="20"/>
                <w:szCs w:val="20"/>
              </w:rPr>
              <w:t xml:space="preserve">as well as </w:t>
            </w:r>
            <w:r w:rsidR="00DD1227" w:rsidRPr="00146E3A">
              <w:rPr>
                <w:rStyle w:val="Emphasis"/>
                <w:rFonts w:cs="Arial"/>
                <w:i w:val="0"/>
                <w:iCs w:val="0"/>
                <w:sz w:val="20"/>
                <w:szCs w:val="20"/>
              </w:rPr>
              <w:t xml:space="preserve">ecosystems </w:t>
            </w:r>
            <w:r w:rsidR="003C1844" w:rsidRPr="00146E3A">
              <w:rPr>
                <w:rStyle w:val="Emphasis"/>
                <w:rFonts w:cs="Arial"/>
                <w:i w:val="0"/>
                <w:iCs w:val="0"/>
                <w:sz w:val="20"/>
                <w:szCs w:val="20"/>
              </w:rPr>
              <w:t>to a lesser extent</w:t>
            </w:r>
            <w:r w:rsidRPr="00146E3A">
              <w:rPr>
                <w:rStyle w:val="Emphasis"/>
                <w:rFonts w:cs="Arial"/>
                <w:i w:val="0"/>
                <w:iCs w:val="0"/>
                <w:sz w:val="20"/>
                <w:szCs w:val="20"/>
              </w:rPr>
              <w:t>,</w:t>
            </w:r>
            <w:r w:rsidR="003C1844" w:rsidRPr="00146E3A">
              <w:rPr>
                <w:rStyle w:val="Emphasis"/>
                <w:rFonts w:cs="Arial"/>
                <w:i w:val="0"/>
                <w:iCs w:val="0"/>
                <w:sz w:val="20"/>
                <w:szCs w:val="20"/>
              </w:rPr>
              <w:t xml:space="preserve"> </w:t>
            </w:r>
            <w:r w:rsidR="00DD1227" w:rsidRPr="00146E3A">
              <w:rPr>
                <w:rStyle w:val="Emphasis"/>
                <w:rFonts w:cs="Arial"/>
                <w:i w:val="0"/>
                <w:iCs w:val="0"/>
                <w:sz w:val="20"/>
                <w:szCs w:val="20"/>
              </w:rPr>
              <w:t xml:space="preserve">have been assessed and mitigated through AFMA’s </w:t>
            </w:r>
            <w:r w:rsidR="003C1844" w:rsidRPr="00146E3A">
              <w:rPr>
                <w:rStyle w:val="Emphasis"/>
                <w:rFonts w:cs="Arial"/>
                <w:i w:val="0"/>
                <w:iCs w:val="0"/>
                <w:sz w:val="20"/>
                <w:szCs w:val="20"/>
              </w:rPr>
              <w:t xml:space="preserve">ecological risk management </w:t>
            </w:r>
            <w:r w:rsidR="00DD1227" w:rsidRPr="00146E3A">
              <w:rPr>
                <w:rStyle w:val="Emphasis"/>
                <w:rFonts w:cs="Arial"/>
                <w:i w:val="0"/>
                <w:iCs w:val="0"/>
                <w:sz w:val="20"/>
                <w:szCs w:val="20"/>
              </w:rPr>
              <w:t>process</w:t>
            </w:r>
            <w:r w:rsidR="00EF7AFF" w:rsidRPr="00146E3A">
              <w:rPr>
                <w:rStyle w:val="Emphasis"/>
                <w:rFonts w:cs="Arial"/>
                <w:i w:val="0"/>
                <w:iCs w:val="0"/>
                <w:sz w:val="20"/>
                <w:szCs w:val="20"/>
              </w:rPr>
              <w:t xml:space="preserve">es, including the </w:t>
            </w:r>
            <w:r w:rsidR="00DD1227" w:rsidRPr="00146E3A">
              <w:rPr>
                <w:rStyle w:val="Emphasis"/>
                <w:rFonts w:cs="Arial"/>
                <w:i w:val="0"/>
                <w:iCs w:val="0"/>
                <w:sz w:val="20"/>
                <w:szCs w:val="20"/>
              </w:rPr>
              <w:t xml:space="preserve">Bycatch and Discard </w:t>
            </w:r>
            <w:proofErr w:type="spellStart"/>
            <w:r w:rsidR="00DD1227" w:rsidRPr="00146E3A">
              <w:rPr>
                <w:rStyle w:val="Emphasis"/>
                <w:rFonts w:cs="Arial"/>
                <w:i w:val="0"/>
                <w:iCs w:val="0"/>
                <w:sz w:val="20"/>
                <w:szCs w:val="20"/>
              </w:rPr>
              <w:t>Workplan</w:t>
            </w:r>
            <w:proofErr w:type="spellEnd"/>
            <w:r w:rsidR="00DD1227" w:rsidRPr="00146E3A">
              <w:rPr>
                <w:rStyle w:val="Emphasis"/>
                <w:rFonts w:cs="Arial"/>
                <w:i w:val="0"/>
                <w:iCs w:val="0"/>
                <w:sz w:val="20"/>
                <w:szCs w:val="20"/>
              </w:rPr>
              <w:t xml:space="preserve"> for the fishery.</w:t>
            </w:r>
            <w:r w:rsidR="00EF7AFF" w:rsidRPr="00146E3A">
              <w:rPr>
                <w:rStyle w:val="Emphasis"/>
                <w:rFonts w:cs="Arial"/>
                <w:i w:val="0"/>
                <w:iCs w:val="0"/>
                <w:sz w:val="20"/>
                <w:szCs w:val="20"/>
              </w:rPr>
              <w:t xml:space="preserve"> These arrangements are expected to be updated in 2018.</w:t>
            </w:r>
          </w:p>
        </w:tc>
      </w:tr>
      <w:tr w:rsidR="004D2EE3" w:rsidRPr="00146E3A" w14:paraId="1631B384" w14:textId="77777777" w:rsidTr="00F52599">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1631B382" w14:textId="0D5BA706" w:rsidR="00752F07" w:rsidRPr="00146E3A" w:rsidRDefault="004D2EE3" w:rsidP="00146E3A">
            <w:pPr>
              <w:spacing w:before="60" w:after="60" w:line="240" w:lineRule="auto"/>
              <w:rPr>
                <w:rStyle w:val="Emphasis"/>
                <w:rFonts w:cs="Arial"/>
                <w:i w:val="0"/>
                <w:iCs w:val="0"/>
                <w:sz w:val="20"/>
                <w:szCs w:val="20"/>
              </w:rPr>
            </w:pPr>
            <w:r w:rsidRPr="00146E3A">
              <w:rPr>
                <w:rStyle w:val="Emphasis"/>
                <w:rFonts w:cs="Arial"/>
                <w:b/>
                <w:i w:val="0"/>
                <w:iCs w:val="0"/>
                <w:sz w:val="20"/>
                <w:szCs w:val="20"/>
              </w:rPr>
              <w:t>Final recommendation for 201</w:t>
            </w:r>
            <w:r w:rsidR="00EF7AFF" w:rsidRPr="00146E3A">
              <w:rPr>
                <w:rStyle w:val="Emphasis"/>
                <w:rFonts w:cs="Arial"/>
                <w:b/>
                <w:i w:val="0"/>
                <w:iCs w:val="0"/>
                <w:sz w:val="20"/>
                <w:szCs w:val="20"/>
              </w:rPr>
              <w:t>6</w:t>
            </w:r>
            <w:r w:rsidRPr="00146E3A">
              <w:rPr>
                <w:rStyle w:val="Emphasis"/>
                <w:rFonts w:cs="Arial"/>
                <w:b/>
                <w:i w:val="0"/>
                <w:iCs w:val="0"/>
                <w:sz w:val="20"/>
                <w:szCs w:val="20"/>
              </w:rPr>
              <w:t xml:space="preserve"> assessment of </w:t>
            </w:r>
            <w:r w:rsidR="00766908" w:rsidRPr="00146E3A">
              <w:rPr>
                <w:rStyle w:val="Emphasis"/>
                <w:rFonts w:cs="Arial"/>
                <w:b/>
                <w:i w:val="0"/>
                <w:iCs w:val="0"/>
                <w:sz w:val="20"/>
                <w:szCs w:val="20"/>
              </w:rPr>
              <w:t>BSCZ</w:t>
            </w:r>
            <w:r w:rsidR="009750F0" w:rsidRPr="00146E3A">
              <w:rPr>
                <w:rStyle w:val="Emphasis"/>
                <w:rFonts w:cs="Arial"/>
                <w:b/>
                <w:i w:val="0"/>
                <w:iCs w:val="0"/>
                <w:sz w:val="20"/>
                <w:szCs w:val="20"/>
              </w:rPr>
              <w:t>SF</w:t>
            </w:r>
            <w:r w:rsidRPr="00146E3A">
              <w:rPr>
                <w:rStyle w:val="Emphasis"/>
                <w:rFonts w:cs="Arial"/>
                <w:i w:val="0"/>
                <w:iCs w:val="0"/>
                <w:sz w:val="20"/>
                <w:szCs w:val="20"/>
              </w:rPr>
              <w:t>:</w:t>
            </w:r>
            <w:r w:rsidR="00A96349" w:rsidRPr="00146E3A">
              <w:rPr>
                <w:rStyle w:val="Emphasis"/>
                <w:rFonts w:cs="Arial"/>
                <w:i w:val="0"/>
                <w:iCs w:val="0"/>
                <w:sz w:val="20"/>
                <w:szCs w:val="20"/>
              </w:rPr>
              <w:t xml:space="preserve"> T</w:t>
            </w:r>
            <w:r w:rsidR="00EF7AFF" w:rsidRPr="00146E3A">
              <w:rPr>
                <w:rStyle w:val="Emphasis"/>
                <w:rFonts w:cs="Arial"/>
                <w:i w:val="0"/>
                <w:iCs w:val="0"/>
                <w:sz w:val="20"/>
                <w:szCs w:val="20"/>
              </w:rPr>
              <w:t>he</w:t>
            </w:r>
            <w:r w:rsidR="00A96349" w:rsidRPr="00146E3A">
              <w:rPr>
                <w:rStyle w:val="Emphasis"/>
                <w:rFonts w:cs="Arial"/>
                <w:i w:val="0"/>
                <w:iCs w:val="0"/>
                <w:sz w:val="20"/>
                <w:szCs w:val="20"/>
              </w:rPr>
              <w:t xml:space="preserve"> fishery is considered low risk</w:t>
            </w:r>
            <w:r w:rsidR="00EF7AFF" w:rsidRPr="00146E3A">
              <w:rPr>
                <w:rStyle w:val="Emphasis"/>
                <w:rFonts w:cs="Arial"/>
                <w:i w:val="0"/>
                <w:iCs w:val="0"/>
                <w:sz w:val="20"/>
                <w:szCs w:val="20"/>
              </w:rPr>
              <w:t xml:space="preserve"> and </w:t>
            </w:r>
            <w:r w:rsidR="00C60350" w:rsidRPr="00146E3A">
              <w:rPr>
                <w:rStyle w:val="Emphasis"/>
                <w:rFonts w:cs="Arial"/>
                <w:i w:val="0"/>
                <w:iCs w:val="0"/>
                <w:sz w:val="20"/>
                <w:szCs w:val="20"/>
              </w:rPr>
              <w:t xml:space="preserve">is recommended </w:t>
            </w:r>
            <w:r w:rsidR="00EF7AFF" w:rsidRPr="00146E3A">
              <w:rPr>
                <w:rStyle w:val="Emphasis"/>
                <w:rFonts w:cs="Arial"/>
                <w:i w:val="0"/>
                <w:iCs w:val="0"/>
                <w:sz w:val="20"/>
                <w:szCs w:val="20"/>
              </w:rPr>
              <w:t>for 10 year approval</w:t>
            </w:r>
            <w:r w:rsidR="00857BF2" w:rsidRPr="00146E3A">
              <w:rPr>
                <w:rStyle w:val="Emphasis"/>
                <w:rFonts w:cs="Arial"/>
                <w:i w:val="0"/>
                <w:iCs w:val="0"/>
                <w:sz w:val="20"/>
                <w:szCs w:val="20"/>
              </w:rPr>
              <w:t xml:space="preserve"> (2016</w:t>
            </w:r>
            <w:r w:rsidR="00072FDA" w:rsidRPr="00146E3A">
              <w:rPr>
                <w:rStyle w:val="Emphasis"/>
                <w:rFonts w:cs="Arial"/>
                <w:i w:val="0"/>
                <w:iCs w:val="0"/>
                <w:sz w:val="20"/>
                <w:szCs w:val="20"/>
              </w:rPr>
              <w:t> </w:t>
            </w:r>
            <w:r w:rsidR="00857BF2" w:rsidRPr="00146E3A">
              <w:rPr>
                <w:rStyle w:val="Emphasis"/>
                <w:rFonts w:cs="Arial"/>
                <w:i w:val="0"/>
                <w:iCs w:val="0"/>
                <w:sz w:val="20"/>
                <w:szCs w:val="20"/>
              </w:rPr>
              <w:t>to 2026)</w:t>
            </w:r>
            <w:r w:rsidR="00EF7AFF" w:rsidRPr="00146E3A">
              <w:rPr>
                <w:rStyle w:val="Emphasis"/>
                <w:rFonts w:cs="Arial"/>
                <w:i w:val="0"/>
                <w:iCs w:val="0"/>
                <w:sz w:val="20"/>
                <w:szCs w:val="20"/>
              </w:rPr>
              <w:t>.</w:t>
            </w:r>
            <w:r w:rsidR="00146E3A">
              <w:rPr>
                <w:rStyle w:val="Emphasis"/>
                <w:rFonts w:cs="Arial"/>
                <w:i w:val="0"/>
                <w:iCs w:val="0"/>
                <w:sz w:val="20"/>
                <w:szCs w:val="20"/>
              </w:rPr>
              <w:t xml:space="preserve"> </w:t>
            </w:r>
          </w:p>
          <w:p w14:paraId="1631B383" w14:textId="77777777" w:rsidR="00C23C8C" w:rsidRPr="00146E3A" w:rsidRDefault="00752F07" w:rsidP="00146E3A">
            <w:pPr>
              <w:spacing w:before="60" w:after="60" w:line="240" w:lineRule="auto"/>
              <w:rPr>
                <w:rStyle w:val="Emphasis"/>
                <w:rFonts w:cs="Arial"/>
                <w:i w:val="0"/>
                <w:iCs w:val="0"/>
                <w:sz w:val="20"/>
                <w:szCs w:val="20"/>
              </w:rPr>
            </w:pPr>
            <w:r w:rsidRPr="00146E3A">
              <w:rPr>
                <w:rStyle w:val="Emphasis"/>
                <w:rFonts w:cs="Arial"/>
                <w:i w:val="0"/>
                <w:iCs w:val="0"/>
                <w:sz w:val="20"/>
                <w:szCs w:val="20"/>
              </w:rPr>
              <w:t xml:space="preserve">The Department considers it important for AFMA to undertake its planned update of the ecological risk assessments (ERAs) </w:t>
            </w:r>
            <w:r w:rsidR="00EB2A3E" w:rsidRPr="00146E3A">
              <w:rPr>
                <w:rStyle w:val="Emphasis"/>
                <w:rFonts w:cs="Arial"/>
                <w:i w:val="0"/>
                <w:iCs w:val="0"/>
                <w:sz w:val="20"/>
                <w:szCs w:val="20"/>
              </w:rPr>
              <w:t>in 2018 and for that process to include consideration of species, habitats and ecological communities.</w:t>
            </w:r>
          </w:p>
        </w:tc>
      </w:tr>
    </w:tbl>
    <w:p w14:paraId="1631B385" w14:textId="77777777" w:rsidR="00A6139F" w:rsidRPr="006C6712" w:rsidRDefault="00A6139F" w:rsidP="00146E3A">
      <w:pPr>
        <w:spacing w:before="60" w:after="60" w:line="240" w:lineRule="auto"/>
        <w:rPr>
          <w:rStyle w:val="Emphasis"/>
          <w:rFonts w:cs="Arial"/>
          <w:b/>
          <w:i w:val="0"/>
          <w:iCs w:val="0"/>
          <w:sz w:val="20"/>
          <w:szCs w:val="20"/>
          <w:u w:val="single"/>
        </w:rPr>
      </w:pPr>
    </w:p>
    <w:p w14:paraId="26F2E473" w14:textId="77777777" w:rsidR="00146E3A" w:rsidRDefault="00146E3A" w:rsidP="00146E3A">
      <w:pPr>
        <w:spacing w:before="60" w:after="60" w:line="240" w:lineRule="auto"/>
        <w:rPr>
          <w:rStyle w:val="Emphasis"/>
          <w:rFonts w:cs="Arial"/>
          <w:b/>
          <w:i w:val="0"/>
          <w:iCs w:val="0"/>
          <w:sz w:val="20"/>
          <w:szCs w:val="20"/>
          <w:u w:val="single"/>
        </w:rPr>
        <w:sectPr w:rsidR="00146E3A" w:rsidSect="00625455">
          <w:headerReference w:type="even" r:id="rId21"/>
          <w:headerReference w:type="default" r:id="rId22"/>
          <w:footerReference w:type="default" r:id="rId23"/>
          <w:pgSz w:w="16838" w:h="11906" w:orient="landscape"/>
          <w:pgMar w:top="709" w:right="1361" w:bottom="709" w:left="1361" w:header="709" w:footer="54" w:gutter="0"/>
          <w:cols w:space="708"/>
          <w:docGrid w:linePitch="360"/>
        </w:sectPr>
      </w:pPr>
    </w:p>
    <w:p w14:paraId="1631B387" w14:textId="68628771" w:rsidR="00AC0090" w:rsidRPr="00146E3A" w:rsidRDefault="008A0759" w:rsidP="00146E3A">
      <w:pPr>
        <w:spacing w:before="60" w:after="60" w:line="240" w:lineRule="auto"/>
        <w:rPr>
          <w:rStyle w:val="Emphasis"/>
          <w:rFonts w:cs="Arial"/>
          <w:b/>
          <w:i w:val="0"/>
          <w:iCs w:val="0"/>
          <w:u w:val="single"/>
        </w:rPr>
      </w:pPr>
      <w:r w:rsidRPr="00146E3A">
        <w:rPr>
          <w:rStyle w:val="Emphasis"/>
          <w:rFonts w:cs="Arial"/>
          <w:b/>
          <w:i w:val="0"/>
          <w:iCs w:val="0"/>
          <w:u w:val="single"/>
        </w:rPr>
        <w:lastRenderedPageBreak/>
        <w:t>Notes:</w:t>
      </w:r>
    </w:p>
    <w:p w14:paraId="1631B388" w14:textId="77777777" w:rsidR="00DD1227" w:rsidRPr="006C6712" w:rsidRDefault="00DD1227" w:rsidP="00146E3A">
      <w:pPr>
        <w:spacing w:before="60" w:after="60" w:line="240" w:lineRule="auto"/>
        <w:rPr>
          <w:rStyle w:val="Emphasis"/>
          <w:rFonts w:cs="Arial"/>
          <w:b/>
          <w:i w:val="0"/>
          <w:iCs w:val="0"/>
          <w:sz w:val="20"/>
          <w:szCs w:val="20"/>
        </w:rPr>
      </w:pPr>
      <w:r w:rsidRPr="006C6712">
        <w:rPr>
          <w:rStyle w:val="Emphasis"/>
          <w:rFonts w:cs="Arial"/>
          <w:b/>
          <w:i w:val="0"/>
          <w:iCs w:val="0"/>
          <w:sz w:val="20"/>
          <w:szCs w:val="20"/>
        </w:rPr>
        <w:t>Assessment history:</w:t>
      </w:r>
    </w:p>
    <w:p w14:paraId="1631B389" w14:textId="3E8B78BE" w:rsidR="00DD1227" w:rsidRPr="006C6712" w:rsidRDefault="00DD1227" w:rsidP="00146E3A">
      <w:pPr>
        <w:pStyle w:val="ListBullet"/>
        <w:spacing w:before="60" w:after="60" w:line="240" w:lineRule="auto"/>
        <w:ind w:left="0" w:firstLine="0"/>
        <w:rPr>
          <w:rStyle w:val="Emphasis"/>
          <w:rFonts w:cs="Arial"/>
          <w:i w:val="0"/>
          <w:iCs w:val="0"/>
          <w:sz w:val="20"/>
          <w:szCs w:val="20"/>
        </w:rPr>
      </w:pPr>
      <w:r w:rsidRPr="006C6712">
        <w:rPr>
          <w:rStyle w:val="Emphasis"/>
          <w:rFonts w:cs="Arial"/>
          <w:i w:val="0"/>
          <w:iCs w:val="0"/>
          <w:sz w:val="20"/>
          <w:szCs w:val="20"/>
        </w:rPr>
        <w:t>1</w:t>
      </w:r>
      <w:r w:rsidRPr="006C6712">
        <w:rPr>
          <w:rStyle w:val="Emphasis"/>
          <w:rFonts w:cs="Arial"/>
          <w:i w:val="0"/>
          <w:iCs w:val="0"/>
          <w:sz w:val="20"/>
          <w:szCs w:val="20"/>
          <w:vertAlign w:val="superscript"/>
        </w:rPr>
        <w:t>st</w:t>
      </w:r>
      <w:r w:rsidRPr="006C6712">
        <w:rPr>
          <w:rStyle w:val="Emphasis"/>
          <w:rFonts w:cs="Arial"/>
          <w:i w:val="0"/>
          <w:iCs w:val="0"/>
          <w:sz w:val="20"/>
          <w:szCs w:val="20"/>
        </w:rPr>
        <w:t xml:space="preserve"> assessment finalised 200</w:t>
      </w:r>
      <w:r w:rsidR="0088444D" w:rsidRPr="006C6712">
        <w:rPr>
          <w:rStyle w:val="Emphasis"/>
          <w:rFonts w:cs="Arial"/>
          <w:i w:val="0"/>
          <w:iCs w:val="0"/>
          <w:sz w:val="20"/>
          <w:szCs w:val="20"/>
        </w:rPr>
        <w:t>2 – WTO, reviewed in 2004 – WTO</w:t>
      </w:r>
      <w:r w:rsidRPr="006C6712">
        <w:rPr>
          <w:rStyle w:val="Emphasis"/>
          <w:rFonts w:cs="Arial"/>
          <w:i w:val="0"/>
          <w:iCs w:val="0"/>
          <w:sz w:val="20"/>
          <w:szCs w:val="20"/>
        </w:rPr>
        <w:t>, with 3 conditions and 6 rec</w:t>
      </w:r>
      <w:r w:rsidR="00214A10" w:rsidRPr="006C6712">
        <w:rPr>
          <w:rStyle w:val="Emphasis"/>
          <w:rFonts w:cs="Arial"/>
          <w:i w:val="0"/>
          <w:iCs w:val="0"/>
          <w:sz w:val="20"/>
          <w:szCs w:val="20"/>
        </w:rPr>
        <w:t>ommendation</w:t>
      </w:r>
      <w:r w:rsidRPr="006C6712">
        <w:rPr>
          <w:rStyle w:val="Emphasis"/>
          <w:rFonts w:cs="Arial"/>
          <w:i w:val="0"/>
          <w:iCs w:val="0"/>
          <w:sz w:val="20"/>
          <w:szCs w:val="20"/>
        </w:rPr>
        <w:t>s</w:t>
      </w:r>
    </w:p>
    <w:p w14:paraId="1631B38A" w14:textId="77777777" w:rsidR="00DD1227" w:rsidRPr="006C6712" w:rsidRDefault="00DD1227" w:rsidP="00146E3A">
      <w:pPr>
        <w:pStyle w:val="ListBullet"/>
        <w:spacing w:before="60" w:after="60" w:line="240" w:lineRule="auto"/>
        <w:ind w:left="0" w:firstLine="0"/>
        <w:rPr>
          <w:rStyle w:val="Emphasis"/>
          <w:rFonts w:cs="Arial"/>
          <w:i w:val="0"/>
          <w:iCs w:val="0"/>
          <w:sz w:val="20"/>
          <w:szCs w:val="20"/>
        </w:rPr>
      </w:pPr>
      <w:r w:rsidRPr="006C6712">
        <w:rPr>
          <w:rStyle w:val="Emphasis"/>
          <w:rFonts w:cs="Arial"/>
          <w:i w:val="0"/>
          <w:iCs w:val="0"/>
          <w:sz w:val="20"/>
          <w:szCs w:val="20"/>
        </w:rPr>
        <w:t>Reviewed in 2006, for scientific surveys only, no commercial catch – WTO with 4 conditions</w:t>
      </w:r>
    </w:p>
    <w:p w14:paraId="1631B38B" w14:textId="77777777" w:rsidR="00DD1227" w:rsidRPr="006C6712" w:rsidRDefault="00DD1227" w:rsidP="00146E3A">
      <w:pPr>
        <w:pStyle w:val="ListBullet"/>
        <w:spacing w:before="60" w:after="60" w:line="240" w:lineRule="auto"/>
        <w:ind w:left="0" w:firstLine="0"/>
        <w:rPr>
          <w:rStyle w:val="Emphasis"/>
          <w:rFonts w:cs="Arial"/>
          <w:i w:val="0"/>
          <w:iCs w:val="0"/>
          <w:sz w:val="20"/>
          <w:szCs w:val="20"/>
        </w:rPr>
      </w:pPr>
      <w:r w:rsidRPr="006C6712">
        <w:rPr>
          <w:rStyle w:val="Emphasis"/>
          <w:rFonts w:cs="Arial"/>
          <w:i w:val="0"/>
          <w:iCs w:val="0"/>
          <w:sz w:val="20"/>
          <w:szCs w:val="20"/>
        </w:rPr>
        <w:t>2</w:t>
      </w:r>
      <w:r w:rsidRPr="006C6712">
        <w:rPr>
          <w:rStyle w:val="Emphasis"/>
          <w:rFonts w:cs="Arial"/>
          <w:i w:val="0"/>
          <w:iCs w:val="0"/>
          <w:sz w:val="20"/>
          <w:szCs w:val="20"/>
          <w:vertAlign w:val="superscript"/>
        </w:rPr>
        <w:t>nd</w:t>
      </w:r>
      <w:r w:rsidRPr="006C6712">
        <w:rPr>
          <w:rStyle w:val="Emphasis"/>
          <w:rFonts w:cs="Arial"/>
          <w:i w:val="0"/>
          <w:iCs w:val="0"/>
          <w:sz w:val="20"/>
          <w:szCs w:val="20"/>
        </w:rPr>
        <w:t xml:space="preserve"> assessment finalised  2009 – WTO with 5 conditions</w:t>
      </w:r>
    </w:p>
    <w:p w14:paraId="1631B38C" w14:textId="77777777" w:rsidR="00DD1227" w:rsidRPr="006C6712" w:rsidRDefault="00DD1227" w:rsidP="00146E3A">
      <w:pPr>
        <w:pStyle w:val="ListBullet"/>
        <w:spacing w:before="60" w:after="60" w:line="240" w:lineRule="auto"/>
        <w:ind w:left="0" w:firstLine="0"/>
        <w:rPr>
          <w:rStyle w:val="Emphasis"/>
          <w:rFonts w:cs="Arial"/>
          <w:i w:val="0"/>
          <w:iCs w:val="0"/>
          <w:sz w:val="20"/>
          <w:szCs w:val="20"/>
        </w:rPr>
      </w:pPr>
      <w:r w:rsidRPr="006C6712">
        <w:rPr>
          <w:rStyle w:val="Emphasis"/>
          <w:rFonts w:cs="Arial"/>
          <w:i w:val="0"/>
          <w:iCs w:val="0"/>
          <w:sz w:val="20"/>
          <w:szCs w:val="20"/>
        </w:rPr>
        <w:t>3</w:t>
      </w:r>
      <w:r w:rsidRPr="006C6712">
        <w:rPr>
          <w:rStyle w:val="Emphasis"/>
          <w:rFonts w:cs="Arial"/>
          <w:i w:val="0"/>
          <w:iCs w:val="0"/>
          <w:sz w:val="20"/>
          <w:szCs w:val="20"/>
          <w:vertAlign w:val="superscript"/>
        </w:rPr>
        <w:t>rd</w:t>
      </w:r>
      <w:r w:rsidRPr="006C6712">
        <w:rPr>
          <w:rStyle w:val="Emphasis"/>
          <w:rFonts w:cs="Arial"/>
          <w:i w:val="0"/>
          <w:iCs w:val="0"/>
          <w:sz w:val="20"/>
          <w:szCs w:val="20"/>
        </w:rPr>
        <w:t xml:space="preserve"> assessment finalised 2013 – LENS with 5 recom</w:t>
      </w:r>
      <w:r w:rsidR="00214A10" w:rsidRPr="006C6712">
        <w:rPr>
          <w:rStyle w:val="Emphasis"/>
          <w:rFonts w:cs="Arial"/>
          <w:i w:val="0"/>
          <w:iCs w:val="0"/>
          <w:sz w:val="20"/>
          <w:szCs w:val="20"/>
        </w:rPr>
        <w:t>m</w:t>
      </w:r>
      <w:r w:rsidRPr="006C6712">
        <w:rPr>
          <w:rStyle w:val="Emphasis"/>
          <w:rFonts w:cs="Arial"/>
          <w:i w:val="0"/>
          <w:iCs w:val="0"/>
          <w:sz w:val="20"/>
          <w:szCs w:val="20"/>
        </w:rPr>
        <w:t>endations, Part 13 open ended (no public comments received)</w:t>
      </w:r>
    </w:p>
    <w:p w14:paraId="1631B38D" w14:textId="17716F05" w:rsidR="0072474B" w:rsidRPr="00A762F9" w:rsidRDefault="00DD1227" w:rsidP="00146E3A">
      <w:pPr>
        <w:pStyle w:val="ListBullet2"/>
        <w:spacing w:before="60" w:after="60" w:line="240" w:lineRule="auto"/>
        <w:ind w:left="0" w:firstLine="0"/>
        <w:rPr>
          <w:rStyle w:val="Hyperlink"/>
          <w:rFonts w:cs="Arial"/>
          <w:b/>
          <w:color w:val="auto"/>
          <w:sz w:val="20"/>
          <w:szCs w:val="20"/>
        </w:rPr>
      </w:pPr>
      <w:r w:rsidRPr="006C6712">
        <w:rPr>
          <w:rStyle w:val="Emphasis"/>
          <w:rFonts w:cs="Arial"/>
          <w:i w:val="0"/>
          <w:iCs w:val="0"/>
          <w:sz w:val="20"/>
          <w:szCs w:val="20"/>
        </w:rPr>
        <w:t xml:space="preserve">Most recent assessment report (April 2013): </w:t>
      </w:r>
      <w:hyperlink r:id="rId24" w:history="1">
        <w:r w:rsidRPr="006C6712">
          <w:rPr>
            <w:rStyle w:val="Hyperlink"/>
            <w:rFonts w:cs="Arial"/>
            <w:sz w:val="20"/>
            <w:szCs w:val="20"/>
          </w:rPr>
          <w:t>http://www.environment.gov.au/marine/fisheries/commonwealth/bass-strait</w:t>
        </w:r>
      </w:hyperlink>
      <w:r w:rsidR="00A762F9">
        <w:rPr>
          <w:rStyle w:val="Hyperlink"/>
          <w:rFonts w:cs="Arial"/>
          <w:sz w:val="20"/>
          <w:szCs w:val="20"/>
        </w:rPr>
        <w:t>.</w:t>
      </w:r>
    </w:p>
    <w:p w14:paraId="303FB78D" w14:textId="77777777" w:rsidR="00A762F9" w:rsidRPr="006C6712" w:rsidRDefault="00A762F9" w:rsidP="00146E3A">
      <w:pPr>
        <w:pStyle w:val="ListBullet2"/>
        <w:spacing w:before="60" w:after="60" w:line="240" w:lineRule="auto"/>
        <w:ind w:left="0" w:firstLine="0"/>
        <w:rPr>
          <w:rStyle w:val="Emphasis"/>
          <w:rFonts w:cs="Arial"/>
          <w:b/>
          <w:i w:val="0"/>
          <w:iCs w:val="0"/>
          <w:sz w:val="20"/>
          <w:szCs w:val="20"/>
          <w:u w:val="single"/>
        </w:rPr>
      </w:pPr>
    </w:p>
    <w:p w14:paraId="1631B38E" w14:textId="77777777" w:rsidR="00D23696" w:rsidRPr="006C6712" w:rsidRDefault="00D23696" w:rsidP="00146E3A">
      <w:pPr>
        <w:spacing w:before="60" w:after="60" w:line="240" w:lineRule="auto"/>
        <w:rPr>
          <w:rStyle w:val="Emphasis"/>
          <w:rFonts w:cs="Arial"/>
          <w:b/>
          <w:i w:val="0"/>
          <w:iCs w:val="0"/>
          <w:sz w:val="20"/>
          <w:szCs w:val="20"/>
          <w:u w:val="single"/>
        </w:rPr>
      </w:pPr>
      <w:r w:rsidRPr="006C6712">
        <w:rPr>
          <w:rStyle w:val="Emphasis"/>
          <w:rFonts w:cs="Arial"/>
          <w:b/>
          <w:i w:val="0"/>
          <w:iCs w:val="0"/>
          <w:sz w:val="20"/>
          <w:szCs w:val="20"/>
          <w:u w:val="single"/>
        </w:rPr>
        <w:t>Key links:</w:t>
      </w:r>
    </w:p>
    <w:p w14:paraId="1631B38F" w14:textId="77777777" w:rsidR="008A0759" w:rsidRPr="006C6712" w:rsidRDefault="008A0759" w:rsidP="00146E3A">
      <w:pPr>
        <w:spacing w:before="60" w:after="60" w:line="240" w:lineRule="auto"/>
        <w:rPr>
          <w:rStyle w:val="Emphasis"/>
          <w:rFonts w:cs="Arial"/>
          <w:i w:val="0"/>
          <w:iCs w:val="0"/>
          <w:sz w:val="20"/>
          <w:szCs w:val="20"/>
        </w:rPr>
      </w:pPr>
      <w:r w:rsidRPr="006C6712">
        <w:rPr>
          <w:rStyle w:val="Emphasis"/>
          <w:rFonts w:cs="Arial"/>
          <w:i w:val="0"/>
          <w:iCs w:val="0"/>
          <w:sz w:val="20"/>
          <w:szCs w:val="20"/>
          <w:u w:val="single"/>
        </w:rPr>
        <w:t>Protected species interactions</w:t>
      </w:r>
      <w:r w:rsidRPr="006C6712">
        <w:rPr>
          <w:rStyle w:val="Emphasis"/>
          <w:rFonts w:cs="Arial"/>
          <w:i w:val="0"/>
          <w:iCs w:val="0"/>
          <w:sz w:val="20"/>
          <w:szCs w:val="20"/>
        </w:rPr>
        <w:t xml:space="preserve"> –</w:t>
      </w:r>
      <w:r w:rsidR="00F873C1" w:rsidRPr="006C6712">
        <w:rPr>
          <w:rStyle w:val="Emphasis"/>
          <w:rFonts w:cs="Arial"/>
          <w:i w:val="0"/>
          <w:iCs w:val="0"/>
          <w:sz w:val="20"/>
          <w:szCs w:val="20"/>
        </w:rPr>
        <w:t xml:space="preserve"> </w:t>
      </w:r>
      <w:r w:rsidR="00BC5B3A" w:rsidRPr="006C6712">
        <w:rPr>
          <w:rStyle w:val="Emphasis"/>
          <w:rFonts w:cs="Arial"/>
          <w:i w:val="0"/>
          <w:iCs w:val="0"/>
          <w:sz w:val="20"/>
          <w:szCs w:val="20"/>
        </w:rPr>
        <w:t>publicly</w:t>
      </w:r>
      <w:r w:rsidR="00F873C1" w:rsidRPr="006C6712">
        <w:rPr>
          <w:rStyle w:val="Emphasis"/>
          <w:rFonts w:cs="Arial"/>
          <w:i w:val="0"/>
          <w:iCs w:val="0"/>
          <w:sz w:val="20"/>
          <w:szCs w:val="20"/>
        </w:rPr>
        <w:t xml:space="preserve"> available via the AFMA website</w:t>
      </w:r>
      <w:proofErr w:type="gramStart"/>
      <w:r w:rsidR="00F873C1" w:rsidRPr="006C6712">
        <w:rPr>
          <w:rStyle w:val="Emphasis"/>
          <w:rFonts w:cs="Arial"/>
          <w:i w:val="0"/>
          <w:iCs w:val="0"/>
          <w:sz w:val="20"/>
          <w:szCs w:val="20"/>
        </w:rPr>
        <w:t>:</w:t>
      </w:r>
      <w:proofErr w:type="gramEnd"/>
      <w:r w:rsidR="00F94B3A" w:rsidRPr="006C6712">
        <w:rPr>
          <w:rStyle w:val="Emphasis"/>
          <w:rFonts w:cs="Arial"/>
          <w:i w:val="0"/>
          <w:iCs w:val="0"/>
          <w:sz w:val="20"/>
          <w:szCs w:val="20"/>
        </w:rPr>
        <w:br/>
      </w:r>
      <w:hyperlink r:id="rId25" w:history="1">
        <w:r w:rsidR="00F873C1" w:rsidRPr="006C6712">
          <w:rPr>
            <w:rStyle w:val="Hyperlink"/>
            <w:rFonts w:cs="Arial"/>
            <w:sz w:val="20"/>
            <w:szCs w:val="20"/>
          </w:rPr>
          <w:t>http://www.afma.gov.au/sustainability-environment/protected-species-management/protected-species-interaction-reports/</w:t>
        </w:r>
      </w:hyperlink>
    </w:p>
    <w:p w14:paraId="1631B390" w14:textId="77777777" w:rsidR="00DD1227" w:rsidRPr="006C6712" w:rsidRDefault="00DD1227" w:rsidP="00146E3A">
      <w:pPr>
        <w:spacing w:before="60" w:after="60" w:line="240" w:lineRule="auto"/>
        <w:rPr>
          <w:rStyle w:val="Emphasis"/>
          <w:rFonts w:cs="Arial"/>
          <w:i w:val="0"/>
          <w:iCs w:val="0"/>
          <w:sz w:val="20"/>
          <w:szCs w:val="20"/>
        </w:rPr>
      </w:pPr>
      <w:r w:rsidRPr="006C6712">
        <w:rPr>
          <w:rStyle w:val="Emphasis"/>
          <w:rFonts w:cs="Arial"/>
          <w:i w:val="0"/>
          <w:iCs w:val="0"/>
          <w:sz w:val="20"/>
          <w:szCs w:val="20"/>
          <w:u w:val="single"/>
        </w:rPr>
        <w:t>Annual reports (rec</w:t>
      </w:r>
      <w:r w:rsidR="00214A10" w:rsidRPr="006C6712">
        <w:rPr>
          <w:rStyle w:val="Emphasis"/>
          <w:rFonts w:cs="Arial"/>
          <w:i w:val="0"/>
          <w:iCs w:val="0"/>
          <w:sz w:val="20"/>
          <w:szCs w:val="20"/>
          <w:u w:val="single"/>
        </w:rPr>
        <w:t>ommendation</w:t>
      </w:r>
      <w:r w:rsidRPr="006C6712">
        <w:rPr>
          <w:rStyle w:val="Emphasis"/>
          <w:rFonts w:cs="Arial"/>
          <w:i w:val="0"/>
          <w:iCs w:val="0"/>
          <w:sz w:val="20"/>
          <w:szCs w:val="20"/>
          <w:u w:val="single"/>
        </w:rPr>
        <w:t>. 3)</w:t>
      </w:r>
      <w:r w:rsidRPr="006C6712">
        <w:rPr>
          <w:rStyle w:val="Emphasis"/>
          <w:rFonts w:cs="Arial"/>
          <w:i w:val="0"/>
          <w:iCs w:val="0"/>
          <w:sz w:val="20"/>
          <w:szCs w:val="20"/>
        </w:rPr>
        <w:t xml:space="preserve">: </w:t>
      </w:r>
      <w:r w:rsidR="00691796" w:rsidRPr="006C6712">
        <w:rPr>
          <w:rStyle w:val="Emphasis"/>
          <w:rFonts w:cs="Arial"/>
          <w:i w:val="0"/>
          <w:iCs w:val="0"/>
          <w:sz w:val="20"/>
          <w:szCs w:val="20"/>
        </w:rPr>
        <w:t>R</w:t>
      </w:r>
      <w:r w:rsidR="00F94B3A" w:rsidRPr="006C6712">
        <w:rPr>
          <w:rStyle w:val="Emphasis"/>
          <w:rFonts w:cs="Arial"/>
          <w:i w:val="0"/>
          <w:iCs w:val="0"/>
          <w:sz w:val="20"/>
          <w:szCs w:val="20"/>
        </w:rPr>
        <w:t>eport</w:t>
      </w:r>
      <w:r w:rsidR="00691796" w:rsidRPr="006C6712">
        <w:rPr>
          <w:rStyle w:val="Emphasis"/>
          <w:rFonts w:cs="Arial"/>
          <w:i w:val="0"/>
          <w:iCs w:val="0"/>
          <w:sz w:val="20"/>
          <w:szCs w:val="20"/>
        </w:rPr>
        <w:t>s provided to the department.</w:t>
      </w:r>
    </w:p>
    <w:p w14:paraId="1631B391" w14:textId="77777777" w:rsidR="00F94B3A" w:rsidRPr="006C6712" w:rsidRDefault="00F94B3A" w:rsidP="00146E3A">
      <w:pPr>
        <w:spacing w:before="60" w:after="60" w:line="240" w:lineRule="auto"/>
        <w:rPr>
          <w:rStyle w:val="Emphasis"/>
          <w:rFonts w:cs="Arial"/>
          <w:i w:val="0"/>
          <w:iCs w:val="0"/>
          <w:sz w:val="20"/>
          <w:szCs w:val="20"/>
        </w:rPr>
      </w:pPr>
      <w:r w:rsidRPr="006C6712">
        <w:rPr>
          <w:rStyle w:val="Emphasis"/>
          <w:rFonts w:cs="Arial"/>
          <w:i w:val="0"/>
          <w:iCs w:val="0"/>
          <w:sz w:val="20"/>
          <w:szCs w:val="20"/>
        </w:rPr>
        <w:t xml:space="preserve">AFMA annual (corporate) reports, which include a summary of fishery performance: </w:t>
      </w:r>
      <w:hyperlink r:id="rId26" w:history="1">
        <w:r w:rsidRPr="006C6712">
          <w:rPr>
            <w:rStyle w:val="Hyperlink"/>
            <w:rFonts w:cs="Arial"/>
            <w:sz w:val="20"/>
            <w:szCs w:val="20"/>
          </w:rPr>
          <w:t>http://www.afma.gov.au/about/corporate-publications/</w:t>
        </w:r>
      </w:hyperlink>
    </w:p>
    <w:p w14:paraId="1631B392" w14:textId="77777777" w:rsidR="00DD1227" w:rsidRPr="006C6712" w:rsidRDefault="00DD1227" w:rsidP="00146E3A">
      <w:pPr>
        <w:spacing w:before="60" w:after="60" w:line="240" w:lineRule="auto"/>
        <w:rPr>
          <w:rStyle w:val="Emphasis"/>
          <w:rFonts w:cs="Arial"/>
          <w:i w:val="0"/>
          <w:iCs w:val="0"/>
          <w:sz w:val="20"/>
          <w:szCs w:val="20"/>
        </w:rPr>
      </w:pPr>
      <w:r w:rsidRPr="006C6712">
        <w:rPr>
          <w:rStyle w:val="Emphasis"/>
          <w:rFonts w:cs="Arial"/>
          <w:i w:val="0"/>
          <w:iCs w:val="0"/>
          <w:sz w:val="20"/>
          <w:szCs w:val="20"/>
          <w:u w:val="single"/>
        </w:rPr>
        <w:t>Protected species interactions</w:t>
      </w:r>
      <w:r w:rsidRPr="006C6712">
        <w:rPr>
          <w:rStyle w:val="Emphasis"/>
          <w:rFonts w:cs="Arial"/>
          <w:i w:val="0"/>
          <w:iCs w:val="0"/>
          <w:sz w:val="20"/>
          <w:szCs w:val="20"/>
        </w:rPr>
        <w:t xml:space="preserve">: </w:t>
      </w:r>
      <w:r w:rsidR="006407AD" w:rsidRPr="006C6712">
        <w:rPr>
          <w:rStyle w:val="Emphasis"/>
          <w:rFonts w:cs="Arial"/>
          <w:i w:val="0"/>
          <w:iCs w:val="0"/>
          <w:sz w:val="20"/>
          <w:szCs w:val="20"/>
        </w:rPr>
        <w:t>Syngnathids</w:t>
      </w:r>
      <w:r w:rsidRPr="006C6712">
        <w:rPr>
          <w:rStyle w:val="Emphasis"/>
          <w:rFonts w:cs="Arial"/>
          <w:i w:val="0"/>
          <w:iCs w:val="0"/>
          <w:sz w:val="20"/>
          <w:szCs w:val="20"/>
        </w:rPr>
        <w:t xml:space="preserve"> are the only protected taxa that have been recorded; however there have been no reported interactions, at least since January 2012 (based on available records). Interactions for all AFMA fisheries are publicly reported at </w:t>
      </w:r>
      <w:hyperlink r:id="rId27" w:history="1">
        <w:r w:rsidRPr="006C6712">
          <w:rPr>
            <w:rStyle w:val="Hyperlink"/>
            <w:rFonts w:cs="Arial"/>
            <w:sz w:val="20"/>
            <w:szCs w:val="20"/>
          </w:rPr>
          <w:t>http://www.afma.gov.au/sustainability-environment/protected-species-management/protected-species-interaction-reports/</w:t>
        </w:r>
      </w:hyperlink>
      <w:r w:rsidRPr="006C6712">
        <w:rPr>
          <w:rStyle w:val="Emphasis"/>
          <w:rFonts w:cs="Arial"/>
          <w:i w:val="0"/>
          <w:iCs w:val="0"/>
          <w:sz w:val="20"/>
          <w:szCs w:val="20"/>
        </w:rPr>
        <w:t xml:space="preserve"> </w:t>
      </w:r>
    </w:p>
    <w:p w14:paraId="1631B393" w14:textId="77777777" w:rsidR="00DD1227" w:rsidRPr="006C6712" w:rsidRDefault="00DD1227" w:rsidP="00146E3A">
      <w:pPr>
        <w:spacing w:before="60" w:after="60" w:line="240" w:lineRule="auto"/>
        <w:rPr>
          <w:rStyle w:val="Emphasis"/>
          <w:rFonts w:cs="Arial"/>
          <w:i w:val="0"/>
          <w:iCs w:val="0"/>
          <w:sz w:val="20"/>
          <w:szCs w:val="20"/>
        </w:rPr>
      </w:pPr>
      <w:r w:rsidRPr="006C6712">
        <w:rPr>
          <w:rStyle w:val="Emphasis"/>
          <w:rFonts w:cs="Arial"/>
          <w:i w:val="0"/>
          <w:iCs w:val="0"/>
          <w:sz w:val="20"/>
          <w:szCs w:val="20"/>
        </w:rPr>
        <w:t xml:space="preserve">Fishery information </w:t>
      </w:r>
      <w:r w:rsidR="005C67AA" w:rsidRPr="006C6712">
        <w:rPr>
          <w:rStyle w:val="Emphasis"/>
          <w:rFonts w:cs="Arial"/>
          <w:i w:val="0"/>
          <w:iCs w:val="0"/>
          <w:sz w:val="20"/>
          <w:szCs w:val="20"/>
        </w:rPr>
        <w:t xml:space="preserve">available </w:t>
      </w:r>
      <w:r w:rsidRPr="006C6712">
        <w:rPr>
          <w:rStyle w:val="Emphasis"/>
          <w:rFonts w:cs="Arial"/>
          <w:i w:val="0"/>
          <w:iCs w:val="0"/>
          <w:sz w:val="20"/>
          <w:szCs w:val="20"/>
        </w:rPr>
        <w:t>on AFMA website</w:t>
      </w:r>
      <w:r w:rsidRPr="006C6712">
        <w:rPr>
          <w:rFonts w:cs="Arial"/>
          <w:sz w:val="20"/>
          <w:szCs w:val="20"/>
        </w:rPr>
        <w:t xml:space="preserve">: </w:t>
      </w:r>
      <w:hyperlink r:id="rId28" w:history="1">
        <w:r w:rsidRPr="006C6712">
          <w:rPr>
            <w:rStyle w:val="Hyperlink"/>
            <w:rFonts w:cs="Arial"/>
            <w:sz w:val="20"/>
            <w:szCs w:val="20"/>
          </w:rPr>
          <w:t>http://www.afma.gov.au/fisheries/bass-strait-central-zone-scallop-fishery/</w:t>
        </w:r>
      </w:hyperlink>
    </w:p>
    <w:p w14:paraId="1631B394" w14:textId="77777777" w:rsidR="00DD1227" w:rsidRPr="006C6712" w:rsidRDefault="00DD1227" w:rsidP="00146E3A">
      <w:pPr>
        <w:spacing w:before="60" w:after="60" w:line="240" w:lineRule="auto"/>
        <w:rPr>
          <w:rFonts w:cs="Arial"/>
          <w:sz w:val="20"/>
          <w:szCs w:val="20"/>
        </w:rPr>
      </w:pPr>
      <w:r w:rsidRPr="006C6712">
        <w:rPr>
          <w:rStyle w:val="Emphasis"/>
          <w:rFonts w:cs="Arial"/>
          <w:i w:val="0"/>
          <w:iCs w:val="0"/>
          <w:sz w:val="20"/>
          <w:szCs w:val="20"/>
        </w:rPr>
        <w:t xml:space="preserve">Management arrangements booklet 2015: </w:t>
      </w:r>
      <w:hyperlink r:id="rId29" w:history="1">
        <w:r w:rsidRPr="006C6712">
          <w:rPr>
            <w:rStyle w:val="Hyperlink"/>
            <w:rFonts w:cs="Arial"/>
            <w:sz w:val="20"/>
            <w:szCs w:val="20"/>
          </w:rPr>
          <w:t>http://www.afma.gov.au/wp-content/uploads/2014/08/BSCZSF-Management-Arrangements-2015-Final.pdf</w:t>
        </w:r>
      </w:hyperlink>
    </w:p>
    <w:p w14:paraId="1631B395" w14:textId="77777777" w:rsidR="00DD1227" w:rsidRPr="006C6712" w:rsidRDefault="006A1422" w:rsidP="00146E3A">
      <w:pPr>
        <w:spacing w:before="60" w:after="60" w:line="240" w:lineRule="auto"/>
        <w:rPr>
          <w:rFonts w:cs="Arial"/>
          <w:sz w:val="20"/>
          <w:szCs w:val="20"/>
        </w:rPr>
      </w:pPr>
      <w:hyperlink r:id="rId30" w:history="1">
        <w:r w:rsidR="00DD1227" w:rsidRPr="006C6712">
          <w:rPr>
            <w:rStyle w:val="Hyperlink"/>
            <w:rFonts w:cs="Arial"/>
            <w:sz w:val="20"/>
            <w:szCs w:val="20"/>
          </w:rPr>
          <w:t>Bass Strait Central Zone Scallop Fishery Harvest Strategy June 2015</w:t>
        </w:r>
      </w:hyperlink>
    </w:p>
    <w:p w14:paraId="1631B396" w14:textId="77777777" w:rsidR="00DD1227" w:rsidRPr="006C6712" w:rsidRDefault="00BC5B3A" w:rsidP="00146E3A">
      <w:pPr>
        <w:spacing w:before="60" w:after="60" w:line="240" w:lineRule="auto"/>
        <w:rPr>
          <w:rStyle w:val="Emphasis"/>
          <w:rFonts w:cs="Arial"/>
          <w:i w:val="0"/>
          <w:iCs w:val="0"/>
          <w:sz w:val="20"/>
          <w:szCs w:val="20"/>
          <w:u w:val="single"/>
        </w:rPr>
      </w:pPr>
      <w:r w:rsidRPr="006C6712">
        <w:rPr>
          <w:rStyle w:val="Emphasis"/>
          <w:rFonts w:cs="Arial"/>
          <w:i w:val="0"/>
          <w:iCs w:val="0"/>
          <w:sz w:val="20"/>
          <w:szCs w:val="20"/>
          <w:u w:val="single"/>
        </w:rPr>
        <w:t xml:space="preserve">Ecological Risk Assessment </w:t>
      </w:r>
      <w:r w:rsidR="005C67AA" w:rsidRPr="006C6712">
        <w:rPr>
          <w:rStyle w:val="Emphasis"/>
          <w:rFonts w:cs="Arial"/>
          <w:i w:val="0"/>
          <w:iCs w:val="0"/>
          <w:sz w:val="20"/>
          <w:szCs w:val="20"/>
          <w:u w:val="single"/>
        </w:rPr>
        <w:t xml:space="preserve">(ERA) </w:t>
      </w:r>
      <w:r w:rsidRPr="006C6712">
        <w:rPr>
          <w:rStyle w:val="Emphasis"/>
          <w:rFonts w:cs="Arial"/>
          <w:i w:val="0"/>
          <w:iCs w:val="0"/>
          <w:sz w:val="20"/>
          <w:szCs w:val="20"/>
          <w:u w:val="single"/>
        </w:rPr>
        <w:t>and Ecological Risk Management</w:t>
      </w:r>
      <w:r w:rsidR="005C67AA" w:rsidRPr="006C6712">
        <w:rPr>
          <w:rStyle w:val="Emphasis"/>
          <w:rFonts w:cs="Arial"/>
          <w:i w:val="0"/>
          <w:iCs w:val="0"/>
          <w:sz w:val="20"/>
          <w:szCs w:val="20"/>
          <w:u w:val="single"/>
        </w:rPr>
        <w:t xml:space="preserve"> (ERM)</w:t>
      </w:r>
    </w:p>
    <w:p w14:paraId="1631B397" w14:textId="77777777" w:rsidR="00DD1227" w:rsidRPr="006C6712" w:rsidRDefault="006A1422" w:rsidP="00146E3A">
      <w:pPr>
        <w:numPr>
          <w:ilvl w:val="0"/>
          <w:numId w:val="35"/>
        </w:numPr>
        <w:shd w:val="clear" w:color="auto" w:fill="FFFFFF"/>
        <w:spacing w:before="60" w:after="60" w:line="240" w:lineRule="auto"/>
        <w:ind w:left="0" w:firstLine="0"/>
        <w:rPr>
          <w:rFonts w:cs="Arial"/>
          <w:color w:val="000000"/>
          <w:sz w:val="20"/>
          <w:szCs w:val="20"/>
          <w:lang w:val="en-US"/>
        </w:rPr>
      </w:pPr>
      <w:hyperlink r:id="rId31" w:history="1">
        <w:r w:rsidR="00DD1227" w:rsidRPr="006C6712">
          <w:rPr>
            <w:rStyle w:val="Hyperlink"/>
            <w:rFonts w:cs="Arial"/>
            <w:sz w:val="20"/>
            <w:szCs w:val="20"/>
            <w:lang w:val="en-US"/>
          </w:rPr>
          <w:t>Ecological Risk Assessment for Effects of Fishing Report for the Bass Strait Central Zone Scallop Sub-Fishery</w:t>
        </w:r>
      </w:hyperlink>
    </w:p>
    <w:p w14:paraId="1631B398" w14:textId="77777777" w:rsidR="00DD1227" w:rsidRPr="006C6712" w:rsidRDefault="006A1422" w:rsidP="00146E3A">
      <w:pPr>
        <w:numPr>
          <w:ilvl w:val="0"/>
          <w:numId w:val="35"/>
        </w:numPr>
        <w:shd w:val="clear" w:color="auto" w:fill="FFFFFF"/>
        <w:spacing w:before="60" w:after="60" w:line="240" w:lineRule="auto"/>
        <w:ind w:left="0" w:firstLine="0"/>
        <w:rPr>
          <w:rFonts w:cs="Arial"/>
          <w:color w:val="000000"/>
          <w:sz w:val="20"/>
          <w:szCs w:val="20"/>
          <w:lang w:val="en-US"/>
        </w:rPr>
      </w:pPr>
      <w:hyperlink r:id="rId32" w:history="1">
        <w:r w:rsidR="00DD1227" w:rsidRPr="006C6712">
          <w:rPr>
            <w:rStyle w:val="Hyperlink"/>
            <w:rFonts w:cs="Arial"/>
            <w:sz w:val="20"/>
            <w:szCs w:val="20"/>
            <w:lang w:val="en-US"/>
          </w:rPr>
          <w:t>Residual Risk Assessment for the Bass Strait Central Zone Scallop Fishery</w:t>
        </w:r>
      </w:hyperlink>
    </w:p>
    <w:p w14:paraId="1631B399" w14:textId="77777777" w:rsidR="00DD1227" w:rsidRPr="006C6712" w:rsidRDefault="006A1422" w:rsidP="00146E3A">
      <w:pPr>
        <w:numPr>
          <w:ilvl w:val="0"/>
          <w:numId w:val="35"/>
        </w:numPr>
        <w:shd w:val="clear" w:color="auto" w:fill="FFFFFF"/>
        <w:spacing w:before="60" w:after="60" w:line="240" w:lineRule="auto"/>
        <w:ind w:left="0" w:firstLine="0"/>
        <w:rPr>
          <w:rFonts w:cs="Arial"/>
          <w:color w:val="000000"/>
          <w:sz w:val="20"/>
          <w:szCs w:val="20"/>
          <w:lang w:val="en-US"/>
        </w:rPr>
      </w:pPr>
      <w:hyperlink r:id="rId33" w:history="1">
        <w:r w:rsidR="00DD1227" w:rsidRPr="006C6712">
          <w:rPr>
            <w:rStyle w:val="Hyperlink"/>
            <w:rFonts w:cs="Arial"/>
            <w:sz w:val="20"/>
            <w:szCs w:val="20"/>
            <w:lang w:val="en-US"/>
          </w:rPr>
          <w:t>Ecological Risk Management Report for the Bass Strait Central Zone Scallop Fishery</w:t>
        </w:r>
      </w:hyperlink>
    </w:p>
    <w:p w14:paraId="1631B39A" w14:textId="77777777" w:rsidR="00DD1227" w:rsidRPr="006C6712" w:rsidRDefault="006A1422" w:rsidP="00146E3A">
      <w:pPr>
        <w:numPr>
          <w:ilvl w:val="0"/>
          <w:numId w:val="35"/>
        </w:numPr>
        <w:shd w:val="clear" w:color="auto" w:fill="FFFFFF"/>
        <w:spacing w:before="60" w:after="60" w:line="240" w:lineRule="auto"/>
        <w:ind w:left="0" w:firstLine="0"/>
        <w:rPr>
          <w:rFonts w:cs="Arial"/>
          <w:color w:val="000000"/>
          <w:sz w:val="20"/>
          <w:szCs w:val="20"/>
          <w:lang w:val="en-US"/>
        </w:rPr>
      </w:pPr>
      <w:hyperlink r:id="rId34" w:history="1">
        <w:r w:rsidR="00DD1227" w:rsidRPr="006C6712">
          <w:rPr>
            <w:rStyle w:val="Hyperlink"/>
            <w:rFonts w:cs="Arial"/>
            <w:sz w:val="20"/>
            <w:szCs w:val="20"/>
            <w:lang w:val="en-US"/>
          </w:rPr>
          <w:t xml:space="preserve">Bass Strait Central Zone Scallop Fishery Bycatch and Discarding </w:t>
        </w:r>
        <w:proofErr w:type="spellStart"/>
        <w:r w:rsidR="00DD1227" w:rsidRPr="006C6712">
          <w:rPr>
            <w:rStyle w:val="Hyperlink"/>
            <w:rFonts w:cs="Arial"/>
            <w:sz w:val="20"/>
            <w:szCs w:val="20"/>
            <w:lang w:val="en-US"/>
          </w:rPr>
          <w:t>Workplan</w:t>
        </w:r>
        <w:proofErr w:type="spellEnd"/>
        <w:r w:rsidR="00DD1227" w:rsidRPr="006C6712">
          <w:rPr>
            <w:rStyle w:val="Hyperlink"/>
            <w:rFonts w:cs="Arial"/>
            <w:sz w:val="20"/>
            <w:szCs w:val="20"/>
            <w:lang w:val="en-US"/>
          </w:rPr>
          <w:t xml:space="preserve"> 1 May 2015 to 31 March 2017</w:t>
        </w:r>
      </w:hyperlink>
    </w:p>
    <w:p w14:paraId="1631B39B" w14:textId="77777777" w:rsidR="00DD1227" w:rsidRPr="006C6712" w:rsidRDefault="006A1422" w:rsidP="00146E3A">
      <w:pPr>
        <w:spacing w:before="60" w:after="60" w:line="240" w:lineRule="auto"/>
        <w:rPr>
          <w:rStyle w:val="Emphasis"/>
          <w:rFonts w:cs="Arial"/>
          <w:i w:val="0"/>
          <w:iCs w:val="0"/>
          <w:sz w:val="20"/>
          <w:szCs w:val="20"/>
        </w:rPr>
      </w:pPr>
      <w:hyperlink r:id="rId35" w:history="1">
        <w:r w:rsidR="00DD1227" w:rsidRPr="006C6712">
          <w:rPr>
            <w:rStyle w:val="Hyperlink"/>
            <w:rFonts w:cs="Arial"/>
            <w:sz w:val="20"/>
            <w:szCs w:val="20"/>
          </w:rPr>
          <w:t>ABARES Fishery Status Reports 2015</w:t>
        </w:r>
      </w:hyperlink>
      <w:r w:rsidR="00DD1227" w:rsidRPr="006C6712">
        <w:rPr>
          <w:rStyle w:val="Emphasis"/>
          <w:rFonts w:cs="Arial"/>
          <w:i w:val="0"/>
          <w:iCs w:val="0"/>
          <w:sz w:val="20"/>
          <w:szCs w:val="20"/>
        </w:rPr>
        <w:t>. Commercial scallop stock status uncertain; based on limited evidence of successful recent recruitment in eastern Bass Strait, catches and fishing area generally declining and no robust estimate of total biomass.</w:t>
      </w:r>
    </w:p>
    <w:p w14:paraId="1631B39C" w14:textId="656C1435" w:rsidR="00691796" w:rsidRPr="006C6712" w:rsidRDefault="00691796" w:rsidP="00146E3A">
      <w:pPr>
        <w:spacing w:before="60" w:after="60" w:line="240" w:lineRule="auto"/>
        <w:rPr>
          <w:rFonts w:cs="Arial"/>
          <w:sz w:val="20"/>
          <w:szCs w:val="20"/>
        </w:rPr>
      </w:pPr>
      <w:r w:rsidRPr="006C6712">
        <w:rPr>
          <w:rFonts w:cs="Arial"/>
          <w:sz w:val="20"/>
          <w:szCs w:val="20"/>
        </w:rPr>
        <w:t>S</w:t>
      </w:r>
      <w:r w:rsidR="00DD1227" w:rsidRPr="006C6712">
        <w:rPr>
          <w:rFonts w:cs="Arial"/>
          <w:sz w:val="20"/>
          <w:szCs w:val="20"/>
        </w:rPr>
        <w:t xml:space="preserve">ubsequent </w:t>
      </w:r>
      <w:r w:rsidR="00DD1227" w:rsidRPr="006C6712">
        <w:rPr>
          <w:rStyle w:val="Emphasis"/>
          <w:rFonts w:cs="Arial"/>
          <w:i w:val="0"/>
          <w:iCs w:val="0"/>
          <w:sz w:val="20"/>
          <w:szCs w:val="20"/>
        </w:rPr>
        <w:t>stock survey</w:t>
      </w:r>
      <w:r w:rsidRPr="006C6712">
        <w:rPr>
          <w:rStyle w:val="Emphasis"/>
          <w:rFonts w:cs="Arial"/>
          <w:i w:val="0"/>
          <w:iCs w:val="0"/>
          <w:sz w:val="20"/>
          <w:szCs w:val="20"/>
        </w:rPr>
        <w:t>s</w:t>
      </w:r>
      <w:r w:rsidR="00DD1227" w:rsidRPr="006C6712">
        <w:rPr>
          <w:rStyle w:val="Emphasis"/>
          <w:rFonts w:cs="Arial"/>
          <w:i w:val="0"/>
          <w:iCs w:val="0"/>
          <w:sz w:val="20"/>
          <w:szCs w:val="20"/>
        </w:rPr>
        <w:t xml:space="preserve"> </w:t>
      </w:r>
      <w:r w:rsidRPr="006C6712">
        <w:rPr>
          <w:rStyle w:val="Emphasis"/>
          <w:rFonts w:cs="Arial"/>
          <w:i w:val="0"/>
          <w:iCs w:val="0"/>
          <w:sz w:val="20"/>
          <w:szCs w:val="20"/>
        </w:rPr>
        <w:t>(</w:t>
      </w:r>
      <w:r w:rsidR="00DD1227" w:rsidRPr="006C6712">
        <w:rPr>
          <w:rStyle w:val="Emphasis"/>
          <w:rFonts w:cs="Arial"/>
          <w:i w:val="0"/>
          <w:iCs w:val="0"/>
          <w:sz w:val="20"/>
          <w:szCs w:val="20"/>
        </w:rPr>
        <w:t>2015</w:t>
      </w:r>
      <w:r w:rsidR="00684C2E" w:rsidRPr="006C6712">
        <w:rPr>
          <w:rStyle w:val="Emphasis"/>
          <w:rFonts w:cs="Arial"/>
          <w:i w:val="0"/>
          <w:iCs w:val="0"/>
          <w:sz w:val="20"/>
          <w:szCs w:val="20"/>
        </w:rPr>
        <w:t xml:space="preserve"> </w:t>
      </w:r>
      <w:r w:rsidR="00EF7AFF" w:rsidRPr="006C6712">
        <w:rPr>
          <w:rStyle w:val="Emphasis"/>
          <w:rFonts w:cs="Arial"/>
          <w:i w:val="0"/>
          <w:iCs w:val="0"/>
          <w:sz w:val="20"/>
          <w:szCs w:val="20"/>
        </w:rPr>
        <w:t xml:space="preserve">and 2016) have </w:t>
      </w:r>
      <w:r w:rsidR="00DD1227" w:rsidRPr="006C6712">
        <w:rPr>
          <w:rStyle w:val="Emphasis"/>
          <w:rFonts w:cs="Arial"/>
          <w:i w:val="0"/>
          <w:iCs w:val="0"/>
          <w:sz w:val="20"/>
          <w:szCs w:val="20"/>
        </w:rPr>
        <w:t>showed strong stock levels, supporting the highest TAC</w:t>
      </w:r>
      <w:r w:rsidRPr="006C6712">
        <w:rPr>
          <w:rStyle w:val="Emphasis"/>
          <w:rFonts w:cs="Arial"/>
          <w:i w:val="0"/>
          <w:iCs w:val="0"/>
          <w:sz w:val="20"/>
          <w:szCs w:val="20"/>
        </w:rPr>
        <w:t>s</w:t>
      </w:r>
      <w:r w:rsidR="00DD1227" w:rsidRPr="006C6712">
        <w:rPr>
          <w:rStyle w:val="Emphasis"/>
          <w:rFonts w:cs="Arial"/>
          <w:i w:val="0"/>
          <w:iCs w:val="0"/>
          <w:sz w:val="20"/>
          <w:szCs w:val="20"/>
        </w:rPr>
        <w:t xml:space="preserve"> for commercial scallops since 2010.</w:t>
      </w:r>
      <w:r w:rsidR="00CF6B35" w:rsidRPr="006C6712">
        <w:rPr>
          <w:rFonts w:cs="Arial"/>
          <w:sz w:val="20"/>
          <w:szCs w:val="20"/>
        </w:rPr>
        <w:t xml:space="preserve"> </w:t>
      </w:r>
      <w:hyperlink r:id="rId36" w:history="1">
        <w:r w:rsidR="00DD1227" w:rsidRPr="006C6712">
          <w:rPr>
            <w:rStyle w:val="Hyperlink"/>
            <w:rFonts w:cs="Arial"/>
            <w:sz w:val="20"/>
            <w:szCs w:val="20"/>
          </w:rPr>
          <w:t>http://www.afma.gov.au/wp-content/uploads/2016/01/BSCZSF-2015-Survey-Final-Report.pdf</w:t>
        </w:r>
      </w:hyperlink>
      <w:r w:rsidR="00D23696" w:rsidRPr="006C6712">
        <w:rPr>
          <w:rFonts w:cs="Arial"/>
          <w:sz w:val="20"/>
          <w:szCs w:val="20"/>
        </w:rPr>
        <w:t xml:space="preserve"> </w:t>
      </w:r>
      <w:r w:rsidR="00EF7AFF" w:rsidRPr="006C6712">
        <w:rPr>
          <w:rFonts w:cs="Arial"/>
          <w:sz w:val="20"/>
          <w:szCs w:val="20"/>
        </w:rPr>
        <w:br/>
      </w:r>
      <w:r w:rsidR="0088444D" w:rsidRPr="006C6712">
        <w:rPr>
          <w:rFonts w:cs="Arial"/>
          <w:sz w:val="20"/>
          <w:szCs w:val="20"/>
        </w:rPr>
        <w:t>(</w:t>
      </w:r>
      <w:r w:rsidR="00857BF2" w:rsidRPr="006C6712">
        <w:rPr>
          <w:rFonts w:cs="Arial"/>
          <w:sz w:val="20"/>
          <w:szCs w:val="20"/>
        </w:rPr>
        <w:t>AFMA to provide l</w:t>
      </w:r>
      <w:r w:rsidR="00EF7AFF" w:rsidRPr="006C6712">
        <w:rPr>
          <w:rFonts w:cs="Arial"/>
          <w:sz w:val="20"/>
          <w:szCs w:val="20"/>
        </w:rPr>
        <w:t>ink</w:t>
      </w:r>
      <w:r w:rsidRPr="006C6712">
        <w:rPr>
          <w:rFonts w:cs="Arial"/>
          <w:sz w:val="20"/>
          <w:szCs w:val="20"/>
        </w:rPr>
        <w:t xml:space="preserve"> </w:t>
      </w:r>
      <w:r w:rsidR="00EF7AFF" w:rsidRPr="006C6712">
        <w:rPr>
          <w:rFonts w:cs="Arial"/>
          <w:sz w:val="20"/>
          <w:szCs w:val="20"/>
        </w:rPr>
        <w:t>to</w:t>
      </w:r>
      <w:r w:rsidRPr="006C6712">
        <w:rPr>
          <w:rFonts w:cs="Arial"/>
          <w:sz w:val="20"/>
          <w:szCs w:val="20"/>
        </w:rPr>
        <w:t xml:space="preserve"> 2016 </w:t>
      </w:r>
      <w:r w:rsidR="00EF7AFF" w:rsidRPr="006C6712">
        <w:rPr>
          <w:rFonts w:cs="Arial"/>
          <w:sz w:val="20"/>
          <w:szCs w:val="20"/>
        </w:rPr>
        <w:t>survey when available</w:t>
      </w:r>
      <w:r w:rsidR="0088444D" w:rsidRPr="006C6712">
        <w:rPr>
          <w:rFonts w:cs="Arial"/>
          <w:sz w:val="20"/>
          <w:szCs w:val="20"/>
        </w:rPr>
        <w:t>)</w:t>
      </w:r>
    </w:p>
    <w:p w14:paraId="1631B39D" w14:textId="77777777" w:rsidR="00691796" w:rsidRPr="006C6712" w:rsidRDefault="00D23696" w:rsidP="00146E3A">
      <w:pPr>
        <w:spacing w:before="60" w:after="60" w:line="240" w:lineRule="auto"/>
        <w:rPr>
          <w:rStyle w:val="Emphasis"/>
          <w:rFonts w:cs="Arial"/>
          <w:i w:val="0"/>
          <w:sz w:val="20"/>
          <w:szCs w:val="20"/>
        </w:rPr>
      </w:pPr>
      <w:r w:rsidRPr="006C6712">
        <w:rPr>
          <w:rStyle w:val="Emphasis"/>
          <w:rFonts w:cs="Arial"/>
          <w:i w:val="0"/>
          <w:sz w:val="20"/>
          <w:szCs w:val="20"/>
        </w:rPr>
        <w:t xml:space="preserve">Pitcher, C.R., Ellis, N., </w:t>
      </w:r>
      <w:proofErr w:type="spellStart"/>
      <w:r w:rsidRPr="006C6712">
        <w:rPr>
          <w:rStyle w:val="Emphasis"/>
          <w:rFonts w:cs="Arial"/>
          <w:i w:val="0"/>
          <w:sz w:val="20"/>
          <w:szCs w:val="20"/>
        </w:rPr>
        <w:t>Althaus</w:t>
      </w:r>
      <w:proofErr w:type="spellEnd"/>
      <w:r w:rsidRPr="006C6712">
        <w:rPr>
          <w:rStyle w:val="Emphasis"/>
          <w:rFonts w:cs="Arial"/>
          <w:i w:val="0"/>
          <w:sz w:val="20"/>
          <w:szCs w:val="20"/>
        </w:rPr>
        <w:t>, F., Williams, A., McLeod, I., Bustamante, R., Kenyon, R., Fuller, M. (2016)</w:t>
      </w:r>
      <w:r w:rsidRPr="006C6712">
        <w:rPr>
          <w:rStyle w:val="Emphasis"/>
          <w:rFonts w:cs="Arial"/>
          <w:sz w:val="20"/>
          <w:szCs w:val="20"/>
        </w:rPr>
        <w:t xml:space="preserve"> </w:t>
      </w:r>
      <w:hyperlink r:id="rId37" w:history="1">
        <w:r w:rsidRPr="006C6712">
          <w:rPr>
            <w:rStyle w:val="Hyperlink"/>
            <w:rFonts w:cs="Arial"/>
            <w:sz w:val="20"/>
            <w:szCs w:val="20"/>
          </w:rPr>
          <w:t>Implications of current spatial management measures for AFMA ERAs for habitats — FRDC Project No 2014/204.</w:t>
        </w:r>
      </w:hyperlink>
      <w:r w:rsidRPr="006C6712">
        <w:rPr>
          <w:rStyle w:val="Emphasis"/>
          <w:rFonts w:cs="Arial"/>
          <w:sz w:val="20"/>
          <w:szCs w:val="20"/>
        </w:rPr>
        <w:t xml:space="preserve"> </w:t>
      </w:r>
      <w:r w:rsidRPr="006C6712">
        <w:rPr>
          <w:rStyle w:val="Emphasis"/>
          <w:rFonts w:cs="Arial"/>
          <w:i w:val="0"/>
          <w:sz w:val="20"/>
          <w:szCs w:val="20"/>
        </w:rPr>
        <w:t>CSIRO Oceans &amp; Atmosphere.</w:t>
      </w:r>
    </w:p>
    <w:p w14:paraId="1F8C3171" w14:textId="77777777" w:rsidR="006C6712" w:rsidRDefault="006A1422" w:rsidP="00146E3A">
      <w:pPr>
        <w:spacing w:before="60" w:after="60" w:line="240" w:lineRule="auto"/>
        <w:rPr>
          <w:rStyle w:val="Emphasis"/>
          <w:rFonts w:cs="Arial"/>
          <w:i w:val="0"/>
          <w:iCs w:val="0"/>
          <w:sz w:val="20"/>
          <w:szCs w:val="20"/>
        </w:rPr>
      </w:pPr>
      <w:hyperlink r:id="rId38" w:history="1">
        <w:r w:rsidR="00DD1227" w:rsidRPr="006C6712">
          <w:rPr>
            <w:rStyle w:val="Hyperlink"/>
            <w:rFonts w:cs="Arial"/>
            <w:sz w:val="20"/>
            <w:szCs w:val="20"/>
          </w:rPr>
          <w:t>FRDC Status of Key Australian Fish Stocks 2014</w:t>
        </w:r>
      </w:hyperlink>
      <w:r w:rsidR="00DD1227" w:rsidRPr="006C6712">
        <w:rPr>
          <w:rStyle w:val="Emphasis"/>
          <w:rFonts w:cs="Arial"/>
          <w:i w:val="0"/>
          <w:iCs w:val="0"/>
          <w:sz w:val="20"/>
          <w:szCs w:val="20"/>
        </w:rPr>
        <w:t>. Commercial scallop stock status undefined.</w:t>
      </w:r>
    </w:p>
    <w:p w14:paraId="45A10AA8" w14:textId="77777777" w:rsidR="006C6712" w:rsidRDefault="006C6712" w:rsidP="00146E3A">
      <w:pPr>
        <w:spacing w:before="60" w:after="60" w:line="240" w:lineRule="auto"/>
        <w:rPr>
          <w:rStyle w:val="Emphasis"/>
          <w:rFonts w:cs="Arial"/>
          <w:i w:val="0"/>
          <w:iCs w:val="0"/>
          <w:sz w:val="20"/>
          <w:szCs w:val="20"/>
        </w:rPr>
      </w:pPr>
    </w:p>
    <w:p w14:paraId="0539D7E3" w14:textId="77777777" w:rsidR="006C6712" w:rsidRDefault="006C6712" w:rsidP="00146E3A">
      <w:pPr>
        <w:spacing w:before="60" w:after="60" w:line="240" w:lineRule="auto"/>
        <w:rPr>
          <w:rFonts w:cs="Arial"/>
          <w:b/>
          <w:sz w:val="20"/>
          <w:szCs w:val="20"/>
        </w:rPr>
        <w:sectPr w:rsidR="006C6712" w:rsidSect="00146E3A">
          <w:pgSz w:w="11906" w:h="16838"/>
          <w:pgMar w:top="1361" w:right="709" w:bottom="1361" w:left="709" w:header="709" w:footer="57" w:gutter="0"/>
          <w:cols w:space="708"/>
          <w:docGrid w:linePitch="360"/>
        </w:sectPr>
      </w:pPr>
    </w:p>
    <w:p w14:paraId="1631B39F" w14:textId="008B0B77" w:rsidR="00B16E10" w:rsidRPr="006C6712" w:rsidRDefault="006C6712" w:rsidP="00146E3A">
      <w:pPr>
        <w:pStyle w:val="Heading1"/>
        <w:spacing w:before="60" w:after="60" w:line="240" w:lineRule="auto"/>
        <w:rPr>
          <w:b w:val="0"/>
          <w:sz w:val="20"/>
          <w:szCs w:val="20"/>
        </w:rPr>
      </w:pPr>
      <w:bookmarkStart w:id="6" w:name="_Toc514849744"/>
      <w:bookmarkStart w:id="7" w:name="_Toc506553892"/>
      <w:bookmarkStart w:id="8" w:name="_Toc522184520"/>
      <w:r w:rsidRPr="00D47B6E">
        <w:lastRenderedPageBreak/>
        <w:t xml:space="preserve">Section 2: Detailed Analysis of the </w:t>
      </w:r>
      <w:r w:rsidR="00154DD0">
        <w:t>Commonwealth Bass Strait Central Zone Scallop Fishery</w:t>
      </w:r>
      <w:r w:rsidRPr="00D47B6E">
        <w:t xml:space="preserve"> </w:t>
      </w:r>
      <w:r>
        <w:t>A</w:t>
      </w:r>
      <w:r w:rsidRPr="00D47B6E">
        <w:t>gainst the Guidelines for the Ecologically Sustainable Management of Fisheries (2nd Edition)</w:t>
      </w:r>
      <w:bookmarkEnd w:id="6"/>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3"/>
        <w:gridCol w:w="7053"/>
      </w:tblGrid>
      <w:tr w:rsidR="00A762F9" w:rsidRPr="00146E3A" w14:paraId="1631B3A5" w14:textId="77777777" w:rsidTr="00A762F9">
        <w:tc>
          <w:tcPr>
            <w:tcW w:w="2500" w:type="pct"/>
            <w:shd w:val="clear" w:color="auto" w:fill="auto"/>
          </w:tcPr>
          <w:p w14:paraId="1631B3A0" w14:textId="77777777" w:rsidR="00A762F9" w:rsidRPr="00146E3A" w:rsidRDefault="00A762F9" w:rsidP="00146E3A">
            <w:pPr>
              <w:spacing w:before="60" w:after="60" w:line="240" w:lineRule="auto"/>
              <w:rPr>
                <w:rFonts w:cs="Arial"/>
                <w:sz w:val="20"/>
                <w:szCs w:val="20"/>
              </w:rPr>
            </w:pPr>
            <w:r w:rsidRPr="00146E3A">
              <w:rPr>
                <w:rFonts w:cs="Arial"/>
                <w:b/>
                <w:sz w:val="20"/>
                <w:szCs w:val="20"/>
              </w:rPr>
              <w:t>Guidelines for the Ecologically Sustainable Management of Fisheries  (2nd edition)</w:t>
            </w:r>
          </w:p>
        </w:tc>
        <w:tc>
          <w:tcPr>
            <w:tcW w:w="2500" w:type="pct"/>
            <w:shd w:val="clear" w:color="auto" w:fill="auto"/>
          </w:tcPr>
          <w:p w14:paraId="1631B3A4" w14:textId="65BE4B83" w:rsidR="00A762F9" w:rsidRPr="00146E3A" w:rsidRDefault="00A762F9" w:rsidP="00146E3A">
            <w:pPr>
              <w:spacing w:before="60" w:after="60" w:line="240" w:lineRule="auto"/>
              <w:rPr>
                <w:rFonts w:cs="Arial"/>
                <w:b/>
                <w:sz w:val="20"/>
                <w:szCs w:val="20"/>
              </w:rPr>
            </w:pPr>
            <w:r w:rsidRPr="00146E3A">
              <w:rPr>
                <w:rFonts w:cs="Arial"/>
                <w:b/>
                <w:sz w:val="20"/>
                <w:szCs w:val="20"/>
              </w:rPr>
              <w:t>Comment</w:t>
            </w:r>
          </w:p>
        </w:tc>
      </w:tr>
      <w:tr w:rsidR="00207379" w:rsidRPr="00146E3A" w14:paraId="1631B3A7" w14:textId="77777777" w:rsidTr="00A762F9">
        <w:tc>
          <w:tcPr>
            <w:tcW w:w="2500" w:type="pct"/>
            <w:gridSpan w:val="2"/>
            <w:shd w:val="clear" w:color="auto" w:fill="FFFF66"/>
          </w:tcPr>
          <w:p w14:paraId="1631B3A6" w14:textId="77777777" w:rsidR="00207379" w:rsidRPr="00146E3A" w:rsidRDefault="00207379" w:rsidP="00146E3A">
            <w:pPr>
              <w:spacing w:before="60" w:after="60" w:line="240" w:lineRule="auto"/>
              <w:rPr>
                <w:rFonts w:cs="Arial"/>
                <w:b/>
                <w:sz w:val="20"/>
                <w:szCs w:val="20"/>
              </w:rPr>
            </w:pPr>
            <w:r w:rsidRPr="00146E3A">
              <w:rPr>
                <w:rFonts w:cs="Arial"/>
                <w:b/>
                <w:sz w:val="20"/>
                <w:szCs w:val="20"/>
              </w:rPr>
              <w:t>THE MANAGEMENT REGIME</w:t>
            </w:r>
          </w:p>
        </w:tc>
      </w:tr>
      <w:tr w:rsidR="00207379" w:rsidRPr="00146E3A" w14:paraId="1631B3A9" w14:textId="77777777" w:rsidTr="00A762F9">
        <w:tc>
          <w:tcPr>
            <w:tcW w:w="2500" w:type="pct"/>
            <w:gridSpan w:val="2"/>
            <w:shd w:val="clear" w:color="auto" w:fill="FFFF99"/>
          </w:tcPr>
          <w:p w14:paraId="1631B3A8" w14:textId="77777777" w:rsidR="00207379" w:rsidRPr="00146E3A" w:rsidRDefault="00207379" w:rsidP="00146E3A">
            <w:pPr>
              <w:spacing w:before="60" w:after="60" w:line="240" w:lineRule="auto"/>
              <w:rPr>
                <w:rFonts w:cs="Arial"/>
                <w:b/>
                <w:sz w:val="20"/>
                <w:szCs w:val="20"/>
              </w:rPr>
            </w:pPr>
            <w:r w:rsidRPr="00146E3A">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146E3A" w:rsidRPr="00146E3A" w14:paraId="1631B3AF" w14:textId="77777777" w:rsidTr="00A762F9">
        <w:tc>
          <w:tcPr>
            <w:tcW w:w="2500" w:type="pct"/>
            <w:shd w:val="clear" w:color="auto" w:fill="auto"/>
          </w:tcPr>
          <w:p w14:paraId="1631B3AA" w14:textId="77777777" w:rsidR="00146E3A" w:rsidRPr="00146E3A" w:rsidRDefault="00146E3A" w:rsidP="00146E3A">
            <w:pPr>
              <w:spacing w:before="60" w:after="60" w:line="240" w:lineRule="auto"/>
              <w:rPr>
                <w:rFonts w:cs="Arial"/>
                <w:sz w:val="20"/>
                <w:szCs w:val="20"/>
              </w:rPr>
            </w:pPr>
            <w:r w:rsidRPr="00146E3A">
              <w:rPr>
                <w:rFonts w:cs="Arial"/>
                <w:sz w:val="20"/>
                <w:szCs w:val="20"/>
              </w:rPr>
              <w:t>Be documented, publicly available and transparent</w:t>
            </w:r>
          </w:p>
        </w:tc>
        <w:tc>
          <w:tcPr>
            <w:tcW w:w="2500" w:type="pct"/>
            <w:shd w:val="clear" w:color="auto" w:fill="92D050"/>
          </w:tcPr>
          <w:p w14:paraId="1631B3AE" w14:textId="2CB1EBBF" w:rsidR="00146E3A" w:rsidRPr="00146E3A" w:rsidRDefault="00146E3A" w:rsidP="00146E3A">
            <w:pPr>
              <w:spacing w:before="60" w:after="60" w:line="240" w:lineRule="auto"/>
              <w:rPr>
                <w:rFonts w:cs="Arial"/>
                <w:sz w:val="20"/>
                <w:szCs w:val="20"/>
              </w:rPr>
            </w:pPr>
            <w:r w:rsidRPr="00146E3A">
              <w:rPr>
                <w:rFonts w:cs="Arial"/>
                <w:sz w:val="20"/>
                <w:szCs w:val="20"/>
              </w:rPr>
              <w:t xml:space="preserve">Management plan, harvest strategy and management arrangements all available online </w:t>
            </w:r>
          </w:p>
        </w:tc>
      </w:tr>
      <w:tr w:rsidR="00146E3A" w:rsidRPr="00146E3A" w14:paraId="1631B3B6" w14:textId="77777777" w:rsidTr="00A762F9">
        <w:tc>
          <w:tcPr>
            <w:tcW w:w="2500" w:type="pct"/>
            <w:shd w:val="clear" w:color="auto" w:fill="auto"/>
          </w:tcPr>
          <w:p w14:paraId="1631B3B0" w14:textId="77777777" w:rsidR="00146E3A" w:rsidRPr="00146E3A" w:rsidRDefault="00146E3A" w:rsidP="00146E3A">
            <w:pPr>
              <w:spacing w:before="60" w:after="60" w:line="240" w:lineRule="auto"/>
              <w:rPr>
                <w:rFonts w:cs="Arial"/>
                <w:sz w:val="20"/>
                <w:szCs w:val="20"/>
              </w:rPr>
            </w:pPr>
            <w:r w:rsidRPr="00146E3A">
              <w:rPr>
                <w:rFonts w:cs="Arial"/>
                <w:sz w:val="20"/>
                <w:szCs w:val="20"/>
              </w:rPr>
              <w:t>Be developed through a consultative process providing opportunity to all interested and affected parties, including the general public</w:t>
            </w:r>
          </w:p>
        </w:tc>
        <w:tc>
          <w:tcPr>
            <w:tcW w:w="2500" w:type="pct"/>
            <w:shd w:val="clear" w:color="auto" w:fill="92D050"/>
          </w:tcPr>
          <w:p w14:paraId="1631B3B4" w14:textId="53D54464" w:rsidR="00146E3A" w:rsidRPr="00146E3A" w:rsidRDefault="00146E3A" w:rsidP="00146E3A">
            <w:pPr>
              <w:spacing w:before="60" w:after="60" w:line="240" w:lineRule="auto"/>
              <w:rPr>
                <w:rFonts w:cs="Arial"/>
                <w:sz w:val="20"/>
                <w:szCs w:val="20"/>
              </w:rPr>
            </w:pPr>
            <w:r w:rsidRPr="00146E3A">
              <w:rPr>
                <w:rFonts w:cs="Arial"/>
                <w:sz w:val="20"/>
                <w:szCs w:val="20"/>
              </w:rPr>
              <w:t xml:space="preserve">Management plans and arrangements are developed and maintained through a range of consultative processes, including </w:t>
            </w:r>
            <w:proofErr w:type="spellStart"/>
            <w:r w:rsidRPr="00146E3A">
              <w:rPr>
                <w:rFonts w:cs="Arial"/>
                <w:sz w:val="20"/>
                <w:szCs w:val="20"/>
              </w:rPr>
              <w:t>ScallopMAC</w:t>
            </w:r>
            <w:proofErr w:type="spellEnd"/>
            <w:r w:rsidRPr="00146E3A">
              <w:rPr>
                <w:rFonts w:cs="Arial"/>
                <w:sz w:val="20"/>
                <w:szCs w:val="20"/>
              </w:rPr>
              <w:t xml:space="preserve">, </w:t>
            </w:r>
            <w:proofErr w:type="spellStart"/>
            <w:r w:rsidRPr="00146E3A">
              <w:rPr>
                <w:rFonts w:cs="Arial"/>
                <w:sz w:val="20"/>
                <w:szCs w:val="20"/>
              </w:rPr>
              <w:t>ScallopRAG</w:t>
            </w:r>
            <w:proofErr w:type="spellEnd"/>
            <w:r w:rsidRPr="00146E3A">
              <w:rPr>
                <w:rFonts w:cs="Arial"/>
                <w:sz w:val="20"/>
                <w:szCs w:val="20"/>
              </w:rPr>
              <w:t xml:space="preserve"> and public consultation.</w:t>
            </w:r>
          </w:p>
          <w:p w14:paraId="1631B3B5"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Minutes of </w:t>
            </w:r>
            <w:proofErr w:type="spellStart"/>
            <w:r w:rsidRPr="00146E3A">
              <w:rPr>
                <w:rFonts w:cs="Arial"/>
                <w:sz w:val="20"/>
                <w:szCs w:val="20"/>
              </w:rPr>
              <w:t>ScallopMAC</w:t>
            </w:r>
            <w:proofErr w:type="spellEnd"/>
            <w:r w:rsidRPr="00146E3A">
              <w:rPr>
                <w:rFonts w:cs="Arial"/>
                <w:sz w:val="20"/>
                <w:szCs w:val="20"/>
              </w:rPr>
              <w:t xml:space="preserve"> and </w:t>
            </w:r>
            <w:proofErr w:type="spellStart"/>
            <w:r w:rsidRPr="00146E3A">
              <w:rPr>
                <w:rFonts w:cs="Arial"/>
                <w:sz w:val="20"/>
                <w:szCs w:val="20"/>
              </w:rPr>
              <w:t>ScallopRAG</w:t>
            </w:r>
            <w:proofErr w:type="spellEnd"/>
            <w:r w:rsidRPr="00146E3A">
              <w:rPr>
                <w:rFonts w:cs="Arial"/>
                <w:sz w:val="20"/>
                <w:szCs w:val="20"/>
              </w:rPr>
              <w:t xml:space="preserve"> meetings are published on the AFMA website.</w:t>
            </w:r>
          </w:p>
        </w:tc>
      </w:tr>
      <w:tr w:rsidR="00146E3A" w:rsidRPr="00146E3A" w14:paraId="1631B3BC" w14:textId="77777777" w:rsidTr="00A762F9">
        <w:tc>
          <w:tcPr>
            <w:tcW w:w="2500" w:type="pct"/>
            <w:shd w:val="clear" w:color="auto" w:fill="auto"/>
          </w:tcPr>
          <w:p w14:paraId="1631B3B7" w14:textId="77777777" w:rsidR="00146E3A" w:rsidRPr="00146E3A" w:rsidRDefault="00146E3A" w:rsidP="00146E3A">
            <w:pPr>
              <w:spacing w:before="60" w:after="60" w:line="240" w:lineRule="auto"/>
              <w:rPr>
                <w:rFonts w:cs="Arial"/>
                <w:sz w:val="20"/>
                <w:szCs w:val="20"/>
              </w:rPr>
            </w:pPr>
            <w:r w:rsidRPr="00146E3A">
              <w:rPr>
                <w:rFonts w:cs="Arial"/>
                <w:sz w:val="20"/>
                <w:szCs w:val="20"/>
              </w:rPr>
              <w:t>Ensure that a range of expertise and community interests are involved in individual fishery management committees and during the stock assessment process</w:t>
            </w:r>
          </w:p>
        </w:tc>
        <w:tc>
          <w:tcPr>
            <w:tcW w:w="2500" w:type="pct"/>
            <w:shd w:val="clear" w:color="auto" w:fill="92D050"/>
          </w:tcPr>
          <w:p w14:paraId="1631B3BB" w14:textId="00CBAF7D" w:rsidR="00146E3A" w:rsidRPr="00146E3A" w:rsidRDefault="00146E3A" w:rsidP="00146E3A">
            <w:pPr>
              <w:spacing w:before="60" w:after="60" w:line="240" w:lineRule="auto"/>
              <w:rPr>
                <w:rFonts w:cs="Arial"/>
                <w:sz w:val="20"/>
                <w:szCs w:val="20"/>
              </w:rPr>
            </w:pPr>
            <w:r w:rsidRPr="00146E3A">
              <w:rPr>
                <w:rFonts w:cs="Arial"/>
                <w:sz w:val="20"/>
                <w:szCs w:val="20"/>
              </w:rPr>
              <w:t xml:space="preserve">A range of expertise and stakeholders are involved through </w:t>
            </w:r>
            <w:proofErr w:type="spellStart"/>
            <w:r w:rsidRPr="00146E3A">
              <w:rPr>
                <w:rFonts w:cs="Arial"/>
                <w:sz w:val="20"/>
                <w:szCs w:val="20"/>
              </w:rPr>
              <w:t>ScallopMAC</w:t>
            </w:r>
            <w:proofErr w:type="spellEnd"/>
            <w:r w:rsidRPr="00146E3A">
              <w:rPr>
                <w:rFonts w:cs="Arial"/>
                <w:sz w:val="20"/>
                <w:szCs w:val="20"/>
              </w:rPr>
              <w:t xml:space="preserve"> and </w:t>
            </w:r>
            <w:proofErr w:type="spellStart"/>
            <w:r w:rsidRPr="00146E3A">
              <w:rPr>
                <w:rFonts w:cs="Arial"/>
                <w:sz w:val="20"/>
                <w:szCs w:val="20"/>
              </w:rPr>
              <w:t>ScallopRAG</w:t>
            </w:r>
            <w:proofErr w:type="spellEnd"/>
            <w:r w:rsidRPr="00146E3A">
              <w:rPr>
                <w:rFonts w:cs="Arial"/>
                <w:sz w:val="20"/>
                <w:szCs w:val="20"/>
              </w:rPr>
              <w:t>.</w:t>
            </w:r>
          </w:p>
        </w:tc>
      </w:tr>
      <w:tr w:rsidR="00146E3A" w:rsidRPr="00146E3A" w14:paraId="1631B3C3" w14:textId="77777777" w:rsidTr="00A762F9">
        <w:tc>
          <w:tcPr>
            <w:tcW w:w="2500" w:type="pct"/>
            <w:shd w:val="clear" w:color="auto" w:fill="auto"/>
          </w:tcPr>
          <w:p w14:paraId="1631B3BD" w14:textId="77777777" w:rsidR="00146E3A" w:rsidRPr="00146E3A" w:rsidRDefault="00146E3A" w:rsidP="00146E3A">
            <w:pPr>
              <w:spacing w:before="60" w:after="60" w:line="240" w:lineRule="auto"/>
              <w:rPr>
                <w:rFonts w:cs="Arial"/>
                <w:sz w:val="20"/>
                <w:szCs w:val="20"/>
              </w:rPr>
            </w:pPr>
            <w:r w:rsidRPr="00146E3A">
              <w:rPr>
                <w:rFonts w:cs="Arial"/>
                <w:sz w:val="20"/>
                <w:szCs w:val="20"/>
              </w:rPr>
              <w:t>Be strategic, containing objectives and performance criteria by which the effectiveness of the management arrangements are measured</w:t>
            </w:r>
          </w:p>
        </w:tc>
        <w:tc>
          <w:tcPr>
            <w:tcW w:w="2500" w:type="pct"/>
            <w:shd w:val="clear" w:color="auto" w:fill="92D050"/>
          </w:tcPr>
          <w:p w14:paraId="1631B3C2" w14:textId="3CD25E7A" w:rsidR="00146E3A" w:rsidRPr="00146E3A" w:rsidRDefault="00146E3A" w:rsidP="00146E3A">
            <w:pPr>
              <w:spacing w:before="60" w:after="60" w:line="240" w:lineRule="auto"/>
              <w:rPr>
                <w:rFonts w:cs="Arial"/>
                <w:sz w:val="20"/>
                <w:szCs w:val="20"/>
              </w:rPr>
            </w:pPr>
            <w:r w:rsidRPr="00146E3A">
              <w:rPr>
                <w:rFonts w:cs="Arial"/>
                <w:sz w:val="20"/>
                <w:szCs w:val="20"/>
              </w:rPr>
              <w:t>The harvest strategy for the fishery is consistent with the Commonwealth Fisheries Harvest Strategy Policy and contains appropriate objectives and performance criteria.</w:t>
            </w:r>
          </w:p>
        </w:tc>
      </w:tr>
      <w:tr w:rsidR="00146E3A" w:rsidRPr="00146E3A" w14:paraId="1631B3CA" w14:textId="77777777" w:rsidTr="00A762F9">
        <w:tc>
          <w:tcPr>
            <w:tcW w:w="2500" w:type="pct"/>
            <w:shd w:val="clear" w:color="auto" w:fill="auto"/>
          </w:tcPr>
          <w:p w14:paraId="1631B3C4" w14:textId="77777777" w:rsidR="00146E3A" w:rsidRPr="00146E3A" w:rsidRDefault="00146E3A" w:rsidP="00146E3A">
            <w:pPr>
              <w:spacing w:before="60" w:after="60" w:line="240" w:lineRule="auto"/>
              <w:rPr>
                <w:rFonts w:cs="Arial"/>
                <w:sz w:val="20"/>
                <w:szCs w:val="20"/>
              </w:rPr>
            </w:pPr>
            <w:r w:rsidRPr="00146E3A">
              <w:rPr>
                <w:rFonts w:cs="Arial"/>
                <w:sz w:val="20"/>
                <w:szCs w:val="20"/>
              </w:rPr>
              <w:t>Be capable of controlling the level of harvest in the fishery using input and/or output controls</w:t>
            </w:r>
          </w:p>
        </w:tc>
        <w:tc>
          <w:tcPr>
            <w:tcW w:w="2500" w:type="pct"/>
            <w:shd w:val="clear" w:color="auto" w:fill="92D050"/>
          </w:tcPr>
          <w:p w14:paraId="1631B3C8" w14:textId="72CA45DB" w:rsidR="00146E3A" w:rsidRPr="00146E3A" w:rsidRDefault="00146E3A" w:rsidP="00146E3A">
            <w:pPr>
              <w:spacing w:before="60" w:after="60" w:line="240" w:lineRule="auto"/>
              <w:rPr>
                <w:rFonts w:cs="Arial"/>
                <w:sz w:val="20"/>
                <w:szCs w:val="20"/>
              </w:rPr>
            </w:pPr>
            <w:r w:rsidRPr="00146E3A">
              <w:rPr>
                <w:rFonts w:cs="Arial"/>
                <w:sz w:val="20"/>
                <w:szCs w:val="20"/>
              </w:rPr>
              <w:t>Arrangements are capable of controlling the level of harvest in the fishery using input and output controls.</w:t>
            </w:r>
          </w:p>
          <w:p w14:paraId="1631B3C9" w14:textId="77777777" w:rsidR="00146E3A" w:rsidRPr="00146E3A" w:rsidRDefault="00146E3A" w:rsidP="00146E3A">
            <w:pPr>
              <w:spacing w:before="60" w:after="60" w:line="240" w:lineRule="auto"/>
              <w:rPr>
                <w:rFonts w:cs="Arial"/>
                <w:sz w:val="20"/>
                <w:szCs w:val="20"/>
              </w:rPr>
            </w:pPr>
            <w:r w:rsidRPr="00146E3A">
              <w:rPr>
                <w:rFonts w:cs="Arial"/>
                <w:sz w:val="20"/>
                <w:szCs w:val="20"/>
              </w:rPr>
              <w:t>Limited licences, and harvest strategy which prescribes spatial, seasonal, size and total catch limits. Additional voluntary spatial management based on scallop discard rates specified in Harvest Strategy and managed through the BSCZSF Industry Management Committee.</w:t>
            </w:r>
          </w:p>
        </w:tc>
      </w:tr>
      <w:tr w:rsidR="00146E3A" w:rsidRPr="00146E3A" w14:paraId="1631B3D1" w14:textId="77777777" w:rsidTr="00A762F9">
        <w:tc>
          <w:tcPr>
            <w:tcW w:w="2500" w:type="pct"/>
            <w:shd w:val="clear" w:color="auto" w:fill="auto"/>
          </w:tcPr>
          <w:p w14:paraId="1631B3CB" w14:textId="77777777" w:rsidR="00146E3A" w:rsidRPr="00146E3A" w:rsidRDefault="00146E3A" w:rsidP="00146E3A">
            <w:pPr>
              <w:spacing w:before="60" w:after="60" w:line="240" w:lineRule="auto"/>
              <w:rPr>
                <w:rFonts w:cs="Arial"/>
                <w:sz w:val="20"/>
                <w:szCs w:val="20"/>
              </w:rPr>
            </w:pPr>
            <w:r w:rsidRPr="00146E3A">
              <w:rPr>
                <w:rFonts w:cs="Arial"/>
                <w:sz w:val="20"/>
                <w:szCs w:val="20"/>
              </w:rPr>
              <w:t>Contain the means of enforcing critical aspects of the management arrangements</w:t>
            </w:r>
          </w:p>
        </w:tc>
        <w:tc>
          <w:tcPr>
            <w:tcW w:w="2500" w:type="pct"/>
            <w:shd w:val="clear" w:color="auto" w:fill="92D050"/>
          </w:tcPr>
          <w:p w14:paraId="1631B3CF" w14:textId="06B8A24A" w:rsidR="00146E3A" w:rsidRPr="00146E3A" w:rsidRDefault="00146E3A" w:rsidP="00146E3A">
            <w:pPr>
              <w:spacing w:before="60" w:after="60" w:line="240" w:lineRule="auto"/>
              <w:rPr>
                <w:rFonts w:cs="Arial"/>
                <w:sz w:val="20"/>
                <w:szCs w:val="20"/>
              </w:rPr>
            </w:pPr>
            <w:r w:rsidRPr="00146E3A">
              <w:rPr>
                <w:rFonts w:cs="Arial"/>
                <w:sz w:val="20"/>
                <w:szCs w:val="20"/>
              </w:rPr>
              <w:t>Sufficient means exist to enforce critical aspects of the management arrangements.</w:t>
            </w:r>
          </w:p>
          <w:p w14:paraId="1631B3D0" w14:textId="77777777" w:rsidR="00146E3A" w:rsidRPr="00146E3A" w:rsidRDefault="00146E3A" w:rsidP="00146E3A">
            <w:pPr>
              <w:spacing w:before="60" w:after="60" w:line="240" w:lineRule="auto"/>
              <w:rPr>
                <w:rFonts w:cs="Arial"/>
                <w:sz w:val="20"/>
                <w:szCs w:val="20"/>
              </w:rPr>
            </w:pPr>
            <w:r w:rsidRPr="00146E3A">
              <w:rPr>
                <w:rFonts w:cs="Arial"/>
                <w:sz w:val="20"/>
                <w:szCs w:val="20"/>
              </w:rPr>
              <w:t>AFMA applies a risk based compliance program and monitors compliance using VMS, logbook and catch disposal records, observer coverage as well as other activities where necessary. These arrangements are considered appropriate.</w:t>
            </w:r>
          </w:p>
        </w:tc>
      </w:tr>
      <w:tr w:rsidR="00146E3A" w:rsidRPr="00146E3A" w14:paraId="1631B3D7" w14:textId="77777777" w:rsidTr="00A762F9">
        <w:tc>
          <w:tcPr>
            <w:tcW w:w="2500" w:type="pct"/>
            <w:shd w:val="clear" w:color="auto" w:fill="auto"/>
          </w:tcPr>
          <w:p w14:paraId="1631B3D2" w14:textId="77777777" w:rsidR="00146E3A" w:rsidRPr="00146E3A" w:rsidRDefault="00146E3A" w:rsidP="00146E3A">
            <w:pPr>
              <w:spacing w:before="60" w:after="60" w:line="240" w:lineRule="auto"/>
              <w:rPr>
                <w:rFonts w:cs="Arial"/>
                <w:sz w:val="20"/>
                <w:szCs w:val="20"/>
              </w:rPr>
            </w:pPr>
            <w:r w:rsidRPr="00146E3A">
              <w:rPr>
                <w:rFonts w:cs="Arial"/>
                <w:sz w:val="20"/>
                <w:szCs w:val="20"/>
              </w:rPr>
              <w:t>Provide for the periodic review of the performance of the fishery management arrangements and the management strategies, objectives and criteria</w:t>
            </w:r>
          </w:p>
        </w:tc>
        <w:tc>
          <w:tcPr>
            <w:tcW w:w="2500" w:type="pct"/>
            <w:shd w:val="clear" w:color="auto" w:fill="92D050"/>
          </w:tcPr>
          <w:p w14:paraId="1631B3D6" w14:textId="7D56C336" w:rsidR="00146E3A" w:rsidRPr="00146E3A" w:rsidRDefault="00146E3A" w:rsidP="00146E3A">
            <w:pPr>
              <w:spacing w:before="60" w:after="60" w:line="240" w:lineRule="auto"/>
              <w:rPr>
                <w:rFonts w:cs="Arial"/>
                <w:sz w:val="20"/>
                <w:szCs w:val="20"/>
              </w:rPr>
            </w:pPr>
            <w:r w:rsidRPr="00146E3A">
              <w:rPr>
                <w:rFonts w:cs="Arial"/>
                <w:sz w:val="20"/>
                <w:szCs w:val="20"/>
              </w:rPr>
              <w:t>Performance is reviewed at least annually, as part of the total allowable catch setting process, and reported through AFMA’s annual corporate reports.</w:t>
            </w:r>
          </w:p>
        </w:tc>
      </w:tr>
      <w:tr w:rsidR="00146E3A" w:rsidRPr="00146E3A" w14:paraId="1631B3DE" w14:textId="77777777" w:rsidTr="00A762F9">
        <w:tc>
          <w:tcPr>
            <w:tcW w:w="2500" w:type="pct"/>
            <w:shd w:val="clear" w:color="auto" w:fill="auto"/>
          </w:tcPr>
          <w:p w14:paraId="1631B3D8" w14:textId="77777777" w:rsidR="00146E3A" w:rsidRPr="00146E3A" w:rsidRDefault="00146E3A" w:rsidP="00146E3A">
            <w:pPr>
              <w:spacing w:before="60" w:after="60" w:line="240" w:lineRule="auto"/>
              <w:rPr>
                <w:rFonts w:cs="Arial"/>
                <w:sz w:val="20"/>
                <w:szCs w:val="20"/>
              </w:rPr>
            </w:pPr>
            <w:r w:rsidRPr="00146E3A">
              <w:rPr>
                <w:rFonts w:cs="Arial"/>
                <w:sz w:val="20"/>
                <w:szCs w:val="20"/>
              </w:rPr>
              <w:lastRenderedPageBreak/>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1631B3DC" w14:textId="4BEA1605" w:rsidR="00146E3A" w:rsidRPr="00146E3A" w:rsidRDefault="00146E3A" w:rsidP="00146E3A">
            <w:pPr>
              <w:spacing w:before="60" w:after="60" w:line="240" w:lineRule="auto"/>
              <w:rPr>
                <w:rFonts w:cs="Arial"/>
                <w:sz w:val="20"/>
                <w:szCs w:val="20"/>
              </w:rPr>
            </w:pPr>
            <w:r w:rsidRPr="00146E3A">
              <w:rPr>
                <w:rFonts w:cs="Arial"/>
                <w:sz w:val="20"/>
                <w:szCs w:val="20"/>
              </w:rPr>
              <w:t xml:space="preserve">Ecological risks are assessed and managed in accordance with AFMA’s </w:t>
            </w:r>
            <w:hyperlink r:id="rId39" w:history="1">
              <w:r w:rsidRPr="00146E3A">
                <w:rPr>
                  <w:rStyle w:val="Hyperlink"/>
                  <w:rFonts w:cs="Arial"/>
                  <w:sz w:val="20"/>
                  <w:szCs w:val="20"/>
                </w:rPr>
                <w:t>Ecological Risk Management framework</w:t>
              </w:r>
            </w:hyperlink>
            <w:r w:rsidRPr="00146E3A">
              <w:rPr>
                <w:rFonts w:cs="Arial"/>
                <w:sz w:val="20"/>
                <w:szCs w:val="20"/>
              </w:rPr>
              <w:t xml:space="preserve">. </w:t>
            </w:r>
          </w:p>
          <w:p w14:paraId="1631B3DD"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This is supported by fishery specific tools such as the </w:t>
            </w:r>
            <w:hyperlink r:id="rId40" w:history="1">
              <w:r w:rsidRPr="00146E3A">
                <w:rPr>
                  <w:rStyle w:val="Hyperlink"/>
                  <w:rFonts w:cs="Arial"/>
                  <w:sz w:val="20"/>
                  <w:szCs w:val="20"/>
                  <w:lang w:val="en-US"/>
                </w:rPr>
                <w:t xml:space="preserve">Bass Strait Central Zone Scallop Fishery Bycatch and Discarding </w:t>
              </w:r>
              <w:proofErr w:type="spellStart"/>
              <w:r w:rsidRPr="00146E3A">
                <w:rPr>
                  <w:rStyle w:val="Hyperlink"/>
                  <w:rFonts w:cs="Arial"/>
                  <w:sz w:val="20"/>
                  <w:szCs w:val="20"/>
                  <w:lang w:val="en-US"/>
                </w:rPr>
                <w:t>Workplan</w:t>
              </w:r>
              <w:proofErr w:type="spellEnd"/>
              <w:r w:rsidRPr="00146E3A">
                <w:rPr>
                  <w:rStyle w:val="Hyperlink"/>
                  <w:rFonts w:cs="Arial"/>
                  <w:sz w:val="20"/>
                  <w:szCs w:val="20"/>
                  <w:lang w:val="en-US"/>
                </w:rPr>
                <w:t xml:space="preserve"> 1 May 2015 to 31 March 2017</w:t>
              </w:r>
            </w:hyperlink>
            <w:r w:rsidRPr="00146E3A">
              <w:rPr>
                <w:rFonts w:cs="Arial"/>
                <w:sz w:val="20"/>
                <w:szCs w:val="20"/>
              </w:rPr>
              <w:t>.</w:t>
            </w:r>
          </w:p>
        </w:tc>
      </w:tr>
      <w:tr w:rsidR="00146E3A" w:rsidRPr="00146E3A" w14:paraId="1631B3E4" w14:textId="77777777" w:rsidTr="00A762F9">
        <w:tc>
          <w:tcPr>
            <w:tcW w:w="2500" w:type="pct"/>
            <w:shd w:val="clear" w:color="auto" w:fill="auto"/>
          </w:tcPr>
          <w:p w14:paraId="1631B3DF" w14:textId="77777777" w:rsidR="00146E3A" w:rsidRPr="00146E3A" w:rsidRDefault="00146E3A" w:rsidP="00146E3A">
            <w:pPr>
              <w:spacing w:before="60" w:after="60" w:line="240" w:lineRule="auto"/>
              <w:rPr>
                <w:rFonts w:cs="Arial"/>
                <w:sz w:val="20"/>
                <w:szCs w:val="20"/>
              </w:rPr>
            </w:pPr>
            <w:r w:rsidRPr="00146E3A">
              <w:rPr>
                <w:rFonts w:cs="Arial"/>
                <w:sz w:val="20"/>
                <w:szCs w:val="20"/>
              </w:rPr>
              <w:t>Requires compliance with relevant threat abatement plans, recovery plans, the National Policy on Fisheries Bycatch, and bycatch action strategies developed under the policy</w:t>
            </w:r>
          </w:p>
        </w:tc>
        <w:tc>
          <w:tcPr>
            <w:tcW w:w="2500" w:type="pct"/>
            <w:shd w:val="clear" w:color="auto" w:fill="92D050"/>
          </w:tcPr>
          <w:p w14:paraId="1631B3E3" w14:textId="3CBA1EA4" w:rsidR="00146E3A" w:rsidRPr="00146E3A" w:rsidRDefault="00146E3A" w:rsidP="00146E3A">
            <w:pPr>
              <w:spacing w:before="60" w:after="60" w:line="240" w:lineRule="auto"/>
              <w:rPr>
                <w:rFonts w:cs="Arial"/>
                <w:sz w:val="20"/>
                <w:szCs w:val="20"/>
              </w:rPr>
            </w:pPr>
            <w:r w:rsidRPr="00146E3A">
              <w:rPr>
                <w:rFonts w:cs="Arial"/>
                <w:sz w:val="20"/>
                <w:szCs w:val="20"/>
              </w:rPr>
              <w:t>The fishery is compliant with all relevant Commonwealth plans.</w:t>
            </w:r>
          </w:p>
        </w:tc>
      </w:tr>
      <w:tr w:rsidR="00207379" w:rsidRPr="00146E3A" w14:paraId="1631B3E6" w14:textId="77777777" w:rsidTr="00A762F9">
        <w:tc>
          <w:tcPr>
            <w:tcW w:w="2500" w:type="pct"/>
            <w:gridSpan w:val="2"/>
            <w:shd w:val="clear" w:color="auto" w:fill="92CDDC"/>
          </w:tcPr>
          <w:p w14:paraId="1631B3E5" w14:textId="77777777" w:rsidR="00207379" w:rsidRPr="00146E3A" w:rsidRDefault="00207379" w:rsidP="00146E3A">
            <w:pPr>
              <w:autoSpaceDE w:val="0"/>
              <w:autoSpaceDN w:val="0"/>
              <w:adjustRightInd w:val="0"/>
              <w:spacing w:before="60" w:after="60" w:line="240" w:lineRule="auto"/>
              <w:rPr>
                <w:rFonts w:cs="Arial"/>
                <w:b/>
                <w:bCs/>
                <w:sz w:val="20"/>
                <w:szCs w:val="20"/>
              </w:rPr>
            </w:pPr>
            <w:r w:rsidRPr="00146E3A">
              <w:rPr>
                <w:rFonts w:cs="Arial"/>
                <w:b/>
                <w:bCs/>
                <w:sz w:val="20"/>
                <w:szCs w:val="20"/>
              </w:rPr>
              <w:t xml:space="preserve">PRINCIPLE 1 - </w:t>
            </w:r>
            <w:r w:rsidRPr="00146E3A">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146E3A">
              <w:rPr>
                <w:rFonts w:cs="Arial"/>
                <w:b/>
                <w:bCs/>
                <w:sz w:val="20"/>
                <w:szCs w:val="20"/>
              </w:rPr>
              <w:t xml:space="preserve">. </w:t>
            </w:r>
          </w:p>
        </w:tc>
      </w:tr>
      <w:tr w:rsidR="00207379" w:rsidRPr="00146E3A" w14:paraId="1631B3E8" w14:textId="77777777" w:rsidTr="00A762F9">
        <w:tc>
          <w:tcPr>
            <w:tcW w:w="2500" w:type="pct"/>
            <w:gridSpan w:val="2"/>
            <w:shd w:val="clear" w:color="auto" w:fill="B6DDE8"/>
          </w:tcPr>
          <w:p w14:paraId="1631B3E7" w14:textId="77777777" w:rsidR="00207379" w:rsidRPr="00146E3A" w:rsidRDefault="00207379" w:rsidP="00146E3A">
            <w:pPr>
              <w:spacing w:before="60" w:after="60" w:line="240" w:lineRule="auto"/>
              <w:rPr>
                <w:rFonts w:cs="Arial"/>
                <w:b/>
                <w:bCs/>
                <w:sz w:val="20"/>
                <w:szCs w:val="20"/>
              </w:rPr>
            </w:pPr>
            <w:r w:rsidRPr="00146E3A">
              <w:rPr>
                <w:rFonts w:cs="Arial"/>
                <w:b/>
                <w:bCs/>
                <w:sz w:val="20"/>
                <w:szCs w:val="20"/>
              </w:rPr>
              <w:t xml:space="preserve">Objective 1 - </w:t>
            </w:r>
            <w:r w:rsidRPr="00146E3A">
              <w:rPr>
                <w:rFonts w:cs="Arial"/>
                <w:sz w:val="20"/>
                <w:szCs w:val="20"/>
              </w:rPr>
              <w:t xml:space="preserve">The fishery shall be conducted at catch levels that maintain ecologically viable stock levels at an agreed point or range, with acceptable levels of probability. </w:t>
            </w:r>
          </w:p>
        </w:tc>
      </w:tr>
      <w:tr w:rsidR="00207379" w:rsidRPr="00146E3A" w14:paraId="1631B3EA" w14:textId="77777777" w:rsidTr="00A762F9">
        <w:tc>
          <w:tcPr>
            <w:tcW w:w="2500" w:type="pct"/>
            <w:gridSpan w:val="2"/>
            <w:shd w:val="clear" w:color="auto" w:fill="DAEEF3"/>
          </w:tcPr>
          <w:p w14:paraId="1631B3E9"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 xml:space="preserve">Information requirements </w:t>
            </w:r>
          </w:p>
        </w:tc>
      </w:tr>
      <w:tr w:rsidR="00146E3A" w:rsidRPr="00146E3A" w14:paraId="1631B3F3" w14:textId="77777777" w:rsidTr="00A762F9">
        <w:tc>
          <w:tcPr>
            <w:tcW w:w="2500" w:type="pct"/>
          </w:tcPr>
          <w:p w14:paraId="1631B3EB" w14:textId="77777777" w:rsidR="00146E3A" w:rsidRPr="00146E3A" w:rsidRDefault="00146E3A" w:rsidP="00146E3A">
            <w:pPr>
              <w:spacing w:before="60" w:after="60" w:line="240" w:lineRule="auto"/>
              <w:rPr>
                <w:rFonts w:cs="Arial"/>
                <w:b/>
                <w:bCs/>
                <w:i/>
                <w:iCs/>
                <w:sz w:val="20"/>
                <w:szCs w:val="20"/>
              </w:rPr>
            </w:pPr>
            <w:r w:rsidRPr="00146E3A">
              <w:rPr>
                <w:rFonts w:cs="Arial"/>
                <w:b/>
                <w:bCs/>
                <w:i/>
                <w:iCs/>
                <w:sz w:val="20"/>
                <w:szCs w:val="20"/>
              </w:rPr>
              <w:t xml:space="preserve">1.1.1 </w:t>
            </w:r>
            <w:r w:rsidRPr="00146E3A">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shd w:val="clear" w:color="auto" w:fill="92D050"/>
          </w:tcPr>
          <w:p w14:paraId="1631B3EF" w14:textId="1BEF7BB8" w:rsidR="00146E3A" w:rsidRPr="00146E3A" w:rsidRDefault="00146E3A" w:rsidP="00146E3A">
            <w:pPr>
              <w:spacing w:before="60" w:after="60" w:line="240" w:lineRule="auto"/>
              <w:rPr>
                <w:rFonts w:cs="Arial"/>
                <w:sz w:val="20"/>
                <w:szCs w:val="20"/>
              </w:rPr>
            </w:pPr>
            <w:r w:rsidRPr="00146E3A">
              <w:rPr>
                <w:rFonts w:cs="Arial"/>
                <w:sz w:val="20"/>
                <w:szCs w:val="20"/>
              </w:rPr>
              <w:t>There is a reliable information collection system in place appropriate to the scale of the fishery.</w:t>
            </w:r>
          </w:p>
          <w:p w14:paraId="1631B3F0" w14:textId="77777777" w:rsidR="00146E3A" w:rsidRPr="00146E3A" w:rsidRDefault="00146E3A" w:rsidP="00146E3A">
            <w:pPr>
              <w:spacing w:before="60" w:after="60" w:line="240" w:lineRule="auto"/>
              <w:rPr>
                <w:rFonts w:cs="Arial"/>
                <w:sz w:val="20"/>
                <w:szCs w:val="20"/>
              </w:rPr>
            </w:pPr>
            <w:r w:rsidRPr="00146E3A">
              <w:rPr>
                <w:rFonts w:cs="Arial"/>
                <w:sz w:val="20"/>
                <w:szCs w:val="20"/>
              </w:rPr>
              <w:t>There is regular fishing activity and mandatory reporting via AFMA approved daily fishing logbooks and catch disposal records. Boats are also required to operate vessel monitoring systems (VMS) at all times.</w:t>
            </w:r>
          </w:p>
          <w:p w14:paraId="1631B3F1"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Scientific observers are carried during pre-season surveys and provide an independent source of data to meet the needs of the fishery. Data from pre-season surveys and VMS is reviewed by </w:t>
            </w:r>
            <w:proofErr w:type="spellStart"/>
            <w:r w:rsidRPr="00146E3A">
              <w:rPr>
                <w:rFonts w:cs="Arial"/>
                <w:sz w:val="20"/>
                <w:szCs w:val="20"/>
              </w:rPr>
              <w:t>ScallopMAC</w:t>
            </w:r>
            <w:proofErr w:type="spellEnd"/>
            <w:r w:rsidRPr="00146E3A">
              <w:rPr>
                <w:rFonts w:cs="Arial"/>
                <w:sz w:val="20"/>
                <w:szCs w:val="20"/>
              </w:rPr>
              <w:t xml:space="preserve"> and </w:t>
            </w:r>
            <w:proofErr w:type="spellStart"/>
            <w:r w:rsidRPr="00146E3A">
              <w:rPr>
                <w:rFonts w:cs="Arial"/>
                <w:sz w:val="20"/>
                <w:szCs w:val="20"/>
              </w:rPr>
              <w:t>ScallopRAG</w:t>
            </w:r>
            <w:proofErr w:type="spellEnd"/>
            <w:r w:rsidRPr="00146E3A">
              <w:rPr>
                <w:rFonts w:cs="Arial"/>
                <w:sz w:val="20"/>
                <w:szCs w:val="20"/>
              </w:rPr>
              <w:t xml:space="preserve"> each year.</w:t>
            </w:r>
          </w:p>
          <w:p w14:paraId="1631B3F2" w14:textId="77777777" w:rsidR="00146E3A" w:rsidRPr="00146E3A" w:rsidRDefault="00146E3A" w:rsidP="00146E3A">
            <w:pPr>
              <w:spacing w:before="60" w:after="60" w:line="240" w:lineRule="auto"/>
              <w:rPr>
                <w:rFonts w:cs="Arial"/>
                <w:sz w:val="20"/>
                <w:szCs w:val="20"/>
              </w:rPr>
            </w:pPr>
            <w:r w:rsidRPr="00146E3A">
              <w:rPr>
                <w:rFonts w:cs="Arial"/>
                <w:sz w:val="20"/>
                <w:szCs w:val="20"/>
              </w:rPr>
              <w:t>Observer coverage outside the pre-season surveys occurs sporadically depending on data needs.</w:t>
            </w:r>
          </w:p>
        </w:tc>
      </w:tr>
      <w:tr w:rsidR="00207379" w:rsidRPr="00146E3A" w14:paraId="1631B3F5" w14:textId="77777777" w:rsidTr="00A762F9">
        <w:tc>
          <w:tcPr>
            <w:tcW w:w="2500" w:type="pct"/>
            <w:gridSpan w:val="2"/>
            <w:shd w:val="clear" w:color="auto" w:fill="DAEEF3"/>
          </w:tcPr>
          <w:p w14:paraId="1631B3F4"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 xml:space="preserve">Assessment </w:t>
            </w:r>
          </w:p>
        </w:tc>
      </w:tr>
      <w:tr w:rsidR="00146E3A" w:rsidRPr="00146E3A" w14:paraId="1631B3FD" w14:textId="77777777" w:rsidTr="00A762F9">
        <w:tc>
          <w:tcPr>
            <w:tcW w:w="2500" w:type="pct"/>
          </w:tcPr>
          <w:p w14:paraId="1631B3F6" w14:textId="77777777" w:rsidR="00146E3A" w:rsidRPr="00146E3A" w:rsidRDefault="00146E3A" w:rsidP="00146E3A">
            <w:pPr>
              <w:spacing w:before="60" w:after="60" w:line="240" w:lineRule="auto"/>
              <w:rPr>
                <w:rFonts w:cs="Arial"/>
                <w:b/>
                <w:bCs/>
                <w:i/>
                <w:iCs/>
                <w:sz w:val="20"/>
                <w:szCs w:val="20"/>
              </w:rPr>
            </w:pPr>
            <w:r w:rsidRPr="00146E3A">
              <w:rPr>
                <w:rFonts w:cs="Arial"/>
                <w:b/>
                <w:bCs/>
                <w:i/>
                <w:iCs/>
                <w:sz w:val="20"/>
                <w:szCs w:val="20"/>
              </w:rPr>
              <w:t xml:space="preserve">1.1.2 </w:t>
            </w:r>
            <w:r w:rsidRPr="00146E3A">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500" w:type="pct"/>
            <w:shd w:val="clear" w:color="auto" w:fill="92D050"/>
          </w:tcPr>
          <w:p w14:paraId="1631B3FA" w14:textId="3CBDC8C4" w:rsidR="00146E3A" w:rsidRPr="00146E3A" w:rsidRDefault="00146E3A" w:rsidP="00146E3A">
            <w:pPr>
              <w:spacing w:before="60" w:after="60" w:line="240" w:lineRule="auto"/>
              <w:rPr>
                <w:rFonts w:cs="Arial"/>
                <w:sz w:val="20"/>
                <w:szCs w:val="20"/>
              </w:rPr>
            </w:pPr>
            <w:r w:rsidRPr="00146E3A">
              <w:rPr>
                <w:rFonts w:cs="Arial"/>
                <w:sz w:val="20"/>
                <w:szCs w:val="20"/>
              </w:rPr>
              <w:t>Stock assessments are sufficient for the nature of the fishery.</w:t>
            </w:r>
          </w:p>
          <w:p w14:paraId="1631B3FB"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Stocks are surveyed prior to each fishing season in accordance with the harvest strategy for the fishery. </w:t>
            </w:r>
          </w:p>
          <w:p w14:paraId="1631B3FC" w14:textId="77777777" w:rsidR="00146E3A" w:rsidRPr="00146E3A" w:rsidRDefault="00146E3A" w:rsidP="00146E3A">
            <w:pPr>
              <w:spacing w:before="60" w:after="60" w:line="240" w:lineRule="auto"/>
              <w:rPr>
                <w:rFonts w:cs="Arial"/>
                <w:sz w:val="20"/>
                <w:szCs w:val="20"/>
              </w:rPr>
            </w:pPr>
            <w:r w:rsidRPr="00146E3A">
              <w:rPr>
                <w:rFonts w:cs="Arial"/>
                <w:sz w:val="20"/>
                <w:szCs w:val="20"/>
              </w:rPr>
              <w:t>While the surveys do not assess the stock as a whole, they do consider abundance, density, size and reproductive capacity. This supports the harvest strategy to conserve a viable breeding population and support sustainable fishing.</w:t>
            </w:r>
          </w:p>
        </w:tc>
      </w:tr>
      <w:tr w:rsidR="00146E3A" w:rsidRPr="00146E3A" w14:paraId="1631B403" w14:textId="77777777" w:rsidTr="00A762F9">
        <w:tc>
          <w:tcPr>
            <w:tcW w:w="2500" w:type="pct"/>
          </w:tcPr>
          <w:p w14:paraId="1631B3FE" w14:textId="77777777" w:rsidR="00146E3A" w:rsidRPr="00146E3A" w:rsidRDefault="00146E3A" w:rsidP="00146E3A">
            <w:pPr>
              <w:spacing w:before="60" w:after="60" w:line="240" w:lineRule="auto"/>
              <w:rPr>
                <w:rFonts w:cs="Arial"/>
                <w:i/>
                <w:iCs/>
                <w:sz w:val="20"/>
                <w:szCs w:val="20"/>
              </w:rPr>
            </w:pPr>
            <w:r w:rsidRPr="00146E3A">
              <w:rPr>
                <w:rFonts w:cs="Arial"/>
                <w:b/>
                <w:bCs/>
                <w:i/>
                <w:iCs/>
                <w:sz w:val="20"/>
                <w:szCs w:val="20"/>
              </w:rPr>
              <w:t xml:space="preserve">1.1.3 </w:t>
            </w:r>
            <w:r w:rsidRPr="00146E3A">
              <w:rPr>
                <w:rFonts w:cs="Arial"/>
                <w:sz w:val="20"/>
                <w:szCs w:val="20"/>
              </w:rPr>
              <w:t>The distribution and spatial structure of the stock(s) has been established and factored into management responses</w:t>
            </w:r>
            <w:r w:rsidRPr="00146E3A">
              <w:rPr>
                <w:rFonts w:cs="Arial"/>
                <w:i/>
                <w:iCs/>
                <w:sz w:val="20"/>
                <w:szCs w:val="20"/>
              </w:rPr>
              <w:t xml:space="preserve">. </w:t>
            </w:r>
          </w:p>
        </w:tc>
        <w:tc>
          <w:tcPr>
            <w:tcW w:w="2500" w:type="pct"/>
            <w:shd w:val="clear" w:color="auto" w:fill="92D050"/>
          </w:tcPr>
          <w:p w14:paraId="1631B402" w14:textId="766A31A8" w:rsidR="00146E3A" w:rsidRPr="00146E3A" w:rsidRDefault="00146E3A" w:rsidP="00146E3A">
            <w:pPr>
              <w:spacing w:before="60" w:after="60" w:line="240" w:lineRule="auto"/>
              <w:rPr>
                <w:rFonts w:cs="Arial"/>
                <w:sz w:val="20"/>
                <w:szCs w:val="20"/>
              </w:rPr>
            </w:pPr>
            <w:r w:rsidRPr="00146E3A">
              <w:rPr>
                <w:rFonts w:cs="Arial"/>
                <w:sz w:val="20"/>
                <w:szCs w:val="20"/>
              </w:rPr>
              <w:t>The pre-season surveys target areas of likely scallop abundance. Consequently, they do not provide information on the stock as a whole. They do however support the harvest strategy to conserve a viable spawning population and manage fishing in a sustainable way.</w:t>
            </w:r>
          </w:p>
        </w:tc>
      </w:tr>
      <w:tr w:rsidR="00146E3A" w:rsidRPr="00146E3A" w14:paraId="1631B40B" w14:textId="77777777" w:rsidTr="00A762F9">
        <w:tc>
          <w:tcPr>
            <w:tcW w:w="2500" w:type="pct"/>
          </w:tcPr>
          <w:p w14:paraId="1631B404" w14:textId="77777777" w:rsidR="00146E3A" w:rsidRPr="00146E3A" w:rsidRDefault="00146E3A" w:rsidP="00146E3A">
            <w:pPr>
              <w:spacing w:before="60" w:after="60" w:line="240" w:lineRule="auto"/>
              <w:rPr>
                <w:rFonts w:cs="Arial"/>
                <w:sz w:val="20"/>
                <w:szCs w:val="20"/>
              </w:rPr>
            </w:pPr>
            <w:r w:rsidRPr="00146E3A">
              <w:rPr>
                <w:rFonts w:cs="Arial"/>
                <w:b/>
                <w:bCs/>
                <w:i/>
                <w:iCs/>
                <w:sz w:val="20"/>
                <w:szCs w:val="20"/>
              </w:rPr>
              <w:lastRenderedPageBreak/>
              <w:t xml:space="preserve">1.1.4 </w:t>
            </w:r>
            <w:r w:rsidRPr="00146E3A">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500" w:type="pct"/>
            <w:shd w:val="clear" w:color="auto" w:fill="92D050"/>
          </w:tcPr>
          <w:p w14:paraId="1631B408" w14:textId="1D61908F" w:rsidR="00146E3A" w:rsidRPr="00146E3A" w:rsidRDefault="00146E3A" w:rsidP="00146E3A">
            <w:pPr>
              <w:spacing w:before="60" w:after="60" w:line="240" w:lineRule="auto"/>
              <w:rPr>
                <w:rFonts w:cs="Arial"/>
                <w:sz w:val="20"/>
                <w:szCs w:val="20"/>
              </w:rPr>
            </w:pPr>
            <w:r w:rsidRPr="00146E3A">
              <w:rPr>
                <w:rFonts w:cs="Arial"/>
                <w:sz w:val="20"/>
                <w:szCs w:val="20"/>
              </w:rPr>
              <w:t>There are reliable estimates of all removals. These estimates are factored into stock assessments and target species catch levels.</w:t>
            </w:r>
          </w:p>
          <w:p w14:paraId="1631B409" w14:textId="6456897E" w:rsidR="00146E3A" w:rsidRPr="00146E3A" w:rsidRDefault="00146E3A" w:rsidP="00146E3A">
            <w:pPr>
              <w:spacing w:before="60" w:after="60" w:line="240" w:lineRule="auto"/>
              <w:rPr>
                <w:rFonts w:cs="Arial"/>
                <w:sz w:val="20"/>
                <w:szCs w:val="20"/>
              </w:rPr>
            </w:pPr>
            <w:r w:rsidRPr="00146E3A">
              <w:rPr>
                <w:rFonts w:cs="Arial"/>
                <w:sz w:val="20"/>
                <w:szCs w:val="20"/>
              </w:rPr>
              <w:t xml:space="preserve">Available information on removals from adjacent state managed fisheries is considered by </w:t>
            </w:r>
            <w:proofErr w:type="spellStart"/>
            <w:r w:rsidRPr="00146E3A">
              <w:rPr>
                <w:rFonts w:cs="Arial"/>
                <w:sz w:val="20"/>
                <w:szCs w:val="20"/>
              </w:rPr>
              <w:t>ScallopMAC</w:t>
            </w:r>
            <w:proofErr w:type="spellEnd"/>
            <w:r w:rsidRPr="00146E3A">
              <w:rPr>
                <w:rFonts w:cs="Arial"/>
                <w:sz w:val="20"/>
                <w:szCs w:val="20"/>
              </w:rPr>
              <w:t xml:space="preserve"> and </w:t>
            </w:r>
            <w:proofErr w:type="spellStart"/>
            <w:r w:rsidRPr="00146E3A">
              <w:rPr>
                <w:rFonts w:cs="Arial"/>
                <w:sz w:val="20"/>
                <w:szCs w:val="20"/>
              </w:rPr>
              <w:t>ScallopRAG</w:t>
            </w:r>
            <w:proofErr w:type="spellEnd"/>
            <w:r w:rsidRPr="00146E3A">
              <w:rPr>
                <w:rFonts w:cs="Arial"/>
                <w:sz w:val="20"/>
                <w:szCs w:val="20"/>
              </w:rPr>
              <w:t xml:space="preserve"> when recommending total allowable catch limits. However, it is unclear how much these fisheries contribute to the spawning biomass in the Commonwealth fishery.</w:t>
            </w:r>
          </w:p>
          <w:p w14:paraId="1631B40A" w14:textId="37A54198" w:rsidR="00146E3A" w:rsidRPr="00146E3A" w:rsidRDefault="00146E3A" w:rsidP="00146E3A">
            <w:pPr>
              <w:spacing w:before="60" w:after="60" w:line="240" w:lineRule="auto"/>
              <w:rPr>
                <w:rFonts w:cs="Arial"/>
                <w:sz w:val="20"/>
                <w:szCs w:val="20"/>
              </w:rPr>
            </w:pPr>
            <w:r w:rsidRPr="00146E3A">
              <w:rPr>
                <w:rFonts w:cs="Arial"/>
                <w:sz w:val="20"/>
                <w:szCs w:val="20"/>
              </w:rPr>
              <w:t xml:space="preserve">There have been no reported catches of scallops by other </w:t>
            </w:r>
            <w:proofErr w:type="spellStart"/>
            <w:r w:rsidRPr="00146E3A">
              <w:rPr>
                <w:rFonts w:cs="Arial"/>
                <w:sz w:val="20"/>
                <w:szCs w:val="20"/>
              </w:rPr>
              <w:t>Commonweralth</w:t>
            </w:r>
            <w:proofErr w:type="spellEnd"/>
            <w:r w:rsidRPr="00146E3A">
              <w:rPr>
                <w:rFonts w:cs="Arial"/>
                <w:sz w:val="20"/>
                <w:szCs w:val="20"/>
              </w:rPr>
              <w:t xml:space="preserve"> fisheries in the area of the fishery </w:t>
            </w:r>
            <w:hyperlink r:id="rId41" w:history="1">
              <w:r w:rsidRPr="00146E3A">
                <w:rPr>
                  <w:rStyle w:val="Hyperlink"/>
                  <w:rFonts w:cs="Arial"/>
                  <w:sz w:val="20"/>
                  <w:szCs w:val="20"/>
                </w:rPr>
                <w:t>AFMA logbook records 2002-2014</w:t>
              </w:r>
            </w:hyperlink>
            <w:r w:rsidRPr="00146E3A">
              <w:rPr>
                <w:rFonts w:cs="Arial"/>
                <w:sz w:val="20"/>
                <w:szCs w:val="20"/>
              </w:rPr>
              <w:t>).</w:t>
            </w:r>
          </w:p>
        </w:tc>
      </w:tr>
      <w:tr w:rsidR="00146E3A" w:rsidRPr="00146E3A" w14:paraId="1631B411" w14:textId="77777777" w:rsidTr="00A762F9">
        <w:tc>
          <w:tcPr>
            <w:tcW w:w="2500" w:type="pct"/>
          </w:tcPr>
          <w:p w14:paraId="1631B40C" w14:textId="77777777" w:rsidR="00146E3A" w:rsidRPr="00146E3A" w:rsidRDefault="00146E3A" w:rsidP="00146E3A">
            <w:pPr>
              <w:spacing w:before="60" w:after="60" w:line="240" w:lineRule="auto"/>
              <w:rPr>
                <w:rFonts w:cs="Arial"/>
                <w:sz w:val="20"/>
                <w:szCs w:val="20"/>
              </w:rPr>
            </w:pPr>
            <w:r w:rsidRPr="00146E3A">
              <w:rPr>
                <w:rFonts w:cs="Arial"/>
                <w:b/>
                <w:bCs/>
                <w:i/>
                <w:iCs/>
                <w:sz w:val="20"/>
                <w:szCs w:val="20"/>
              </w:rPr>
              <w:t xml:space="preserve">1.1.5 </w:t>
            </w:r>
            <w:r w:rsidRPr="00146E3A">
              <w:rPr>
                <w:rFonts w:cs="Arial"/>
                <w:sz w:val="20"/>
                <w:szCs w:val="20"/>
              </w:rPr>
              <w:t xml:space="preserve">There is a sound estimate of the potential productivity of the fished stock(s) and the proportion that could be harvested. </w:t>
            </w:r>
          </w:p>
        </w:tc>
        <w:tc>
          <w:tcPr>
            <w:tcW w:w="2500" w:type="pct"/>
            <w:shd w:val="clear" w:color="auto" w:fill="92D050"/>
          </w:tcPr>
          <w:p w14:paraId="1631B410" w14:textId="559E695B" w:rsidR="00146E3A" w:rsidRPr="00146E3A" w:rsidRDefault="00146E3A" w:rsidP="00146E3A">
            <w:pPr>
              <w:spacing w:before="60" w:after="60" w:line="240" w:lineRule="auto"/>
              <w:rPr>
                <w:rFonts w:cs="Arial"/>
                <w:sz w:val="20"/>
                <w:szCs w:val="20"/>
              </w:rPr>
            </w:pPr>
            <w:r w:rsidRPr="00146E3A">
              <w:rPr>
                <w:rFonts w:cs="Arial"/>
                <w:sz w:val="20"/>
                <w:szCs w:val="20"/>
              </w:rPr>
              <w:t>Estimates of productivity are considered in annual stock assessments and during determination of total allowable catches.</w:t>
            </w:r>
          </w:p>
        </w:tc>
      </w:tr>
      <w:tr w:rsidR="00207379" w:rsidRPr="00146E3A" w14:paraId="1631B413" w14:textId="77777777" w:rsidTr="00A762F9">
        <w:tc>
          <w:tcPr>
            <w:tcW w:w="2500" w:type="pct"/>
            <w:gridSpan w:val="2"/>
            <w:shd w:val="clear" w:color="auto" w:fill="DAEEF3"/>
          </w:tcPr>
          <w:p w14:paraId="1631B412"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 xml:space="preserve">Management responses </w:t>
            </w:r>
          </w:p>
        </w:tc>
      </w:tr>
      <w:tr w:rsidR="00146E3A" w:rsidRPr="00146E3A" w14:paraId="1631B41B" w14:textId="77777777" w:rsidTr="00A762F9">
        <w:tc>
          <w:tcPr>
            <w:tcW w:w="2500" w:type="pct"/>
          </w:tcPr>
          <w:p w14:paraId="1631B414"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1.1.6 </w:t>
            </w:r>
            <w:r w:rsidRPr="00146E3A">
              <w:rPr>
                <w:rFonts w:cs="Arial"/>
                <w:sz w:val="20"/>
                <w:szCs w:val="20"/>
              </w:rPr>
              <w:t>There are reference points (target and/or limit), that trigger management actions including a biological bottom line and/or a catch or effort upper limit beyond which the stock should not be taken.</w:t>
            </w:r>
          </w:p>
        </w:tc>
        <w:tc>
          <w:tcPr>
            <w:tcW w:w="2500" w:type="pct"/>
            <w:shd w:val="clear" w:color="auto" w:fill="92D050"/>
          </w:tcPr>
          <w:p w14:paraId="1631B418" w14:textId="07400CC6" w:rsidR="00146E3A" w:rsidRPr="00146E3A" w:rsidRDefault="00146E3A" w:rsidP="00146E3A">
            <w:pPr>
              <w:spacing w:before="60" w:after="60" w:line="240" w:lineRule="auto"/>
              <w:rPr>
                <w:rFonts w:cs="Arial"/>
                <w:sz w:val="20"/>
                <w:szCs w:val="20"/>
              </w:rPr>
            </w:pPr>
            <w:r w:rsidRPr="00146E3A">
              <w:rPr>
                <w:rFonts w:cs="Arial"/>
                <w:sz w:val="20"/>
                <w:szCs w:val="20"/>
              </w:rPr>
              <w:t>The variable nature of the stock means the harvest strategy cannot easily incorporate maximum sustainable or maximum economic yield reference points. The harvest strategy also does not require an assessment to be made of the whole stock, but uses robust surveys to support conservation of viable stocks for ongoing recruitment.</w:t>
            </w:r>
          </w:p>
          <w:p w14:paraId="1631B419" w14:textId="77777777" w:rsidR="00146E3A" w:rsidRPr="00146E3A" w:rsidRDefault="00146E3A" w:rsidP="00146E3A">
            <w:pPr>
              <w:spacing w:before="60" w:after="60" w:line="240" w:lineRule="auto"/>
              <w:rPr>
                <w:rFonts w:cs="Arial"/>
                <w:sz w:val="20"/>
                <w:szCs w:val="20"/>
              </w:rPr>
            </w:pPr>
            <w:r w:rsidRPr="00146E3A">
              <w:rPr>
                <w:rFonts w:cs="Arial"/>
                <w:sz w:val="20"/>
                <w:szCs w:val="20"/>
              </w:rPr>
              <w:t>This approach is consistent with the intent of the Commonwealth Fisheries Harvest Strategy Policy.</w:t>
            </w:r>
          </w:p>
          <w:p w14:paraId="1631B41A" w14:textId="7E501A07" w:rsidR="00146E3A" w:rsidRPr="00146E3A" w:rsidRDefault="006A1422" w:rsidP="00146E3A">
            <w:pPr>
              <w:spacing w:before="60" w:after="60" w:line="240" w:lineRule="auto"/>
              <w:rPr>
                <w:rFonts w:cs="Arial"/>
                <w:sz w:val="20"/>
                <w:szCs w:val="20"/>
              </w:rPr>
            </w:pPr>
            <w:hyperlink r:id="rId42" w:history="1">
              <w:r w:rsidR="00146E3A" w:rsidRPr="00146E3A">
                <w:rPr>
                  <w:rStyle w:val="Hyperlink"/>
                  <w:rFonts w:cs="Arial"/>
                  <w:sz w:val="20"/>
                  <w:szCs w:val="20"/>
                </w:rPr>
                <w:t>Management Strategy Evaluation (MSE) testing</w:t>
              </w:r>
            </w:hyperlink>
            <w:r w:rsidR="00146E3A" w:rsidRPr="00146E3A">
              <w:rPr>
                <w:rFonts w:cs="Arial"/>
                <w:sz w:val="20"/>
                <w:szCs w:val="20"/>
              </w:rPr>
              <w:t xml:space="preserve"> was undertaken on the previous (2011) harvest strategy and the results were used to inform development of the current harvest strategy. This included a proxy (taking into account dredge efficiency) for the limit reference point, requiring one scallop bed of at least 1500 tonnes exploitable biomass to be retained in all years.</w:t>
            </w:r>
          </w:p>
        </w:tc>
      </w:tr>
      <w:tr w:rsidR="00146E3A" w:rsidRPr="00146E3A" w14:paraId="1631B421" w14:textId="77777777" w:rsidTr="00A762F9">
        <w:tc>
          <w:tcPr>
            <w:tcW w:w="2500" w:type="pct"/>
          </w:tcPr>
          <w:p w14:paraId="1631B41C" w14:textId="77777777" w:rsidR="00146E3A" w:rsidRPr="00146E3A" w:rsidRDefault="00146E3A" w:rsidP="00146E3A">
            <w:pPr>
              <w:spacing w:before="60" w:after="60" w:line="240" w:lineRule="auto"/>
              <w:rPr>
                <w:rFonts w:cs="Arial"/>
                <w:sz w:val="20"/>
                <w:szCs w:val="20"/>
              </w:rPr>
            </w:pPr>
            <w:r w:rsidRPr="00146E3A">
              <w:rPr>
                <w:rFonts w:cs="Arial"/>
                <w:b/>
                <w:bCs/>
                <w:i/>
                <w:iCs/>
                <w:sz w:val="20"/>
                <w:szCs w:val="20"/>
              </w:rPr>
              <w:t xml:space="preserve">1.1.7 </w:t>
            </w:r>
            <w:r w:rsidRPr="00146E3A">
              <w:rPr>
                <w:rFonts w:cs="Arial"/>
                <w:sz w:val="20"/>
                <w:szCs w:val="20"/>
              </w:rPr>
              <w:t>There are management strategies in place capable of controlling the level of take.</w:t>
            </w:r>
          </w:p>
        </w:tc>
        <w:tc>
          <w:tcPr>
            <w:tcW w:w="2500" w:type="pct"/>
            <w:shd w:val="clear" w:color="auto" w:fill="92D050"/>
          </w:tcPr>
          <w:p w14:paraId="1631B420" w14:textId="198FC40C" w:rsidR="00146E3A" w:rsidRPr="00146E3A" w:rsidRDefault="00146E3A" w:rsidP="00146E3A">
            <w:pPr>
              <w:spacing w:before="60" w:after="60" w:line="240" w:lineRule="auto"/>
              <w:rPr>
                <w:rFonts w:cs="Arial"/>
                <w:sz w:val="20"/>
                <w:szCs w:val="20"/>
              </w:rPr>
            </w:pPr>
            <w:r w:rsidRPr="00146E3A">
              <w:rPr>
                <w:rFonts w:cs="Arial"/>
                <w:sz w:val="20"/>
                <w:szCs w:val="20"/>
              </w:rPr>
              <w:t>Total allowable catch limits are determined annually.</w:t>
            </w:r>
          </w:p>
        </w:tc>
      </w:tr>
      <w:tr w:rsidR="00146E3A" w:rsidRPr="00146E3A" w14:paraId="1631B427" w14:textId="77777777" w:rsidTr="00A762F9">
        <w:tc>
          <w:tcPr>
            <w:tcW w:w="2500" w:type="pct"/>
          </w:tcPr>
          <w:p w14:paraId="1631B422"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1.1.8 </w:t>
            </w:r>
            <w:r w:rsidRPr="00146E3A">
              <w:rPr>
                <w:rFonts w:cs="Arial"/>
                <w:sz w:val="20"/>
                <w:szCs w:val="20"/>
              </w:rPr>
              <w:t>Fishing is conducted in a manner that does not threaten stocks of byproduct species.</w:t>
            </w:r>
          </w:p>
        </w:tc>
        <w:tc>
          <w:tcPr>
            <w:tcW w:w="2500" w:type="pct"/>
            <w:shd w:val="clear" w:color="auto" w:fill="92D050"/>
          </w:tcPr>
          <w:p w14:paraId="1631B426" w14:textId="58F802B1" w:rsidR="00146E3A" w:rsidRPr="00146E3A" w:rsidRDefault="00146E3A" w:rsidP="00146E3A">
            <w:pPr>
              <w:spacing w:before="60" w:after="60" w:line="240" w:lineRule="auto"/>
              <w:rPr>
                <w:rFonts w:cs="Arial"/>
                <w:sz w:val="20"/>
                <w:szCs w:val="20"/>
              </w:rPr>
            </w:pPr>
            <w:r w:rsidRPr="00146E3A">
              <w:rPr>
                <w:rFonts w:cs="Arial"/>
                <w:sz w:val="20"/>
                <w:szCs w:val="20"/>
              </w:rPr>
              <w:t>Take of byproduct is low and impact on byproduct species has been considered in AFMA’s ecological risk assessments and management strategies.</w:t>
            </w:r>
          </w:p>
        </w:tc>
      </w:tr>
      <w:tr w:rsidR="00207379" w:rsidRPr="00146E3A" w14:paraId="1631B429" w14:textId="77777777" w:rsidTr="00A762F9">
        <w:tc>
          <w:tcPr>
            <w:tcW w:w="2500" w:type="pct"/>
            <w:gridSpan w:val="2"/>
            <w:shd w:val="clear" w:color="auto" w:fill="DAEEF3"/>
            <w:vAlign w:val="center"/>
          </w:tcPr>
          <w:p w14:paraId="1631B428" w14:textId="77777777" w:rsidR="00207379" w:rsidRPr="00146E3A" w:rsidRDefault="00207379" w:rsidP="00146E3A">
            <w:pPr>
              <w:spacing w:before="60" w:after="60" w:line="240" w:lineRule="auto"/>
              <w:rPr>
                <w:rFonts w:cs="Arial"/>
                <w:sz w:val="20"/>
                <w:szCs w:val="20"/>
              </w:rPr>
            </w:pPr>
            <w:r w:rsidRPr="00146E3A">
              <w:rPr>
                <w:rFonts w:cs="Arial"/>
                <w:sz w:val="20"/>
                <w:szCs w:val="20"/>
              </w:rPr>
              <w:t xml:space="preserve">(Guidelines 1.1.1 to 1.1.7 should be applied to </w:t>
            </w:r>
            <w:r w:rsidR="00F012FC" w:rsidRPr="00146E3A">
              <w:rPr>
                <w:rFonts w:cs="Arial"/>
                <w:sz w:val="20"/>
                <w:szCs w:val="20"/>
              </w:rPr>
              <w:t>byproduct</w:t>
            </w:r>
            <w:r w:rsidRPr="00146E3A">
              <w:rPr>
                <w:rFonts w:cs="Arial"/>
                <w:sz w:val="20"/>
                <w:szCs w:val="20"/>
              </w:rPr>
              <w:t xml:space="preserve"> species to an appropriate level) </w:t>
            </w:r>
          </w:p>
        </w:tc>
      </w:tr>
      <w:tr w:rsidR="00146E3A" w:rsidRPr="00146E3A" w14:paraId="1631B42F" w14:textId="77777777" w:rsidTr="00A762F9">
        <w:tc>
          <w:tcPr>
            <w:tcW w:w="2500" w:type="pct"/>
          </w:tcPr>
          <w:p w14:paraId="1631B42A"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1.1.9 </w:t>
            </w:r>
            <w:r w:rsidRPr="00146E3A">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1631B42E" w14:textId="40C13871" w:rsidR="00146E3A" w:rsidRPr="00146E3A" w:rsidRDefault="00146E3A" w:rsidP="00146E3A">
            <w:pPr>
              <w:spacing w:before="60" w:after="60" w:line="240" w:lineRule="auto"/>
              <w:rPr>
                <w:rFonts w:cs="Arial"/>
                <w:sz w:val="20"/>
                <w:szCs w:val="20"/>
              </w:rPr>
            </w:pPr>
            <w:r w:rsidRPr="00146E3A">
              <w:rPr>
                <w:rFonts w:cs="Arial"/>
                <w:sz w:val="20"/>
                <w:szCs w:val="20"/>
              </w:rPr>
              <w:t>Harvest strategy is precautionary, and decisions based on pre-season survey data.</w:t>
            </w:r>
          </w:p>
        </w:tc>
      </w:tr>
      <w:tr w:rsidR="00207379" w:rsidRPr="00146E3A" w14:paraId="1631B432" w14:textId="77777777" w:rsidTr="00A762F9">
        <w:tc>
          <w:tcPr>
            <w:tcW w:w="2500" w:type="pct"/>
            <w:gridSpan w:val="2"/>
            <w:shd w:val="clear" w:color="auto" w:fill="DAEEF3"/>
          </w:tcPr>
          <w:p w14:paraId="1631B430" w14:textId="77777777" w:rsidR="00207379" w:rsidRPr="00146E3A" w:rsidRDefault="00207379" w:rsidP="00146E3A">
            <w:pPr>
              <w:spacing w:before="60" w:after="60" w:line="240" w:lineRule="auto"/>
              <w:rPr>
                <w:rFonts w:cs="Arial"/>
                <w:b/>
                <w:bCs/>
                <w:sz w:val="20"/>
                <w:szCs w:val="20"/>
              </w:rPr>
            </w:pPr>
            <w:r w:rsidRPr="00146E3A">
              <w:rPr>
                <w:rFonts w:cs="Arial"/>
                <w:b/>
                <w:bCs/>
                <w:sz w:val="20"/>
                <w:szCs w:val="20"/>
              </w:rPr>
              <w:t>If overfished, go to Objective 2:</w:t>
            </w:r>
          </w:p>
          <w:p w14:paraId="1631B431" w14:textId="77777777" w:rsidR="00207379" w:rsidRPr="00146E3A" w:rsidRDefault="00207379" w:rsidP="00146E3A">
            <w:pPr>
              <w:spacing w:before="60" w:after="60" w:line="240" w:lineRule="auto"/>
              <w:rPr>
                <w:rFonts w:cs="Arial"/>
                <w:b/>
                <w:bCs/>
                <w:sz w:val="20"/>
                <w:szCs w:val="20"/>
              </w:rPr>
            </w:pPr>
            <w:r w:rsidRPr="00146E3A">
              <w:rPr>
                <w:rFonts w:cs="Arial"/>
                <w:b/>
                <w:bCs/>
                <w:sz w:val="20"/>
                <w:szCs w:val="20"/>
              </w:rPr>
              <w:t>If not overfished, go to PRINCIPLE 2:</w:t>
            </w:r>
          </w:p>
        </w:tc>
      </w:tr>
      <w:tr w:rsidR="00207379" w:rsidRPr="00146E3A" w14:paraId="1631B434" w14:textId="77777777" w:rsidTr="00A762F9">
        <w:tc>
          <w:tcPr>
            <w:tcW w:w="2500" w:type="pct"/>
            <w:gridSpan w:val="2"/>
            <w:shd w:val="clear" w:color="auto" w:fill="B6DDE8"/>
          </w:tcPr>
          <w:p w14:paraId="1631B433" w14:textId="77777777" w:rsidR="00207379" w:rsidRPr="00146E3A" w:rsidRDefault="00207379" w:rsidP="00146E3A">
            <w:pPr>
              <w:spacing w:before="60" w:after="60" w:line="240" w:lineRule="auto"/>
              <w:rPr>
                <w:rFonts w:cs="Arial"/>
                <w:b/>
                <w:bCs/>
                <w:sz w:val="20"/>
                <w:szCs w:val="20"/>
              </w:rPr>
            </w:pPr>
            <w:r w:rsidRPr="00146E3A">
              <w:rPr>
                <w:rFonts w:cs="Arial"/>
                <w:b/>
                <w:bCs/>
                <w:sz w:val="20"/>
                <w:szCs w:val="20"/>
              </w:rPr>
              <w:t xml:space="preserve">Objective 2 - </w:t>
            </w:r>
            <w:r w:rsidRPr="00146E3A">
              <w:rPr>
                <w:rFonts w:cs="Arial"/>
                <w:sz w:val="20"/>
                <w:szCs w:val="20"/>
              </w:rPr>
              <w:t xml:space="preserve">Where the fished stock(s) are below a defined reference point, the fishery will be managed to promote recovery to ecologically viable stock levels within nominated timeframes. </w:t>
            </w:r>
          </w:p>
        </w:tc>
      </w:tr>
      <w:tr w:rsidR="00207379" w:rsidRPr="00146E3A" w14:paraId="1631B436" w14:textId="77777777" w:rsidTr="00A762F9">
        <w:tc>
          <w:tcPr>
            <w:tcW w:w="2500" w:type="pct"/>
            <w:gridSpan w:val="2"/>
            <w:shd w:val="clear" w:color="auto" w:fill="DAEEF3"/>
          </w:tcPr>
          <w:p w14:paraId="1631B435"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lastRenderedPageBreak/>
              <w:t xml:space="preserve">Management responses </w:t>
            </w:r>
          </w:p>
        </w:tc>
      </w:tr>
      <w:tr w:rsidR="00146E3A" w:rsidRPr="00146E3A" w14:paraId="1631B43D" w14:textId="77777777" w:rsidTr="00A762F9">
        <w:tc>
          <w:tcPr>
            <w:tcW w:w="2500" w:type="pct"/>
            <w:tcBorders>
              <w:bottom w:val="single" w:sz="4" w:space="0" w:color="auto"/>
            </w:tcBorders>
          </w:tcPr>
          <w:p w14:paraId="1631B437" w14:textId="77777777" w:rsidR="00146E3A" w:rsidRPr="00146E3A" w:rsidRDefault="00146E3A" w:rsidP="00146E3A">
            <w:pPr>
              <w:spacing w:before="60" w:after="60" w:line="240" w:lineRule="auto"/>
              <w:rPr>
                <w:rFonts w:cs="Arial"/>
                <w:sz w:val="20"/>
                <w:szCs w:val="20"/>
              </w:rPr>
            </w:pPr>
            <w:r w:rsidRPr="00146E3A">
              <w:rPr>
                <w:rFonts w:cs="Arial"/>
                <w:b/>
                <w:bCs/>
                <w:i/>
                <w:iCs/>
                <w:sz w:val="20"/>
                <w:szCs w:val="20"/>
              </w:rPr>
              <w:t xml:space="preserve">1.2.1 </w:t>
            </w:r>
            <w:r w:rsidRPr="00146E3A">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00" w:type="pct"/>
            <w:tcBorders>
              <w:bottom w:val="single" w:sz="4" w:space="0" w:color="auto"/>
            </w:tcBorders>
            <w:shd w:val="clear" w:color="auto" w:fill="auto"/>
          </w:tcPr>
          <w:p w14:paraId="1631B43B" w14:textId="1EAF40E6" w:rsidR="00146E3A" w:rsidRPr="00146E3A" w:rsidRDefault="00146E3A" w:rsidP="00146E3A">
            <w:pPr>
              <w:spacing w:before="60" w:after="60" w:line="240" w:lineRule="auto"/>
              <w:rPr>
                <w:rFonts w:cs="Arial"/>
                <w:sz w:val="20"/>
                <w:szCs w:val="20"/>
              </w:rPr>
            </w:pPr>
            <w:r w:rsidRPr="00146E3A">
              <w:rPr>
                <w:rFonts w:cs="Arial"/>
                <w:sz w:val="20"/>
                <w:szCs w:val="20"/>
              </w:rPr>
              <w:t>Not applicable.</w:t>
            </w:r>
          </w:p>
          <w:p w14:paraId="1631B43C" w14:textId="77777777" w:rsidR="00146E3A" w:rsidRPr="00146E3A" w:rsidRDefault="00146E3A" w:rsidP="00146E3A">
            <w:pPr>
              <w:spacing w:before="60" w:after="60" w:line="240" w:lineRule="auto"/>
              <w:rPr>
                <w:rFonts w:cs="Arial"/>
                <w:sz w:val="20"/>
                <w:szCs w:val="20"/>
              </w:rPr>
            </w:pPr>
            <w:r w:rsidRPr="00146E3A">
              <w:rPr>
                <w:rFonts w:cs="Arial"/>
                <w:sz w:val="20"/>
                <w:szCs w:val="20"/>
              </w:rPr>
              <w:t>Harvest strategy is predicated on precautionary TACs and accounts for natural stock fluctuations.</w:t>
            </w:r>
          </w:p>
        </w:tc>
      </w:tr>
      <w:tr w:rsidR="00146E3A" w:rsidRPr="00146E3A" w14:paraId="1631B444" w14:textId="77777777" w:rsidTr="00A762F9">
        <w:tc>
          <w:tcPr>
            <w:tcW w:w="2500" w:type="pct"/>
            <w:tcBorders>
              <w:bottom w:val="single" w:sz="4" w:space="0" w:color="auto"/>
            </w:tcBorders>
          </w:tcPr>
          <w:p w14:paraId="1631B43E" w14:textId="77777777" w:rsidR="00146E3A" w:rsidRPr="00146E3A" w:rsidRDefault="00146E3A" w:rsidP="00146E3A">
            <w:pPr>
              <w:spacing w:before="60" w:after="60" w:line="240" w:lineRule="auto"/>
              <w:rPr>
                <w:rFonts w:cs="Arial"/>
                <w:sz w:val="20"/>
                <w:szCs w:val="20"/>
              </w:rPr>
            </w:pPr>
            <w:r w:rsidRPr="00146E3A">
              <w:rPr>
                <w:rFonts w:cs="Arial"/>
                <w:b/>
                <w:bCs/>
                <w:i/>
                <w:iCs/>
                <w:sz w:val="20"/>
                <w:szCs w:val="20"/>
              </w:rPr>
              <w:t xml:space="preserve">1.2.2 </w:t>
            </w:r>
            <w:r w:rsidRPr="00146E3A">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tcBorders>
              <w:bottom w:val="single" w:sz="4" w:space="0" w:color="auto"/>
            </w:tcBorders>
            <w:shd w:val="clear" w:color="auto" w:fill="auto"/>
          </w:tcPr>
          <w:p w14:paraId="1631B442" w14:textId="501E9DD0" w:rsidR="00146E3A" w:rsidRPr="00146E3A" w:rsidRDefault="00146E3A" w:rsidP="00146E3A">
            <w:pPr>
              <w:spacing w:before="60" w:after="60" w:line="240" w:lineRule="auto"/>
              <w:rPr>
                <w:rFonts w:cs="Arial"/>
                <w:sz w:val="20"/>
                <w:szCs w:val="20"/>
              </w:rPr>
            </w:pPr>
            <w:r w:rsidRPr="00146E3A">
              <w:rPr>
                <w:rFonts w:cs="Arial"/>
                <w:sz w:val="20"/>
                <w:szCs w:val="20"/>
              </w:rPr>
              <w:t>Not applicable.</w:t>
            </w:r>
          </w:p>
          <w:p w14:paraId="1631B443" w14:textId="77777777" w:rsidR="00146E3A" w:rsidRPr="00146E3A" w:rsidRDefault="00146E3A" w:rsidP="00146E3A">
            <w:pPr>
              <w:spacing w:before="60" w:after="60" w:line="240" w:lineRule="auto"/>
              <w:rPr>
                <w:rFonts w:cs="Arial"/>
                <w:sz w:val="20"/>
                <w:szCs w:val="20"/>
              </w:rPr>
            </w:pPr>
            <w:r w:rsidRPr="00146E3A">
              <w:rPr>
                <w:rFonts w:cs="Arial"/>
                <w:sz w:val="20"/>
                <w:szCs w:val="20"/>
              </w:rPr>
              <w:t>Stock is not currently below limit, but is considered uncertain due to natural fluctuation. Control rules in harvest strategy appear adequate.</w:t>
            </w:r>
          </w:p>
        </w:tc>
      </w:tr>
      <w:tr w:rsidR="00207379" w:rsidRPr="00146E3A" w14:paraId="1631B447" w14:textId="77777777" w:rsidTr="00A762F9">
        <w:tc>
          <w:tcPr>
            <w:tcW w:w="2500" w:type="pct"/>
            <w:gridSpan w:val="2"/>
            <w:tcBorders>
              <w:top w:val="single" w:sz="4" w:space="0" w:color="auto"/>
            </w:tcBorders>
            <w:shd w:val="clear" w:color="auto" w:fill="B2A1C7"/>
          </w:tcPr>
          <w:p w14:paraId="1631B446" w14:textId="77777777" w:rsidR="00207379" w:rsidRPr="00146E3A" w:rsidRDefault="00207379" w:rsidP="00146E3A">
            <w:pPr>
              <w:autoSpaceDE w:val="0"/>
              <w:autoSpaceDN w:val="0"/>
              <w:adjustRightInd w:val="0"/>
              <w:spacing w:before="60" w:after="60" w:line="240" w:lineRule="auto"/>
              <w:rPr>
                <w:rFonts w:cs="Arial"/>
                <w:sz w:val="20"/>
                <w:szCs w:val="20"/>
              </w:rPr>
            </w:pPr>
            <w:r w:rsidRPr="00146E3A">
              <w:rPr>
                <w:rFonts w:cs="Arial"/>
                <w:b/>
                <w:bCs/>
                <w:sz w:val="20"/>
                <w:szCs w:val="20"/>
              </w:rPr>
              <w:t xml:space="preserve">PRINCIPLE 2 - </w:t>
            </w:r>
            <w:r w:rsidRPr="00146E3A">
              <w:rPr>
                <w:rFonts w:cs="Arial"/>
                <w:sz w:val="20"/>
                <w:szCs w:val="20"/>
              </w:rPr>
              <w:t>Fishing operations should be managed to minimise their impact on the structure,</w:t>
            </w:r>
            <w:r w:rsidR="00F91197" w:rsidRPr="00146E3A">
              <w:rPr>
                <w:rFonts w:cs="Arial"/>
                <w:sz w:val="20"/>
                <w:szCs w:val="20"/>
              </w:rPr>
              <w:t xml:space="preserve"> </w:t>
            </w:r>
            <w:r w:rsidRPr="00146E3A">
              <w:rPr>
                <w:rFonts w:cs="Arial"/>
                <w:sz w:val="20"/>
                <w:szCs w:val="20"/>
              </w:rPr>
              <w:t>productivity, function and biological diversity of the ecosystem.</w:t>
            </w:r>
          </w:p>
        </w:tc>
      </w:tr>
      <w:tr w:rsidR="00207379" w:rsidRPr="00146E3A" w14:paraId="1631B449" w14:textId="77777777" w:rsidTr="00A762F9">
        <w:tc>
          <w:tcPr>
            <w:tcW w:w="2500" w:type="pct"/>
            <w:gridSpan w:val="2"/>
            <w:shd w:val="clear" w:color="auto" w:fill="CCC0D9"/>
          </w:tcPr>
          <w:p w14:paraId="1631B448" w14:textId="77777777" w:rsidR="00207379" w:rsidRPr="00146E3A" w:rsidRDefault="00207379" w:rsidP="00146E3A">
            <w:pPr>
              <w:autoSpaceDE w:val="0"/>
              <w:autoSpaceDN w:val="0"/>
              <w:adjustRightInd w:val="0"/>
              <w:spacing w:before="60" w:after="60" w:line="240" w:lineRule="auto"/>
              <w:rPr>
                <w:rFonts w:cs="Arial"/>
                <w:sz w:val="20"/>
                <w:szCs w:val="20"/>
              </w:rPr>
            </w:pPr>
            <w:r w:rsidRPr="00146E3A">
              <w:rPr>
                <w:rFonts w:cs="Arial"/>
                <w:b/>
                <w:bCs/>
                <w:sz w:val="20"/>
                <w:szCs w:val="20"/>
              </w:rPr>
              <w:t xml:space="preserve">Objective 1 - </w:t>
            </w:r>
            <w:r w:rsidRPr="00146E3A">
              <w:rPr>
                <w:rFonts w:cs="Arial"/>
                <w:sz w:val="20"/>
                <w:szCs w:val="20"/>
              </w:rPr>
              <w:t>The fishery is conducted in a manner that does not threaten bycatch</w:t>
            </w:r>
            <w:r w:rsidR="00F91197" w:rsidRPr="00146E3A">
              <w:rPr>
                <w:rFonts w:cs="Arial"/>
                <w:sz w:val="20"/>
                <w:szCs w:val="20"/>
              </w:rPr>
              <w:t xml:space="preserve"> </w:t>
            </w:r>
            <w:r w:rsidRPr="00146E3A">
              <w:rPr>
                <w:rFonts w:cs="Arial"/>
                <w:sz w:val="20"/>
                <w:szCs w:val="20"/>
              </w:rPr>
              <w:t>species.</w:t>
            </w:r>
          </w:p>
        </w:tc>
      </w:tr>
      <w:tr w:rsidR="00207379" w:rsidRPr="00146E3A" w14:paraId="1631B44B" w14:textId="77777777" w:rsidTr="00A762F9">
        <w:tc>
          <w:tcPr>
            <w:tcW w:w="2500" w:type="pct"/>
            <w:gridSpan w:val="2"/>
            <w:shd w:val="clear" w:color="auto" w:fill="E5DFEC"/>
          </w:tcPr>
          <w:p w14:paraId="1631B44A"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Information requirements</w:t>
            </w:r>
          </w:p>
        </w:tc>
      </w:tr>
      <w:tr w:rsidR="00146E3A" w:rsidRPr="00146E3A" w14:paraId="1631B457" w14:textId="77777777" w:rsidTr="00A762F9">
        <w:tc>
          <w:tcPr>
            <w:tcW w:w="2500" w:type="pct"/>
          </w:tcPr>
          <w:p w14:paraId="1631B44C"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2.1.1 </w:t>
            </w:r>
            <w:r w:rsidRPr="00146E3A">
              <w:rPr>
                <w:rFonts w:cs="Arial"/>
                <w:sz w:val="20"/>
                <w:szCs w:val="20"/>
              </w:rPr>
              <w:t>Reliable information, appropriate to the scale of the fishery, is collected on the composition and abundance of bycatch.</w:t>
            </w:r>
          </w:p>
        </w:tc>
        <w:tc>
          <w:tcPr>
            <w:tcW w:w="2500" w:type="pct"/>
            <w:shd w:val="clear" w:color="auto" w:fill="FFC000"/>
          </w:tcPr>
          <w:p w14:paraId="1631B450" w14:textId="4B8DA97E" w:rsidR="00146E3A" w:rsidRPr="00146E3A" w:rsidRDefault="00146E3A" w:rsidP="00146E3A">
            <w:pPr>
              <w:spacing w:before="60" w:after="60" w:line="240" w:lineRule="auto"/>
              <w:rPr>
                <w:rFonts w:cs="Arial"/>
                <w:sz w:val="20"/>
                <w:szCs w:val="20"/>
              </w:rPr>
            </w:pPr>
            <w:r w:rsidRPr="00146E3A">
              <w:rPr>
                <w:rFonts w:cs="Arial"/>
                <w:sz w:val="20"/>
                <w:szCs w:val="20"/>
              </w:rPr>
              <w:t>There is an appropriate information collection system in place appropriate to the scale of the fishery; however some uncertainty remains about the reliability of bycatch reporting.</w:t>
            </w:r>
          </w:p>
          <w:p w14:paraId="1631B451"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The primary source of data on bycatch in the scallop fishery is obtained through the pre-season biomass survey. </w:t>
            </w:r>
          </w:p>
          <w:p w14:paraId="1631B452" w14:textId="77777777" w:rsidR="00146E3A" w:rsidRPr="00146E3A" w:rsidRDefault="00146E3A" w:rsidP="00146E3A">
            <w:pPr>
              <w:spacing w:before="60" w:after="60" w:line="240" w:lineRule="auto"/>
              <w:rPr>
                <w:rFonts w:cs="Arial"/>
                <w:sz w:val="20"/>
                <w:szCs w:val="20"/>
              </w:rPr>
            </w:pPr>
            <w:r w:rsidRPr="00146E3A">
              <w:rPr>
                <w:rFonts w:cs="Arial"/>
                <w:sz w:val="20"/>
                <w:szCs w:val="20"/>
              </w:rPr>
              <w:t>Daily fishing logbooks require bycatch to be recorded but there is not currently any routine observer coverage outside the pre-season surveys to validate fishery-dependent data.</w:t>
            </w:r>
          </w:p>
          <w:p w14:paraId="1631B453"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AFMA’s Bycatch and Discarding </w:t>
            </w:r>
            <w:proofErr w:type="spellStart"/>
            <w:r w:rsidRPr="00146E3A">
              <w:rPr>
                <w:rFonts w:cs="Arial"/>
                <w:sz w:val="20"/>
                <w:szCs w:val="20"/>
              </w:rPr>
              <w:t>Workplan</w:t>
            </w:r>
            <w:proofErr w:type="spellEnd"/>
            <w:r w:rsidRPr="00146E3A">
              <w:rPr>
                <w:rFonts w:cs="Arial"/>
                <w:sz w:val="20"/>
                <w:szCs w:val="20"/>
              </w:rPr>
              <w:t xml:space="preserve"> commits to monitor logbook, observer and catch disposal data to identify gaps and inconsistencies in reporting.</w:t>
            </w:r>
          </w:p>
          <w:p w14:paraId="1631B454" w14:textId="77777777" w:rsidR="00146E3A" w:rsidRPr="00146E3A" w:rsidRDefault="00146E3A" w:rsidP="00146E3A">
            <w:pPr>
              <w:spacing w:before="60" w:after="60" w:line="240" w:lineRule="auto"/>
              <w:rPr>
                <w:rFonts w:cs="Arial"/>
                <w:sz w:val="20"/>
                <w:szCs w:val="20"/>
              </w:rPr>
            </w:pPr>
            <w:r w:rsidRPr="00146E3A">
              <w:rPr>
                <w:rFonts w:cs="Arial"/>
                <w:sz w:val="20"/>
                <w:szCs w:val="20"/>
              </w:rPr>
              <w:t>Four species have been identified through the ERA process as being at high risk from the effects of scallop dredging. The pre-season survey results for 2015 and 2016 show negligible quantities of these species are caught. Despite efforts by AFMA to aid fishers’ identification and reporting of these species, they have not been recorded in logbook records to date.</w:t>
            </w:r>
          </w:p>
          <w:p w14:paraId="1631B455"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AFMA’s Bycatch and Discarding </w:t>
            </w:r>
            <w:proofErr w:type="spellStart"/>
            <w:r w:rsidRPr="00146E3A">
              <w:rPr>
                <w:rFonts w:cs="Arial"/>
                <w:sz w:val="20"/>
                <w:szCs w:val="20"/>
              </w:rPr>
              <w:t>Workplan</w:t>
            </w:r>
            <w:proofErr w:type="spellEnd"/>
            <w:r w:rsidRPr="00146E3A">
              <w:rPr>
                <w:rFonts w:cs="Arial"/>
                <w:sz w:val="20"/>
                <w:szCs w:val="20"/>
              </w:rPr>
              <w:t xml:space="preserve"> also requires </w:t>
            </w:r>
            <w:proofErr w:type="spellStart"/>
            <w:r w:rsidRPr="00146E3A">
              <w:rPr>
                <w:rFonts w:cs="Arial"/>
                <w:sz w:val="20"/>
                <w:szCs w:val="20"/>
              </w:rPr>
              <w:t>ScallopRAG</w:t>
            </w:r>
            <w:proofErr w:type="spellEnd"/>
            <w:r w:rsidRPr="00146E3A">
              <w:rPr>
                <w:rFonts w:cs="Arial"/>
                <w:sz w:val="20"/>
                <w:szCs w:val="20"/>
              </w:rPr>
              <w:t xml:space="preserve"> to consider bycatch and discard data requirements and develop a monitoring program for the fishery. This was completed in 2015 and relies primarily on scientific observer trips.</w:t>
            </w:r>
          </w:p>
          <w:p w14:paraId="1631B456" w14:textId="77777777" w:rsidR="00146E3A" w:rsidRPr="00146E3A" w:rsidRDefault="00146E3A" w:rsidP="00146E3A">
            <w:pPr>
              <w:spacing w:before="60" w:after="60" w:line="240" w:lineRule="auto"/>
              <w:rPr>
                <w:rFonts w:cs="Arial"/>
                <w:sz w:val="20"/>
                <w:szCs w:val="20"/>
              </w:rPr>
            </w:pPr>
            <w:r w:rsidRPr="00146E3A">
              <w:rPr>
                <w:rFonts w:cs="Arial"/>
                <w:sz w:val="20"/>
                <w:szCs w:val="20"/>
              </w:rPr>
              <w:t>AFMA reviewed observer records of bycatch composition from 2008 to 2010 and compared these to more recent data recorded on pre-season surveys. AFMA found that bycatch compositions have remained consistent, with no significant catches of high risk species.</w:t>
            </w:r>
          </w:p>
        </w:tc>
      </w:tr>
      <w:tr w:rsidR="00207379" w:rsidRPr="00146E3A" w14:paraId="1631B45A" w14:textId="77777777" w:rsidTr="00A762F9">
        <w:tc>
          <w:tcPr>
            <w:tcW w:w="2500" w:type="pct"/>
            <w:gridSpan w:val="2"/>
            <w:shd w:val="clear" w:color="auto" w:fill="E5DFEC"/>
          </w:tcPr>
          <w:p w14:paraId="1631B459"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lastRenderedPageBreak/>
              <w:t>Assessments</w:t>
            </w:r>
          </w:p>
        </w:tc>
      </w:tr>
      <w:tr w:rsidR="00146E3A" w:rsidRPr="00146E3A" w14:paraId="1631B466" w14:textId="77777777" w:rsidTr="00A762F9">
        <w:tc>
          <w:tcPr>
            <w:tcW w:w="2500" w:type="pct"/>
          </w:tcPr>
          <w:p w14:paraId="1631B45B"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2.1.2 </w:t>
            </w:r>
            <w:r w:rsidRPr="00146E3A">
              <w:rPr>
                <w:rFonts w:cs="Arial"/>
                <w:sz w:val="20"/>
                <w:szCs w:val="20"/>
              </w:rPr>
              <w:t>There is a risk analysis of the bycatch with respect to its vulnerability to fishing.</w:t>
            </w:r>
          </w:p>
        </w:tc>
        <w:tc>
          <w:tcPr>
            <w:tcW w:w="2500" w:type="pct"/>
            <w:shd w:val="clear" w:color="auto" w:fill="92D050"/>
          </w:tcPr>
          <w:p w14:paraId="1631B45F" w14:textId="79ABA5F0" w:rsidR="00146E3A" w:rsidRPr="00146E3A" w:rsidRDefault="00146E3A" w:rsidP="00146E3A">
            <w:pPr>
              <w:spacing w:before="60" w:after="60" w:line="240" w:lineRule="auto"/>
              <w:rPr>
                <w:rFonts w:cs="Arial"/>
                <w:sz w:val="20"/>
                <w:szCs w:val="20"/>
              </w:rPr>
            </w:pPr>
            <w:r w:rsidRPr="00146E3A">
              <w:rPr>
                <w:rFonts w:cs="Arial"/>
                <w:sz w:val="20"/>
                <w:szCs w:val="20"/>
              </w:rPr>
              <w:t xml:space="preserve">Risks to bycatch species are assessed and managed through </w:t>
            </w:r>
            <w:hyperlink r:id="rId43" w:history="1">
              <w:r w:rsidRPr="00146E3A">
                <w:rPr>
                  <w:rStyle w:val="Hyperlink"/>
                  <w:rFonts w:cs="Arial"/>
                  <w:sz w:val="20"/>
                  <w:szCs w:val="20"/>
                </w:rPr>
                <w:t>AFMA’s ecological risk management (ERM) framework</w:t>
              </w:r>
            </w:hyperlink>
            <w:r w:rsidRPr="00146E3A">
              <w:rPr>
                <w:rFonts w:cs="Arial"/>
                <w:sz w:val="20"/>
                <w:szCs w:val="20"/>
              </w:rPr>
              <w:t>.</w:t>
            </w:r>
          </w:p>
          <w:p w14:paraId="1631B460"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A fishery specific </w:t>
            </w:r>
            <w:hyperlink r:id="rId44" w:history="1">
              <w:r w:rsidRPr="00146E3A">
                <w:rPr>
                  <w:rStyle w:val="Hyperlink"/>
                  <w:rFonts w:cs="Arial"/>
                  <w:sz w:val="20"/>
                  <w:szCs w:val="20"/>
                </w:rPr>
                <w:t xml:space="preserve">Bycatch and Discard </w:t>
              </w:r>
              <w:proofErr w:type="spellStart"/>
              <w:r w:rsidRPr="00146E3A">
                <w:rPr>
                  <w:rStyle w:val="Hyperlink"/>
                  <w:rFonts w:cs="Arial"/>
                  <w:sz w:val="20"/>
                  <w:szCs w:val="20"/>
                </w:rPr>
                <w:t>Workplan</w:t>
              </w:r>
              <w:proofErr w:type="spellEnd"/>
            </w:hyperlink>
            <w:r w:rsidRPr="00146E3A">
              <w:rPr>
                <w:rFonts w:cs="Arial"/>
                <w:sz w:val="20"/>
                <w:szCs w:val="20"/>
              </w:rPr>
              <w:t xml:space="preserve"> is also in place for the fishery.</w:t>
            </w:r>
          </w:p>
          <w:p w14:paraId="1631B461"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ERAs were undertaken in </w:t>
            </w:r>
            <w:hyperlink r:id="rId45" w:history="1">
              <w:r w:rsidRPr="00146E3A">
                <w:rPr>
                  <w:rStyle w:val="Hyperlink"/>
                  <w:rFonts w:cs="Arial"/>
                  <w:sz w:val="20"/>
                  <w:szCs w:val="20"/>
                </w:rPr>
                <w:t>2007</w:t>
              </w:r>
            </w:hyperlink>
            <w:r w:rsidRPr="00146E3A">
              <w:rPr>
                <w:rFonts w:cs="Arial"/>
                <w:sz w:val="20"/>
                <w:szCs w:val="20"/>
              </w:rPr>
              <w:t xml:space="preserve"> and </w:t>
            </w:r>
            <w:hyperlink r:id="rId46" w:history="1">
              <w:r w:rsidRPr="00146E3A">
                <w:rPr>
                  <w:rStyle w:val="Hyperlink"/>
                  <w:rFonts w:cs="Arial"/>
                  <w:sz w:val="20"/>
                  <w:szCs w:val="20"/>
                </w:rPr>
                <w:t>2009</w:t>
              </w:r>
            </w:hyperlink>
            <w:r w:rsidRPr="00146E3A">
              <w:rPr>
                <w:rFonts w:cs="Arial"/>
                <w:sz w:val="20"/>
                <w:szCs w:val="20"/>
              </w:rPr>
              <w:t xml:space="preserve">, and risks are managed in accordance with the </w:t>
            </w:r>
            <w:hyperlink r:id="rId47" w:history="1">
              <w:r w:rsidRPr="00146E3A">
                <w:rPr>
                  <w:rStyle w:val="Hyperlink"/>
                  <w:rFonts w:cs="Arial"/>
                  <w:sz w:val="20"/>
                  <w:szCs w:val="20"/>
                </w:rPr>
                <w:t>ERM strategy (2009)</w:t>
              </w:r>
            </w:hyperlink>
            <w:r w:rsidRPr="00146E3A">
              <w:rPr>
                <w:rFonts w:cs="Arial"/>
                <w:sz w:val="20"/>
                <w:szCs w:val="20"/>
              </w:rPr>
              <w:t>.</w:t>
            </w:r>
          </w:p>
          <w:p w14:paraId="1631B462" w14:textId="77777777" w:rsidR="00146E3A" w:rsidRPr="00146E3A" w:rsidRDefault="00146E3A" w:rsidP="00146E3A">
            <w:pPr>
              <w:spacing w:before="60" w:after="60" w:line="240" w:lineRule="auto"/>
              <w:rPr>
                <w:rFonts w:cs="Arial"/>
                <w:sz w:val="20"/>
                <w:szCs w:val="20"/>
              </w:rPr>
            </w:pPr>
            <w:r w:rsidRPr="00146E3A">
              <w:rPr>
                <w:rFonts w:cs="Arial"/>
                <w:sz w:val="20"/>
                <w:szCs w:val="20"/>
              </w:rPr>
              <w:t>AFMA has committed to review assessments and strategies every five years, with the next assessment expected to be completed during 2018.</w:t>
            </w:r>
          </w:p>
          <w:p w14:paraId="1631B463"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Four species of invertebrates are classed as high risk in the ERA (King Island </w:t>
            </w:r>
            <w:proofErr w:type="spellStart"/>
            <w:r w:rsidRPr="00146E3A">
              <w:rPr>
                <w:rFonts w:cs="Arial"/>
                <w:sz w:val="20"/>
                <w:szCs w:val="20"/>
              </w:rPr>
              <w:t>thickshell</w:t>
            </w:r>
            <w:proofErr w:type="spellEnd"/>
            <w:r w:rsidRPr="00146E3A">
              <w:rPr>
                <w:rFonts w:cs="Arial"/>
                <w:sz w:val="20"/>
                <w:szCs w:val="20"/>
              </w:rPr>
              <w:t xml:space="preserve"> clam, southern </w:t>
            </w:r>
            <w:proofErr w:type="spellStart"/>
            <w:r w:rsidRPr="00146E3A">
              <w:rPr>
                <w:rFonts w:cs="Arial"/>
                <w:sz w:val="20"/>
                <w:szCs w:val="20"/>
              </w:rPr>
              <w:t>blueringed</w:t>
            </w:r>
            <w:proofErr w:type="spellEnd"/>
            <w:r w:rsidRPr="00146E3A">
              <w:rPr>
                <w:rFonts w:cs="Arial"/>
                <w:sz w:val="20"/>
                <w:szCs w:val="20"/>
              </w:rPr>
              <w:t xml:space="preserve"> octopus, large pebble crab and black and white </w:t>
            </w:r>
            <w:proofErr w:type="spellStart"/>
            <w:r w:rsidRPr="00146E3A">
              <w:rPr>
                <w:rFonts w:cs="Arial"/>
                <w:sz w:val="20"/>
                <w:szCs w:val="20"/>
              </w:rPr>
              <w:t>seastar</w:t>
            </w:r>
            <w:proofErr w:type="spellEnd"/>
            <w:r w:rsidRPr="00146E3A">
              <w:rPr>
                <w:rFonts w:cs="Arial"/>
                <w:sz w:val="20"/>
                <w:szCs w:val="20"/>
              </w:rPr>
              <w:t>). These species are presently high risk due to uncertainty in their biological information, but fishing impact is thought to be low.</w:t>
            </w:r>
          </w:p>
          <w:p w14:paraId="1631B464" w14:textId="77777777" w:rsidR="00146E3A" w:rsidRPr="00146E3A" w:rsidRDefault="00146E3A" w:rsidP="00146E3A">
            <w:pPr>
              <w:spacing w:before="60" w:after="60" w:line="240" w:lineRule="auto"/>
              <w:rPr>
                <w:rFonts w:cs="Arial"/>
                <w:sz w:val="20"/>
                <w:szCs w:val="20"/>
              </w:rPr>
            </w:pPr>
            <w:r w:rsidRPr="00146E3A">
              <w:rPr>
                <w:rFonts w:cs="Arial"/>
                <w:sz w:val="20"/>
                <w:szCs w:val="20"/>
              </w:rPr>
              <w:t>The primary monitoring of these species is undertaken by scientific observers during pre-season surveys.</w:t>
            </w:r>
          </w:p>
          <w:p w14:paraId="1631B465" w14:textId="77777777" w:rsidR="00146E3A" w:rsidRPr="00146E3A" w:rsidRDefault="00146E3A" w:rsidP="00146E3A">
            <w:pPr>
              <w:spacing w:before="60" w:after="60" w:line="240" w:lineRule="auto"/>
              <w:rPr>
                <w:rFonts w:cs="Arial"/>
                <w:sz w:val="20"/>
                <w:szCs w:val="20"/>
              </w:rPr>
            </w:pPr>
            <w:r w:rsidRPr="00146E3A">
              <w:rPr>
                <w:rFonts w:cs="Arial"/>
                <w:sz w:val="20"/>
                <w:szCs w:val="20"/>
              </w:rPr>
              <w:t>During the 2016 survey, the catch of high risk species as a percentage of total catch was very low (less than</w:t>
            </w:r>
            <w:r w:rsidRPr="00146E3A">
              <w:rPr>
                <w:rFonts w:cs="Arial"/>
                <w:i/>
                <w:sz w:val="20"/>
                <w:szCs w:val="20"/>
              </w:rPr>
              <w:t xml:space="preserve"> </w:t>
            </w:r>
            <w:r w:rsidRPr="00146E3A">
              <w:rPr>
                <w:rFonts w:cs="Arial"/>
                <w:sz w:val="20"/>
                <w:szCs w:val="20"/>
              </w:rPr>
              <w:t xml:space="preserve">four per cent for King Island </w:t>
            </w:r>
            <w:proofErr w:type="spellStart"/>
            <w:r w:rsidRPr="00146E3A">
              <w:rPr>
                <w:rFonts w:cs="Arial"/>
                <w:sz w:val="20"/>
                <w:szCs w:val="20"/>
              </w:rPr>
              <w:t>thickshell</w:t>
            </w:r>
            <w:proofErr w:type="spellEnd"/>
            <w:r w:rsidRPr="00146E3A">
              <w:rPr>
                <w:rFonts w:cs="Arial"/>
                <w:sz w:val="20"/>
                <w:szCs w:val="20"/>
              </w:rPr>
              <w:t xml:space="preserve"> clam and one per cent or less for the other three species). </w:t>
            </w:r>
          </w:p>
        </w:tc>
      </w:tr>
      <w:tr w:rsidR="00207379" w:rsidRPr="00146E3A" w14:paraId="1631B468" w14:textId="77777777" w:rsidTr="00A762F9">
        <w:tc>
          <w:tcPr>
            <w:tcW w:w="2500" w:type="pct"/>
            <w:gridSpan w:val="2"/>
            <w:shd w:val="clear" w:color="auto" w:fill="E5DFEC"/>
          </w:tcPr>
          <w:p w14:paraId="1631B467"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Management responses</w:t>
            </w:r>
          </w:p>
        </w:tc>
      </w:tr>
      <w:tr w:rsidR="00146E3A" w:rsidRPr="00146E3A" w14:paraId="1631B470" w14:textId="77777777" w:rsidTr="00A762F9">
        <w:tc>
          <w:tcPr>
            <w:tcW w:w="2500" w:type="pct"/>
          </w:tcPr>
          <w:p w14:paraId="1631B469" w14:textId="2979775F"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2.1.3 </w:t>
            </w:r>
            <w:r w:rsidRPr="00146E3A">
              <w:rPr>
                <w:rFonts w:cs="Arial"/>
                <w:sz w:val="20"/>
                <w:szCs w:val="20"/>
              </w:rPr>
              <w:t xml:space="preserve">Measures are in place to avoid capture and mortality of bycatch species unless it is determined that the level of catch is </w:t>
            </w:r>
            <w:proofErr w:type="spellStart"/>
            <w:r w:rsidRPr="00146E3A">
              <w:rPr>
                <w:rFonts w:cs="Arial"/>
                <w:sz w:val="20"/>
                <w:szCs w:val="20"/>
              </w:rPr>
              <w:t>su</w:t>
            </w:r>
            <w:r>
              <w:rPr>
                <w:rFonts w:cs="Arial"/>
                <w:sz w:val="20"/>
                <w:szCs w:val="20"/>
              </w:rPr>
              <w:t>`</w:t>
            </w:r>
            <w:r w:rsidRPr="00146E3A">
              <w:rPr>
                <w:rFonts w:cs="Arial"/>
                <w:sz w:val="20"/>
                <w:szCs w:val="20"/>
              </w:rPr>
              <w:t>stainable</w:t>
            </w:r>
            <w:proofErr w:type="spellEnd"/>
            <w:r w:rsidRPr="00146E3A">
              <w:rPr>
                <w:rFonts w:cs="Arial"/>
                <w:sz w:val="20"/>
                <w:szCs w:val="20"/>
              </w:rPr>
              <w:t xml:space="preserve"> (except in relation to endangered, threatened or protected species). Steps must be taken to develop suitable technology if none is available. </w:t>
            </w:r>
          </w:p>
        </w:tc>
        <w:tc>
          <w:tcPr>
            <w:tcW w:w="2500" w:type="pct"/>
            <w:shd w:val="clear" w:color="auto" w:fill="92D050"/>
          </w:tcPr>
          <w:p w14:paraId="1631B46D" w14:textId="0D1AEE29" w:rsidR="00146E3A" w:rsidRPr="00146E3A" w:rsidRDefault="00146E3A" w:rsidP="00146E3A">
            <w:pPr>
              <w:spacing w:before="60" w:after="60" w:line="240" w:lineRule="auto"/>
              <w:rPr>
                <w:rFonts w:cs="Arial"/>
                <w:sz w:val="20"/>
                <w:szCs w:val="20"/>
              </w:rPr>
            </w:pPr>
            <w:r w:rsidRPr="00146E3A">
              <w:rPr>
                <w:rFonts w:cs="Arial"/>
                <w:sz w:val="20"/>
                <w:szCs w:val="20"/>
              </w:rPr>
              <w:t xml:space="preserve">The fishery typically targets areas of naturally high disturbance, with high scallop density and low species diversity; this has the effect of minimising bycatch. </w:t>
            </w:r>
          </w:p>
          <w:p w14:paraId="1631B46E"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Incidental protection is afforded by the harvest strategy, which although focused on target species, includes spatial and seasonal closures, surveys to define productive fishing areas (which have inherently low bycatch) and monitoring of logbook, observer (where available) and survey data. The resulting area fished each season is relatively small (approximately 22 square kilometres, </w:t>
            </w:r>
            <w:hyperlink r:id="rId48" w:history="1">
              <w:r w:rsidRPr="00146E3A">
                <w:rPr>
                  <w:rStyle w:val="Hyperlink"/>
                  <w:rFonts w:cs="Arial"/>
                  <w:sz w:val="20"/>
                  <w:szCs w:val="20"/>
                </w:rPr>
                <w:t>Pitcher et. al. 2016</w:t>
              </w:r>
            </w:hyperlink>
            <w:r w:rsidRPr="00146E3A">
              <w:rPr>
                <w:rFonts w:cs="Arial"/>
                <w:sz w:val="20"/>
                <w:szCs w:val="20"/>
              </w:rPr>
              <w:t>) further limiting potential interactions with benthic species.</w:t>
            </w:r>
          </w:p>
          <w:p w14:paraId="1631B46F" w14:textId="77777777" w:rsidR="00146E3A" w:rsidRPr="00146E3A" w:rsidRDefault="00146E3A" w:rsidP="00146E3A">
            <w:pPr>
              <w:spacing w:before="60" w:after="60" w:line="240" w:lineRule="auto"/>
              <w:rPr>
                <w:rFonts w:cs="Arial"/>
                <w:sz w:val="20"/>
                <w:szCs w:val="20"/>
              </w:rPr>
            </w:pPr>
            <w:r w:rsidRPr="00146E3A">
              <w:rPr>
                <w:rFonts w:cs="Arial"/>
                <w:sz w:val="20"/>
                <w:szCs w:val="20"/>
              </w:rPr>
              <w:t>These measures are considered adequate at this time.</w:t>
            </w:r>
          </w:p>
        </w:tc>
      </w:tr>
      <w:tr w:rsidR="00146E3A" w:rsidRPr="00146E3A" w14:paraId="1631B477" w14:textId="77777777" w:rsidTr="00A762F9">
        <w:tc>
          <w:tcPr>
            <w:tcW w:w="2500" w:type="pct"/>
          </w:tcPr>
          <w:p w14:paraId="1631B471"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2.1.4 </w:t>
            </w:r>
            <w:r w:rsidRPr="00146E3A">
              <w:rPr>
                <w:rFonts w:cs="Arial"/>
                <w:sz w:val="20"/>
                <w:szCs w:val="20"/>
              </w:rPr>
              <w:t xml:space="preserve">An indicator group of bycatch species is monitored. </w:t>
            </w:r>
          </w:p>
        </w:tc>
        <w:tc>
          <w:tcPr>
            <w:tcW w:w="2500" w:type="pct"/>
            <w:shd w:val="clear" w:color="auto" w:fill="auto"/>
          </w:tcPr>
          <w:p w14:paraId="1631B475" w14:textId="41C3425B" w:rsidR="00146E3A" w:rsidRPr="00146E3A" w:rsidRDefault="00146E3A" w:rsidP="00146E3A">
            <w:pPr>
              <w:spacing w:before="60" w:after="60" w:line="240" w:lineRule="auto"/>
              <w:rPr>
                <w:rFonts w:cs="Arial"/>
                <w:sz w:val="20"/>
                <w:szCs w:val="20"/>
              </w:rPr>
            </w:pPr>
            <w:r w:rsidRPr="00146E3A">
              <w:rPr>
                <w:rFonts w:cs="Arial"/>
                <w:sz w:val="20"/>
                <w:szCs w:val="20"/>
              </w:rPr>
              <w:t>Not applicable.</w:t>
            </w:r>
          </w:p>
          <w:p w14:paraId="1631B476" w14:textId="77777777" w:rsidR="00146E3A" w:rsidRPr="00146E3A" w:rsidRDefault="00146E3A" w:rsidP="00146E3A">
            <w:pPr>
              <w:spacing w:before="60" w:after="60" w:line="240" w:lineRule="auto"/>
              <w:rPr>
                <w:rFonts w:cs="Arial"/>
                <w:sz w:val="20"/>
                <w:szCs w:val="20"/>
              </w:rPr>
            </w:pPr>
            <w:r w:rsidRPr="00146E3A">
              <w:rPr>
                <w:rFonts w:cs="Arial"/>
                <w:sz w:val="20"/>
                <w:szCs w:val="20"/>
              </w:rPr>
              <w:t>Information from logbooks, observer coverage and pre-season surveys is used to inform AFMA’s ecological risk assessments. These assessments have not identified any specific indicator groups of bycatch species but do focus attention on species considered to be at high risk from the effects of fishing.</w:t>
            </w:r>
          </w:p>
        </w:tc>
      </w:tr>
      <w:tr w:rsidR="00146E3A" w:rsidRPr="00146E3A" w14:paraId="1631B47E" w14:textId="77777777" w:rsidTr="00A762F9">
        <w:tc>
          <w:tcPr>
            <w:tcW w:w="2500" w:type="pct"/>
          </w:tcPr>
          <w:p w14:paraId="1631B478" w14:textId="77777777" w:rsidR="00146E3A" w:rsidRPr="00146E3A" w:rsidRDefault="00146E3A" w:rsidP="00146E3A">
            <w:pPr>
              <w:autoSpaceDE w:val="0"/>
              <w:autoSpaceDN w:val="0"/>
              <w:adjustRightInd w:val="0"/>
              <w:spacing w:before="60" w:after="60" w:line="240" w:lineRule="auto"/>
              <w:rPr>
                <w:rFonts w:cs="Arial"/>
                <w:i/>
                <w:iCs/>
                <w:sz w:val="20"/>
                <w:szCs w:val="20"/>
              </w:rPr>
            </w:pPr>
            <w:r w:rsidRPr="00146E3A">
              <w:rPr>
                <w:rFonts w:cs="Arial"/>
                <w:b/>
                <w:bCs/>
                <w:i/>
                <w:iCs/>
                <w:sz w:val="20"/>
                <w:szCs w:val="20"/>
              </w:rPr>
              <w:lastRenderedPageBreak/>
              <w:t xml:space="preserve">2.1.5 </w:t>
            </w:r>
            <w:r w:rsidRPr="00146E3A">
              <w:rPr>
                <w:rFonts w:cs="Arial"/>
                <w:sz w:val="20"/>
                <w:szCs w:val="20"/>
              </w:rPr>
              <w:t>There are decision rules that trigger additional management measures when there are significant perturbations in the indicator species numbers</w:t>
            </w:r>
            <w:r w:rsidRPr="00146E3A">
              <w:rPr>
                <w:rFonts w:cs="Arial"/>
                <w:i/>
                <w:iCs/>
                <w:sz w:val="20"/>
                <w:szCs w:val="20"/>
              </w:rPr>
              <w:t xml:space="preserve">. </w:t>
            </w:r>
          </w:p>
        </w:tc>
        <w:tc>
          <w:tcPr>
            <w:tcW w:w="2500" w:type="pct"/>
            <w:shd w:val="clear" w:color="auto" w:fill="auto"/>
          </w:tcPr>
          <w:p w14:paraId="1631B47C" w14:textId="25BBE696" w:rsidR="00146E3A" w:rsidRPr="00146E3A" w:rsidRDefault="00146E3A" w:rsidP="00146E3A">
            <w:pPr>
              <w:spacing w:before="60" w:after="60" w:line="240" w:lineRule="auto"/>
              <w:rPr>
                <w:rFonts w:cs="Arial"/>
                <w:sz w:val="20"/>
                <w:szCs w:val="20"/>
              </w:rPr>
            </w:pPr>
            <w:r w:rsidRPr="00146E3A">
              <w:rPr>
                <w:rFonts w:cs="Arial"/>
                <w:sz w:val="20"/>
                <w:szCs w:val="20"/>
              </w:rPr>
              <w:t>Not applicable.</w:t>
            </w:r>
          </w:p>
          <w:p w14:paraId="1631B47D" w14:textId="77777777" w:rsidR="00146E3A" w:rsidRPr="00146E3A" w:rsidRDefault="00146E3A" w:rsidP="00146E3A">
            <w:pPr>
              <w:spacing w:before="60" w:after="60" w:line="240" w:lineRule="auto"/>
              <w:rPr>
                <w:rFonts w:cs="Arial"/>
                <w:sz w:val="20"/>
                <w:szCs w:val="20"/>
              </w:rPr>
            </w:pPr>
            <w:r w:rsidRPr="00146E3A">
              <w:rPr>
                <w:rFonts w:cs="Arial"/>
                <w:sz w:val="20"/>
                <w:szCs w:val="20"/>
              </w:rPr>
              <w:t>Refer to item 2.1.4.</w:t>
            </w:r>
          </w:p>
        </w:tc>
      </w:tr>
      <w:tr w:rsidR="00146E3A" w:rsidRPr="00146E3A" w14:paraId="1631B484" w14:textId="77777777" w:rsidTr="00A762F9">
        <w:tc>
          <w:tcPr>
            <w:tcW w:w="2500" w:type="pct"/>
          </w:tcPr>
          <w:p w14:paraId="1631B47F"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2.1.6 </w:t>
            </w:r>
            <w:r w:rsidRPr="00146E3A">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1631B483" w14:textId="6D7E3299" w:rsidR="00146E3A" w:rsidRPr="00146E3A" w:rsidRDefault="00146E3A" w:rsidP="00146E3A">
            <w:pPr>
              <w:spacing w:before="60" w:after="60" w:line="240" w:lineRule="auto"/>
              <w:rPr>
                <w:rFonts w:cs="Arial"/>
                <w:sz w:val="20"/>
                <w:szCs w:val="20"/>
              </w:rPr>
            </w:pPr>
            <w:r w:rsidRPr="00146E3A">
              <w:rPr>
                <w:rFonts w:cs="Arial"/>
                <w:sz w:val="20"/>
                <w:szCs w:val="20"/>
              </w:rPr>
              <w:t>There is a high chance of achieving the objective given the ecological risk assessment and ecological risk management arrangements in place.</w:t>
            </w:r>
          </w:p>
        </w:tc>
      </w:tr>
      <w:tr w:rsidR="00207379" w:rsidRPr="00146E3A" w14:paraId="1631B486" w14:textId="77777777" w:rsidTr="00A762F9">
        <w:tc>
          <w:tcPr>
            <w:tcW w:w="2500" w:type="pct"/>
            <w:gridSpan w:val="2"/>
            <w:shd w:val="clear" w:color="auto" w:fill="CCC0D9"/>
          </w:tcPr>
          <w:p w14:paraId="1631B485" w14:textId="77777777" w:rsidR="00207379" w:rsidRPr="00146E3A" w:rsidRDefault="00207379" w:rsidP="00146E3A">
            <w:pPr>
              <w:spacing w:before="60" w:after="60" w:line="240" w:lineRule="auto"/>
              <w:rPr>
                <w:rFonts w:cs="Arial"/>
                <w:b/>
                <w:bCs/>
                <w:sz w:val="20"/>
                <w:szCs w:val="20"/>
              </w:rPr>
            </w:pPr>
            <w:r w:rsidRPr="00146E3A">
              <w:rPr>
                <w:rFonts w:cs="Arial"/>
                <w:b/>
                <w:bCs/>
                <w:sz w:val="20"/>
                <w:szCs w:val="20"/>
              </w:rPr>
              <w:t xml:space="preserve">Objective 2 - </w:t>
            </w:r>
            <w:r w:rsidRPr="00146E3A">
              <w:rPr>
                <w:rFonts w:cs="Arial"/>
                <w:sz w:val="20"/>
                <w:szCs w:val="20"/>
              </w:rPr>
              <w:t>The fishery is conducted in a manner that avoids mortality of, or injuries to, endangered, threatened or protected species and avoids or minimises impacts on threatened ecological communities.</w:t>
            </w:r>
          </w:p>
        </w:tc>
      </w:tr>
      <w:tr w:rsidR="00207379" w:rsidRPr="00146E3A" w14:paraId="1631B488" w14:textId="77777777" w:rsidTr="00A762F9">
        <w:tc>
          <w:tcPr>
            <w:tcW w:w="2500" w:type="pct"/>
            <w:gridSpan w:val="2"/>
            <w:shd w:val="clear" w:color="auto" w:fill="E5DFEC"/>
          </w:tcPr>
          <w:p w14:paraId="1631B487" w14:textId="77777777" w:rsidR="00207379" w:rsidRPr="00146E3A" w:rsidRDefault="00207379" w:rsidP="00146E3A">
            <w:pPr>
              <w:spacing w:before="60" w:after="60" w:line="240" w:lineRule="auto"/>
              <w:rPr>
                <w:rFonts w:cs="Arial"/>
                <w:sz w:val="20"/>
                <w:szCs w:val="20"/>
              </w:rPr>
            </w:pPr>
            <w:r w:rsidRPr="00146E3A">
              <w:rPr>
                <w:rFonts w:cs="Arial"/>
                <w:b/>
                <w:bCs/>
                <w:i/>
                <w:iCs/>
                <w:sz w:val="20"/>
                <w:szCs w:val="20"/>
              </w:rPr>
              <w:t>Information requirements</w:t>
            </w:r>
          </w:p>
        </w:tc>
      </w:tr>
      <w:tr w:rsidR="00146E3A" w:rsidRPr="00146E3A" w14:paraId="1631B491" w14:textId="77777777" w:rsidTr="00A762F9">
        <w:tc>
          <w:tcPr>
            <w:tcW w:w="2500" w:type="pct"/>
          </w:tcPr>
          <w:p w14:paraId="1631B489"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2.2.1 </w:t>
            </w:r>
            <w:r w:rsidRPr="00146E3A">
              <w:rPr>
                <w:rFonts w:cs="Arial"/>
                <w:sz w:val="20"/>
                <w:szCs w:val="20"/>
              </w:rPr>
              <w:t xml:space="preserve">Reliable information is collected on the interaction with endangered, threatened or protected species and threatened ecological communities. </w:t>
            </w:r>
          </w:p>
        </w:tc>
        <w:tc>
          <w:tcPr>
            <w:tcW w:w="2500" w:type="pct"/>
            <w:shd w:val="clear" w:color="auto" w:fill="92D050"/>
          </w:tcPr>
          <w:p w14:paraId="1631B48D" w14:textId="698D16B1" w:rsidR="00146E3A" w:rsidRPr="00146E3A" w:rsidRDefault="00146E3A" w:rsidP="00146E3A">
            <w:pPr>
              <w:spacing w:before="60" w:after="60" w:line="240" w:lineRule="auto"/>
              <w:rPr>
                <w:rFonts w:cs="Arial"/>
                <w:sz w:val="20"/>
                <w:szCs w:val="20"/>
              </w:rPr>
            </w:pPr>
            <w:r w:rsidRPr="00146E3A">
              <w:rPr>
                <w:rFonts w:cs="Arial"/>
                <w:sz w:val="20"/>
                <w:szCs w:val="20"/>
              </w:rPr>
              <w:t>There is a reliable information collection system in place appropriate to the scale of the fishery.</w:t>
            </w:r>
          </w:p>
          <w:p w14:paraId="1631B48E" w14:textId="77777777" w:rsidR="00146E3A" w:rsidRPr="00146E3A" w:rsidRDefault="00146E3A" w:rsidP="00146E3A">
            <w:pPr>
              <w:spacing w:before="60" w:after="60" w:line="240" w:lineRule="auto"/>
              <w:rPr>
                <w:rFonts w:cs="Arial"/>
                <w:sz w:val="20"/>
                <w:szCs w:val="20"/>
              </w:rPr>
            </w:pPr>
            <w:r w:rsidRPr="00146E3A">
              <w:rPr>
                <w:rFonts w:cs="Arial"/>
                <w:sz w:val="20"/>
                <w:szCs w:val="20"/>
              </w:rPr>
              <w:t>Interactions with protected species are required to be reported through AFMA approved logbooks. Additional data is also collected by scientific observers during pre-season surveys.</w:t>
            </w:r>
          </w:p>
          <w:p w14:paraId="1631B48F" w14:textId="77777777" w:rsidR="00146E3A" w:rsidRPr="00146E3A" w:rsidRDefault="00146E3A" w:rsidP="00146E3A">
            <w:pPr>
              <w:spacing w:before="60" w:after="60" w:line="240" w:lineRule="auto"/>
              <w:rPr>
                <w:rFonts w:cs="Arial"/>
                <w:sz w:val="20"/>
                <w:szCs w:val="20"/>
              </w:rPr>
            </w:pPr>
            <w:r w:rsidRPr="00146E3A">
              <w:rPr>
                <w:rFonts w:cs="Arial"/>
                <w:sz w:val="20"/>
                <w:szCs w:val="20"/>
              </w:rPr>
              <w:t>There have been no protected species interactions reported in logbooks or by observers, since 2009 when two syngnathid species were caught in a pre-season survey.</w:t>
            </w:r>
          </w:p>
          <w:p w14:paraId="1631B490"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AFMA’s Bycatch and Discarding </w:t>
            </w:r>
            <w:proofErr w:type="spellStart"/>
            <w:r w:rsidRPr="00146E3A">
              <w:rPr>
                <w:rFonts w:cs="Arial"/>
                <w:sz w:val="20"/>
                <w:szCs w:val="20"/>
              </w:rPr>
              <w:t>Workplan</w:t>
            </w:r>
            <w:proofErr w:type="spellEnd"/>
            <w:r w:rsidRPr="00146E3A">
              <w:rPr>
                <w:rFonts w:cs="Arial"/>
                <w:sz w:val="20"/>
                <w:szCs w:val="20"/>
              </w:rPr>
              <w:t xml:space="preserve"> commits to actions, including monitoring logbook, catch disposal and any observer data to identify any gaps and inconsistencies in reporting.</w:t>
            </w:r>
          </w:p>
        </w:tc>
      </w:tr>
      <w:tr w:rsidR="00207379" w:rsidRPr="00146E3A" w14:paraId="1631B493" w14:textId="77777777" w:rsidTr="00A762F9">
        <w:tc>
          <w:tcPr>
            <w:tcW w:w="2500" w:type="pct"/>
            <w:gridSpan w:val="2"/>
            <w:shd w:val="clear" w:color="auto" w:fill="E5DFEC"/>
          </w:tcPr>
          <w:p w14:paraId="1631B492"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 xml:space="preserve">Assessments </w:t>
            </w:r>
          </w:p>
        </w:tc>
      </w:tr>
      <w:tr w:rsidR="00146E3A" w:rsidRPr="00146E3A" w14:paraId="1631B49C" w14:textId="77777777" w:rsidTr="00A762F9">
        <w:tc>
          <w:tcPr>
            <w:tcW w:w="2500" w:type="pct"/>
          </w:tcPr>
          <w:p w14:paraId="1631B494"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2.2.2 </w:t>
            </w:r>
            <w:r w:rsidRPr="00146E3A">
              <w:rPr>
                <w:rFonts w:cs="Arial"/>
                <w:sz w:val="20"/>
                <w:szCs w:val="20"/>
              </w:rPr>
              <w:t xml:space="preserve">There is an assessment of the impact of the fishery on endangered, threatened or protected species. </w:t>
            </w:r>
          </w:p>
        </w:tc>
        <w:tc>
          <w:tcPr>
            <w:tcW w:w="2500" w:type="pct"/>
            <w:shd w:val="clear" w:color="auto" w:fill="92D050"/>
          </w:tcPr>
          <w:p w14:paraId="1631B498" w14:textId="501D0230" w:rsidR="00146E3A" w:rsidRPr="00146E3A" w:rsidRDefault="00146E3A" w:rsidP="00146E3A">
            <w:pPr>
              <w:spacing w:before="60" w:after="60" w:line="240" w:lineRule="auto"/>
              <w:rPr>
                <w:rFonts w:cs="Arial"/>
                <w:sz w:val="20"/>
                <w:szCs w:val="20"/>
              </w:rPr>
            </w:pPr>
            <w:r w:rsidRPr="00146E3A">
              <w:rPr>
                <w:rFonts w:cs="Arial"/>
                <w:sz w:val="20"/>
                <w:szCs w:val="20"/>
              </w:rPr>
              <w:t>Ecological risk assessments have been completed and no protected species were found to be at high risk.</w:t>
            </w:r>
          </w:p>
          <w:p w14:paraId="1631B499" w14:textId="77777777" w:rsidR="00146E3A" w:rsidRPr="00146E3A" w:rsidRDefault="00146E3A" w:rsidP="00146E3A">
            <w:pPr>
              <w:spacing w:before="60" w:after="60" w:line="240" w:lineRule="auto"/>
              <w:rPr>
                <w:rFonts w:cs="Arial"/>
                <w:sz w:val="20"/>
                <w:szCs w:val="20"/>
              </w:rPr>
            </w:pPr>
            <w:r w:rsidRPr="00146E3A">
              <w:rPr>
                <w:rFonts w:cs="Arial"/>
                <w:sz w:val="20"/>
                <w:szCs w:val="20"/>
              </w:rPr>
              <w:t>An ecological risk management strategy is also in place.</w:t>
            </w:r>
          </w:p>
          <w:p w14:paraId="1631B49A" w14:textId="77777777" w:rsidR="00146E3A" w:rsidRPr="00146E3A" w:rsidRDefault="00146E3A" w:rsidP="00146E3A">
            <w:pPr>
              <w:spacing w:before="60" w:after="60" w:line="240" w:lineRule="auto"/>
              <w:rPr>
                <w:rFonts w:cs="Arial"/>
                <w:sz w:val="20"/>
                <w:szCs w:val="20"/>
              </w:rPr>
            </w:pPr>
            <w:r w:rsidRPr="00146E3A">
              <w:rPr>
                <w:rFonts w:cs="Arial"/>
                <w:sz w:val="20"/>
                <w:szCs w:val="20"/>
              </w:rPr>
              <w:t>The ERA methodology has recently been revised and is being tested in two Commonwealth fisheries during 2016. Once testing is complete, other fisheries will be updated.</w:t>
            </w:r>
          </w:p>
          <w:p w14:paraId="1631B49B" w14:textId="77777777" w:rsidR="00146E3A" w:rsidRPr="00146E3A" w:rsidRDefault="00146E3A" w:rsidP="00146E3A">
            <w:pPr>
              <w:spacing w:before="60" w:after="60" w:line="240" w:lineRule="auto"/>
              <w:rPr>
                <w:rFonts w:cs="Arial"/>
                <w:sz w:val="20"/>
                <w:szCs w:val="20"/>
              </w:rPr>
            </w:pPr>
            <w:r w:rsidRPr="00146E3A">
              <w:rPr>
                <w:rFonts w:cs="Arial"/>
                <w:sz w:val="20"/>
                <w:szCs w:val="20"/>
              </w:rPr>
              <w:t>AFMA has committed to review assessments and strategies every five years, with the next assessment expected to be completed during 2018.</w:t>
            </w:r>
          </w:p>
        </w:tc>
      </w:tr>
      <w:tr w:rsidR="00146E3A" w:rsidRPr="00146E3A" w14:paraId="1631B4A4" w14:textId="77777777" w:rsidTr="00A762F9">
        <w:tc>
          <w:tcPr>
            <w:tcW w:w="2500" w:type="pct"/>
          </w:tcPr>
          <w:p w14:paraId="1631B49D"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2.2.3 </w:t>
            </w:r>
            <w:r w:rsidRPr="00146E3A">
              <w:rPr>
                <w:rFonts w:cs="Arial"/>
                <w:sz w:val="20"/>
                <w:szCs w:val="20"/>
              </w:rPr>
              <w:t xml:space="preserve">There is an assessment of the impact of the fishery on threatened ecological communities. </w:t>
            </w:r>
          </w:p>
        </w:tc>
        <w:tc>
          <w:tcPr>
            <w:tcW w:w="2500" w:type="pct"/>
            <w:shd w:val="clear" w:color="auto" w:fill="auto"/>
          </w:tcPr>
          <w:p w14:paraId="1631B4A1" w14:textId="37C792A3" w:rsidR="00146E3A" w:rsidRPr="00146E3A" w:rsidRDefault="00146E3A" w:rsidP="00146E3A">
            <w:pPr>
              <w:spacing w:before="60" w:after="60" w:line="240" w:lineRule="auto"/>
              <w:rPr>
                <w:rFonts w:cs="Arial"/>
                <w:sz w:val="20"/>
                <w:szCs w:val="20"/>
              </w:rPr>
            </w:pPr>
            <w:r w:rsidRPr="00146E3A">
              <w:rPr>
                <w:rFonts w:cs="Arial"/>
                <w:sz w:val="20"/>
                <w:szCs w:val="20"/>
              </w:rPr>
              <w:t>Not applicable.</w:t>
            </w:r>
          </w:p>
          <w:p w14:paraId="1631B4A2"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While the fishery includes areas of the </w:t>
            </w:r>
            <w:r w:rsidRPr="00146E3A">
              <w:rPr>
                <w:rFonts w:cs="Arial"/>
                <w:i/>
                <w:sz w:val="20"/>
                <w:szCs w:val="20"/>
              </w:rPr>
              <w:t xml:space="preserve">Giant Kelp Marine Forests of South East Australia ecological community </w:t>
            </w:r>
            <w:r w:rsidRPr="00146E3A">
              <w:rPr>
                <w:rFonts w:cs="Arial"/>
                <w:sz w:val="20"/>
                <w:szCs w:val="20"/>
              </w:rPr>
              <w:t>(EC), fishing does not currently occur over these areas. These forests occur over different substrate (rocky reef) than the scallop fishery typically targets. This is supported by the scientific surveys which have not recorded the presence of any giant kelp.</w:t>
            </w:r>
          </w:p>
          <w:p w14:paraId="1631B4A3" w14:textId="48ABFEDC" w:rsidR="00146E3A" w:rsidRPr="00146E3A" w:rsidRDefault="00146E3A" w:rsidP="00146E3A">
            <w:pPr>
              <w:spacing w:before="60" w:after="60" w:line="240" w:lineRule="auto"/>
              <w:rPr>
                <w:rFonts w:cs="Arial"/>
                <w:sz w:val="20"/>
                <w:szCs w:val="20"/>
              </w:rPr>
            </w:pPr>
            <w:r w:rsidRPr="00146E3A">
              <w:rPr>
                <w:rFonts w:cs="Arial"/>
                <w:sz w:val="20"/>
                <w:szCs w:val="20"/>
                <w:shd w:val="clear" w:color="auto" w:fill="FFFFFF" w:themeFill="background1"/>
              </w:rPr>
              <w:t xml:space="preserve">The EC was listed in 2012 and was therefore not considered in the 2007 or 2009 ERAs. These ERAs are due to be reviewed in </w:t>
            </w:r>
            <w:r w:rsidRPr="00146E3A">
              <w:rPr>
                <w:rFonts w:cs="Arial"/>
                <w:sz w:val="20"/>
                <w:szCs w:val="20"/>
              </w:rPr>
              <w:t xml:space="preserve">2018, at which time the EC is expected to be formally considered. </w:t>
            </w:r>
          </w:p>
        </w:tc>
      </w:tr>
      <w:tr w:rsidR="00207379" w:rsidRPr="00146E3A" w14:paraId="1631B4A6" w14:textId="77777777" w:rsidTr="00A762F9">
        <w:tc>
          <w:tcPr>
            <w:tcW w:w="2500" w:type="pct"/>
            <w:gridSpan w:val="2"/>
            <w:shd w:val="clear" w:color="auto" w:fill="E5DFEC"/>
          </w:tcPr>
          <w:p w14:paraId="1631B4A5"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lastRenderedPageBreak/>
              <w:t xml:space="preserve">Management responses </w:t>
            </w:r>
          </w:p>
        </w:tc>
      </w:tr>
      <w:tr w:rsidR="00146E3A" w:rsidRPr="00146E3A" w14:paraId="1631B4B0" w14:textId="77777777" w:rsidTr="00A762F9">
        <w:tc>
          <w:tcPr>
            <w:tcW w:w="2500" w:type="pct"/>
          </w:tcPr>
          <w:p w14:paraId="1631B4A7"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2.2.4 </w:t>
            </w:r>
            <w:r w:rsidRPr="00146E3A">
              <w:rPr>
                <w:rFonts w:cs="Arial"/>
                <w:sz w:val="20"/>
                <w:szCs w:val="20"/>
              </w:rPr>
              <w:t xml:space="preserve">There are measures in place to avoid capture and/or mortality of endangered, threatened or protected species. </w:t>
            </w:r>
          </w:p>
        </w:tc>
        <w:tc>
          <w:tcPr>
            <w:tcW w:w="2500" w:type="pct"/>
            <w:shd w:val="clear" w:color="auto" w:fill="92D050"/>
          </w:tcPr>
          <w:p w14:paraId="1631B4AB" w14:textId="77571A75" w:rsidR="00146E3A" w:rsidRPr="00146E3A" w:rsidRDefault="00146E3A" w:rsidP="00146E3A">
            <w:pPr>
              <w:spacing w:before="60" w:after="60" w:line="240" w:lineRule="auto"/>
              <w:rPr>
                <w:rFonts w:cs="Arial"/>
                <w:sz w:val="20"/>
                <w:szCs w:val="20"/>
              </w:rPr>
            </w:pPr>
            <w:r w:rsidRPr="00146E3A">
              <w:rPr>
                <w:rFonts w:cs="Arial"/>
                <w:sz w:val="20"/>
                <w:szCs w:val="20"/>
              </w:rPr>
              <w:t>Measures to avoid capture and/or mortality of endangered, threatened or protected species are considered adequate.</w:t>
            </w:r>
          </w:p>
          <w:p w14:paraId="1631B4AC"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An ecological risk management strategy and Bycatch and Discarding </w:t>
            </w:r>
            <w:proofErr w:type="spellStart"/>
            <w:r w:rsidRPr="00146E3A">
              <w:rPr>
                <w:rFonts w:cs="Arial"/>
                <w:sz w:val="20"/>
                <w:szCs w:val="20"/>
              </w:rPr>
              <w:t>Workplan</w:t>
            </w:r>
            <w:proofErr w:type="spellEnd"/>
            <w:r w:rsidRPr="00146E3A">
              <w:rPr>
                <w:rFonts w:cs="Arial"/>
                <w:sz w:val="20"/>
                <w:szCs w:val="20"/>
              </w:rPr>
              <w:t xml:space="preserve"> are in place for the fishery. The </w:t>
            </w:r>
            <w:proofErr w:type="spellStart"/>
            <w:r w:rsidRPr="00146E3A">
              <w:rPr>
                <w:rFonts w:cs="Arial"/>
                <w:sz w:val="20"/>
                <w:szCs w:val="20"/>
              </w:rPr>
              <w:t>workplan</w:t>
            </w:r>
            <w:proofErr w:type="spellEnd"/>
            <w:r w:rsidRPr="00146E3A">
              <w:rPr>
                <w:rFonts w:cs="Arial"/>
                <w:sz w:val="20"/>
                <w:szCs w:val="20"/>
              </w:rPr>
              <w:t xml:space="preserve"> includes a monitoring program comprising logbook reporting, observer coverage (where necessary) and annual fishery surveys, to detect and respond to potential risks to protected species.</w:t>
            </w:r>
          </w:p>
          <w:p w14:paraId="1631B4AD" w14:textId="77777777" w:rsidR="00146E3A" w:rsidRPr="00146E3A" w:rsidRDefault="00146E3A" w:rsidP="00146E3A">
            <w:pPr>
              <w:spacing w:before="60" w:after="60" w:line="240" w:lineRule="auto"/>
              <w:rPr>
                <w:rFonts w:cs="Arial"/>
                <w:sz w:val="20"/>
                <w:szCs w:val="20"/>
              </w:rPr>
            </w:pPr>
            <w:r w:rsidRPr="00146E3A">
              <w:rPr>
                <w:rFonts w:cs="Arial"/>
                <w:sz w:val="20"/>
                <w:szCs w:val="20"/>
              </w:rPr>
              <w:t>No interactions have been recorded since 2009.</w:t>
            </w:r>
          </w:p>
          <w:p w14:paraId="1631B4AE" w14:textId="77777777" w:rsidR="00146E3A" w:rsidRPr="00146E3A" w:rsidRDefault="00146E3A" w:rsidP="00146E3A">
            <w:pPr>
              <w:spacing w:before="60" w:after="60" w:line="240" w:lineRule="auto"/>
              <w:rPr>
                <w:rFonts w:cs="Arial"/>
                <w:sz w:val="20"/>
                <w:szCs w:val="20"/>
              </w:rPr>
            </w:pPr>
            <w:r w:rsidRPr="00146E3A">
              <w:rPr>
                <w:rFonts w:cs="Arial"/>
                <w:sz w:val="20"/>
                <w:szCs w:val="20"/>
              </w:rPr>
              <w:t>Risks to cetaceans, seals, seabirds and sharks are likely to be minimal given the slow movement of the fishing gear which provides them opportunity to avoid capture (</w:t>
            </w:r>
            <w:hyperlink r:id="rId49" w:history="1">
              <w:r w:rsidRPr="00146E3A">
                <w:rPr>
                  <w:rStyle w:val="Hyperlink"/>
                  <w:rFonts w:cs="Arial"/>
                  <w:sz w:val="20"/>
                  <w:szCs w:val="20"/>
                </w:rPr>
                <w:t>Wallis and Stump, 2013, Appendix 2F</w:t>
              </w:r>
            </w:hyperlink>
            <w:r w:rsidRPr="00146E3A">
              <w:rPr>
                <w:rFonts w:cs="Arial"/>
                <w:sz w:val="20"/>
                <w:szCs w:val="20"/>
              </w:rPr>
              <w:t>).</w:t>
            </w:r>
          </w:p>
          <w:p w14:paraId="1631B4AF" w14:textId="77777777" w:rsidR="00146E3A" w:rsidRPr="00146E3A" w:rsidRDefault="00146E3A" w:rsidP="00146E3A">
            <w:pPr>
              <w:spacing w:before="60" w:after="60" w:line="240" w:lineRule="auto"/>
              <w:rPr>
                <w:rFonts w:cs="Arial"/>
                <w:sz w:val="20"/>
                <w:szCs w:val="20"/>
              </w:rPr>
            </w:pPr>
            <w:r w:rsidRPr="00146E3A">
              <w:rPr>
                <w:rFonts w:cs="Arial"/>
                <w:sz w:val="20"/>
                <w:szCs w:val="20"/>
              </w:rPr>
              <w:t xml:space="preserve">The ecological risk assessments are scheduled to be updated in the scallop fishery in 2018 and bycatch and discard </w:t>
            </w:r>
            <w:proofErr w:type="spellStart"/>
            <w:r w:rsidRPr="00146E3A">
              <w:rPr>
                <w:rFonts w:cs="Arial"/>
                <w:sz w:val="20"/>
                <w:szCs w:val="20"/>
              </w:rPr>
              <w:t>workplans</w:t>
            </w:r>
            <w:proofErr w:type="spellEnd"/>
            <w:r w:rsidRPr="00146E3A">
              <w:rPr>
                <w:rFonts w:cs="Arial"/>
                <w:sz w:val="20"/>
                <w:szCs w:val="20"/>
              </w:rPr>
              <w:t xml:space="preserve"> will then be revised accordingly.</w:t>
            </w:r>
          </w:p>
        </w:tc>
      </w:tr>
      <w:tr w:rsidR="00146E3A" w:rsidRPr="00146E3A" w14:paraId="1631B4B7" w14:textId="77777777" w:rsidTr="00A762F9">
        <w:tc>
          <w:tcPr>
            <w:tcW w:w="2500" w:type="pct"/>
          </w:tcPr>
          <w:p w14:paraId="1631B4B1"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2.2.5 </w:t>
            </w:r>
            <w:r w:rsidRPr="00146E3A">
              <w:rPr>
                <w:rFonts w:cs="Arial"/>
                <w:sz w:val="20"/>
                <w:szCs w:val="20"/>
              </w:rPr>
              <w:t xml:space="preserve">There are measures in place to avoid impact on threatened ecological communities. </w:t>
            </w:r>
          </w:p>
        </w:tc>
        <w:tc>
          <w:tcPr>
            <w:tcW w:w="2500" w:type="pct"/>
            <w:shd w:val="clear" w:color="auto" w:fill="auto"/>
          </w:tcPr>
          <w:p w14:paraId="1631B4B5" w14:textId="64D56531" w:rsidR="00146E3A" w:rsidRPr="00146E3A" w:rsidRDefault="00146E3A" w:rsidP="00146E3A">
            <w:pPr>
              <w:spacing w:before="60" w:after="60" w:line="240" w:lineRule="auto"/>
              <w:rPr>
                <w:rFonts w:cs="Arial"/>
                <w:sz w:val="20"/>
                <w:szCs w:val="20"/>
              </w:rPr>
            </w:pPr>
            <w:r w:rsidRPr="00146E3A">
              <w:rPr>
                <w:rFonts w:cs="Arial"/>
                <w:sz w:val="20"/>
                <w:szCs w:val="20"/>
              </w:rPr>
              <w:t>Not applicable.</w:t>
            </w:r>
          </w:p>
          <w:p w14:paraId="1631B4B6" w14:textId="77777777" w:rsidR="00146E3A" w:rsidRPr="00146E3A" w:rsidRDefault="00146E3A" w:rsidP="00146E3A">
            <w:pPr>
              <w:spacing w:before="60" w:after="60" w:line="240" w:lineRule="auto"/>
              <w:rPr>
                <w:rFonts w:cs="Arial"/>
                <w:sz w:val="20"/>
                <w:szCs w:val="20"/>
              </w:rPr>
            </w:pPr>
            <w:r w:rsidRPr="00146E3A">
              <w:rPr>
                <w:rFonts w:cs="Arial"/>
                <w:sz w:val="20"/>
                <w:szCs w:val="20"/>
              </w:rPr>
              <w:t>No fishing occurs over threatened ecological communities.</w:t>
            </w:r>
          </w:p>
        </w:tc>
      </w:tr>
      <w:tr w:rsidR="00146E3A" w:rsidRPr="00146E3A" w14:paraId="1631B4BD" w14:textId="77777777" w:rsidTr="00A762F9">
        <w:tc>
          <w:tcPr>
            <w:tcW w:w="2500" w:type="pct"/>
          </w:tcPr>
          <w:p w14:paraId="1631B4B8"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
                <w:iCs/>
                <w:sz w:val="20"/>
                <w:szCs w:val="20"/>
              </w:rPr>
              <w:t xml:space="preserve">2.2.6 </w:t>
            </w:r>
            <w:r w:rsidRPr="00146E3A">
              <w:rPr>
                <w:rFonts w:cs="Arial"/>
                <w:sz w:val="20"/>
                <w:szCs w:val="20"/>
              </w:rPr>
              <w:t xml:space="preserve">The management response, considering uncertainties in the assessment and precautionary management actions, has a high chance of achieving the objective. </w:t>
            </w:r>
          </w:p>
        </w:tc>
        <w:tc>
          <w:tcPr>
            <w:tcW w:w="2500" w:type="pct"/>
            <w:shd w:val="clear" w:color="auto" w:fill="92D050"/>
          </w:tcPr>
          <w:p w14:paraId="1631B4BC" w14:textId="77777777" w:rsidR="00146E3A" w:rsidRPr="00146E3A" w:rsidRDefault="00146E3A" w:rsidP="00146E3A">
            <w:pPr>
              <w:spacing w:before="60" w:after="60" w:line="240" w:lineRule="auto"/>
              <w:rPr>
                <w:rFonts w:cs="Arial"/>
                <w:sz w:val="20"/>
                <w:szCs w:val="20"/>
              </w:rPr>
            </w:pPr>
            <w:r w:rsidRPr="00146E3A">
              <w:rPr>
                <w:rFonts w:cs="Arial"/>
                <w:sz w:val="20"/>
                <w:szCs w:val="20"/>
              </w:rPr>
              <w:t>High chance of achieving the objective given recent performance.</w:t>
            </w:r>
          </w:p>
        </w:tc>
      </w:tr>
      <w:tr w:rsidR="00207379" w:rsidRPr="00146E3A" w14:paraId="1631B4BF" w14:textId="77777777" w:rsidTr="00A762F9">
        <w:tc>
          <w:tcPr>
            <w:tcW w:w="2500" w:type="pct"/>
            <w:gridSpan w:val="2"/>
            <w:shd w:val="clear" w:color="auto" w:fill="CCC0D9"/>
          </w:tcPr>
          <w:p w14:paraId="1631B4BE" w14:textId="77777777" w:rsidR="00207379" w:rsidRPr="00146E3A" w:rsidRDefault="00207379" w:rsidP="00146E3A">
            <w:pPr>
              <w:spacing w:before="60" w:after="60" w:line="240" w:lineRule="auto"/>
              <w:rPr>
                <w:rFonts w:cs="Arial"/>
                <w:b/>
                <w:bCs/>
                <w:sz w:val="20"/>
                <w:szCs w:val="20"/>
              </w:rPr>
            </w:pPr>
            <w:r w:rsidRPr="00146E3A">
              <w:rPr>
                <w:rFonts w:cs="Arial"/>
                <w:b/>
                <w:bCs/>
                <w:sz w:val="20"/>
                <w:szCs w:val="20"/>
              </w:rPr>
              <w:t xml:space="preserve">Objective 3 </w:t>
            </w:r>
            <w:r w:rsidR="008374E4" w:rsidRPr="00146E3A">
              <w:rPr>
                <w:rFonts w:cs="Arial"/>
                <w:b/>
                <w:bCs/>
                <w:sz w:val="20"/>
                <w:szCs w:val="20"/>
              </w:rPr>
              <w:t>- The</w:t>
            </w:r>
            <w:r w:rsidRPr="00146E3A">
              <w:rPr>
                <w:rFonts w:cs="Arial"/>
                <w:sz w:val="20"/>
                <w:szCs w:val="20"/>
              </w:rPr>
              <w:t xml:space="preserve"> fishery is conducted, in a manner that minimises the impact of fishing operations on the ecosystem generally.</w:t>
            </w:r>
          </w:p>
        </w:tc>
      </w:tr>
      <w:tr w:rsidR="00207379" w:rsidRPr="00146E3A" w14:paraId="1631B4C1" w14:textId="77777777" w:rsidTr="00A762F9">
        <w:tc>
          <w:tcPr>
            <w:tcW w:w="2500" w:type="pct"/>
            <w:gridSpan w:val="2"/>
            <w:shd w:val="clear" w:color="auto" w:fill="E5DFEC"/>
          </w:tcPr>
          <w:p w14:paraId="1631B4C0"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 xml:space="preserve">Information requirements </w:t>
            </w:r>
          </w:p>
        </w:tc>
      </w:tr>
      <w:tr w:rsidR="00146E3A" w:rsidRPr="00146E3A" w14:paraId="1631B4CA" w14:textId="77777777" w:rsidTr="00A762F9">
        <w:tc>
          <w:tcPr>
            <w:tcW w:w="2500" w:type="pct"/>
          </w:tcPr>
          <w:p w14:paraId="1631B4C2" w14:textId="77777777" w:rsidR="00146E3A" w:rsidRPr="00146E3A" w:rsidRDefault="00146E3A" w:rsidP="00146E3A">
            <w:pPr>
              <w:autoSpaceDE w:val="0"/>
              <w:autoSpaceDN w:val="0"/>
              <w:adjustRightInd w:val="0"/>
              <w:spacing w:before="60" w:after="60" w:line="240" w:lineRule="auto"/>
              <w:rPr>
                <w:rFonts w:cs="Arial"/>
                <w:sz w:val="20"/>
                <w:szCs w:val="20"/>
              </w:rPr>
            </w:pPr>
            <w:r w:rsidRPr="00146E3A">
              <w:rPr>
                <w:rFonts w:cs="Arial"/>
                <w:b/>
                <w:bCs/>
                <w:iCs/>
                <w:sz w:val="20"/>
                <w:szCs w:val="20"/>
              </w:rPr>
              <w:t xml:space="preserve">2.3.1 </w:t>
            </w:r>
            <w:r w:rsidRPr="00146E3A">
              <w:rPr>
                <w:rFonts w:cs="Arial"/>
                <w:sz w:val="20"/>
                <w:szCs w:val="20"/>
              </w:rPr>
              <w:t xml:space="preserve">Information appropriate for the analysis in 2.3.2 is collated and/or collected covering the fisheries impact on the ecosystem and environment generally. </w:t>
            </w:r>
          </w:p>
        </w:tc>
        <w:tc>
          <w:tcPr>
            <w:tcW w:w="2500" w:type="pct"/>
            <w:shd w:val="clear" w:color="auto" w:fill="FFC000"/>
          </w:tcPr>
          <w:p w14:paraId="1631B4C6" w14:textId="2CFE881F" w:rsidR="00146E3A" w:rsidRPr="00146E3A" w:rsidRDefault="00146E3A" w:rsidP="00146E3A">
            <w:pPr>
              <w:spacing w:before="60" w:after="60" w:line="240" w:lineRule="auto"/>
              <w:rPr>
                <w:rFonts w:cs="Arial"/>
                <w:sz w:val="20"/>
                <w:szCs w:val="20"/>
              </w:rPr>
            </w:pPr>
            <w:r w:rsidRPr="00146E3A">
              <w:rPr>
                <w:rFonts w:cs="Arial"/>
                <w:sz w:val="20"/>
                <w:szCs w:val="20"/>
              </w:rPr>
              <w:t>While some data is collected which aids ecological risk assessment (ERA), the data requirements, especially for assessing communities, are not defined and collection is not designed for this objective.</w:t>
            </w:r>
          </w:p>
          <w:p w14:paraId="1631B4C7" w14:textId="6A7531FE" w:rsidR="00146E3A" w:rsidRPr="00146E3A" w:rsidRDefault="00146E3A" w:rsidP="00146E3A">
            <w:pPr>
              <w:spacing w:before="60" w:after="60" w:line="240" w:lineRule="auto"/>
              <w:rPr>
                <w:rFonts w:cs="Arial"/>
                <w:sz w:val="20"/>
                <w:szCs w:val="20"/>
              </w:rPr>
            </w:pPr>
            <w:r w:rsidRPr="00146E3A">
              <w:rPr>
                <w:rFonts w:cs="Arial"/>
                <w:sz w:val="20"/>
                <w:szCs w:val="20"/>
              </w:rPr>
              <w:t>Pre-season surveys collect a wide variety of information, but are designed to survey scallop size and abundance in particular areas. They are also typically undertaken in areas where fishing or surveys have previously been undertaken.</w:t>
            </w:r>
          </w:p>
          <w:p w14:paraId="1631B4C8" w14:textId="77777777" w:rsidR="00146E3A" w:rsidRPr="00146E3A" w:rsidRDefault="00146E3A" w:rsidP="00146E3A">
            <w:pPr>
              <w:spacing w:before="60" w:after="60" w:line="240" w:lineRule="auto"/>
              <w:rPr>
                <w:rFonts w:cs="Arial"/>
                <w:sz w:val="20"/>
                <w:szCs w:val="20"/>
              </w:rPr>
            </w:pPr>
            <w:r w:rsidRPr="00146E3A">
              <w:rPr>
                <w:rFonts w:cs="Arial"/>
                <w:sz w:val="20"/>
                <w:szCs w:val="20"/>
              </w:rPr>
              <w:t>Logbooks also record information on the range of depths fished, the substrate (mud, sand, shale or stony) and bycatch species.</w:t>
            </w:r>
          </w:p>
          <w:p w14:paraId="1631B4C9" w14:textId="77777777" w:rsidR="00146E3A" w:rsidRPr="00146E3A" w:rsidRDefault="00146E3A" w:rsidP="00146E3A">
            <w:pPr>
              <w:spacing w:before="60" w:after="60" w:line="240" w:lineRule="auto"/>
              <w:rPr>
                <w:rFonts w:cs="Arial"/>
                <w:sz w:val="20"/>
                <w:szCs w:val="20"/>
              </w:rPr>
            </w:pPr>
            <w:r w:rsidRPr="00146E3A">
              <w:rPr>
                <w:rFonts w:cs="Arial"/>
                <w:sz w:val="20"/>
                <w:szCs w:val="20"/>
              </w:rPr>
              <w:t>It is expected that the revised ERA (expected 2018) and associated risk management arrangements will better ensure all necessary data is collected and risks managed accordingly.</w:t>
            </w:r>
          </w:p>
        </w:tc>
      </w:tr>
      <w:tr w:rsidR="00207379" w:rsidRPr="00146E3A" w14:paraId="1631B4CD" w14:textId="77777777" w:rsidTr="00A762F9">
        <w:tc>
          <w:tcPr>
            <w:tcW w:w="2500" w:type="pct"/>
            <w:gridSpan w:val="2"/>
            <w:shd w:val="clear" w:color="auto" w:fill="E5DFEC"/>
          </w:tcPr>
          <w:p w14:paraId="1631B4CC" w14:textId="77777777" w:rsidR="00207379" w:rsidRPr="00146E3A" w:rsidRDefault="00207379" w:rsidP="00146E3A">
            <w:pPr>
              <w:spacing w:before="60" w:after="60" w:line="240" w:lineRule="auto"/>
              <w:rPr>
                <w:rFonts w:cs="Arial"/>
                <w:sz w:val="20"/>
                <w:szCs w:val="20"/>
              </w:rPr>
            </w:pPr>
            <w:r w:rsidRPr="00146E3A">
              <w:rPr>
                <w:rFonts w:cs="Arial"/>
                <w:b/>
                <w:bCs/>
                <w:i/>
                <w:iCs/>
                <w:sz w:val="20"/>
                <w:szCs w:val="20"/>
              </w:rPr>
              <w:t>Assessment</w:t>
            </w:r>
          </w:p>
        </w:tc>
      </w:tr>
      <w:tr w:rsidR="006C6712" w:rsidRPr="00146E3A" w14:paraId="1631B4E3" w14:textId="77777777" w:rsidTr="00A762F9">
        <w:tc>
          <w:tcPr>
            <w:tcW w:w="2500" w:type="pct"/>
          </w:tcPr>
          <w:p w14:paraId="1631B4CE"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b/>
                <w:bCs/>
                <w:sz w:val="20"/>
                <w:szCs w:val="20"/>
              </w:rPr>
              <w:lastRenderedPageBreak/>
              <w:t xml:space="preserve">2.3.2 </w:t>
            </w:r>
            <w:r w:rsidRPr="00146E3A">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1631B4CF"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1. Impacts on ecological communities</w:t>
            </w:r>
          </w:p>
          <w:p w14:paraId="1631B4D0"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 Benthic communities</w:t>
            </w:r>
          </w:p>
          <w:p w14:paraId="1631B4D1"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 Ecologically related, associated or dependent species</w:t>
            </w:r>
          </w:p>
          <w:p w14:paraId="1631B4D2"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 Water column communities</w:t>
            </w:r>
          </w:p>
          <w:p w14:paraId="1631B4D3"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2. Impacts on food chains</w:t>
            </w:r>
          </w:p>
          <w:p w14:paraId="1631B4D4"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 Structure</w:t>
            </w:r>
          </w:p>
          <w:p w14:paraId="1631B4D5"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 Productivity/flows</w:t>
            </w:r>
          </w:p>
          <w:p w14:paraId="1631B4D6"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3. Impacts on the physical environment</w:t>
            </w:r>
          </w:p>
          <w:p w14:paraId="1631B4D7"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sz w:val="20"/>
                <w:szCs w:val="20"/>
              </w:rPr>
              <w:t>• Physical habitat</w:t>
            </w:r>
          </w:p>
          <w:p w14:paraId="1631B4D8" w14:textId="77777777" w:rsidR="006C6712" w:rsidRPr="00146E3A" w:rsidRDefault="006C6712" w:rsidP="00146E3A">
            <w:pPr>
              <w:autoSpaceDE w:val="0"/>
              <w:autoSpaceDN w:val="0"/>
              <w:adjustRightInd w:val="0"/>
              <w:spacing w:before="60" w:after="60" w:line="240" w:lineRule="auto"/>
              <w:rPr>
                <w:rFonts w:cs="Arial"/>
                <w:b/>
                <w:i/>
                <w:sz w:val="20"/>
                <w:szCs w:val="20"/>
              </w:rPr>
            </w:pPr>
            <w:r w:rsidRPr="00146E3A">
              <w:rPr>
                <w:rFonts w:cs="Arial"/>
                <w:sz w:val="20"/>
                <w:szCs w:val="20"/>
              </w:rPr>
              <w:t>• Water quality</w:t>
            </w:r>
          </w:p>
        </w:tc>
        <w:tc>
          <w:tcPr>
            <w:tcW w:w="2500" w:type="pct"/>
            <w:shd w:val="clear" w:color="auto" w:fill="92D050"/>
          </w:tcPr>
          <w:p w14:paraId="1631B4DC" w14:textId="704BA4A8" w:rsidR="006C6712" w:rsidRPr="00A762F9" w:rsidRDefault="006C6712" w:rsidP="00146E3A">
            <w:pPr>
              <w:spacing w:before="60" w:after="60" w:line="240" w:lineRule="auto"/>
              <w:rPr>
                <w:rFonts w:cs="Arial"/>
                <w:sz w:val="20"/>
                <w:szCs w:val="20"/>
              </w:rPr>
            </w:pPr>
            <w:r w:rsidRPr="00A762F9">
              <w:rPr>
                <w:rFonts w:cs="Arial"/>
                <w:sz w:val="20"/>
                <w:szCs w:val="20"/>
              </w:rPr>
              <w:t>An ecological risk assessment (ERA) was undertaken in 2007 which considered species and habitats, but not communities. It recommended that communities be considered when methods for their assessment become available</w:t>
            </w:r>
            <w:r w:rsidRPr="00A762F9">
              <w:rPr>
                <w:rStyle w:val="CommentReference"/>
                <w:rFonts w:eastAsia="Times New Roman" w:cs="Arial"/>
                <w:sz w:val="20"/>
                <w:szCs w:val="20"/>
                <w:lang w:eastAsia="en-AU"/>
              </w:rPr>
              <w:t>.</w:t>
            </w:r>
          </w:p>
          <w:p w14:paraId="1631B4DD" w14:textId="77777777" w:rsidR="006C6712" w:rsidRPr="00A762F9" w:rsidRDefault="006C6712" w:rsidP="00146E3A">
            <w:pPr>
              <w:spacing w:before="60" w:after="60" w:line="240" w:lineRule="auto"/>
              <w:rPr>
                <w:rFonts w:cs="Arial"/>
                <w:sz w:val="20"/>
                <w:szCs w:val="20"/>
              </w:rPr>
            </w:pPr>
            <w:r w:rsidRPr="00A762F9">
              <w:rPr>
                <w:rFonts w:cs="Arial"/>
                <w:sz w:val="20"/>
                <w:szCs w:val="20"/>
              </w:rPr>
              <w:t>No habitats were found to be at high risk from the effects of fishing, but the ERA noted that vulnerable habitat types do occur on the inner shelf where scallop fishing occurs.</w:t>
            </w:r>
          </w:p>
          <w:p w14:paraId="1631B4DE" w14:textId="0976D997" w:rsidR="006C6712" w:rsidRPr="00A762F9" w:rsidRDefault="006C6712" w:rsidP="00146E3A">
            <w:pPr>
              <w:spacing w:before="60" w:after="60" w:line="240" w:lineRule="auto"/>
              <w:rPr>
                <w:rFonts w:cs="Arial"/>
                <w:sz w:val="20"/>
                <w:szCs w:val="20"/>
              </w:rPr>
            </w:pPr>
            <w:r w:rsidRPr="00A762F9">
              <w:rPr>
                <w:rFonts w:cs="Arial"/>
                <w:sz w:val="20"/>
                <w:szCs w:val="20"/>
              </w:rPr>
              <w:t>It considered that risk management arrangements for the fishery were effective, particularly the restricted (and rotating) areas fished, and noting these areas were typically unstructured, high energy (current swept) sediment plains.</w:t>
            </w:r>
          </w:p>
          <w:p w14:paraId="1631B4DF" w14:textId="77777777" w:rsidR="006C6712" w:rsidRPr="00A762F9" w:rsidRDefault="006C6712" w:rsidP="00146E3A">
            <w:pPr>
              <w:spacing w:before="60" w:after="60" w:line="240" w:lineRule="auto"/>
              <w:rPr>
                <w:rFonts w:cs="Arial"/>
                <w:sz w:val="20"/>
                <w:szCs w:val="20"/>
              </w:rPr>
            </w:pPr>
            <w:r w:rsidRPr="00A762F9">
              <w:rPr>
                <w:rFonts w:cs="Arial"/>
                <w:sz w:val="20"/>
                <w:szCs w:val="20"/>
              </w:rPr>
              <w:t xml:space="preserve">The 2007 ERA recommended a review of risk ratings for these inner shelf habitats that support large, erect or delicate </w:t>
            </w:r>
            <w:proofErr w:type="spellStart"/>
            <w:r w:rsidRPr="00A762F9">
              <w:rPr>
                <w:rFonts w:cs="Arial"/>
                <w:sz w:val="20"/>
                <w:szCs w:val="20"/>
              </w:rPr>
              <w:t>epifauna</w:t>
            </w:r>
            <w:proofErr w:type="spellEnd"/>
            <w:r w:rsidRPr="00A762F9">
              <w:rPr>
                <w:rFonts w:cs="Arial"/>
                <w:sz w:val="20"/>
                <w:szCs w:val="20"/>
              </w:rPr>
              <w:t>, if new information shows either a change or expansion in the distribution of fishing effort in this fishery or others that use the same habitats, or if these habitats were revealed to be important in ways unrecognised at the time of the assessment.</w:t>
            </w:r>
          </w:p>
          <w:p w14:paraId="1631B4E0" w14:textId="77777777" w:rsidR="006C6712" w:rsidRPr="00A762F9" w:rsidRDefault="006C6712" w:rsidP="00146E3A">
            <w:pPr>
              <w:spacing w:before="60" w:after="60" w:line="240" w:lineRule="auto"/>
              <w:rPr>
                <w:rFonts w:cs="Arial"/>
                <w:sz w:val="20"/>
                <w:szCs w:val="20"/>
              </w:rPr>
            </w:pPr>
            <w:r w:rsidRPr="00A762F9">
              <w:rPr>
                <w:rFonts w:cs="Arial"/>
                <w:sz w:val="20"/>
                <w:szCs w:val="20"/>
              </w:rPr>
              <w:t>AFMA will update the ERAs for the fishery, including the habitat component in 2018.</w:t>
            </w:r>
          </w:p>
          <w:p w14:paraId="1631B4E1" w14:textId="77777777" w:rsidR="006C6712" w:rsidRPr="00A762F9" w:rsidRDefault="006C6712" w:rsidP="00146E3A">
            <w:pPr>
              <w:spacing w:before="60" w:after="60" w:line="240" w:lineRule="auto"/>
              <w:rPr>
                <w:rFonts w:cs="Arial"/>
                <w:sz w:val="20"/>
                <w:szCs w:val="20"/>
              </w:rPr>
            </w:pPr>
            <w:r w:rsidRPr="00A762F9">
              <w:rPr>
                <w:rFonts w:cs="Arial"/>
                <w:sz w:val="20"/>
                <w:szCs w:val="20"/>
              </w:rPr>
              <w:t>An ecological risk management strategy is in place for all components identified to be at high risk in the fishery (four species). Information on the interaction with these species continues to be collected through scientific observers on the pre-season surveys.</w:t>
            </w:r>
          </w:p>
          <w:p w14:paraId="1631B4E2" w14:textId="7DAE25F3" w:rsidR="006C6712" w:rsidRPr="00A762F9" w:rsidRDefault="006C6712" w:rsidP="00A762F9">
            <w:pPr>
              <w:spacing w:before="60" w:after="60" w:line="240" w:lineRule="auto"/>
              <w:rPr>
                <w:rFonts w:cs="Arial"/>
                <w:sz w:val="20"/>
                <w:szCs w:val="20"/>
              </w:rPr>
            </w:pPr>
            <w:r w:rsidRPr="00A762F9">
              <w:rPr>
                <w:rFonts w:cs="Arial"/>
                <w:sz w:val="20"/>
                <w:szCs w:val="20"/>
              </w:rPr>
              <w:t xml:space="preserve">Recent work by </w:t>
            </w:r>
            <w:hyperlink r:id="rId50" w:history="1">
              <w:r w:rsidRPr="00A762F9">
                <w:rPr>
                  <w:rStyle w:val="Hyperlink"/>
                  <w:rFonts w:cs="Arial"/>
                  <w:sz w:val="20"/>
                  <w:szCs w:val="20"/>
                </w:rPr>
                <w:t>Pitcher et al. (2016)</w:t>
              </w:r>
            </w:hyperlink>
            <w:r w:rsidRPr="00A762F9">
              <w:rPr>
                <w:rFonts w:cs="Arial"/>
                <w:sz w:val="20"/>
                <w:szCs w:val="20"/>
              </w:rPr>
              <w:t xml:space="preserve"> estimated the annual</w:t>
            </w:r>
            <w:r w:rsidR="00A762F9">
              <w:rPr>
                <w:rFonts w:cs="Arial"/>
                <w:sz w:val="20"/>
                <w:szCs w:val="20"/>
              </w:rPr>
              <w:t xml:space="preserve"> </w:t>
            </w:r>
            <w:r w:rsidRPr="00A762F9">
              <w:rPr>
                <w:rFonts w:cs="Arial"/>
                <w:sz w:val="20"/>
                <w:szCs w:val="20"/>
              </w:rPr>
              <w:t xml:space="preserve">footprint of the fishery to be approximately 22 square kilometres; with the most exposed assemblage (‘seabed with tidal current </w:t>
            </w:r>
            <w:proofErr w:type="gramStart"/>
            <w:r w:rsidRPr="00A762F9">
              <w:rPr>
                <w:rFonts w:cs="Arial"/>
                <w:sz w:val="20"/>
                <w:szCs w:val="20"/>
              </w:rPr>
              <w:t>stress’</w:t>
            </w:r>
            <w:proofErr w:type="gramEnd"/>
            <w:r w:rsidRPr="00A762F9">
              <w:rPr>
                <w:rFonts w:cs="Arial"/>
                <w:sz w:val="20"/>
                <w:szCs w:val="20"/>
              </w:rPr>
              <w:t>) having a fishing footprint of less than one per cent of the fishery. These estimates, compared with other demersal fisheries, were among the lowest relative potential for habitat risk. The authors noted however that this relative risk does not necessarily imply actual risk to habitats.</w:t>
            </w:r>
          </w:p>
        </w:tc>
      </w:tr>
      <w:tr w:rsidR="00207379" w:rsidRPr="00146E3A" w14:paraId="1631B4E6" w14:textId="77777777" w:rsidTr="00A762F9">
        <w:tc>
          <w:tcPr>
            <w:tcW w:w="2500" w:type="pct"/>
            <w:gridSpan w:val="2"/>
            <w:shd w:val="clear" w:color="auto" w:fill="E5DFEC"/>
          </w:tcPr>
          <w:p w14:paraId="1631B4E5" w14:textId="77777777" w:rsidR="00207379" w:rsidRPr="00146E3A" w:rsidRDefault="00207379" w:rsidP="00146E3A">
            <w:pPr>
              <w:spacing w:before="60" w:after="60" w:line="240" w:lineRule="auto"/>
              <w:rPr>
                <w:rFonts w:cs="Arial"/>
                <w:b/>
                <w:bCs/>
                <w:i/>
                <w:iCs/>
                <w:sz w:val="20"/>
                <w:szCs w:val="20"/>
              </w:rPr>
            </w:pPr>
            <w:r w:rsidRPr="00146E3A">
              <w:rPr>
                <w:rFonts w:cs="Arial"/>
                <w:b/>
                <w:bCs/>
                <w:i/>
                <w:iCs/>
                <w:sz w:val="20"/>
                <w:szCs w:val="20"/>
              </w:rPr>
              <w:t>Management responses</w:t>
            </w:r>
          </w:p>
        </w:tc>
      </w:tr>
      <w:tr w:rsidR="006C6712" w:rsidRPr="00146E3A" w14:paraId="1631B4EF" w14:textId="77777777" w:rsidTr="00A762F9">
        <w:tc>
          <w:tcPr>
            <w:tcW w:w="2500" w:type="pct"/>
          </w:tcPr>
          <w:p w14:paraId="1631B4E7" w14:textId="77777777" w:rsidR="006C6712" w:rsidRPr="00146E3A" w:rsidRDefault="006C6712" w:rsidP="00146E3A">
            <w:pPr>
              <w:autoSpaceDE w:val="0"/>
              <w:autoSpaceDN w:val="0"/>
              <w:adjustRightInd w:val="0"/>
              <w:spacing w:before="60" w:after="60" w:line="240" w:lineRule="auto"/>
              <w:rPr>
                <w:rFonts w:cs="Arial"/>
                <w:b/>
                <w:i/>
                <w:sz w:val="20"/>
                <w:szCs w:val="20"/>
              </w:rPr>
            </w:pPr>
            <w:r w:rsidRPr="00146E3A">
              <w:rPr>
                <w:rFonts w:cs="Arial"/>
                <w:b/>
                <w:bCs/>
                <w:i/>
                <w:iCs/>
                <w:sz w:val="20"/>
                <w:szCs w:val="20"/>
              </w:rPr>
              <w:t xml:space="preserve">2.3.3 </w:t>
            </w:r>
            <w:r w:rsidRPr="00146E3A">
              <w:rPr>
                <w:rFonts w:cs="Arial"/>
                <w:sz w:val="20"/>
                <w:szCs w:val="20"/>
              </w:rPr>
              <w:t>Management actions are in place to ensure significant damage to ecosystems does not arise from the impacts described in 2.3.1.</w:t>
            </w:r>
          </w:p>
        </w:tc>
        <w:tc>
          <w:tcPr>
            <w:tcW w:w="2500" w:type="pct"/>
            <w:shd w:val="clear" w:color="auto" w:fill="92D050"/>
          </w:tcPr>
          <w:p w14:paraId="1631B4EB" w14:textId="13814859" w:rsidR="006C6712" w:rsidRPr="00146E3A" w:rsidRDefault="006C6712" w:rsidP="00146E3A">
            <w:pPr>
              <w:spacing w:before="60" w:after="60" w:line="240" w:lineRule="auto"/>
              <w:rPr>
                <w:rFonts w:cs="Arial"/>
                <w:sz w:val="20"/>
                <w:szCs w:val="20"/>
              </w:rPr>
            </w:pPr>
            <w:r w:rsidRPr="00146E3A">
              <w:rPr>
                <w:rFonts w:cs="Arial"/>
                <w:sz w:val="20"/>
                <w:szCs w:val="20"/>
              </w:rPr>
              <w:t xml:space="preserve">The fishery is unlikely to have a significant impact due to the relatively small area fished (0.03 per cent of the fishery fished each year, </w:t>
            </w:r>
            <w:hyperlink r:id="rId51" w:history="1">
              <w:r w:rsidRPr="00146E3A">
                <w:rPr>
                  <w:rStyle w:val="Hyperlink"/>
                  <w:rFonts w:cs="Arial"/>
                  <w:sz w:val="20"/>
                  <w:szCs w:val="20"/>
                </w:rPr>
                <w:t>Pitcher et al 2016</w:t>
              </w:r>
            </w:hyperlink>
            <w:r w:rsidRPr="00146E3A">
              <w:rPr>
                <w:rFonts w:cs="Arial"/>
                <w:sz w:val="20"/>
                <w:szCs w:val="20"/>
              </w:rPr>
              <w:t>) and the areas targeted.</w:t>
            </w:r>
          </w:p>
          <w:p w14:paraId="1631B4EC" w14:textId="77777777" w:rsidR="006C6712" w:rsidRPr="00146E3A" w:rsidRDefault="006C6712" w:rsidP="00146E3A">
            <w:pPr>
              <w:spacing w:before="60" w:after="60" w:line="240" w:lineRule="auto"/>
              <w:rPr>
                <w:rFonts w:cs="Arial"/>
                <w:sz w:val="20"/>
                <w:szCs w:val="20"/>
              </w:rPr>
            </w:pPr>
            <w:r w:rsidRPr="00146E3A">
              <w:rPr>
                <w:rFonts w:cs="Arial"/>
                <w:sz w:val="20"/>
                <w:szCs w:val="20"/>
              </w:rPr>
              <w:t>Fishing occurs in areas of high natural disturbance (current swept sediment plains) and in areas where there is high scallop density. These areas typically have low species diversity.</w:t>
            </w:r>
          </w:p>
          <w:p w14:paraId="1631B4ED" w14:textId="77777777" w:rsidR="006C6712" w:rsidRPr="00146E3A" w:rsidRDefault="006C6712" w:rsidP="00146E3A">
            <w:pPr>
              <w:spacing w:before="60" w:after="60" w:line="240" w:lineRule="auto"/>
              <w:rPr>
                <w:rFonts w:cs="Arial"/>
                <w:sz w:val="20"/>
                <w:szCs w:val="20"/>
              </w:rPr>
            </w:pPr>
            <w:r w:rsidRPr="00146E3A">
              <w:rPr>
                <w:rFonts w:cs="Arial"/>
                <w:sz w:val="20"/>
                <w:szCs w:val="20"/>
              </w:rPr>
              <w:t xml:space="preserve">The harvest strategy limits, and where necessary, prevents fishing if scallop size and abundance is too low (based on annual pre-season surveys). Scallop beds may also be closed during the season on a voluntary basis to </w:t>
            </w:r>
            <w:r w:rsidRPr="00146E3A">
              <w:rPr>
                <w:rFonts w:cs="Arial"/>
                <w:sz w:val="20"/>
                <w:szCs w:val="20"/>
              </w:rPr>
              <w:lastRenderedPageBreak/>
              <w:t>protect undersized scallops. These closures not only protect scallops but also the ecosystems in which they live. These measures are also likely to be more effective than measures that regulate gear design, as items not retained by the gear may still be damaged.</w:t>
            </w:r>
          </w:p>
          <w:p w14:paraId="1631B4EE" w14:textId="77777777" w:rsidR="006C6712" w:rsidRPr="00146E3A" w:rsidRDefault="006C6712" w:rsidP="00146E3A">
            <w:pPr>
              <w:spacing w:before="60" w:after="60" w:line="240" w:lineRule="auto"/>
              <w:rPr>
                <w:rFonts w:cs="Arial"/>
                <w:sz w:val="20"/>
                <w:szCs w:val="20"/>
              </w:rPr>
            </w:pPr>
            <w:r w:rsidRPr="00146E3A">
              <w:rPr>
                <w:rFonts w:cs="Arial"/>
                <w:sz w:val="20"/>
                <w:szCs w:val="20"/>
              </w:rPr>
              <w:t xml:space="preserve">Recent research by </w:t>
            </w:r>
            <w:hyperlink r:id="rId52" w:history="1">
              <w:r w:rsidRPr="00146E3A">
                <w:rPr>
                  <w:rStyle w:val="Hyperlink"/>
                  <w:rFonts w:cs="Arial"/>
                  <w:sz w:val="20"/>
                  <w:szCs w:val="20"/>
                </w:rPr>
                <w:t>Pitcher et al. (2016)</w:t>
              </w:r>
            </w:hyperlink>
            <w:r w:rsidRPr="00146E3A">
              <w:rPr>
                <w:rFonts w:cs="Arial"/>
                <w:sz w:val="20"/>
                <w:szCs w:val="20"/>
              </w:rPr>
              <w:t xml:space="preserve"> suggests the impact of Commonwealth scallop dredging has a very low impact on benthic assemblages in the Bass Strait.</w:t>
            </w:r>
          </w:p>
        </w:tc>
      </w:tr>
      <w:tr w:rsidR="006C6712" w:rsidRPr="00146E3A" w14:paraId="1631B4F6" w14:textId="77777777" w:rsidTr="00A762F9">
        <w:tc>
          <w:tcPr>
            <w:tcW w:w="2500" w:type="pct"/>
          </w:tcPr>
          <w:p w14:paraId="1631B4F0"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b/>
                <w:bCs/>
                <w:i/>
                <w:iCs/>
                <w:sz w:val="20"/>
                <w:szCs w:val="20"/>
              </w:rPr>
              <w:lastRenderedPageBreak/>
              <w:t xml:space="preserve">2.3.4 </w:t>
            </w:r>
            <w:r w:rsidRPr="00146E3A">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shd w:val="clear" w:color="auto" w:fill="92D050"/>
          </w:tcPr>
          <w:p w14:paraId="1631B4F4" w14:textId="07BA4B84" w:rsidR="006C6712" w:rsidRPr="00146E3A" w:rsidRDefault="006C6712" w:rsidP="00146E3A">
            <w:pPr>
              <w:spacing w:before="60" w:after="60" w:line="240" w:lineRule="auto"/>
              <w:rPr>
                <w:rFonts w:cs="Arial"/>
                <w:sz w:val="20"/>
                <w:szCs w:val="20"/>
              </w:rPr>
            </w:pPr>
            <w:r w:rsidRPr="00146E3A">
              <w:rPr>
                <w:rFonts w:cs="Arial"/>
                <w:sz w:val="20"/>
                <w:szCs w:val="20"/>
              </w:rPr>
              <w:t>Noting the arrangements detailed in item 2.3.3, risks are considered to be effectively managed without need for additional monitoring or management triggers.</w:t>
            </w:r>
          </w:p>
          <w:p w14:paraId="1631B4F5" w14:textId="4C0B8F99" w:rsidR="006C6712" w:rsidRPr="00146E3A" w:rsidRDefault="006C6712" w:rsidP="00146E3A">
            <w:pPr>
              <w:spacing w:before="60" w:after="60" w:line="240" w:lineRule="auto"/>
              <w:rPr>
                <w:rFonts w:cs="Arial"/>
                <w:sz w:val="20"/>
                <w:szCs w:val="20"/>
              </w:rPr>
            </w:pPr>
            <w:r w:rsidRPr="00146E3A">
              <w:rPr>
                <w:rFonts w:cs="Arial"/>
                <w:sz w:val="20"/>
                <w:szCs w:val="20"/>
              </w:rPr>
              <w:t>AFMA is updating its ecological risk assessments and management strategies for this fishery in 2018, at which time risks to species, habitats as well as communities will be reviewed and management updated accordingly.</w:t>
            </w:r>
          </w:p>
        </w:tc>
      </w:tr>
      <w:tr w:rsidR="006C6712" w:rsidRPr="00146E3A" w14:paraId="1631B4FC" w14:textId="77777777" w:rsidTr="00A762F9">
        <w:tc>
          <w:tcPr>
            <w:tcW w:w="2500" w:type="pct"/>
          </w:tcPr>
          <w:p w14:paraId="1631B4F7" w14:textId="77777777" w:rsidR="006C6712" w:rsidRPr="00146E3A" w:rsidRDefault="006C6712" w:rsidP="00146E3A">
            <w:pPr>
              <w:autoSpaceDE w:val="0"/>
              <w:autoSpaceDN w:val="0"/>
              <w:adjustRightInd w:val="0"/>
              <w:spacing w:before="60" w:after="60" w:line="240" w:lineRule="auto"/>
              <w:rPr>
                <w:rFonts w:cs="Arial"/>
                <w:sz w:val="20"/>
                <w:szCs w:val="20"/>
              </w:rPr>
            </w:pPr>
            <w:r w:rsidRPr="00146E3A">
              <w:rPr>
                <w:rFonts w:cs="Arial"/>
                <w:b/>
                <w:bCs/>
                <w:i/>
                <w:iCs/>
                <w:sz w:val="20"/>
                <w:szCs w:val="20"/>
              </w:rPr>
              <w:t>2.3.5</w:t>
            </w:r>
            <w:r w:rsidRPr="00146E3A">
              <w:rPr>
                <w:rFonts w:cs="Arial"/>
                <w:sz w:val="20"/>
                <w:szCs w:val="20"/>
              </w:rPr>
              <w:t xml:space="preserve"> The management response, considering uncertainties in the assessment and precautionary management actions, has a high chance of achieving the objective.</w:t>
            </w:r>
          </w:p>
        </w:tc>
        <w:tc>
          <w:tcPr>
            <w:tcW w:w="2500" w:type="pct"/>
            <w:shd w:val="clear" w:color="auto" w:fill="92D050"/>
          </w:tcPr>
          <w:p w14:paraId="1631B4FB" w14:textId="13DCE926" w:rsidR="006C6712" w:rsidRPr="00146E3A" w:rsidRDefault="006C6712" w:rsidP="00146E3A">
            <w:pPr>
              <w:spacing w:before="60" w:after="60" w:line="240" w:lineRule="auto"/>
              <w:rPr>
                <w:rFonts w:cs="Arial"/>
                <w:sz w:val="20"/>
                <w:szCs w:val="20"/>
              </w:rPr>
            </w:pPr>
            <w:r w:rsidRPr="00146E3A">
              <w:rPr>
                <w:rFonts w:cs="Arial"/>
                <w:sz w:val="20"/>
                <w:szCs w:val="20"/>
              </w:rPr>
              <w:t>High chance of achieving the objective given the management arrangements in place.</w:t>
            </w:r>
          </w:p>
        </w:tc>
      </w:tr>
    </w:tbl>
    <w:p w14:paraId="1631B4FD" w14:textId="77777777" w:rsidR="00740DDF" w:rsidRPr="006C6712" w:rsidRDefault="00740DDF" w:rsidP="00146E3A">
      <w:pPr>
        <w:pStyle w:val="Heading6"/>
        <w:spacing w:before="60"/>
        <w:rPr>
          <w:rStyle w:val="Emphasis"/>
          <w:rFonts w:ascii="Arial" w:hAnsi="Arial" w:cs="Arial"/>
          <w:i w:val="0"/>
          <w:iCs w:val="0"/>
          <w:sz w:val="20"/>
          <w:szCs w:val="20"/>
        </w:rPr>
      </w:pPr>
    </w:p>
    <w:p w14:paraId="356116AB" w14:textId="77777777" w:rsidR="00146E3A" w:rsidRDefault="00146E3A" w:rsidP="00146E3A">
      <w:pPr>
        <w:pStyle w:val="Heading1"/>
        <w:spacing w:before="60" w:after="60" w:line="240" w:lineRule="auto"/>
        <w:sectPr w:rsidR="00146E3A" w:rsidSect="00625455">
          <w:pgSz w:w="16838" w:h="11906" w:orient="landscape"/>
          <w:pgMar w:top="709" w:right="1361" w:bottom="709" w:left="1361" w:header="709" w:footer="54" w:gutter="0"/>
          <w:cols w:space="708"/>
          <w:docGrid w:linePitch="360"/>
        </w:sectPr>
      </w:pPr>
      <w:bookmarkStart w:id="9" w:name="_Toc514849745"/>
      <w:bookmarkStart w:id="10" w:name="_Toc514849475"/>
    </w:p>
    <w:p w14:paraId="76F7DBCF" w14:textId="694C763E" w:rsidR="006C6712" w:rsidRPr="00D47B6E" w:rsidRDefault="006C6712" w:rsidP="00146E3A">
      <w:pPr>
        <w:pStyle w:val="Heading1"/>
        <w:spacing w:before="60" w:after="60" w:line="240" w:lineRule="auto"/>
        <w:rPr>
          <w:i/>
          <w:iCs/>
        </w:rPr>
      </w:pPr>
      <w:bookmarkStart w:id="11" w:name="_Toc522184521"/>
      <w:r w:rsidRPr="00D47B6E">
        <w:lastRenderedPageBreak/>
        <w:t xml:space="preserve">Section 3: Assessment of the </w:t>
      </w:r>
      <w:r>
        <w:t>Commonwealth Bass Strait Central Zone</w:t>
      </w:r>
      <w:r w:rsidRPr="00D47B6E">
        <w:t xml:space="preserve"> </w:t>
      </w:r>
      <w:r>
        <w:t xml:space="preserve">Scallop </w:t>
      </w:r>
      <w:r w:rsidRPr="00D47B6E">
        <w:t xml:space="preserve">Fishery </w:t>
      </w:r>
      <w:r>
        <w:t>A</w:t>
      </w:r>
      <w:r w:rsidRPr="00D47B6E">
        <w:t xml:space="preserve">gainst the </w:t>
      </w:r>
      <w:r>
        <w:t>R</w:t>
      </w:r>
      <w:r w:rsidRPr="00D47B6E">
        <w:t xml:space="preserve">equirements of the </w:t>
      </w:r>
      <w:r>
        <w:t>EPBC Act</w:t>
      </w:r>
      <w:bookmarkEnd w:id="9"/>
      <w:bookmarkEnd w:id="11"/>
    </w:p>
    <w:bookmarkEnd w:id="10"/>
    <w:bookmarkEnd w:id="0"/>
    <w:p w14:paraId="1631B500" w14:textId="77777777" w:rsidR="001219D8" w:rsidRPr="006C6712" w:rsidRDefault="001219D8" w:rsidP="00146E3A">
      <w:pPr>
        <w:spacing w:before="60" w:after="60" w:line="240" w:lineRule="auto"/>
        <w:rPr>
          <w:rFonts w:cs="Arial"/>
          <w:sz w:val="20"/>
          <w:szCs w:val="20"/>
        </w:rPr>
      </w:pPr>
      <w:r w:rsidRPr="006C6712">
        <w:rPr>
          <w:rFonts w:cs="Arial"/>
          <w:b/>
          <w:sz w:val="20"/>
          <w:szCs w:val="20"/>
        </w:rPr>
        <w:t xml:space="preserve">Please Note </w:t>
      </w:r>
      <w:r w:rsidRPr="006C6712">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1631B501" w14:textId="77777777" w:rsidR="00164E7C" w:rsidRPr="006C6712" w:rsidRDefault="00164E7C" w:rsidP="00146E3A">
      <w:pPr>
        <w:spacing w:before="60" w:after="60" w:line="240" w:lineRule="auto"/>
        <w:rPr>
          <w:rFonts w:cs="Arial"/>
          <w:b/>
          <w:sz w:val="20"/>
          <w:szCs w:val="20"/>
        </w:rPr>
      </w:pPr>
    </w:p>
    <w:p w14:paraId="1631B502" w14:textId="77777777" w:rsidR="001219D8" w:rsidRPr="00146E3A" w:rsidRDefault="001219D8" w:rsidP="00146E3A">
      <w:pPr>
        <w:spacing w:before="60" w:after="60" w:line="240" w:lineRule="auto"/>
        <w:rPr>
          <w:rFonts w:cs="Arial"/>
          <w:b/>
        </w:rPr>
      </w:pPr>
      <w:r w:rsidRPr="00146E3A">
        <w:rPr>
          <w:rFonts w:cs="Arial"/>
          <w:b/>
        </w:rPr>
        <w:t>Part 13</w:t>
      </w:r>
    </w:p>
    <w:tbl>
      <w:tblPr>
        <w:tblStyle w:val="TableGrid"/>
        <w:tblW w:w="5000" w:type="pct"/>
        <w:tblLook w:val="04A0" w:firstRow="1" w:lastRow="0" w:firstColumn="1" w:lastColumn="0" w:noHBand="0" w:noVBand="1"/>
      </w:tblPr>
      <w:tblGrid>
        <w:gridCol w:w="7053"/>
        <w:gridCol w:w="7053"/>
      </w:tblGrid>
      <w:tr w:rsidR="00A762F9" w:rsidRPr="006C6712" w14:paraId="1631B508" w14:textId="77777777" w:rsidTr="00A762F9">
        <w:trPr>
          <w:cnfStyle w:val="100000000000" w:firstRow="1" w:lastRow="0" w:firstColumn="0" w:lastColumn="0" w:oddVBand="0" w:evenVBand="0" w:oddHBand="0" w:evenHBand="0" w:firstRowFirstColumn="0" w:firstRowLastColumn="0" w:lastRowFirstColumn="0" w:lastRowLastColumn="0"/>
        </w:trPr>
        <w:tc>
          <w:tcPr>
            <w:tcW w:w="2500" w:type="pct"/>
          </w:tcPr>
          <w:p w14:paraId="1631B503" w14:textId="77777777" w:rsidR="00A762F9" w:rsidRPr="006C6712" w:rsidRDefault="00A762F9" w:rsidP="00146E3A">
            <w:pPr>
              <w:spacing w:before="60" w:after="60" w:line="240" w:lineRule="auto"/>
              <w:rPr>
                <w:rFonts w:cs="Arial"/>
                <w:b/>
                <w:sz w:val="20"/>
                <w:szCs w:val="20"/>
              </w:rPr>
            </w:pPr>
          </w:p>
        </w:tc>
        <w:tc>
          <w:tcPr>
            <w:tcW w:w="2500" w:type="pct"/>
            <w:shd w:val="clear" w:color="auto" w:fill="auto"/>
          </w:tcPr>
          <w:p w14:paraId="1631B507" w14:textId="16A717B7" w:rsidR="00A762F9" w:rsidRPr="006C6712" w:rsidRDefault="00A762F9" w:rsidP="00146E3A">
            <w:pPr>
              <w:spacing w:before="60" w:after="60" w:line="240" w:lineRule="auto"/>
              <w:rPr>
                <w:rFonts w:cs="Arial"/>
                <w:b/>
                <w:sz w:val="20"/>
                <w:szCs w:val="20"/>
              </w:rPr>
            </w:pPr>
            <w:r w:rsidRPr="006C6712">
              <w:rPr>
                <w:rFonts w:cs="Arial"/>
                <w:b/>
                <w:sz w:val="20"/>
                <w:szCs w:val="20"/>
              </w:rPr>
              <w:t>Comment</w:t>
            </w:r>
          </w:p>
        </w:tc>
      </w:tr>
      <w:tr w:rsidR="006A72FA" w:rsidRPr="006C6712" w14:paraId="1631B50A"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1631B509" w14:textId="77777777" w:rsidR="006A72FA" w:rsidRPr="006C6712" w:rsidRDefault="0020445D" w:rsidP="00146E3A">
            <w:pPr>
              <w:spacing w:before="60" w:after="60" w:line="240" w:lineRule="auto"/>
              <w:rPr>
                <w:rFonts w:cs="Arial"/>
                <w:b/>
                <w:sz w:val="20"/>
                <w:szCs w:val="20"/>
              </w:rPr>
            </w:pPr>
            <w:r w:rsidRPr="006C6712">
              <w:rPr>
                <w:rFonts w:cs="Arial"/>
                <w:b/>
                <w:sz w:val="20"/>
                <w:szCs w:val="20"/>
              </w:rPr>
              <w:t>Accreditable plan, regime or policy  (Division 1, Division 2, Division 3, Division 4</w:t>
            </w:r>
            <w:r w:rsidR="00B033A8" w:rsidRPr="006C6712">
              <w:rPr>
                <w:rFonts w:cs="Arial"/>
                <w:b/>
                <w:sz w:val="20"/>
                <w:szCs w:val="20"/>
              </w:rPr>
              <w:t>)</w:t>
            </w:r>
          </w:p>
        </w:tc>
      </w:tr>
      <w:tr w:rsidR="006C6712" w:rsidRPr="006C6712" w14:paraId="1631B511"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0B" w14:textId="77777777" w:rsidR="006C6712" w:rsidRPr="006C6712" w:rsidRDefault="006C6712" w:rsidP="00146E3A">
            <w:pPr>
              <w:spacing w:before="60" w:after="60" w:line="240" w:lineRule="auto"/>
              <w:rPr>
                <w:rFonts w:cs="Arial"/>
                <w:sz w:val="20"/>
                <w:szCs w:val="20"/>
              </w:rPr>
            </w:pPr>
            <w:r w:rsidRPr="006C6712">
              <w:rPr>
                <w:rFonts w:cs="Arial"/>
                <w:sz w:val="20"/>
                <w:szCs w:val="20"/>
              </w:rPr>
              <w:t>s. 208A  (1) (a-e) , s.222A (1) (a-e), s.245A (1) (a-e),  s.265 (1) (a-e)</w:t>
            </w:r>
          </w:p>
          <w:p w14:paraId="1631B50C" w14:textId="77777777" w:rsidR="006C6712" w:rsidRPr="006C6712" w:rsidRDefault="006C6712" w:rsidP="00146E3A">
            <w:pPr>
              <w:spacing w:before="60" w:after="60" w:line="240" w:lineRule="auto"/>
              <w:rPr>
                <w:rFonts w:cs="Arial"/>
                <w:sz w:val="20"/>
                <w:szCs w:val="20"/>
              </w:rPr>
            </w:pPr>
            <w:r w:rsidRPr="006C6712">
              <w:rPr>
                <w:rFonts w:cs="Arial"/>
                <w:sz w:val="20"/>
                <w:szCs w:val="20"/>
              </w:rPr>
              <w:t xml:space="preserve">Does the fishery have an accreditable plan of management, regime or policy? </w:t>
            </w:r>
          </w:p>
        </w:tc>
        <w:tc>
          <w:tcPr>
            <w:tcW w:w="2500" w:type="pct"/>
            <w:shd w:val="clear" w:color="auto" w:fill="92D050"/>
          </w:tcPr>
          <w:p w14:paraId="1631B510" w14:textId="2A2CBC03" w:rsidR="006C6712" w:rsidRPr="00146E3A" w:rsidRDefault="006C6712" w:rsidP="00146E3A">
            <w:pPr>
              <w:spacing w:before="60" w:after="60" w:line="240" w:lineRule="auto"/>
              <w:rPr>
                <w:rFonts w:cs="Arial"/>
                <w:sz w:val="20"/>
                <w:szCs w:val="20"/>
              </w:rPr>
            </w:pPr>
            <w:r w:rsidRPr="00146E3A">
              <w:rPr>
                <w:rFonts w:cs="Arial"/>
                <w:sz w:val="20"/>
                <w:szCs w:val="20"/>
              </w:rPr>
              <w:t>Yes.</w:t>
            </w:r>
            <w:r w:rsidRPr="00146E3A">
              <w:rPr>
                <w:rFonts w:cs="Arial"/>
                <w:sz w:val="20"/>
                <w:szCs w:val="20"/>
              </w:rPr>
              <w:br/>
              <w:t xml:space="preserve">Bass Strait Central Zone Scallop Fishery Management Plan 2002, in force under </w:t>
            </w:r>
            <w:r w:rsidRPr="00146E3A">
              <w:rPr>
                <w:rFonts w:cs="Arial"/>
                <w:i/>
                <w:sz w:val="20"/>
                <w:szCs w:val="20"/>
              </w:rPr>
              <w:t>Fisheries Management Act 1991</w:t>
            </w:r>
            <w:r w:rsidRPr="00146E3A">
              <w:rPr>
                <w:rFonts w:cs="Arial"/>
                <w:sz w:val="20"/>
                <w:szCs w:val="20"/>
              </w:rPr>
              <w:t>.</w:t>
            </w:r>
          </w:p>
        </w:tc>
      </w:tr>
      <w:tr w:rsidR="001219D8" w:rsidRPr="006C6712" w14:paraId="1631B513"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1631B512" w14:textId="77777777" w:rsidR="001219D8" w:rsidRPr="006C6712" w:rsidRDefault="001219D8" w:rsidP="00146E3A">
            <w:pPr>
              <w:spacing w:before="60" w:after="60" w:line="240" w:lineRule="auto"/>
              <w:rPr>
                <w:rFonts w:cs="Arial"/>
                <w:sz w:val="20"/>
                <w:szCs w:val="20"/>
              </w:rPr>
            </w:pPr>
            <w:r w:rsidRPr="006C6712">
              <w:rPr>
                <w:rFonts w:cs="Arial"/>
                <w:b/>
                <w:sz w:val="20"/>
                <w:szCs w:val="20"/>
              </w:rPr>
              <w:t>Division 1 Listed threatened species, Section 208A Minister may accredit plans or regimes</w:t>
            </w:r>
          </w:p>
        </w:tc>
      </w:tr>
      <w:tr w:rsidR="006C6712" w:rsidRPr="006C6712" w14:paraId="1631B519"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14" w14:textId="77777777" w:rsidR="006C6712" w:rsidRPr="006C6712" w:rsidRDefault="006C6712" w:rsidP="00146E3A">
            <w:pPr>
              <w:spacing w:before="60" w:after="60" w:line="240" w:lineRule="auto"/>
              <w:rPr>
                <w:rFonts w:cs="Arial"/>
                <w:sz w:val="20"/>
                <w:szCs w:val="20"/>
              </w:rPr>
            </w:pPr>
            <w:r w:rsidRPr="006C6712">
              <w:rPr>
                <w:rFonts w:cs="Arial"/>
                <w:sz w:val="20"/>
                <w:szCs w:val="20"/>
              </w:rPr>
              <w:t>(f)  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1631B518" w14:textId="488A28BD" w:rsidR="006C6712" w:rsidRPr="00146E3A" w:rsidRDefault="006C6712" w:rsidP="00146E3A">
            <w:pPr>
              <w:spacing w:before="60" w:after="60" w:line="240" w:lineRule="auto"/>
              <w:rPr>
                <w:rFonts w:cs="Arial"/>
                <w:sz w:val="20"/>
                <w:szCs w:val="20"/>
              </w:rPr>
            </w:pPr>
            <w:r w:rsidRPr="00146E3A">
              <w:rPr>
                <w:rFonts w:cs="Arial"/>
                <w:sz w:val="20"/>
                <w:szCs w:val="20"/>
              </w:rPr>
              <w:t>Yes.</w:t>
            </w:r>
            <w:r w:rsidRPr="00146E3A">
              <w:rPr>
                <w:rFonts w:cs="Arial"/>
                <w:sz w:val="20"/>
                <w:szCs w:val="20"/>
              </w:rPr>
              <w:br/>
              <w:t>The management arrangements require fishers to take all reasonable steps to ensure that members of listed threatened species are not killed or injured as a result of the fishing.</w:t>
            </w:r>
          </w:p>
        </w:tc>
      </w:tr>
      <w:tr w:rsidR="006C6712" w:rsidRPr="006C6712" w14:paraId="1631B51F"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tcPr>
          <w:p w14:paraId="1631B51A" w14:textId="77777777" w:rsidR="006C6712" w:rsidRPr="006C6712" w:rsidRDefault="006C6712" w:rsidP="00146E3A">
            <w:pPr>
              <w:spacing w:before="60" w:after="60" w:line="240" w:lineRule="auto"/>
              <w:rPr>
                <w:rFonts w:cs="Arial"/>
                <w:sz w:val="20"/>
                <w:szCs w:val="20"/>
              </w:rPr>
            </w:pPr>
            <w:r w:rsidRPr="006C6712">
              <w:rPr>
                <w:rFonts w:cs="Arial"/>
                <w:sz w:val="20"/>
                <w:szCs w:val="20"/>
              </w:rPr>
              <w:t>(g)  And, is the fishery likely to adversely affect the survival or recovery in nature of the species.</w:t>
            </w:r>
          </w:p>
        </w:tc>
        <w:tc>
          <w:tcPr>
            <w:tcW w:w="2500" w:type="pct"/>
            <w:shd w:val="clear" w:color="auto" w:fill="92D050"/>
          </w:tcPr>
          <w:p w14:paraId="269D273B" w14:textId="7E5D93B7" w:rsidR="006C6712" w:rsidRPr="00146E3A" w:rsidRDefault="006C6712" w:rsidP="00146E3A">
            <w:pPr>
              <w:spacing w:before="60" w:after="60" w:line="240" w:lineRule="auto"/>
              <w:rPr>
                <w:rFonts w:cs="Arial"/>
                <w:sz w:val="20"/>
                <w:szCs w:val="20"/>
              </w:rPr>
            </w:pPr>
            <w:r w:rsidRPr="00146E3A">
              <w:rPr>
                <w:rFonts w:cs="Arial"/>
                <w:sz w:val="20"/>
                <w:szCs w:val="20"/>
              </w:rPr>
              <w:t>No.</w:t>
            </w:r>
            <w:r w:rsidRPr="00146E3A">
              <w:rPr>
                <w:rFonts w:cs="Arial"/>
                <w:sz w:val="20"/>
                <w:szCs w:val="20"/>
              </w:rPr>
              <w:br/>
              <w:t>The fishery is not likely to adversely affect the survival or recovery in nature of listed threatened species.</w:t>
            </w:r>
          </w:p>
          <w:p w14:paraId="1631B51E" w14:textId="7A2D797D" w:rsidR="006C6712" w:rsidRPr="00146E3A" w:rsidRDefault="006C6712" w:rsidP="00146E3A">
            <w:pPr>
              <w:spacing w:before="60" w:after="60" w:line="240" w:lineRule="auto"/>
              <w:rPr>
                <w:rFonts w:cs="Arial"/>
                <w:sz w:val="20"/>
                <w:szCs w:val="20"/>
              </w:rPr>
            </w:pPr>
            <w:r w:rsidRPr="00146E3A">
              <w:rPr>
                <w:rFonts w:cs="Arial"/>
                <w:sz w:val="20"/>
                <w:szCs w:val="20"/>
              </w:rPr>
              <w:t>No recorded interactions with listed threatened species.</w:t>
            </w:r>
          </w:p>
        </w:tc>
      </w:tr>
      <w:tr w:rsidR="001219D8" w:rsidRPr="006C6712" w14:paraId="1631B521"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1631B520" w14:textId="77777777" w:rsidR="001219D8" w:rsidRPr="006C6712" w:rsidRDefault="001219D8" w:rsidP="00146E3A">
            <w:pPr>
              <w:spacing w:before="60" w:after="60" w:line="240" w:lineRule="auto"/>
              <w:rPr>
                <w:rFonts w:cs="Arial"/>
                <w:sz w:val="20"/>
                <w:szCs w:val="20"/>
              </w:rPr>
            </w:pPr>
            <w:r w:rsidRPr="006C6712">
              <w:rPr>
                <w:rFonts w:cs="Arial"/>
                <w:b/>
                <w:sz w:val="20"/>
                <w:szCs w:val="20"/>
              </w:rPr>
              <w:t>Division 2 Migratory species, Section 222A Minister may accredit plans or regimes</w:t>
            </w:r>
          </w:p>
        </w:tc>
      </w:tr>
      <w:tr w:rsidR="006C6712" w:rsidRPr="006C6712" w14:paraId="1631B527"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tcPr>
          <w:p w14:paraId="1631B522" w14:textId="77777777" w:rsidR="006C6712" w:rsidRPr="006C6712" w:rsidRDefault="006C6712" w:rsidP="00146E3A">
            <w:pPr>
              <w:spacing w:before="60" w:after="60" w:line="240" w:lineRule="auto"/>
              <w:rPr>
                <w:rFonts w:cs="Arial"/>
                <w:sz w:val="20"/>
                <w:szCs w:val="20"/>
              </w:rPr>
            </w:pPr>
            <w:r w:rsidRPr="006C6712">
              <w:rPr>
                <w:rFonts w:cs="Arial"/>
                <w:sz w:val="20"/>
                <w:szCs w:val="20"/>
              </w:rPr>
              <w:t>(f)  Will the plan, regime or policy require fishers to take all reasonable steps to ensure that members of listed migratory species are not killed or injured as a result of the fishing?</w:t>
            </w:r>
          </w:p>
        </w:tc>
        <w:tc>
          <w:tcPr>
            <w:tcW w:w="2500" w:type="pct"/>
            <w:shd w:val="clear" w:color="auto" w:fill="92D050"/>
          </w:tcPr>
          <w:p w14:paraId="1631B526" w14:textId="736F4B88" w:rsidR="006C6712" w:rsidRPr="00146E3A" w:rsidRDefault="006C6712" w:rsidP="00146E3A">
            <w:pPr>
              <w:spacing w:before="60" w:after="60" w:line="240" w:lineRule="auto"/>
              <w:rPr>
                <w:rFonts w:cs="Arial"/>
                <w:sz w:val="20"/>
                <w:szCs w:val="20"/>
              </w:rPr>
            </w:pPr>
            <w:r w:rsidRPr="00146E3A">
              <w:rPr>
                <w:rFonts w:cs="Arial"/>
                <w:sz w:val="20"/>
                <w:szCs w:val="20"/>
              </w:rPr>
              <w:t>Yes.</w:t>
            </w:r>
            <w:r w:rsidRPr="00146E3A">
              <w:rPr>
                <w:rFonts w:cs="Arial"/>
                <w:sz w:val="20"/>
                <w:szCs w:val="20"/>
              </w:rPr>
              <w:br/>
              <w:t>The management arrangements require fishers to take all reasonable steps to ensure that members of listed migratory species are not killed or injured as a result of the fishing.</w:t>
            </w:r>
          </w:p>
        </w:tc>
      </w:tr>
      <w:tr w:rsidR="006C6712" w:rsidRPr="006C6712" w14:paraId="1631B52D"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28" w14:textId="77777777" w:rsidR="006C6712" w:rsidRPr="006C6712" w:rsidRDefault="006C6712" w:rsidP="00146E3A">
            <w:pPr>
              <w:spacing w:before="60" w:after="60" w:line="240" w:lineRule="auto"/>
              <w:rPr>
                <w:rFonts w:cs="Arial"/>
                <w:sz w:val="20"/>
                <w:szCs w:val="20"/>
              </w:rPr>
            </w:pPr>
            <w:r w:rsidRPr="006C6712">
              <w:rPr>
                <w:rFonts w:cs="Arial"/>
                <w:sz w:val="20"/>
                <w:szCs w:val="20"/>
              </w:rPr>
              <w:t>(g)  And, is the fishery likely to adversely affect the conservation status of a listed migratory species or a population of that species?</w:t>
            </w:r>
          </w:p>
        </w:tc>
        <w:tc>
          <w:tcPr>
            <w:tcW w:w="2500" w:type="pct"/>
            <w:shd w:val="clear" w:color="auto" w:fill="92D050"/>
          </w:tcPr>
          <w:p w14:paraId="4752FEA0" w14:textId="1AE4E72C" w:rsidR="006C6712" w:rsidRPr="00146E3A" w:rsidRDefault="006C6712" w:rsidP="00146E3A">
            <w:pPr>
              <w:spacing w:before="60" w:after="60" w:line="240" w:lineRule="auto"/>
              <w:rPr>
                <w:rFonts w:cs="Arial"/>
                <w:sz w:val="20"/>
                <w:szCs w:val="20"/>
              </w:rPr>
            </w:pPr>
            <w:r w:rsidRPr="00146E3A">
              <w:rPr>
                <w:rFonts w:cs="Arial"/>
                <w:sz w:val="20"/>
                <w:szCs w:val="20"/>
              </w:rPr>
              <w:t>No.</w:t>
            </w:r>
            <w:r w:rsidRPr="00146E3A">
              <w:rPr>
                <w:rFonts w:cs="Arial"/>
                <w:sz w:val="20"/>
                <w:szCs w:val="20"/>
              </w:rPr>
              <w:br/>
              <w:t>The fishery is not likely to adversely affect the conservation status of a listed migratory species or a population of that species.</w:t>
            </w:r>
          </w:p>
          <w:p w14:paraId="1631B52C" w14:textId="77777777" w:rsidR="006C6712" w:rsidRPr="00146E3A" w:rsidRDefault="006C6712" w:rsidP="00146E3A">
            <w:pPr>
              <w:spacing w:before="60" w:after="60" w:line="240" w:lineRule="auto"/>
              <w:rPr>
                <w:rFonts w:cs="Arial"/>
                <w:sz w:val="20"/>
                <w:szCs w:val="20"/>
              </w:rPr>
            </w:pPr>
            <w:r w:rsidRPr="00146E3A">
              <w:rPr>
                <w:rFonts w:cs="Arial"/>
                <w:sz w:val="20"/>
                <w:szCs w:val="20"/>
              </w:rPr>
              <w:t>No recorded interactions with listed migratory species.</w:t>
            </w:r>
          </w:p>
        </w:tc>
      </w:tr>
      <w:tr w:rsidR="000343C1" w:rsidRPr="006C6712" w14:paraId="1631B52F"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1631B52E" w14:textId="77777777" w:rsidR="000343C1" w:rsidRPr="006C6712" w:rsidRDefault="000343C1" w:rsidP="00146E3A">
            <w:pPr>
              <w:spacing w:before="60" w:after="60" w:line="240" w:lineRule="auto"/>
              <w:rPr>
                <w:rFonts w:cs="Arial"/>
                <w:sz w:val="20"/>
                <w:szCs w:val="20"/>
              </w:rPr>
            </w:pPr>
            <w:r w:rsidRPr="006C6712">
              <w:rPr>
                <w:rFonts w:cs="Arial"/>
                <w:b/>
                <w:sz w:val="20"/>
                <w:szCs w:val="20"/>
              </w:rPr>
              <w:t>Division 3 Whales and other cetaceans, Section 245 Minister may accredit plans or regimes</w:t>
            </w:r>
          </w:p>
        </w:tc>
      </w:tr>
      <w:tr w:rsidR="006C6712" w:rsidRPr="006C6712" w14:paraId="1631B535"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30" w14:textId="77777777" w:rsidR="006C6712" w:rsidRPr="006C6712" w:rsidRDefault="006C6712" w:rsidP="00146E3A">
            <w:pPr>
              <w:spacing w:before="60" w:after="60" w:line="240" w:lineRule="auto"/>
              <w:rPr>
                <w:rFonts w:cs="Arial"/>
                <w:sz w:val="20"/>
                <w:szCs w:val="20"/>
              </w:rPr>
            </w:pPr>
            <w:r w:rsidRPr="006C6712">
              <w:rPr>
                <w:rFonts w:cs="Arial"/>
                <w:sz w:val="20"/>
                <w:szCs w:val="20"/>
              </w:rPr>
              <w:t>(f)  Will the plan, regime or policy require fishers to take all reasonable steps to ensure that cetaceans are not killed or injured as a result of the fishing?</w:t>
            </w:r>
          </w:p>
        </w:tc>
        <w:tc>
          <w:tcPr>
            <w:tcW w:w="2500" w:type="pct"/>
            <w:shd w:val="clear" w:color="auto" w:fill="92D050"/>
          </w:tcPr>
          <w:p w14:paraId="1631B534" w14:textId="2468E7BB" w:rsidR="006C6712" w:rsidRPr="00146E3A" w:rsidRDefault="006C6712" w:rsidP="00146E3A">
            <w:pPr>
              <w:spacing w:before="60" w:after="60" w:line="240" w:lineRule="auto"/>
              <w:rPr>
                <w:rFonts w:cs="Arial"/>
                <w:sz w:val="20"/>
                <w:szCs w:val="20"/>
              </w:rPr>
            </w:pPr>
            <w:r w:rsidRPr="00146E3A">
              <w:rPr>
                <w:rFonts w:cs="Arial"/>
                <w:sz w:val="20"/>
                <w:szCs w:val="20"/>
              </w:rPr>
              <w:t>Yes.</w:t>
            </w:r>
            <w:r w:rsidRPr="00146E3A">
              <w:rPr>
                <w:rFonts w:cs="Arial"/>
                <w:sz w:val="20"/>
                <w:szCs w:val="20"/>
              </w:rPr>
              <w:br/>
              <w:t>The management arrangements require fishers to take all reasonable steps to ensure that cetaceans are not killed or injured as a result of the fishing.</w:t>
            </w:r>
          </w:p>
        </w:tc>
      </w:tr>
      <w:tr w:rsidR="006C6712" w:rsidRPr="006C6712" w14:paraId="1631B53B"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tcPr>
          <w:p w14:paraId="1631B536" w14:textId="77777777" w:rsidR="006C6712" w:rsidRPr="006C6712" w:rsidRDefault="006C6712" w:rsidP="00146E3A">
            <w:pPr>
              <w:spacing w:before="60" w:after="60" w:line="240" w:lineRule="auto"/>
              <w:rPr>
                <w:rFonts w:cs="Arial"/>
                <w:sz w:val="20"/>
                <w:szCs w:val="20"/>
              </w:rPr>
            </w:pPr>
            <w:r w:rsidRPr="006C6712">
              <w:rPr>
                <w:rFonts w:cs="Arial"/>
                <w:sz w:val="20"/>
                <w:szCs w:val="20"/>
              </w:rPr>
              <w:t>(g)  And is the fishery likely to adversely affect the conservation status of a species of cetacean or a population of that species?</w:t>
            </w:r>
          </w:p>
        </w:tc>
        <w:tc>
          <w:tcPr>
            <w:tcW w:w="2500" w:type="pct"/>
            <w:shd w:val="clear" w:color="auto" w:fill="92D050"/>
          </w:tcPr>
          <w:p w14:paraId="1631B53A" w14:textId="4ADFCE2B" w:rsidR="006C6712" w:rsidRPr="00146E3A" w:rsidRDefault="006C6712" w:rsidP="00146E3A">
            <w:pPr>
              <w:spacing w:before="60" w:after="60" w:line="240" w:lineRule="auto"/>
              <w:rPr>
                <w:rFonts w:cs="Arial"/>
                <w:sz w:val="20"/>
                <w:szCs w:val="20"/>
              </w:rPr>
            </w:pPr>
            <w:r w:rsidRPr="00146E3A">
              <w:rPr>
                <w:rFonts w:cs="Arial"/>
                <w:sz w:val="20"/>
                <w:szCs w:val="20"/>
              </w:rPr>
              <w:t>No.</w:t>
            </w:r>
            <w:r w:rsidRPr="00146E3A">
              <w:rPr>
                <w:rFonts w:cs="Arial"/>
                <w:sz w:val="20"/>
                <w:szCs w:val="20"/>
              </w:rPr>
              <w:br/>
              <w:t xml:space="preserve">The fishery is unlikely to adversely affect the conservation status of a species </w:t>
            </w:r>
            <w:r w:rsidRPr="00146E3A">
              <w:rPr>
                <w:rFonts w:cs="Arial"/>
                <w:sz w:val="20"/>
                <w:szCs w:val="20"/>
              </w:rPr>
              <w:lastRenderedPageBreak/>
              <w:t>of cetacean or a population of that species. No recorded interactions with cetaceans.</w:t>
            </w:r>
          </w:p>
        </w:tc>
      </w:tr>
      <w:tr w:rsidR="000343C1" w:rsidRPr="006C6712" w14:paraId="1631B53D"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1631B53C" w14:textId="77777777" w:rsidR="000343C1" w:rsidRPr="006C6712" w:rsidRDefault="000343C1" w:rsidP="00146E3A">
            <w:pPr>
              <w:spacing w:before="60" w:after="60" w:line="240" w:lineRule="auto"/>
              <w:rPr>
                <w:rFonts w:cs="Arial"/>
                <w:sz w:val="20"/>
                <w:szCs w:val="20"/>
              </w:rPr>
            </w:pPr>
            <w:r w:rsidRPr="006C6712">
              <w:rPr>
                <w:rFonts w:cs="Arial"/>
                <w:b/>
                <w:sz w:val="20"/>
                <w:szCs w:val="20"/>
              </w:rPr>
              <w:lastRenderedPageBreak/>
              <w:t>Division 4 Listed marine species, Section 265 Minister may accredit plans or regimes</w:t>
            </w:r>
          </w:p>
        </w:tc>
      </w:tr>
      <w:tr w:rsidR="006C6712" w:rsidRPr="006C6712" w14:paraId="1631B543"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tcPr>
          <w:p w14:paraId="1631B53E" w14:textId="77777777" w:rsidR="006C6712" w:rsidRPr="006C6712" w:rsidRDefault="006C6712" w:rsidP="00146E3A">
            <w:pPr>
              <w:spacing w:before="60" w:after="60" w:line="240" w:lineRule="auto"/>
              <w:rPr>
                <w:rFonts w:cs="Arial"/>
                <w:sz w:val="20"/>
                <w:szCs w:val="20"/>
              </w:rPr>
            </w:pPr>
            <w:r w:rsidRPr="006C6712">
              <w:rPr>
                <w:rFonts w:cs="Arial"/>
                <w:sz w:val="20"/>
                <w:szCs w:val="20"/>
              </w:rPr>
              <w:t>(f)  Will the plan, regime or policy require fishers to take all reasonable steps to ensure that members of listed marine species are not killed or injured as a result of the fishing?</w:t>
            </w:r>
          </w:p>
        </w:tc>
        <w:tc>
          <w:tcPr>
            <w:tcW w:w="2500" w:type="pct"/>
            <w:shd w:val="clear" w:color="auto" w:fill="92D050"/>
          </w:tcPr>
          <w:p w14:paraId="1631B542" w14:textId="5EFC6B62" w:rsidR="006C6712" w:rsidRPr="00146E3A" w:rsidRDefault="006C6712" w:rsidP="00146E3A">
            <w:pPr>
              <w:spacing w:before="60" w:after="60" w:line="240" w:lineRule="auto"/>
              <w:rPr>
                <w:rFonts w:cs="Arial"/>
                <w:sz w:val="20"/>
                <w:szCs w:val="20"/>
              </w:rPr>
            </w:pPr>
            <w:r w:rsidRPr="00146E3A">
              <w:rPr>
                <w:rFonts w:cs="Arial"/>
                <w:sz w:val="20"/>
                <w:szCs w:val="20"/>
              </w:rPr>
              <w:t>Yes.</w:t>
            </w:r>
            <w:r w:rsidRPr="00146E3A">
              <w:rPr>
                <w:rFonts w:cs="Arial"/>
                <w:sz w:val="20"/>
                <w:szCs w:val="20"/>
              </w:rPr>
              <w:br/>
              <w:t>The management arrangements require fishers to take all reasonable steps to ensure that members of listed marine species are not killed or injured as a result of the fishing.</w:t>
            </w:r>
          </w:p>
        </w:tc>
      </w:tr>
      <w:tr w:rsidR="006C6712" w:rsidRPr="006C6712" w14:paraId="1631B549"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44" w14:textId="77777777" w:rsidR="006C6712" w:rsidRPr="006C6712" w:rsidRDefault="006C6712" w:rsidP="00146E3A">
            <w:pPr>
              <w:spacing w:before="60" w:after="60" w:line="240" w:lineRule="auto"/>
              <w:rPr>
                <w:rFonts w:cs="Arial"/>
                <w:sz w:val="20"/>
                <w:szCs w:val="20"/>
              </w:rPr>
            </w:pPr>
            <w:r w:rsidRPr="006C6712">
              <w:rPr>
                <w:rFonts w:cs="Arial"/>
                <w:sz w:val="20"/>
                <w:szCs w:val="20"/>
              </w:rPr>
              <w:t>(g)  And is the fishery likely to adversely affect the conservation status of a listed marine species or a population of that species?</w:t>
            </w:r>
          </w:p>
        </w:tc>
        <w:tc>
          <w:tcPr>
            <w:tcW w:w="2500" w:type="pct"/>
            <w:shd w:val="clear" w:color="auto" w:fill="92D050"/>
          </w:tcPr>
          <w:p w14:paraId="3DF86A96" w14:textId="43AFF0C1" w:rsidR="006C6712" w:rsidRPr="00146E3A" w:rsidRDefault="006C6712" w:rsidP="00146E3A">
            <w:pPr>
              <w:spacing w:before="60" w:after="60" w:line="240" w:lineRule="auto"/>
              <w:rPr>
                <w:rFonts w:cs="Arial"/>
                <w:sz w:val="20"/>
                <w:szCs w:val="20"/>
              </w:rPr>
            </w:pPr>
            <w:r w:rsidRPr="00146E3A">
              <w:rPr>
                <w:rFonts w:cs="Arial"/>
                <w:sz w:val="20"/>
                <w:szCs w:val="20"/>
              </w:rPr>
              <w:t>No.</w:t>
            </w:r>
            <w:r w:rsidRPr="00146E3A">
              <w:rPr>
                <w:rFonts w:cs="Arial"/>
                <w:sz w:val="20"/>
                <w:szCs w:val="20"/>
              </w:rPr>
              <w:br/>
              <w:t>The fishery is unlikely to adversely affect the conservation status of a listed marine species or a population of that species.</w:t>
            </w:r>
          </w:p>
          <w:p w14:paraId="1631B548" w14:textId="7E1DC11F" w:rsidR="006C6712" w:rsidRPr="00146E3A" w:rsidRDefault="006C6712" w:rsidP="00146E3A">
            <w:pPr>
              <w:spacing w:before="60" w:after="60" w:line="240" w:lineRule="auto"/>
              <w:rPr>
                <w:rFonts w:cs="Arial"/>
                <w:sz w:val="20"/>
                <w:szCs w:val="20"/>
              </w:rPr>
            </w:pPr>
            <w:r w:rsidRPr="00146E3A">
              <w:rPr>
                <w:rFonts w:cs="Arial"/>
                <w:sz w:val="20"/>
                <w:szCs w:val="20"/>
              </w:rPr>
              <w:t>No listed marine species interactions recorded since 2009 when two syngnathid species were caught during a pre-season survey.</w:t>
            </w:r>
          </w:p>
        </w:tc>
      </w:tr>
      <w:tr w:rsidR="000343C1" w:rsidRPr="006C6712" w14:paraId="1631B54B"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1631B54A" w14:textId="77777777" w:rsidR="000343C1" w:rsidRPr="006C6712" w:rsidRDefault="000343C1" w:rsidP="00146E3A">
            <w:pPr>
              <w:spacing w:before="60" w:after="60" w:line="240" w:lineRule="auto"/>
              <w:rPr>
                <w:rFonts w:cs="Arial"/>
                <w:sz w:val="20"/>
                <w:szCs w:val="20"/>
              </w:rPr>
            </w:pPr>
            <w:r w:rsidRPr="006C6712">
              <w:rPr>
                <w:rFonts w:cs="Arial"/>
                <w:b/>
                <w:sz w:val="20"/>
                <w:szCs w:val="20"/>
              </w:rPr>
              <w:t>Section 303AA Conditions relating to accreditation of plans, regimes and policies</w:t>
            </w:r>
          </w:p>
        </w:tc>
      </w:tr>
      <w:tr w:rsidR="006C6712" w:rsidRPr="006C6712" w14:paraId="1631B551"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4C" w14:textId="77777777" w:rsidR="006C6712" w:rsidRPr="006C6712" w:rsidRDefault="006C6712" w:rsidP="00146E3A">
            <w:pPr>
              <w:spacing w:before="60" w:after="60" w:line="240" w:lineRule="auto"/>
              <w:rPr>
                <w:rFonts w:cs="Arial"/>
                <w:sz w:val="20"/>
                <w:szCs w:val="20"/>
              </w:rPr>
            </w:pPr>
            <w:r w:rsidRPr="006C6712">
              <w:rPr>
                <w:rFonts w:cs="Arial"/>
                <w:sz w:val="20"/>
                <w:szCs w:val="20"/>
              </w:rPr>
              <w:t>(1)  This section applies to an accreditation of a plan, regime or policy under section 208A, 222A, 245 or 265.</w:t>
            </w:r>
          </w:p>
        </w:tc>
        <w:tc>
          <w:tcPr>
            <w:tcW w:w="2500" w:type="pct"/>
            <w:shd w:val="clear" w:color="auto" w:fill="92D050"/>
          </w:tcPr>
          <w:p w14:paraId="1631B550" w14:textId="71C05709" w:rsidR="006C6712" w:rsidRPr="006C6712" w:rsidRDefault="006C6712" w:rsidP="00146E3A">
            <w:pPr>
              <w:spacing w:before="60" w:after="60" w:line="240" w:lineRule="auto"/>
              <w:rPr>
                <w:rFonts w:cs="Arial"/>
                <w:sz w:val="20"/>
                <w:szCs w:val="20"/>
              </w:rPr>
            </w:pPr>
            <w:r w:rsidRPr="006C6712">
              <w:rPr>
                <w:rFonts w:cs="Arial"/>
                <w:sz w:val="20"/>
                <w:szCs w:val="20"/>
              </w:rPr>
              <w:t>Accreditation is recommended.</w:t>
            </w:r>
            <w:r w:rsidRPr="006C6712">
              <w:rPr>
                <w:rFonts w:cs="Arial"/>
                <w:sz w:val="20"/>
                <w:szCs w:val="20"/>
              </w:rPr>
              <w:br/>
              <w:t>No interactions recorded since 2009 and negligible at that time.</w:t>
            </w:r>
          </w:p>
        </w:tc>
      </w:tr>
      <w:tr w:rsidR="006C6712" w:rsidRPr="006C6712" w14:paraId="1631B55D"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tcPr>
          <w:p w14:paraId="1631B552" w14:textId="77777777" w:rsidR="006C6712" w:rsidRPr="006C6712" w:rsidRDefault="006C6712" w:rsidP="00146E3A">
            <w:pPr>
              <w:spacing w:before="60" w:after="60" w:line="240" w:lineRule="auto"/>
              <w:rPr>
                <w:rFonts w:cs="Arial"/>
                <w:sz w:val="20"/>
                <w:szCs w:val="20"/>
              </w:rPr>
            </w:pPr>
            <w:r w:rsidRPr="006C6712">
              <w:rPr>
                <w:rFonts w:cs="Arial"/>
                <w:sz w:val="20"/>
                <w:szCs w:val="20"/>
              </w:rPr>
              <w:t>(2)  The Minister may accredit a plan, regime or policy under that section even though he or she considers that the plan, regime or policy should be accredited only:</w:t>
            </w:r>
          </w:p>
          <w:p w14:paraId="1631B553" w14:textId="77777777" w:rsidR="006C6712" w:rsidRPr="006C6712" w:rsidRDefault="006C6712" w:rsidP="00146E3A">
            <w:pPr>
              <w:numPr>
                <w:ilvl w:val="0"/>
                <w:numId w:val="25"/>
              </w:numPr>
              <w:tabs>
                <w:tab w:val="clear" w:pos="360"/>
              </w:tabs>
              <w:spacing w:before="60" w:after="60" w:line="240" w:lineRule="auto"/>
              <w:ind w:left="0" w:firstLine="0"/>
              <w:rPr>
                <w:rFonts w:cs="Arial"/>
                <w:sz w:val="20"/>
                <w:szCs w:val="20"/>
              </w:rPr>
            </w:pPr>
            <w:r w:rsidRPr="006C6712">
              <w:rPr>
                <w:rFonts w:cs="Arial"/>
                <w:sz w:val="20"/>
                <w:szCs w:val="20"/>
              </w:rPr>
              <w:t>during a particular period; or</w:t>
            </w:r>
          </w:p>
          <w:p w14:paraId="1631B554" w14:textId="77777777" w:rsidR="006C6712" w:rsidRPr="006C6712" w:rsidRDefault="006C6712" w:rsidP="00146E3A">
            <w:pPr>
              <w:numPr>
                <w:ilvl w:val="0"/>
                <w:numId w:val="25"/>
              </w:numPr>
              <w:tabs>
                <w:tab w:val="clear" w:pos="360"/>
              </w:tabs>
              <w:spacing w:before="60" w:after="60" w:line="240" w:lineRule="auto"/>
              <w:ind w:left="0" w:firstLine="0"/>
              <w:rPr>
                <w:rFonts w:cs="Arial"/>
                <w:sz w:val="20"/>
                <w:szCs w:val="20"/>
              </w:rPr>
            </w:pPr>
            <w:r w:rsidRPr="006C6712">
              <w:rPr>
                <w:rFonts w:cs="Arial"/>
                <w:sz w:val="20"/>
                <w:szCs w:val="20"/>
              </w:rPr>
              <w:t>while certain circumstances exist; or</w:t>
            </w:r>
          </w:p>
          <w:p w14:paraId="1631B555" w14:textId="77777777" w:rsidR="006C6712" w:rsidRPr="006C6712" w:rsidRDefault="006C6712" w:rsidP="00146E3A">
            <w:pPr>
              <w:numPr>
                <w:ilvl w:val="0"/>
                <w:numId w:val="25"/>
              </w:numPr>
              <w:tabs>
                <w:tab w:val="clear" w:pos="360"/>
              </w:tabs>
              <w:spacing w:before="60" w:after="60" w:line="240" w:lineRule="auto"/>
              <w:ind w:left="0" w:firstLine="0"/>
              <w:rPr>
                <w:rFonts w:cs="Arial"/>
                <w:sz w:val="20"/>
                <w:szCs w:val="20"/>
              </w:rPr>
            </w:pPr>
            <w:proofErr w:type="gramStart"/>
            <w:r w:rsidRPr="006C6712">
              <w:rPr>
                <w:rFonts w:cs="Arial"/>
                <w:sz w:val="20"/>
                <w:szCs w:val="20"/>
              </w:rPr>
              <w:t>while</w:t>
            </w:r>
            <w:proofErr w:type="gramEnd"/>
            <w:r w:rsidRPr="006C6712">
              <w:rPr>
                <w:rFonts w:cs="Arial"/>
                <w:sz w:val="20"/>
                <w:szCs w:val="20"/>
              </w:rPr>
              <w:t xml:space="preserve"> a certain condition is complied with.</w:t>
            </w:r>
          </w:p>
          <w:p w14:paraId="1631B556" w14:textId="77777777" w:rsidR="006C6712" w:rsidRPr="006C6712" w:rsidRDefault="006C6712" w:rsidP="00146E3A">
            <w:pPr>
              <w:spacing w:before="60" w:after="60" w:line="240" w:lineRule="auto"/>
              <w:rPr>
                <w:rFonts w:cs="Arial"/>
                <w:sz w:val="20"/>
                <w:szCs w:val="20"/>
              </w:rPr>
            </w:pPr>
            <w:r w:rsidRPr="006C6712">
              <w:rPr>
                <w:rFonts w:cs="Arial"/>
                <w:sz w:val="20"/>
                <w:szCs w:val="20"/>
              </w:rPr>
              <w:t>In such a case, the instrument of accreditation is to specify the period, circumstances or condition.</w:t>
            </w:r>
          </w:p>
        </w:tc>
        <w:tc>
          <w:tcPr>
            <w:tcW w:w="2500" w:type="pct"/>
            <w:shd w:val="clear" w:color="auto" w:fill="92D050"/>
          </w:tcPr>
          <w:p w14:paraId="1631B55C" w14:textId="63A4D4E6" w:rsidR="006C6712" w:rsidRPr="006C6712" w:rsidRDefault="006C6712" w:rsidP="00146E3A">
            <w:pPr>
              <w:spacing w:before="60" w:after="60" w:line="240" w:lineRule="auto"/>
              <w:rPr>
                <w:rFonts w:cs="Arial"/>
                <w:sz w:val="20"/>
                <w:szCs w:val="20"/>
              </w:rPr>
            </w:pPr>
            <w:r w:rsidRPr="006C6712">
              <w:rPr>
                <w:rFonts w:cs="Arial"/>
                <w:sz w:val="20"/>
                <w:szCs w:val="20"/>
              </w:rPr>
              <w:t>No conditions required.</w:t>
            </w:r>
          </w:p>
        </w:tc>
      </w:tr>
      <w:tr w:rsidR="006C6712" w:rsidRPr="006C6712" w14:paraId="1631B564"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5E" w14:textId="77777777" w:rsidR="006C6712" w:rsidRPr="006C6712" w:rsidRDefault="006C6712" w:rsidP="00146E3A">
            <w:pPr>
              <w:spacing w:before="60" w:after="60" w:line="240" w:lineRule="auto"/>
              <w:rPr>
                <w:rFonts w:cs="Arial"/>
                <w:sz w:val="20"/>
                <w:szCs w:val="20"/>
              </w:rPr>
            </w:pPr>
            <w:r w:rsidRPr="006C6712">
              <w:rPr>
                <w:rFonts w:cs="Arial"/>
                <w:sz w:val="20"/>
                <w:szCs w:val="20"/>
              </w:rPr>
              <w:t>(7)  The Minister must, in writing, revoke an accreditation if he or she is satisfied that a condition of the accreditation has been contravened.</w:t>
            </w:r>
          </w:p>
        </w:tc>
        <w:tc>
          <w:tcPr>
            <w:tcW w:w="2500" w:type="pct"/>
            <w:shd w:val="clear" w:color="auto" w:fill="auto"/>
          </w:tcPr>
          <w:p w14:paraId="1631B563" w14:textId="7F9E3687" w:rsidR="006C6712" w:rsidRPr="006C6712" w:rsidRDefault="006C6712" w:rsidP="00146E3A">
            <w:pPr>
              <w:spacing w:before="60" w:after="60" w:line="240" w:lineRule="auto"/>
              <w:rPr>
                <w:rFonts w:cs="Arial"/>
                <w:sz w:val="20"/>
                <w:szCs w:val="20"/>
              </w:rPr>
            </w:pPr>
            <w:r w:rsidRPr="006C6712">
              <w:rPr>
                <w:rFonts w:cs="Arial"/>
                <w:sz w:val="20"/>
                <w:szCs w:val="20"/>
              </w:rPr>
              <w:t>Not applicable.</w:t>
            </w:r>
          </w:p>
        </w:tc>
      </w:tr>
    </w:tbl>
    <w:p w14:paraId="1631B565" w14:textId="77777777" w:rsidR="003F684C" w:rsidRDefault="003F684C" w:rsidP="00146E3A">
      <w:pPr>
        <w:spacing w:before="60" w:after="60" w:line="240" w:lineRule="auto"/>
        <w:rPr>
          <w:rFonts w:cs="Arial"/>
          <w:b/>
          <w:sz w:val="20"/>
          <w:szCs w:val="20"/>
        </w:rPr>
      </w:pPr>
    </w:p>
    <w:p w14:paraId="1631B567" w14:textId="77777777" w:rsidR="00F4533A" w:rsidRPr="006C6712" w:rsidRDefault="00F4533A" w:rsidP="00146E3A">
      <w:pPr>
        <w:spacing w:before="60" w:after="60" w:line="240" w:lineRule="auto"/>
        <w:rPr>
          <w:rFonts w:cs="Arial"/>
          <w:b/>
        </w:rPr>
      </w:pPr>
      <w:r w:rsidRPr="006C6712">
        <w:rPr>
          <w:rFonts w:cs="Arial"/>
          <w:b/>
        </w:rPr>
        <w:t>Part 13A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1D1EAF" w:rsidRPr="006C6712" w14:paraId="1631B569" w14:textId="77777777" w:rsidTr="00A762F9">
        <w:tc>
          <w:tcPr>
            <w:tcW w:w="2500" w:type="pct"/>
          </w:tcPr>
          <w:p w14:paraId="1631B568" w14:textId="77777777" w:rsidR="001D1EAF" w:rsidRPr="006C6712" w:rsidRDefault="001D1EAF" w:rsidP="00146E3A">
            <w:pPr>
              <w:spacing w:before="60" w:after="60" w:line="240" w:lineRule="auto"/>
              <w:rPr>
                <w:rFonts w:cs="Arial"/>
                <w:noProof/>
                <w:sz w:val="20"/>
                <w:szCs w:val="20"/>
              </w:rPr>
            </w:pPr>
            <w:r w:rsidRPr="006C6712">
              <w:rPr>
                <w:rFonts w:cs="Arial"/>
                <w:b/>
                <w:bCs/>
                <w:noProof/>
                <w:sz w:val="20"/>
                <w:szCs w:val="20"/>
              </w:rPr>
              <w:t>Section 303BA Objects of Part 13A</w:t>
            </w:r>
          </w:p>
        </w:tc>
      </w:tr>
      <w:tr w:rsidR="001D1EAF" w:rsidRPr="006C6712" w14:paraId="1631B572" w14:textId="77777777" w:rsidTr="00A762F9">
        <w:tc>
          <w:tcPr>
            <w:tcW w:w="2500" w:type="pct"/>
          </w:tcPr>
          <w:p w14:paraId="1631B56A" w14:textId="77777777" w:rsidR="001D1EAF" w:rsidRPr="006C6712" w:rsidRDefault="001D1EAF" w:rsidP="00146E3A">
            <w:pPr>
              <w:numPr>
                <w:ilvl w:val="0"/>
                <w:numId w:val="29"/>
              </w:numPr>
              <w:tabs>
                <w:tab w:val="clear" w:pos="720"/>
                <w:tab w:val="num" w:pos="360"/>
              </w:tabs>
              <w:spacing w:before="60" w:after="60" w:line="240" w:lineRule="auto"/>
              <w:ind w:left="0" w:firstLine="0"/>
              <w:rPr>
                <w:rFonts w:cs="Arial"/>
                <w:noProof/>
                <w:sz w:val="20"/>
                <w:szCs w:val="20"/>
              </w:rPr>
            </w:pPr>
            <w:r w:rsidRPr="006C6712">
              <w:rPr>
                <w:rFonts w:cs="Arial"/>
                <w:noProof/>
                <w:sz w:val="20"/>
                <w:szCs w:val="20"/>
              </w:rPr>
              <w:t>The objects of this Part are as follows:</w:t>
            </w:r>
          </w:p>
          <w:p w14:paraId="1631B56B" w14:textId="77777777" w:rsidR="001D1EAF" w:rsidRPr="006C6712" w:rsidRDefault="001D1EAF" w:rsidP="00146E3A">
            <w:pPr>
              <w:numPr>
                <w:ilvl w:val="0"/>
                <w:numId w:val="30"/>
              </w:numPr>
              <w:tabs>
                <w:tab w:val="left" w:pos="360"/>
              </w:tabs>
              <w:spacing w:before="60" w:after="60" w:line="240" w:lineRule="auto"/>
              <w:ind w:left="0" w:firstLine="0"/>
              <w:rPr>
                <w:rFonts w:cs="Arial"/>
                <w:noProof/>
                <w:sz w:val="20"/>
                <w:szCs w:val="20"/>
              </w:rPr>
            </w:pPr>
            <w:r w:rsidRPr="006C6712">
              <w:rPr>
                <w:rFonts w:cs="Arial"/>
                <w:noProof/>
                <w:sz w:val="20"/>
                <w:szCs w:val="20"/>
              </w:rPr>
              <w:t>to ensure that Australia complies with its obligations under CITES and the Biodiversity Convention;</w:t>
            </w:r>
          </w:p>
          <w:p w14:paraId="1631B56C" w14:textId="77777777" w:rsidR="001D1EAF" w:rsidRPr="006C6712" w:rsidRDefault="001D1EAF" w:rsidP="00146E3A">
            <w:pPr>
              <w:numPr>
                <w:ilvl w:val="0"/>
                <w:numId w:val="30"/>
              </w:numPr>
              <w:tabs>
                <w:tab w:val="left" w:pos="360"/>
              </w:tabs>
              <w:spacing w:before="60" w:after="60" w:line="240" w:lineRule="auto"/>
              <w:ind w:left="0" w:firstLine="0"/>
              <w:rPr>
                <w:rFonts w:cs="Arial"/>
                <w:noProof/>
                <w:sz w:val="20"/>
                <w:szCs w:val="20"/>
              </w:rPr>
            </w:pPr>
            <w:r w:rsidRPr="006C6712">
              <w:rPr>
                <w:rFonts w:cs="Arial"/>
                <w:noProof/>
                <w:sz w:val="20"/>
                <w:szCs w:val="20"/>
              </w:rPr>
              <w:t>to protect wildlife that may be adversely affected by trade;</w:t>
            </w:r>
          </w:p>
          <w:p w14:paraId="1631B56D" w14:textId="77777777" w:rsidR="001D1EAF" w:rsidRPr="006C6712" w:rsidRDefault="001D1EAF" w:rsidP="00146E3A">
            <w:pPr>
              <w:numPr>
                <w:ilvl w:val="0"/>
                <w:numId w:val="30"/>
              </w:numPr>
              <w:tabs>
                <w:tab w:val="left" w:pos="360"/>
              </w:tabs>
              <w:spacing w:before="60" w:after="60" w:line="240" w:lineRule="auto"/>
              <w:ind w:left="0" w:firstLine="0"/>
              <w:rPr>
                <w:rFonts w:cs="Arial"/>
                <w:noProof/>
                <w:sz w:val="20"/>
                <w:szCs w:val="20"/>
              </w:rPr>
            </w:pPr>
            <w:r w:rsidRPr="006C6712">
              <w:rPr>
                <w:rFonts w:cs="Arial"/>
                <w:noProof/>
                <w:sz w:val="20"/>
                <w:szCs w:val="20"/>
              </w:rPr>
              <w:t>to promote the conservation of biodiversity in Australia and other countries;</w:t>
            </w:r>
          </w:p>
          <w:p w14:paraId="1631B56E" w14:textId="77777777" w:rsidR="001D1EAF" w:rsidRPr="006C6712" w:rsidRDefault="001D1EAF" w:rsidP="00146E3A">
            <w:pPr>
              <w:numPr>
                <w:ilvl w:val="0"/>
                <w:numId w:val="30"/>
              </w:numPr>
              <w:tabs>
                <w:tab w:val="left" w:pos="360"/>
              </w:tabs>
              <w:spacing w:before="60" w:after="60" w:line="240" w:lineRule="auto"/>
              <w:ind w:left="0" w:firstLine="0"/>
              <w:rPr>
                <w:rFonts w:cs="Arial"/>
                <w:noProof/>
                <w:sz w:val="20"/>
                <w:szCs w:val="20"/>
              </w:rPr>
            </w:pPr>
            <w:r w:rsidRPr="006C6712">
              <w:rPr>
                <w:rFonts w:cs="Arial"/>
                <w:noProof/>
                <w:sz w:val="20"/>
                <w:szCs w:val="20"/>
              </w:rPr>
              <w:t>to ensure that any commercial utilisation of Australian native wildlife for the purposes of export is managed in an ecologically sustainable way;</w:t>
            </w:r>
          </w:p>
          <w:p w14:paraId="1631B56F" w14:textId="77777777" w:rsidR="001D1EAF" w:rsidRPr="006C6712" w:rsidRDefault="001D1EAF" w:rsidP="00146E3A">
            <w:pPr>
              <w:numPr>
                <w:ilvl w:val="0"/>
                <w:numId w:val="30"/>
              </w:numPr>
              <w:tabs>
                <w:tab w:val="left" w:pos="360"/>
              </w:tabs>
              <w:spacing w:before="60" w:after="60" w:line="240" w:lineRule="auto"/>
              <w:ind w:left="0" w:firstLine="0"/>
              <w:rPr>
                <w:rFonts w:cs="Arial"/>
                <w:noProof/>
                <w:sz w:val="20"/>
                <w:szCs w:val="20"/>
              </w:rPr>
            </w:pPr>
            <w:r w:rsidRPr="006C6712">
              <w:rPr>
                <w:rFonts w:cs="Arial"/>
                <w:noProof/>
                <w:sz w:val="20"/>
                <w:szCs w:val="20"/>
              </w:rPr>
              <w:t>to promote the humane treatment of wildlife;</w:t>
            </w:r>
          </w:p>
          <w:p w14:paraId="1631B570" w14:textId="77777777" w:rsidR="001D1EAF" w:rsidRPr="006C6712" w:rsidRDefault="001D1EAF" w:rsidP="00146E3A">
            <w:pPr>
              <w:numPr>
                <w:ilvl w:val="0"/>
                <w:numId w:val="30"/>
              </w:numPr>
              <w:tabs>
                <w:tab w:val="left" w:pos="360"/>
              </w:tabs>
              <w:spacing w:before="60" w:after="60" w:line="240" w:lineRule="auto"/>
              <w:ind w:left="0" w:firstLine="0"/>
              <w:rPr>
                <w:rFonts w:cs="Arial"/>
                <w:noProof/>
                <w:sz w:val="20"/>
                <w:szCs w:val="20"/>
              </w:rPr>
            </w:pPr>
            <w:r w:rsidRPr="006C6712">
              <w:rPr>
                <w:rFonts w:cs="Arial"/>
                <w:noProof/>
                <w:sz w:val="20"/>
                <w:szCs w:val="20"/>
              </w:rPr>
              <w:lastRenderedPageBreak/>
              <w:t>to ensure ethical conduct during any research associated with the utilisation of wildlife; and</w:t>
            </w:r>
          </w:p>
          <w:p w14:paraId="1631B571" w14:textId="77777777" w:rsidR="001D1EAF" w:rsidRPr="006C6712" w:rsidRDefault="001D1EAF" w:rsidP="00146E3A">
            <w:pPr>
              <w:numPr>
                <w:ilvl w:val="0"/>
                <w:numId w:val="31"/>
              </w:numPr>
              <w:tabs>
                <w:tab w:val="left" w:pos="360"/>
              </w:tabs>
              <w:spacing w:before="60" w:after="60" w:line="240" w:lineRule="auto"/>
              <w:ind w:left="0" w:firstLine="0"/>
              <w:rPr>
                <w:rFonts w:cs="Arial"/>
                <w:noProof/>
                <w:sz w:val="20"/>
                <w:szCs w:val="20"/>
              </w:rPr>
            </w:pPr>
            <w:r w:rsidRPr="006C6712">
              <w:rPr>
                <w:rFonts w:cs="Arial"/>
                <w:noProof/>
                <w:sz w:val="20"/>
                <w:szCs w:val="20"/>
              </w:rPr>
              <w:t>to ensure the precautionary principle is taken into account in making decisions relating to the utilisation of wildlife.</w:t>
            </w:r>
          </w:p>
        </w:tc>
      </w:tr>
    </w:tbl>
    <w:tbl>
      <w:tblPr>
        <w:tblStyle w:val="TableGrid"/>
        <w:tblW w:w="0" w:type="auto"/>
        <w:tblLook w:val="04A0" w:firstRow="1" w:lastRow="0" w:firstColumn="1" w:lastColumn="0" w:noHBand="0" w:noVBand="1"/>
      </w:tblPr>
      <w:tblGrid>
        <w:gridCol w:w="4281"/>
        <w:gridCol w:w="9825"/>
      </w:tblGrid>
      <w:tr w:rsidR="00A762F9" w:rsidRPr="006C6712" w14:paraId="1631B578" w14:textId="77777777" w:rsidTr="00A762F9">
        <w:trPr>
          <w:cnfStyle w:val="100000000000" w:firstRow="1" w:lastRow="0" w:firstColumn="0" w:lastColumn="0" w:oddVBand="0" w:evenVBand="0" w:oddHBand="0" w:evenHBand="0" w:firstRowFirstColumn="0" w:firstRowLastColumn="0" w:lastRowFirstColumn="0" w:lastRowLastColumn="0"/>
          <w:cantSplit/>
        </w:trPr>
        <w:tc>
          <w:tcPr>
            <w:tcW w:w="4281" w:type="dxa"/>
          </w:tcPr>
          <w:p w14:paraId="1631B573" w14:textId="77777777" w:rsidR="00A762F9" w:rsidRPr="006C6712" w:rsidRDefault="00A762F9" w:rsidP="00146E3A">
            <w:pPr>
              <w:spacing w:before="60" w:after="60" w:line="240" w:lineRule="auto"/>
              <w:rPr>
                <w:rFonts w:cs="Arial"/>
                <w:b/>
                <w:sz w:val="20"/>
                <w:szCs w:val="20"/>
              </w:rPr>
            </w:pPr>
          </w:p>
        </w:tc>
        <w:tc>
          <w:tcPr>
            <w:tcW w:w="9825" w:type="dxa"/>
            <w:shd w:val="clear" w:color="auto" w:fill="auto"/>
          </w:tcPr>
          <w:p w14:paraId="1631B577" w14:textId="4C940368" w:rsidR="00A762F9" w:rsidRPr="006C6712" w:rsidRDefault="00A762F9" w:rsidP="00146E3A">
            <w:pPr>
              <w:spacing w:before="60" w:after="60" w:line="240" w:lineRule="auto"/>
              <w:rPr>
                <w:rFonts w:cs="Arial"/>
                <w:b/>
                <w:sz w:val="20"/>
                <w:szCs w:val="20"/>
              </w:rPr>
            </w:pPr>
            <w:r w:rsidRPr="006C6712">
              <w:rPr>
                <w:rFonts w:cs="Arial"/>
                <w:b/>
                <w:sz w:val="20"/>
                <w:szCs w:val="20"/>
              </w:rPr>
              <w:t>Comment</w:t>
            </w:r>
          </w:p>
        </w:tc>
      </w:tr>
      <w:tr w:rsidR="005C2F46" w:rsidRPr="006C6712" w14:paraId="1631B57A" w14:textId="77777777" w:rsidTr="00A762F9">
        <w:trPr>
          <w:cnfStyle w:val="000000100000" w:firstRow="0" w:lastRow="0" w:firstColumn="0" w:lastColumn="0" w:oddVBand="0" w:evenVBand="0" w:oddHBand="1" w:evenHBand="0" w:firstRowFirstColumn="0" w:firstRowLastColumn="0" w:lastRowFirstColumn="0" w:lastRowLastColumn="0"/>
          <w:cantSplit/>
        </w:trPr>
        <w:tc>
          <w:tcPr>
            <w:tcW w:w="14106" w:type="dxa"/>
            <w:gridSpan w:val="2"/>
          </w:tcPr>
          <w:p w14:paraId="1631B579" w14:textId="77777777" w:rsidR="005C2F46" w:rsidRPr="006C6712" w:rsidRDefault="005C2F46" w:rsidP="00146E3A">
            <w:pPr>
              <w:spacing w:before="60" w:after="60" w:line="240" w:lineRule="auto"/>
              <w:rPr>
                <w:rFonts w:cs="Arial"/>
                <w:sz w:val="20"/>
                <w:szCs w:val="20"/>
              </w:rPr>
            </w:pPr>
            <w:r w:rsidRPr="006C6712">
              <w:rPr>
                <w:rFonts w:cs="Arial"/>
                <w:b/>
                <w:sz w:val="20"/>
                <w:szCs w:val="20"/>
              </w:rPr>
              <w:t>Section 303DC Minister may amend list (non CITES species)</w:t>
            </w:r>
          </w:p>
        </w:tc>
      </w:tr>
      <w:tr w:rsidR="006C6712" w:rsidRPr="006C6712" w14:paraId="1631B585" w14:textId="77777777" w:rsidTr="00A762F9">
        <w:trPr>
          <w:cnfStyle w:val="000000010000" w:firstRow="0" w:lastRow="0" w:firstColumn="0" w:lastColumn="0" w:oddVBand="0" w:evenVBand="0" w:oddHBand="0" w:evenHBand="1" w:firstRowFirstColumn="0" w:firstRowLastColumn="0" w:lastRowFirstColumn="0" w:lastRowLastColumn="0"/>
          <w:cantSplit/>
        </w:trPr>
        <w:tc>
          <w:tcPr>
            <w:tcW w:w="14106" w:type="dxa"/>
            <w:gridSpan w:val="2"/>
          </w:tcPr>
          <w:p w14:paraId="20EEBDC3" w14:textId="77777777" w:rsidR="006C6712" w:rsidRPr="006C6712" w:rsidRDefault="006C6712" w:rsidP="00146E3A">
            <w:pPr>
              <w:pStyle w:val="subsection"/>
              <w:spacing w:before="60" w:beforeAutospacing="0" w:after="60" w:afterAutospacing="0"/>
              <w:rPr>
                <w:rFonts w:ascii="Arial" w:hAnsi="Arial" w:cs="Arial"/>
                <w:color w:val="000000"/>
                <w:sz w:val="20"/>
                <w:szCs w:val="20"/>
              </w:rPr>
            </w:pPr>
            <w:r w:rsidRPr="006C6712">
              <w:rPr>
                <w:rFonts w:ascii="Arial" w:hAnsi="Arial" w:cs="Arial"/>
                <w:color w:val="000000"/>
                <w:sz w:val="20"/>
                <w:szCs w:val="20"/>
              </w:rPr>
              <w:t>(1) The Minister may amend the LENS by:</w:t>
            </w:r>
          </w:p>
          <w:p w14:paraId="01F29B64" w14:textId="77777777" w:rsidR="006C6712" w:rsidRPr="006C6712" w:rsidRDefault="006C6712" w:rsidP="00146E3A">
            <w:pPr>
              <w:pStyle w:val="paragraph"/>
              <w:spacing w:before="60" w:beforeAutospacing="0" w:after="60" w:afterAutospacing="0"/>
              <w:rPr>
                <w:rFonts w:ascii="Arial" w:hAnsi="Arial" w:cs="Arial"/>
                <w:color w:val="000000"/>
                <w:sz w:val="20"/>
                <w:szCs w:val="20"/>
              </w:rPr>
            </w:pPr>
            <w:r w:rsidRPr="006C6712">
              <w:rPr>
                <w:rFonts w:ascii="Arial" w:hAnsi="Arial" w:cs="Arial"/>
                <w:color w:val="000000"/>
                <w:sz w:val="20"/>
                <w:szCs w:val="20"/>
              </w:rPr>
              <w:t>     (a)  doing any of the following:</w:t>
            </w:r>
          </w:p>
          <w:p w14:paraId="533FEB9F" w14:textId="77777777" w:rsidR="006C6712" w:rsidRPr="006C6712" w:rsidRDefault="006C6712" w:rsidP="00146E3A">
            <w:pPr>
              <w:pStyle w:val="paragraph"/>
              <w:spacing w:before="60" w:beforeAutospacing="0" w:after="60" w:afterAutospacing="0"/>
              <w:rPr>
                <w:rFonts w:ascii="Arial" w:hAnsi="Arial" w:cs="Arial"/>
                <w:color w:val="000000"/>
                <w:sz w:val="20"/>
                <w:szCs w:val="20"/>
              </w:rPr>
            </w:pPr>
            <w:r w:rsidRPr="006C6712">
              <w:rPr>
                <w:rFonts w:ascii="Arial" w:hAnsi="Arial" w:cs="Arial"/>
                <w:color w:val="000000"/>
                <w:sz w:val="20"/>
                <w:szCs w:val="20"/>
              </w:rPr>
              <w:t>(</w:t>
            </w:r>
            <w:proofErr w:type="spellStart"/>
            <w:r w:rsidRPr="006C6712">
              <w:rPr>
                <w:rFonts w:ascii="Arial" w:hAnsi="Arial" w:cs="Arial"/>
                <w:color w:val="000000"/>
                <w:sz w:val="20"/>
                <w:szCs w:val="20"/>
              </w:rPr>
              <w:t>i</w:t>
            </w:r>
            <w:proofErr w:type="spellEnd"/>
            <w:r w:rsidRPr="006C6712">
              <w:rPr>
                <w:rFonts w:ascii="Arial" w:hAnsi="Arial" w:cs="Arial"/>
                <w:color w:val="000000"/>
                <w:sz w:val="20"/>
                <w:szCs w:val="20"/>
              </w:rPr>
              <w:t xml:space="preserve">)  including items in the list; </w:t>
            </w:r>
          </w:p>
          <w:p w14:paraId="563F179E" w14:textId="77777777" w:rsidR="006C6712" w:rsidRPr="006C6712" w:rsidRDefault="006C6712" w:rsidP="00146E3A">
            <w:pPr>
              <w:pStyle w:val="paragraph"/>
              <w:spacing w:before="60" w:beforeAutospacing="0" w:after="60" w:afterAutospacing="0"/>
              <w:rPr>
                <w:rFonts w:ascii="Arial" w:hAnsi="Arial" w:cs="Arial"/>
                <w:color w:val="000000"/>
                <w:sz w:val="20"/>
                <w:szCs w:val="20"/>
              </w:rPr>
            </w:pPr>
            <w:r w:rsidRPr="006C6712">
              <w:rPr>
                <w:rFonts w:ascii="Arial" w:hAnsi="Arial" w:cs="Arial"/>
                <w:color w:val="000000"/>
                <w:sz w:val="20"/>
                <w:szCs w:val="20"/>
              </w:rPr>
              <w:t>(ii) deleting items from</w:t>
            </w:r>
            <w:r w:rsidRPr="006C6712">
              <w:rPr>
                <w:rStyle w:val="apple-converted-space"/>
                <w:rFonts w:ascii="Arial" w:hAnsi="Arial" w:cs="Arial"/>
                <w:i/>
                <w:iCs/>
                <w:color w:val="000000"/>
                <w:sz w:val="20"/>
                <w:szCs w:val="20"/>
              </w:rPr>
              <w:t> </w:t>
            </w:r>
            <w:r w:rsidRPr="006C6712">
              <w:rPr>
                <w:rFonts w:ascii="Arial" w:hAnsi="Arial" w:cs="Arial"/>
                <w:color w:val="000000"/>
                <w:sz w:val="20"/>
                <w:szCs w:val="20"/>
              </w:rPr>
              <w:t>the</w:t>
            </w:r>
            <w:r w:rsidRPr="006C6712">
              <w:rPr>
                <w:rStyle w:val="apple-converted-space"/>
                <w:rFonts w:ascii="Arial" w:hAnsi="Arial" w:cs="Arial"/>
                <w:i/>
                <w:iCs/>
                <w:color w:val="000000"/>
                <w:sz w:val="20"/>
                <w:szCs w:val="20"/>
              </w:rPr>
              <w:t> </w:t>
            </w:r>
            <w:r w:rsidRPr="006C6712">
              <w:rPr>
                <w:rFonts w:ascii="Arial" w:hAnsi="Arial" w:cs="Arial"/>
                <w:color w:val="000000"/>
                <w:sz w:val="20"/>
                <w:szCs w:val="20"/>
              </w:rPr>
              <w:t>list;</w:t>
            </w:r>
          </w:p>
          <w:p w14:paraId="0F1BC873" w14:textId="77777777" w:rsidR="006C6712" w:rsidRDefault="006C6712" w:rsidP="00146E3A">
            <w:pPr>
              <w:pStyle w:val="paragraph"/>
              <w:spacing w:before="60" w:beforeAutospacing="0" w:after="60" w:afterAutospacing="0"/>
              <w:rPr>
                <w:rFonts w:ascii="Arial" w:hAnsi="Arial" w:cs="Arial"/>
                <w:color w:val="000000"/>
                <w:sz w:val="20"/>
                <w:szCs w:val="20"/>
              </w:rPr>
            </w:pPr>
            <w:r w:rsidRPr="006C6712">
              <w:rPr>
                <w:rFonts w:ascii="Arial" w:hAnsi="Arial" w:cs="Arial"/>
                <w:color w:val="000000"/>
                <w:sz w:val="20"/>
                <w:szCs w:val="20"/>
              </w:rPr>
              <w:t>(iii) imposing a condition or restriction to which the inclusion of a specimen in the list is subject;</w:t>
            </w:r>
          </w:p>
          <w:p w14:paraId="1631B584" w14:textId="37E58BF1" w:rsidR="006C6712" w:rsidRPr="006C6712" w:rsidRDefault="006C6712" w:rsidP="00146E3A">
            <w:pPr>
              <w:pStyle w:val="paragraph"/>
              <w:spacing w:before="60" w:beforeAutospacing="0" w:after="60" w:afterAutospacing="0"/>
              <w:rPr>
                <w:rFonts w:ascii="Arial" w:hAnsi="Arial" w:cs="Arial"/>
                <w:sz w:val="20"/>
                <w:szCs w:val="20"/>
              </w:rPr>
            </w:pPr>
            <w:r w:rsidRPr="006C6712">
              <w:rPr>
                <w:rFonts w:ascii="Arial" w:hAnsi="Arial" w:cs="Arial"/>
                <w:color w:val="000000"/>
                <w:sz w:val="20"/>
                <w:szCs w:val="20"/>
              </w:rPr>
              <w:t>(iv) varying or revoking a condition or restriction to which the inclusion of a specimen in the list is subject</w:t>
            </w:r>
          </w:p>
        </w:tc>
      </w:tr>
      <w:tr w:rsidR="006C6712" w:rsidRPr="006C6712" w14:paraId="1631B58C" w14:textId="77777777" w:rsidTr="00A762F9">
        <w:trPr>
          <w:cnfStyle w:val="000000100000" w:firstRow="0" w:lastRow="0" w:firstColumn="0" w:lastColumn="0" w:oddVBand="0" w:evenVBand="0" w:oddHBand="1" w:evenHBand="0" w:firstRowFirstColumn="0" w:firstRowLastColumn="0" w:lastRowFirstColumn="0" w:lastRowLastColumn="0"/>
          <w:cantSplit/>
        </w:trPr>
        <w:tc>
          <w:tcPr>
            <w:tcW w:w="4281" w:type="dxa"/>
          </w:tcPr>
          <w:p w14:paraId="1631B586" w14:textId="77777777" w:rsidR="006C6712" w:rsidRPr="006C6712" w:rsidRDefault="006C6712" w:rsidP="00146E3A">
            <w:pPr>
              <w:spacing w:before="60" w:after="60" w:line="240" w:lineRule="auto"/>
              <w:rPr>
                <w:rFonts w:cs="Arial"/>
                <w:sz w:val="20"/>
                <w:szCs w:val="20"/>
              </w:rPr>
            </w:pPr>
            <w:r w:rsidRPr="006C6712">
              <w:rPr>
                <w:rFonts w:cs="Arial"/>
                <w:sz w:val="20"/>
                <w:szCs w:val="20"/>
              </w:rPr>
              <w:t xml:space="preserve">(1A) In deciding to amend LENS, Minister must rely primarily on outcomes of Part 10, </w:t>
            </w:r>
            <w:proofErr w:type="spellStart"/>
            <w:r w:rsidRPr="006C6712">
              <w:rPr>
                <w:rFonts w:cs="Arial"/>
                <w:sz w:val="20"/>
                <w:szCs w:val="20"/>
              </w:rPr>
              <w:t>Div</w:t>
            </w:r>
            <w:proofErr w:type="spellEnd"/>
            <w:r w:rsidRPr="006C6712">
              <w:rPr>
                <w:rFonts w:cs="Arial"/>
                <w:sz w:val="20"/>
                <w:szCs w:val="20"/>
              </w:rPr>
              <w:t xml:space="preserve"> 1 or 2 assessment</w:t>
            </w:r>
          </w:p>
        </w:tc>
        <w:tc>
          <w:tcPr>
            <w:tcW w:w="9825" w:type="dxa"/>
            <w:shd w:val="clear" w:color="auto" w:fill="92D050"/>
          </w:tcPr>
          <w:p w14:paraId="1631B58B" w14:textId="7BEC0DCF" w:rsidR="006C6712" w:rsidRPr="006C6712" w:rsidRDefault="006C6712" w:rsidP="00146E3A">
            <w:pPr>
              <w:spacing w:before="60" w:after="60" w:line="240" w:lineRule="auto"/>
              <w:rPr>
                <w:rFonts w:cs="Arial"/>
                <w:sz w:val="20"/>
                <w:szCs w:val="20"/>
              </w:rPr>
            </w:pPr>
            <w:r w:rsidRPr="006C6712">
              <w:rPr>
                <w:rFonts w:cs="Arial"/>
                <w:sz w:val="20"/>
                <w:szCs w:val="20"/>
              </w:rPr>
              <w:t xml:space="preserve">Assessed under Part 10 in 2005, reconsidered in 2010 after management plan amendment. Fishery impacts on </w:t>
            </w:r>
            <w:proofErr w:type="gramStart"/>
            <w:r w:rsidRPr="006C6712">
              <w:rPr>
                <w:rFonts w:cs="Arial"/>
                <w:sz w:val="20"/>
                <w:szCs w:val="20"/>
              </w:rPr>
              <w:t>the  environment</w:t>
            </w:r>
            <w:proofErr w:type="gramEnd"/>
            <w:r w:rsidRPr="006C6712">
              <w:rPr>
                <w:rFonts w:cs="Arial"/>
                <w:sz w:val="20"/>
                <w:szCs w:val="20"/>
              </w:rPr>
              <w:t xml:space="preserve"> in Commonwealth marine area not found to be unacceptable or unsustainable.</w:t>
            </w:r>
          </w:p>
        </w:tc>
      </w:tr>
      <w:tr w:rsidR="006C6712" w:rsidRPr="006C6712" w14:paraId="1631B592" w14:textId="77777777" w:rsidTr="00A762F9">
        <w:trPr>
          <w:cnfStyle w:val="000000010000" w:firstRow="0" w:lastRow="0" w:firstColumn="0" w:lastColumn="0" w:oddVBand="0" w:evenVBand="0" w:oddHBand="0" w:evenHBand="1" w:firstRowFirstColumn="0" w:firstRowLastColumn="0" w:lastRowFirstColumn="0" w:lastRowLastColumn="0"/>
          <w:cantSplit/>
        </w:trPr>
        <w:tc>
          <w:tcPr>
            <w:tcW w:w="4281" w:type="dxa"/>
          </w:tcPr>
          <w:p w14:paraId="1631B58D" w14:textId="77777777" w:rsidR="006C6712" w:rsidRPr="006C6712" w:rsidRDefault="006C6712" w:rsidP="00146E3A">
            <w:pPr>
              <w:spacing w:before="60" w:after="60" w:line="240" w:lineRule="auto"/>
              <w:rPr>
                <w:rFonts w:cs="Arial"/>
                <w:sz w:val="20"/>
                <w:szCs w:val="20"/>
              </w:rPr>
            </w:pPr>
            <w:r w:rsidRPr="006C6712">
              <w:rPr>
                <w:rFonts w:cs="Arial"/>
                <w:sz w:val="20"/>
                <w:szCs w:val="20"/>
              </w:rPr>
              <w:t>(1C) The above does not limit matters that may be considered when deciding to amend LENS.</w:t>
            </w:r>
          </w:p>
        </w:tc>
        <w:tc>
          <w:tcPr>
            <w:tcW w:w="9825" w:type="dxa"/>
            <w:shd w:val="clear" w:color="auto" w:fill="92D050"/>
          </w:tcPr>
          <w:p w14:paraId="1631B591" w14:textId="30D83D1C" w:rsidR="006C6712" w:rsidRPr="006C6712" w:rsidRDefault="006C6712" w:rsidP="00146E3A">
            <w:pPr>
              <w:spacing w:before="60" w:after="60" w:line="240" w:lineRule="auto"/>
              <w:rPr>
                <w:rFonts w:cs="Arial"/>
                <w:sz w:val="20"/>
                <w:szCs w:val="20"/>
              </w:rPr>
            </w:pPr>
            <w:r w:rsidRPr="006C6712">
              <w:rPr>
                <w:rFonts w:cs="Arial"/>
                <w:sz w:val="20"/>
                <w:szCs w:val="20"/>
              </w:rPr>
              <w:t>Fishery is managed consistent with the Objects of Part 13A.</w:t>
            </w:r>
          </w:p>
        </w:tc>
      </w:tr>
      <w:tr w:rsidR="006C6712" w:rsidRPr="006C6712" w14:paraId="1631B59B" w14:textId="77777777" w:rsidTr="00A762F9">
        <w:trPr>
          <w:cnfStyle w:val="000000100000" w:firstRow="0" w:lastRow="0" w:firstColumn="0" w:lastColumn="0" w:oddVBand="0" w:evenVBand="0" w:oddHBand="1" w:evenHBand="0" w:firstRowFirstColumn="0" w:firstRowLastColumn="0" w:lastRowFirstColumn="0" w:lastRowLastColumn="0"/>
          <w:cantSplit/>
        </w:trPr>
        <w:tc>
          <w:tcPr>
            <w:tcW w:w="4281" w:type="dxa"/>
          </w:tcPr>
          <w:p w14:paraId="1631B593" w14:textId="77777777" w:rsidR="006C6712" w:rsidRPr="006C6712" w:rsidRDefault="006C6712" w:rsidP="00146E3A">
            <w:pPr>
              <w:spacing w:before="60" w:after="60" w:line="240" w:lineRule="auto"/>
              <w:rPr>
                <w:rFonts w:cs="Arial"/>
                <w:sz w:val="20"/>
                <w:szCs w:val="20"/>
              </w:rPr>
            </w:pPr>
            <w:r w:rsidRPr="006C6712">
              <w:rPr>
                <w:rFonts w:cs="Arial"/>
                <w:sz w:val="20"/>
                <w:szCs w:val="20"/>
              </w:rPr>
              <w:t>(3) Before amending LENS, Minister must consult:</w:t>
            </w:r>
          </w:p>
          <w:p w14:paraId="1631B594" w14:textId="77777777" w:rsidR="006C6712" w:rsidRPr="006C6712" w:rsidRDefault="006C6712" w:rsidP="00146E3A">
            <w:pPr>
              <w:numPr>
                <w:ilvl w:val="0"/>
                <w:numId w:val="12"/>
              </w:numPr>
              <w:spacing w:before="60" w:after="60" w:line="240" w:lineRule="auto"/>
              <w:ind w:left="0" w:firstLine="0"/>
              <w:rPr>
                <w:rFonts w:cs="Arial"/>
                <w:sz w:val="20"/>
                <w:szCs w:val="20"/>
              </w:rPr>
            </w:pPr>
            <w:r w:rsidRPr="006C6712">
              <w:rPr>
                <w:rFonts w:cs="Arial"/>
                <w:sz w:val="20"/>
                <w:szCs w:val="20"/>
              </w:rPr>
              <w:t>other Minister or Ministers as appropriate; and</w:t>
            </w:r>
          </w:p>
          <w:p w14:paraId="1631B595" w14:textId="77777777" w:rsidR="006C6712" w:rsidRPr="006C6712" w:rsidRDefault="006C6712" w:rsidP="00146E3A">
            <w:pPr>
              <w:numPr>
                <w:ilvl w:val="0"/>
                <w:numId w:val="12"/>
              </w:numPr>
              <w:spacing w:before="60" w:after="60" w:line="240" w:lineRule="auto"/>
              <w:ind w:left="0" w:firstLine="0"/>
              <w:rPr>
                <w:rFonts w:cs="Arial"/>
                <w:sz w:val="20"/>
                <w:szCs w:val="20"/>
              </w:rPr>
            </w:pPr>
            <w:r w:rsidRPr="006C6712">
              <w:rPr>
                <w:rFonts w:cs="Arial"/>
                <w:sz w:val="20"/>
                <w:szCs w:val="20"/>
              </w:rPr>
              <w:t>other Minister or Ministers of each State and self-governing Territory as appropriate; and</w:t>
            </w:r>
          </w:p>
          <w:p w14:paraId="1631B596" w14:textId="77777777" w:rsidR="006C6712" w:rsidRPr="006C6712" w:rsidRDefault="006C6712" w:rsidP="00146E3A">
            <w:pPr>
              <w:numPr>
                <w:ilvl w:val="0"/>
                <w:numId w:val="12"/>
              </w:numPr>
              <w:spacing w:before="60" w:after="60" w:line="240" w:lineRule="auto"/>
              <w:ind w:left="0" w:firstLine="0"/>
              <w:rPr>
                <w:rFonts w:cs="Arial"/>
                <w:sz w:val="20"/>
                <w:szCs w:val="20"/>
              </w:rPr>
            </w:pPr>
            <w:proofErr w:type="gramStart"/>
            <w:r w:rsidRPr="006C6712">
              <w:rPr>
                <w:rFonts w:cs="Arial"/>
                <w:sz w:val="20"/>
                <w:szCs w:val="20"/>
              </w:rPr>
              <w:t>other</w:t>
            </w:r>
            <w:proofErr w:type="gramEnd"/>
            <w:r w:rsidRPr="006C6712">
              <w:rPr>
                <w:rFonts w:cs="Arial"/>
                <w:sz w:val="20"/>
                <w:szCs w:val="20"/>
              </w:rPr>
              <w:t xml:space="preserve"> persons and organisations as appropriate.</w:t>
            </w:r>
          </w:p>
        </w:tc>
        <w:tc>
          <w:tcPr>
            <w:tcW w:w="9825" w:type="dxa"/>
            <w:shd w:val="clear" w:color="auto" w:fill="FFC000"/>
          </w:tcPr>
          <w:p w14:paraId="1631B59A" w14:textId="2CA61144" w:rsidR="006C6712" w:rsidRPr="006C6712" w:rsidRDefault="006C6712" w:rsidP="00146E3A">
            <w:pPr>
              <w:spacing w:before="60" w:after="60" w:line="240" w:lineRule="auto"/>
              <w:rPr>
                <w:rFonts w:cs="Arial"/>
                <w:sz w:val="20"/>
                <w:szCs w:val="20"/>
              </w:rPr>
            </w:pPr>
            <w:r w:rsidRPr="006C6712">
              <w:rPr>
                <w:rFonts w:cs="Arial"/>
                <w:sz w:val="20"/>
                <w:szCs w:val="20"/>
              </w:rPr>
              <w:t>General consultation with Commonwealth Fisheries Minister in October 2014 (</w:t>
            </w:r>
            <w:bookmarkStart w:id="12" w:name="OLE_LINK1"/>
            <w:bookmarkStart w:id="13" w:name="OLE_LINK2"/>
            <w:r w:rsidRPr="006C6712">
              <w:rPr>
                <w:rFonts w:cs="Arial"/>
                <w:sz w:val="20"/>
                <w:szCs w:val="20"/>
              </w:rPr>
              <w:t>MS14-002367</w:t>
            </w:r>
            <w:bookmarkEnd w:id="12"/>
            <w:bookmarkEnd w:id="13"/>
            <w:r w:rsidRPr="006C6712">
              <w:rPr>
                <w:rFonts w:cs="Arial"/>
                <w:sz w:val="20"/>
                <w:szCs w:val="20"/>
              </w:rPr>
              <w:t>).</w:t>
            </w:r>
          </w:p>
        </w:tc>
      </w:tr>
    </w:tbl>
    <w:p w14:paraId="1631B59C" w14:textId="77777777" w:rsidR="00D14D44" w:rsidRDefault="00D14D44" w:rsidP="00146E3A">
      <w:pPr>
        <w:spacing w:before="60" w:after="60" w:line="240" w:lineRule="auto"/>
        <w:rPr>
          <w:rFonts w:cs="Arial"/>
          <w:b/>
          <w:sz w:val="20"/>
          <w:szCs w:val="20"/>
        </w:rPr>
      </w:pPr>
    </w:p>
    <w:p w14:paraId="1631B59D" w14:textId="77777777" w:rsidR="005022B0" w:rsidRPr="006C6712" w:rsidRDefault="00D14D44" w:rsidP="00146E3A">
      <w:pPr>
        <w:spacing w:before="60" w:after="60" w:line="240" w:lineRule="auto"/>
        <w:rPr>
          <w:rFonts w:cs="Arial"/>
          <w:b/>
        </w:rPr>
      </w:pPr>
      <w:r w:rsidRPr="006C6712">
        <w:rPr>
          <w:rFonts w:cs="Arial"/>
          <w:b/>
        </w:rPr>
        <w:t>Part 12</w:t>
      </w:r>
    </w:p>
    <w:tbl>
      <w:tblPr>
        <w:tblStyle w:val="TableGrid"/>
        <w:tblW w:w="5000" w:type="pct"/>
        <w:tblLook w:val="04A0" w:firstRow="1" w:lastRow="0" w:firstColumn="1" w:lastColumn="0" w:noHBand="0" w:noVBand="1"/>
      </w:tblPr>
      <w:tblGrid>
        <w:gridCol w:w="7053"/>
        <w:gridCol w:w="7053"/>
      </w:tblGrid>
      <w:tr w:rsidR="00A762F9" w:rsidRPr="006C6712" w14:paraId="1631B5A3" w14:textId="77777777" w:rsidTr="00A762F9">
        <w:trPr>
          <w:cnfStyle w:val="100000000000" w:firstRow="1" w:lastRow="0" w:firstColumn="0" w:lastColumn="0" w:oddVBand="0" w:evenVBand="0" w:oddHBand="0" w:evenHBand="0" w:firstRowFirstColumn="0" w:firstRowLastColumn="0" w:lastRowFirstColumn="0" w:lastRowLastColumn="0"/>
        </w:trPr>
        <w:tc>
          <w:tcPr>
            <w:tcW w:w="2500" w:type="pct"/>
          </w:tcPr>
          <w:p w14:paraId="1631B59E" w14:textId="77777777" w:rsidR="00A762F9" w:rsidRPr="006C6712" w:rsidRDefault="00A762F9" w:rsidP="00146E3A">
            <w:pPr>
              <w:spacing w:before="60" w:after="60" w:line="240" w:lineRule="auto"/>
              <w:rPr>
                <w:rFonts w:cs="Arial"/>
                <w:b/>
                <w:sz w:val="20"/>
                <w:szCs w:val="20"/>
              </w:rPr>
            </w:pPr>
          </w:p>
        </w:tc>
        <w:tc>
          <w:tcPr>
            <w:tcW w:w="2500" w:type="pct"/>
            <w:shd w:val="clear" w:color="auto" w:fill="auto"/>
          </w:tcPr>
          <w:p w14:paraId="1631B5A2" w14:textId="0789D7E2" w:rsidR="00A762F9" w:rsidRPr="006C6712" w:rsidRDefault="00A762F9" w:rsidP="00146E3A">
            <w:pPr>
              <w:spacing w:before="60" w:after="60" w:line="240" w:lineRule="auto"/>
              <w:rPr>
                <w:rFonts w:cs="Arial"/>
                <w:b/>
                <w:sz w:val="20"/>
                <w:szCs w:val="20"/>
              </w:rPr>
            </w:pPr>
            <w:r w:rsidRPr="006C6712">
              <w:rPr>
                <w:rFonts w:cs="Arial"/>
                <w:b/>
                <w:sz w:val="20"/>
                <w:szCs w:val="20"/>
              </w:rPr>
              <w:t>Comment</w:t>
            </w:r>
          </w:p>
        </w:tc>
      </w:tr>
      <w:tr w:rsidR="001D1EAF" w:rsidRPr="006C6712" w14:paraId="1631B5A5"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1631B5A4" w14:textId="77777777" w:rsidR="001D1EAF" w:rsidRPr="006C6712" w:rsidRDefault="001D1EAF" w:rsidP="00146E3A">
            <w:pPr>
              <w:spacing w:before="60" w:after="60" w:line="240" w:lineRule="auto"/>
              <w:rPr>
                <w:rFonts w:cs="Arial"/>
                <w:sz w:val="20"/>
                <w:szCs w:val="20"/>
              </w:rPr>
            </w:pPr>
            <w:r w:rsidRPr="006C6712">
              <w:rPr>
                <w:rFonts w:cs="Arial"/>
                <w:b/>
                <w:sz w:val="20"/>
                <w:szCs w:val="20"/>
              </w:rPr>
              <w:t>Section 176 Bioregional Plans</w:t>
            </w:r>
          </w:p>
        </w:tc>
      </w:tr>
      <w:tr w:rsidR="006C6712" w:rsidRPr="006C6712" w14:paraId="1631B5AC"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631B5A6" w14:textId="77777777" w:rsidR="006C6712" w:rsidRPr="006C6712" w:rsidRDefault="006C6712" w:rsidP="00146E3A">
            <w:pPr>
              <w:spacing w:before="60" w:after="60" w:line="240" w:lineRule="auto"/>
              <w:rPr>
                <w:rFonts w:cs="Arial"/>
                <w:sz w:val="20"/>
                <w:szCs w:val="20"/>
              </w:rPr>
            </w:pPr>
            <w:r w:rsidRPr="006C6712">
              <w:rPr>
                <w:rFonts w:cs="Arial"/>
                <w:sz w:val="20"/>
                <w:szCs w:val="20"/>
              </w:rPr>
              <w:t>(5) Minister must have regard to relevant bioregional plans</w:t>
            </w:r>
          </w:p>
        </w:tc>
        <w:tc>
          <w:tcPr>
            <w:tcW w:w="2500" w:type="pct"/>
            <w:shd w:val="clear" w:color="auto" w:fill="auto"/>
          </w:tcPr>
          <w:p w14:paraId="1631B5AA" w14:textId="5649025B" w:rsidR="006C6712" w:rsidRPr="006C6712" w:rsidRDefault="006C6712" w:rsidP="00146E3A">
            <w:pPr>
              <w:spacing w:before="60" w:after="60" w:line="240" w:lineRule="auto"/>
              <w:rPr>
                <w:rFonts w:cs="Arial"/>
                <w:sz w:val="20"/>
                <w:szCs w:val="20"/>
              </w:rPr>
            </w:pPr>
            <w:r w:rsidRPr="006C6712">
              <w:rPr>
                <w:rFonts w:cs="Arial"/>
                <w:sz w:val="20"/>
                <w:szCs w:val="20"/>
              </w:rPr>
              <w:t xml:space="preserve">Not applicable. </w:t>
            </w:r>
          </w:p>
          <w:p w14:paraId="1631B5AB" w14:textId="714F6971" w:rsidR="006C6712" w:rsidRPr="006C6712" w:rsidRDefault="006C6712" w:rsidP="00146E3A">
            <w:pPr>
              <w:spacing w:before="60" w:after="60" w:line="240" w:lineRule="auto"/>
              <w:rPr>
                <w:rFonts w:cs="Arial"/>
                <w:sz w:val="20"/>
                <w:szCs w:val="20"/>
              </w:rPr>
            </w:pPr>
            <w:r w:rsidRPr="006C6712">
              <w:rPr>
                <w:rFonts w:cs="Arial"/>
                <w:sz w:val="20"/>
                <w:szCs w:val="20"/>
              </w:rPr>
              <w:t>No Marine Bioregional Plan for the South-east Marine Region.</w:t>
            </w:r>
          </w:p>
        </w:tc>
      </w:tr>
    </w:tbl>
    <w:p w14:paraId="1631B5AD" w14:textId="77777777" w:rsidR="001219D8" w:rsidRDefault="001219D8" w:rsidP="00146E3A">
      <w:pPr>
        <w:spacing w:before="60" w:after="60" w:line="240" w:lineRule="auto"/>
        <w:rPr>
          <w:rFonts w:cs="Arial"/>
          <w:b/>
          <w:sz w:val="20"/>
          <w:szCs w:val="20"/>
        </w:rPr>
      </w:pPr>
    </w:p>
    <w:p w14:paraId="099B490A" w14:textId="7DEF06C3" w:rsidR="00A762F9" w:rsidRDefault="00A762F9" w:rsidP="00146E3A">
      <w:pPr>
        <w:spacing w:before="60" w:after="60" w:line="240" w:lineRule="auto"/>
        <w:rPr>
          <w:rFonts w:cs="Arial"/>
          <w:b/>
          <w:sz w:val="20"/>
          <w:szCs w:val="20"/>
        </w:rPr>
      </w:pPr>
    </w:p>
    <w:p w14:paraId="7B837A12" w14:textId="77777777" w:rsidR="00A762F9" w:rsidRDefault="00A762F9" w:rsidP="00146E3A">
      <w:pPr>
        <w:spacing w:before="60" w:after="60" w:line="240" w:lineRule="auto"/>
        <w:rPr>
          <w:rFonts w:cs="Arial"/>
          <w:b/>
          <w:sz w:val="20"/>
          <w:szCs w:val="20"/>
        </w:rPr>
      </w:pPr>
    </w:p>
    <w:p w14:paraId="1631B5AE" w14:textId="77777777" w:rsidR="00D14D44" w:rsidRPr="006C6712" w:rsidRDefault="00D14D44" w:rsidP="00146E3A">
      <w:pPr>
        <w:spacing w:before="60" w:after="60" w:line="240" w:lineRule="auto"/>
        <w:rPr>
          <w:rFonts w:cs="Arial"/>
          <w:b/>
        </w:rPr>
      </w:pPr>
      <w:r w:rsidRPr="006C6712">
        <w:rPr>
          <w:rFonts w:cs="Arial"/>
          <w:b/>
        </w:rPr>
        <w:lastRenderedPageBreak/>
        <w:t>Part 16</w:t>
      </w:r>
    </w:p>
    <w:tbl>
      <w:tblPr>
        <w:tblStyle w:val="TableGrid"/>
        <w:tblW w:w="5000" w:type="pct"/>
        <w:tblLook w:val="04A0" w:firstRow="1" w:lastRow="0" w:firstColumn="1" w:lastColumn="0" w:noHBand="0" w:noVBand="1"/>
      </w:tblPr>
      <w:tblGrid>
        <w:gridCol w:w="7053"/>
        <w:gridCol w:w="7053"/>
      </w:tblGrid>
      <w:tr w:rsidR="00A762F9" w:rsidRPr="006C6712" w14:paraId="1631B5B4" w14:textId="77777777" w:rsidTr="00A762F9">
        <w:trPr>
          <w:cnfStyle w:val="100000000000" w:firstRow="1" w:lastRow="0" w:firstColumn="0" w:lastColumn="0" w:oddVBand="0" w:evenVBand="0" w:oddHBand="0" w:evenHBand="0" w:firstRowFirstColumn="0" w:firstRowLastColumn="0" w:lastRowFirstColumn="0" w:lastRowLastColumn="0"/>
        </w:trPr>
        <w:tc>
          <w:tcPr>
            <w:tcW w:w="2500" w:type="pct"/>
          </w:tcPr>
          <w:p w14:paraId="1631B5AF" w14:textId="77777777" w:rsidR="00A762F9" w:rsidRPr="006C6712" w:rsidRDefault="00A762F9" w:rsidP="00146E3A">
            <w:pPr>
              <w:spacing w:before="60" w:after="60" w:line="240" w:lineRule="auto"/>
              <w:rPr>
                <w:rFonts w:cs="Arial"/>
                <w:b/>
                <w:sz w:val="20"/>
                <w:szCs w:val="20"/>
              </w:rPr>
            </w:pPr>
          </w:p>
        </w:tc>
        <w:tc>
          <w:tcPr>
            <w:tcW w:w="2500" w:type="pct"/>
            <w:shd w:val="clear" w:color="auto" w:fill="auto"/>
          </w:tcPr>
          <w:p w14:paraId="1631B5B3" w14:textId="4E9726F4" w:rsidR="00A762F9" w:rsidRPr="006C6712" w:rsidRDefault="00A762F9" w:rsidP="00146E3A">
            <w:pPr>
              <w:spacing w:before="60" w:after="60" w:line="240" w:lineRule="auto"/>
              <w:rPr>
                <w:rFonts w:cs="Arial"/>
                <w:b/>
                <w:sz w:val="20"/>
                <w:szCs w:val="20"/>
              </w:rPr>
            </w:pPr>
            <w:r w:rsidRPr="006C6712">
              <w:rPr>
                <w:rFonts w:cs="Arial"/>
                <w:b/>
                <w:sz w:val="20"/>
                <w:szCs w:val="20"/>
              </w:rPr>
              <w:t>Comment</w:t>
            </w:r>
          </w:p>
        </w:tc>
      </w:tr>
      <w:tr w:rsidR="00D14D44" w:rsidRPr="006C6712" w14:paraId="1631B5B6" w14:textId="77777777" w:rsidTr="00A762F9">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1631B5B5" w14:textId="77777777" w:rsidR="00D14D44" w:rsidRPr="006C6712" w:rsidRDefault="00D14D44" w:rsidP="00146E3A">
            <w:pPr>
              <w:spacing w:before="60" w:after="60" w:line="240" w:lineRule="auto"/>
              <w:rPr>
                <w:rFonts w:cs="Arial"/>
                <w:sz w:val="20"/>
                <w:szCs w:val="20"/>
              </w:rPr>
            </w:pPr>
            <w:r w:rsidRPr="006C6712">
              <w:rPr>
                <w:rFonts w:cs="Arial"/>
                <w:b/>
                <w:sz w:val="20"/>
                <w:szCs w:val="20"/>
              </w:rPr>
              <w:t>Section 391 Minister must consider precautionary principle in making decisions</w:t>
            </w:r>
          </w:p>
        </w:tc>
      </w:tr>
      <w:tr w:rsidR="006C6712" w:rsidRPr="006C6712" w14:paraId="1631B5BC" w14:textId="77777777" w:rsidTr="00A762F9">
        <w:trPr>
          <w:cnfStyle w:val="000000010000" w:firstRow="0" w:lastRow="0" w:firstColumn="0" w:lastColumn="0" w:oddVBand="0" w:evenVBand="0" w:oddHBand="0" w:evenHBand="1" w:firstRowFirstColumn="0" w:firstRowLastColumn="0" w:lastRowFirstColumn="0" w:lastRowLastColumn="0"/>
        </w:trPr>
        <w:tc>
          <w:tcPr>
            <w:tcW w:w="2500" w:type="pct"/>
          </w:tcPr>
          <w:p w14:paraId="1887CA93" w14:textId="77777777" w:rsidR="006C6712" w:rsidRPr="006C6712" w:rsidRDefault="006C6712" w:rsidP="00146E3A">
            <w:pPr>
              <w:spacing w:before="60" w:after="60" w:line="240" w:lineRule="auto"/>
              <w:rPr>
                <w:rFonts w:cs="Arial"/>
                <w:sz w:val="20"/>
                <w:szCs w:val="20"/>
              </w:rPr>
            </w:pPr>
            <w:r w:rsidRPr="006C6712">
              <w:rPr>
                <w:rFonts w:cs="Arial"/>
                <w:sz w:val="20"/>
                <w:szCs w:val="20"/>
              </w:rPr>
              <w:t>(1) Minister must take account of precautionary principle</w:t>
            </w:r>
          </w:p>
          <w:p w14:paraId="1631B5B7" w14:textId="2C73359B" w:rsidR="006C6712" w:rsidRPr="006C6712" w:rsidRDefault="006C6712" w:rsidP="00146E3A">
            <w:pPr>
              <w:spacing w:before="60" w:after="60" w:line="240" w:lineRule="auto"/>
              <w:rPr>
                <w:rFonts w:cs="Arial"/>
                <w:sz w:val="20"/>
                <w:szCs w:val="20"/>
              </w:rPr>
            </w:pPr>
            <w:r w:rsidRPr="006C6712">
              <w:rPr>
                <w:rFonts w:cs="Arial"/>
                <w:sz w:val="20"/>
                <w:szCs w:val="20"/>
              </w:rPr>
              <w:t xml:space="preserve">(2) The </w:t>
            </w:r>
            <w:r w:rsidRPr="006C6712">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6C6712">
              <w:rPr>
                <w:rFonts w:cs="Arial"/>
                <w:sz w:val="20"/>
                <w:szCs w:val="20"/>
              </w:rPr>
              <w:t xml:space="preserve"> damage.</w:t>
            </w:r>
          </w:p>
        </w:tc>
        <w:tc>
          <w:tcPr>
            <w:tcW w:w="2500" w:type="pct"/>
            <w:shd w:val="clear" w:color="auto" w:fill="92D050"/>
          </w:tcPr>
          <w:p w14:paraId="1631B5BB" w14:textId="52913E2D" w:rsidR="006C6712" w:rsidRPr="006C6712" w:rsidRDefault="006C6712" w:rsidP="00146E3A">
            <w:pPr>
              <w:spacing w:before="60" w:after="60" w:line="240" w:lineRule="auto"/>
              <w:rPr>
                <w:rFonts w:cs="Arial"/>
                <w:sz w:val="20"/>
                <w:szCs w:val="20"/>
              </w:rPr>
            </w:pPr>
            <w:r w:rsidRPr="006C6712">
              <w:rPr>
                <w:rFonts w:cs="Arial"/>
                <w:sz w:val="20"/>
                <w:szCs w:val="20"/>
              </w:rPr>
              <w:t>The precautionary principle has been considered by the Department when making its recommendation to include specimens in the list of exempt native specimens.</w:t>
            </w:r>
          </w:p>
        </w:tc>
      </w:tr>
    </w:tbl>
    <w:p w14:paraId="1631B5C3" w14:textId="77777777" w:rsidR="00D14D44" w:rsidRPr="006C6712" w:rsidRDefault="00D14D44" w:rsidP="00146E3A">
      <w:pPr>
        <w:pStyle w:val="Heading6"/>
        <w:spacing w:before="60"/>
        <w:rPr>
          <w:rFonts w:ascii="Arial" w:hAnsi="Arial" w:cs="Arial"/>
          <w:sz w:val="20"/>
          <w:szCs w:val="20"/>
        </w:rPr>
      </w:pPr>
    </w:p>
    <w:sectPr w:rsidR="00D14D44" w:rsidRPr="006C6712"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1B5C6" w14:textId="77777777" w:rsidR="006A1422" w:rsidRDefault="006A1422" w:rsidP="00A60185">
      <w:pPr>
        <w:spacing w:after="0" w:line="240" w:lineRule="auto"/>
      </w:pPr>
      <w:r>
        <w:separator/>
      </w:r>
    </w:p>
  </w:endnote>
  <w:endnote w:type="continuationSeparator" w:id="0">
    <w:p w14:paraId="1631B5C7" w14:textId="77777777" w:rsidR="006A1422" w:rsidRDefault="006A142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BA398" w14:textId="77777777" w:rsidR="006A1422" w:rsidRDefault="006A14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62D0B" w14:textId="77777777" w:rsidR="006A1422" w:rsidRDefault="006A1422">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5A5E8" w14:textId="77777777" w:rsidR="006A1422" w:rsidRPr="009E0662" w:rsidRDefault="006A1422" w:rsidP="006C6712">
    <w:pPr>
      <w:pStyle w:val="Footer"/>
      <w:jc w:val="right"/>
      <w:rPr>
        <w:sz w:val="18"/>
        <w:szCs w:val="18"/>
      </w:rPr>
    </w:pPr>
  </w:p>
  <w:p w14:paraId="272A9561" w14:textId="77777777" w:rsidR="006A1422" w:rsidRPr="009E0662" w:rsidRDefault="006A1422" w:rsidP="006C6712">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769385629"/>
      <w:docPartObj>
        <w:docPartGallery w:val="Page Numbers (Bottom of Page)"/>
        <w:docPartUnique/>
      </w:docPartObj>
    </w:sdtPr>
    <w:sdtContent>
      <w:p w14:paraId="6BD7009F" w14:textId="77777777" w:rsidR="006A1422" w:rsidRPr="009827EA" w:rsidRDefault="006A1422">
        <w:pPr>
          <w:pStyle w:val="Footer"/>
          <w:jc w:val="center"/>
          <w:rPr>
            <w:sz w:val="18"/>
            <w:szCs w:val="18"/>
          </w:rPr>
        </w:pPr>
        <w:r w:rsidRPr="009827EA">
          <w:rPr>
            <w:sz w:val="18"/>
            <w:szCs w:val="18"/>
          </w:rPr>
          <w:fldChar w:fldCharType="begin"/>
        </w:r>
        <w:r w:rsidRPr="009827EA">
          <w:rPr>
            <w:sz w:val="18"/>
            <w:szCs w:val="18"/>
          </w:rPr>
          <w:instrText xml:space="preserve"> PAGE   \* MERGEFORMAT </w:instrText>
        </w:r>
        <w:r w:rsidRPr="009827EA">
          <w:rPr>
            <w:sz w:val="18"/>
            <w:szCs w:val="18"/>
          </w:rPr>
          <w:fldChar w:fldCharType="separate"/>
        </w:r>
        <w:r w:rsidR="00F82212">
          <w:rPr>
            <w:noProof/>
            <w:sz w:val="18"/>
            <w:szCs w:val="18"/>
          </w:rPr>
          <w:t>2</w:t>
        </w:r>
        <w:r w:rsidRPr="009827EA">
          <w:rPr>
            <w:noProof/>
            <w:sz w:val="18"/>
            <w:szCs w:val="18"/>
          </w:rPr>
          <w:fldChar w:fldCharType="end"/>
        </w:r>
      </w:p>
    </w:sdtContent>
  </w:sdt>
  <w:p w14:paraId="323FD17E" w14:textId="77777777" w:rsidR="006A1422" w:rsidRDefault="006A1422">
    <w:pPr>
      <w:pStyle w:val="Footer"/>
      <w:jc w:val="center"/>
      <w:rPr>
        <w:sz w:val="18"/>
        <w:szCs w:val="18"/>
      </w:rPr>
    </w:pPr>
  </w:p>
  <w:p w14:paraId="5554A0D2" w14:textId="77777777" w:rsidR="006A1422" w:rsidRPr="009827EA" w:rsidRDefault="006A1422">
    <w:pPr>
      <w:pStyle w:val="Footer"/>
      <w:jc w:val="center"/>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Content>
      <w:p w14:paraId="1631B5CA" w14:textId="77777777" w:rsidR="006A1422" w:rsidRDefault="006A1422">
        <w:pPr>
          <w:pStyle w:val="Footer"/>
          <w:jc w:val="center"/>
        </w:pPr>
        <w:r>
          <w:fldChar w:fldCharType="begin"/>
        </w:r>
        <w:r>
          <w:instrText xml:space="preserve"> PAGE   \* MERGEFORMAT </w:instrText>
        </w:r>
        <w:r>
          <w:fldChar w:fldCharType="separate"/>
        </w:r>
        <w:r w:rsidR="00F82212">
          <w:rPr>
            <w:noProof/>
          </w:rPr>
          <w:t>18</w:t>
        </w:r>
        <w:r>
          <w:rPr>
            <w:noProof/>
          </w:rPr>
          <w:fldChar w:fldCharType="end"/>
        </w:r>
      </w:p>
    </w:sdtContent>
  </w:sdt>
  <w:p w14:paraId="1631B5CB" w14:textId="77777777" w:rsidR="006A1422" w:rsidRDefault="006A142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1B5C4" w14:textId="77777777" w:rsidR="006A1422" w:rsidRDefault="006A1422" w:rsidP="00A60185">
      <w:pPr>
        <w:spacing w:after="0" w:line="240" w:lineRule="auto"/>
      </w:pPr>
      <w:r>
        <w:separator/>
      </w:r>
    </w:p>
  </w:footnote>
  <w:footnote w:type="continuationSeparator" w:id="0">
    <w:p w14:paraId="1631B5C5" w14:textId="77777777" w:rsidR="006A1422" w:rsidRDefault="006A1422"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C0F08" w14:textId="77777777" w:rsidR="006A1422" w:rsidRDefault="006A14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A669D" w14:textId="77777777" w:rsidR="006A1422" w:rsidRDefault="006A14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65344" w14:textId="77777777" w:rsidR="006A1422" w:rsidRDefault="006A142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2C905" w14:textId="77777777" w:rsidR="006A1422" w:rsidRDefault="006A1422"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5076C" w14:textId="145D13DE" w:rsidR="006A1422" w:rsidRPr="006C6712" w:rsidRDefault="006A1422" w:rsidP="006C6712">
    <w:pPr>
      <w:pStyle w:val="Header"/>
      <w:jc w:val="right"/>
    </w:pPr>
    <w:r>
      <w:t>Commonwealth Bass Strait Central Zone Scallop Fishery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0D483" w14:textId="77777777" w:rsidR="006A1422" w:rsidRDefault="006A142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1B5C8" w14:textId="77777777" w:rsidR="006A1422" w:rsidRDefault="006A1422"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1B5C9" w14:textId="6650F97C" w:rsidR="006A1422" w:rsidRDefault="006A1422" w:rsidP="00911A6D">
    <w:pPr>
      <w:pStyle w:val="Header"/>
      <w:jc w:val="right"/>
    </w:pPr>
    <w:r>
      <w:t>Commonwealth Bass Strait Central Zone Scallop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420886B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6F27024"/>
    <w:multiLevelType w:val="multilevel"/>
    <w:tmpl w:val="D6E6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5456429"/>
    <w:multiLevelType w:val="multilevel"/>
    <w:tmpl w:val="E898CC72"/>
    <w:numStyleLink w:val="KeyPoints"/>
  </w:abstractNum>
  <w:abstractNum w:abstractNumId="29"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3" w15:restartNumberingAfterBreak="0">
    <w:nsid w:val="6FD20C85"/>
    <w:multiLevelType w:val="hybridMultilevel"/>
    <w:tmpl w:val="E6A862C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5"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4"/>
  </w:num>
  <w:num w:numId="2">
    <w:abstractNumId w:val="2"/>
  </w:num>
  <w:num w:numId="3">
    <w:abstractNumId w:val="18"/>
  </w:num>
  <w:num w:numId="4">
    <w:abstractNumId w:val="0"/>
  </w:num>
  <w:num w:numId="5">
    <w:abstractNumId w:val="17"/>
  </w:num>
  <w:num w:numId="6">
    <w:abstractNumId w:val="28"/>
  </w:num>
  <w:num w:numId="7">
    <w:abstractNumId w:val="10"/>
  </w:num>
  <w:num w:numId="8">
    <w:abstractNumId w:val="5"/>
  </w:num>
  <w:num w:numId="9">
    <w:abstractNumId w:val="20"/>
  </w:num>
  <w:num w:numId="10">
    <w:abstractNumId w:val="30"/>
  </w:num>
  <w:num w:numId="11">
    <w:abstractNumId w:val="24"/>
  </w:num>
  <w:num w:numId="12">
    <w:abstractNumId w:val="6"/>
  </w:num>
  <w:num w:numId="13">
    <w:abstractNumId w:val="14"/>
  </w:num>
  <w:num w:numId="14">
    <w:abstractNumId w:val="31"/>
  </w:num>
  <w:num w:numId="15">
    <w:abstractNumId w:val="25"/>
  </w:num>
  <w:num w:numId="16">
    <w:abstractNumId w:val="3"/>
  </w:num>
  <w:num w:numId="17">
    <w:abstractNumId w:val="15"/>
  </w:num>
  <w:num w:numId="18">
    <w:abstractNumId w:val="11"/>
  </w:num>
  <w:num w:numId="19">
    <w:abstractNumId w:val="23"/>
  </w:num>
  <w:num w:numId="20">
    <w:abstractNumId w:val="13"/>
  </w:num>
  <w:num w:numId="21">
    <w:abstractNumId w:val="9"/>
  </w:num>
  <w:num w:numId="22">
    <w:abstractNumId w:val="12"/>
  </w:num>
  <w:num w:numId="23">
    <w:abstractNumId w:val="21"/>
  </w:num>
  <w:num w:numId="24">
    <w:abstractNumId w:val="27"/>
  </w:num>
  <w:num w:numId="25">
    <w:abstractNumId w:val="19"/>
  </w:num>
  <w:num w:numId="26">
    <w:abstractNumId w:val="7"/>
  </w:num>
  <w:num w:numId="27">
    <w:abstractNumId w:val="8"/>
  </w:num>
  <w:num w:numId="28">
    <w:abstractNumId w:val="26"/>
  </w:num>
  <w:num w:numId="29">
    <w:abstractNumId w:val="32"/>
  </w:num>
  <w:num w:numId="30">
    <w:abstractNumId w:val="35"/>
  </w:num>
  <w:num w:numId="31">
    <w:abstractNumId w:val="29"/>
  </w:num>
  <w:num w:numId="32">
    <w:abstractNumId w:val="0"/>
    <w:lvlOverride w:ilvl="0">
      <w:startOverride w:val="1"/>
    </w:lvlOverride>
  </w:num>
  <w:num w:numId="33">
    <w:abstractNumId w:val="4"/>
  </w:num>
  <w:num w:numId="34">
    <w:abstractNumId w:val="16"/>
  </w:num>
  <w:num w:numId="35">
    <w:abstractNumId w:val="22"/>
  </w:num>
  <w:num w:numId="36">
    <w:abstractNumId w:val="1"/>
  </w:num>
  <w:num w:numId="37">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A93"/>
    <w:rsid w:val="00004AEE"/>
    <w:rsid w:val="00005CAA"/>
    <w:rsid w:val="0000761A"/>
    <w:rsid w:val="00010210"/>
    <w:rsid w:val="00012D66"/>
    <w:rsid w:val="00015ADA"/>
    <w:rsid w:val="000176C4"/>
    <w:rsid w:val="00020C99"/>
    <w:rsid w:val="00024811"/>
    <w:rsid w:val="0002707B"/>
    <w:rsid w:val="000273BA"/>
    <w:rsid w:val="00032E6E"/>
    <w:rsid w:val="00033D09"/>
    <w:rsid w:val="000343C1"/>
    <w:rsid w:val="00044355"/>
    <w:rsid w:val="000446CC"/>
    <w:rsid w:val="00046894"/>
    <w:rsid w:val="0005148E"/>
    <w:rsid w:val="00054954"/>
    <w:rsid w:val="00060173"/>
    <w:rsid w:val="0006688A"/>
    <w:rsid w:val="00071FDD"/>
    <w:rsid w:val="00072C5A"/>
    <w:rsid w:val="00072FDA"/>
    <w:rsid w:val="00074479"/>
    <w:rsid w:val="000759E5"/>
    <w:rsid w:val="0007600F"/>
    <w:rsid w:val="00080671"/>
    <w:rsid w:val="00080CF6"/>
    <w:rsid w:val="000840EC"/>
    <w:rsid w:val="00084AC6"/>
    <w:rsid w:val="00090C6F"/>
    <w:rsid w:val="00091608"/>
    <w:rsid w:val="0009333C"/>
    <w:rsid w:val="00094D91"/>
    <w:rsid w:val="00095A10"/>
    <w:rsid w:val="0009704F"/>
    <w:rsid w:val="00097E97"/>
    <w:rsid w:val="000A0F11"/>
    <w:rsid w:val="000A125A"/>
    <w:rsid w:val="000A4EB5"/>
    <w:rsid w:val="000A57CD"/>
    <w:rsid w:val="000B2634"/>
    <w:rsid w:val="000B3758"/>
    <w:rsid w:val="000B3BD8"/>
    <w:rsid w:val="000B3F25"/>
    <w:rsid w:val="000B42F0"/>
    <w:rsid w:val="000B7681"/>
    <w:rsid w:val="000B7B42"/>
    <w:rsid w:val="000C02B7"/>
    <w:rsid w:val="000C32F2"/>
    <w:rsid w:val="000C5100"/>
    <w:rsid w:val="000C5342"/>
    <w:rsid w:val="000C6D16"/>
    <w:rsid w:val="000C706A"/>
    <w:rsid w:val="000D003E"/>
    <w:rsid w:val="000D2887"/>
    <w:rsid w:val="000D6D63"/>
    <w:rsid w:val="000E0081"/>
    <w:rsid w:val="000E07CF"/>
    <w:rsid w:val="000E16A2"/>
    <w:rsid w:val="000E31C1"/>
    <w:rsid w:val="000E32E6"/>
    <w:rsid w:val="000E549D"/>
    <w:rsid w:val="000F2CF2"/>
    <w:rsid w:val="000F36AA"/>
    <w:rsid w:val="000F426B"/>
    <w:rsid w:val="000F5C49"/>
    <w:rsid w:val="000F74D9"/>
    <w:rsid w:val="001006F5"/>
    <w:rsid w:val="00100BEF"/>
    <w:rsid w:val="00100E81"/>
    <w:rsid w:val="00102A45"/>
    <w:rsid w:val="00106AA0"/>
    <w:rsid w:val="00111326"/>
    <w:rsid w:val="00111BFD"/>
    <w:rsid w:val="001137AD"/>
    <w:rsid w:val="0011408A"/>
    <w:rsid w:val="0011498E"/>
    <w:rsid w:val="001167CB"/>
    <w:rsid w:val="00117A45"/>
    <w:rsid w:val="00120E71"/>
    <w:rsid w:val="001219D8"/>
    <w:rsid w:val="001220DB"/>
    <w:rsid w:val="001224AE"/>
    <w:rsid w:val="001242F7"/>
    <w:rsid w:val="001251B3"/>
    <w:rsid w:val="001254F0"/>
    <w:rsid w:val="001337D4"/>
    <w:rsid w:val="00134C7B"/>
    <w:rsid w:val="00141376"/>
    <w:rsid w:val="00142A52"/>
    <w:rsid w:val="00146E3A"/>
    <w:rsid w:val="00147C12"/>
    <w:rsid w:val="00151762"/>
    <w:rsid w:val="001527A1"/>
    <w:rsid w:val="001530DC"/>
    <w:rsid w:val="00153AB3"/>
    <w:rsid w:val="00154989"/>
    <w:rsid w:val="00154DD0"/>
    <w:rsid w:val="00154E10"/>
    <w:rsid w:val="00155A9F"/>
    <w:rsid w:val="00160262"/>
    <w:rsid w:val="001625CC"/>
    <w:rsid w:val="00163044"/>
    <w:rsid w:val="00164155"/>
    <w:rsid w:val="00164E7C"/>
    <w:rsid w:val="0016780A"/>
    <w:rsid w:val="001713FA"/>
    <w:rsid w:val="00173EBF"/>
    <w:rsid w:val="00175ED3"/>
    <w:rsid w:val="00176AAB"/>
    <w:rsid w:val="00176D58"/>
    <w:rsid w:val="00180C3C"/>
    <w:rsid w:val="00180D1E"/>
    <w:rsid w:val="00180E08"/>
    <w:rsid w:val="001842A2"/>
    <w:rsid w:val="001843CC"/>
    <w:rsid w:val="0018535B"/>
    <w:rsid w:val="00187BD6"/>
    <w:rsid w:val="00187FA8"/>
    <w:rsid w:val="00191AF0"/>
    <w:rsid w:val="00192F5E"/>
    <w:rsid w:val="001955CD"/>
    <w:rsid w:val="00197772"/>
    <w:rsid w:val="001A51C8"/>
    <w:rsid w:val="001A5A16"/>
    <w:rsid w:val="001A7228"/>
    <w:rsid w:val="001B2C3B"/>
    <w:rsid w:val="001B4CA8"/>
    <w:rsid w:val="001B4D61"/>
    <w:rsid w:val="001B5EA1"/>
    <w:rsid w:val="001B5EDC"/>
    <w:rsid w:val="001C4F3D"/>
    <w:rsid w:val="001C6BDA"/>
    <w:rsid w:val="001D0AB3"/>
    <w:rsid w:val="001D0CDC"/>
    <w:rsid w:val="001D1D82"/>
    <w:rsid w:val="001D1EAF"/>
    <w:rsid w:val="001E1182"/>
    <w:rsid w:val="001E75ED"/>
    <w:rsid w:val="001F0C6A"/>
    <w:rsid w:val="001F1137"/>
    <w:rsid w:val="001F53C5"/>
    <w:rsid w:val="001F69BD"/>
    <w:rsid w:val="00202C90"/>
    <w:rsid w:val="0020445D"/>
    <w:rsid w:val="00207379"/>
    <w:rsid w:val="00207590"/>
    <w:rsid w:val="00213DE8"/>
    <w:rsid w:val="00214A10"/>
    <w:rsid w:val="00214FEF"/>
    <w:rsid w:val="00216118"/>
    <w:rsid w:val="002209AB"/>
    <w:rsid w:val="00220DDA"/>
    <w:rsid w:val="002251E3"/>
    <w:rsid w:val="00227A95"/>
    <w:rsid w:val="002316BD"/>
    <w:rsid w:val="00235C8B"/>
    <w:rsid w:val="00235EDC"/>
    <w:rsid w:val="002418A5"/>
    <w:rsid w:val="002473FC"/>
    <w:rsid w:val="00247569"/>
    <w:rsid w:val="0025013B"/>
    <w:rsid w:val="0025028F"/>
    <w:rsid w:val="00251F2A"/>
    <w:rsid w:val="00252E3C"/>
    <w:rsid w:val="00262198"/>
    <w:rsid w:val="002622B6"/>
    <w:rsid w:val="002629E4"/>
    <w:rsid w:val="00265661"/>
    <w:rsid w:val="002728A4"/>
    <w:rsid w:val="002763A0"/>
    <w:rsid w:val="00281353"/>
    <w:rsid w:val="00283A45"/>
    <w:rsid w:val="00284835"/>
    <w:rsid w:val="00284ADA"/>
    <w:rsid w:val="00285F1B"/>
    <w:rsid w:val="00287604"/>
    <w:rsid w:val="00292B81"/>
    <w:rsid w:val="0029710B"/>
    <w:rsid w:val="0029751A"/>
    <w:rsid w:val="002B18AE"/>
    <w:rsid w:val="002C0E14"/>
    <w:rsid w:val="002C1C93"/>
    <w:rsid w:val="002C5066"/>
    <w:rsid w:val="002C5813"/>
    <w:rsid w:val="002C73E8"/>
    <w:rsid w:val="002D13C6"/>
    <w:rsid w:val="002D4AAC"/>
    <w:rsid w:val="002D594F"/>
    <w:rsid w:val="002E13DB"/>
    <w:rsid w:val="002E37BE"/>
    <w:rsid w:val="002E3979"/>
    <w:rsid w:val="002F045A"/>
    <w:rsid w:val="002F0B87"/>
    <w:rsid w:val="002F12D0"/>
    <w:rsid w:val="002F43F5"/>
    <w:rsid w:val="002F67A5"/>
    <w:rsid w:val="0030039D"/>
    <w:rsid w:val="0030114D"/>
    <w:rsid w:val="0030326F"/>
    <w:rsid w:val="00307B51"/>
    <w:rsid w:val="00310701"/>
    <w:rsid w:val="00314C40"/>
    <w:rsid w:val="00315980"/>
    <w:rsid w:val="00316F7F"/>
    <w:rsid w:val="003218E8"/>
    <w:rsid w:val="00325E34"/>
    <w:rsid w:val="00330DCE"/>
    <w:rsid w:val="00331E11"/>
    <w:rsid w:val="00334761"/>
    <w:rsid w:val="00337EBC"/>
    <w:rsid w:val="003407E0"/>
    <w:rsid w:val="00341DCD"/>
    <w:rsid w:val="0034210D"/>
    <w:rsid w:val="0034563E"/>
    <w:rsid w:val="00347683"/>
    <w:rsid w:val="003518D6"/>
    <w:rsid w:val="0035460C"/>
    <w:rsid w:val="003556BD"/>
    <w:rsid w:val="00360F51"/>
    <w:rsid w:val="00365147"/>
    <w:rsid w:val="00365F93"/>
    <w:rsid w:val="0037016E"/>
    <w:rsid w:val="00372214"/>
    <w:rsid w:val="00372908"/>
    <w:rsid w:val="00382E41"/>
    <w:rsid w:val="00383020"/>
    <w:rsid w:val="00384687"/>
    <w:rsid w:val="003862B9"/>
    <w:rsid w:val="00392B34"/>
    <w:rsid w:val="0039325D"/>
    <w:rsid w:val="00394D65"/>
    <w:rsid w:val="00394D7E"/>
    <w:rsid w:val="0039734A"/>
    <w:rsid w:val="003975FD"/>
    <w:rsid w:val="003A38A3"/>
    <w:rsid w:val="003A3B35"/>
    <w:rsid w:val="003B057D"/>
    <w:rsid w:val="003B60CC"/>
    <w:rsid w:val="003B6A1C"/>
    <w:rsid w:val="003C1844"/>
    <w:rsid w:val="003C1B25"/>
    <w:rsid w:val="003C2443"/>
    <w:rsid w:val="003C5DA3"/>
    <w:rsid w:val="003D08A3"/>
    <w:rsid w:val="003D0D1D"/>
    <w:rsid w:val="003D4BCD"/>
    <w:rsid w:val="003D6C2B"/>
    <w:rsid w:val="003E01D8"/>
    <w:rsid w:val="003E0782"/>
    <w:rsid w:val="003E2100"/>
    <w:rsid w:val="003E4571"/>
    <w:rsid w:val="003F5351"/>
    <w:rsid w:val="003F65EE"/>
    <w:rsid w:val="003F684C"/>
    <w:rsid w:val="003F6F5B"/>
    <w:rsid w:val="0040070E"/>
    <w:rsid w:val="004033BB"/>
    <w:rsid w:val="0040342D"/>
    <w:rsid w:val="0040426D"/>
    <w:rsid w:val="00404A70"/>
    <w:rsid w:val="004116FE"/>
    <w:rsid w:val="0041191C"/>
    <w:rsid w:val="0041192D"/>
    <w:rsid w:val="00413EE1"/>
    <w:rsid w:val="00416F23"/>
    <w:rsid w:val="0042128E"/>
    <w:rsid w:val="00432B60"/>
    <w:rsid w:val="00440698"/>
    <w:rsid w:val="00443A01"/>
    <w:rsid w:val="00446EEE"/>
    <w:rsid w:val="004540E2"/>
    <w:rsid w:val="00454454"/>
    <w:rsid w:val="00467924"/>
    <w:rsid w:val="00467E0D"/>
    <w:rsid w:val="004712A5"/>
    <w:rsid w:val="00472495"/>
    <w:rsid w:val="0047266F"/>
    <w:rsid w:val="00476D6B"/>
    <w:rsid w:val="004835FA"/>
    <w:rsid w:val="004840C5"/>
    <w:rsid w:val="0048453A"/>
    <w:rsid w:val="00491090"/>
    <w:rsid w:val="00492C16"/>
    <w:rsid w:val="004A05B5"/>
    <w:rsid w:val="004A0678"/>
    <w:rsid w:val="004A30F7"/>
    <w:rsid w:val="004A48A3"/>
    <w:rsid w:val="004B0D92"/>
    <w:rsid w:val="004B0EC0"/>
    <w:rsid w:val="004B36D0"/>
    <w:rsid w:val="004B48F6"/>
    <w:rsid w:val="004B5326"/>
    <w:rsid w:val="004B5ACF"/>
    <w:rsid w:val="004B6284"/>
    <w:rsid w:val="004B66F1"/>
    <w:rsid w:val="004C3B9A"/>
    <w:rsid w:val="004C3EA0"/>
    <w:rsid w:val="004C40C4"/>
    <w:rsid w:val="004C42AF"/>
    <w:rsid w:val="004C4525"/>
    <w:rsid w:val="004D2EE3"/>
    <w:rsid w:val="004D7B56"/>
    <w:rsid w:val="004E02BE"/>
    <w:rsid w:val="004E18F4"/>
    <w:rsid w:val="004E7333"/>
    <w:rsid w:val="004F0D66"/>
    <w:rsid w:val="004F5128"/>
    <w:rsid w:val="004F7169"/>
    <w:rsid w:val="00500D66"/>
    <w:rsid w:val="00501C06"/>
    <w:rsid w:val="005022B0"/>
    <w:rsid w:val="005037E3"/>
    <w:rsid w:val="00503BC9"/>
    <w:rsid w:val="005052FA"/>
    <w:rsid w:val="005114B1"/>
    <w:rsid w:val="00513A26"/>
    <w:rsid w:val="00514C8E"/>
    <w:rsid w:val="0052027D"/>
    <w:rsid w:val="00525636"/>
    <w:rsid w:val="00531DBF"/>
    <w:rsid w:val="00531EDC"/>
    <w:rsid w:val="00545759"/>
    <w:rsid w:val="00545BE0"/>
    <w:rsid w:val="00546930"/>
    <w:rsid w:val="00554C6A"/>
    <w:rsid w:val="00562E85"/>
    <w:rsid w:val="0056332F"/>
    <w:rsid w:val="005639D7"/>
    <w:rsid w:val="005719B3"/>
    <w:rsid w:val="0057295E"/>
    <w:rsid w:val="005800CE"/>
    <w:rsid w:val="00580519"/>
    <w:rsid w:val="00581C39"/>
    <w:rsid w:val="0058386D"/>
    <w:rsid w:val="00585AE3"/>
    <w:rsid w:val="005903B6"/>
    <w:rsid w:val="0059418A"/>
    <w:rsid w:val="0059485F"/>
    <w:rsid w:val="005A0247"/>
    <w:rsid w:val="005A126E"/>
    <w:rsid w:val="005A452F"/>
    <w:rsid w:val="005A66B5"/>
    <w:rsid w:val="005A680D"/>
    <w:rsid w:val="005A7A87"/>
    <w:rsid w:val="005B140D"/>
    <w:rsid w:val="005C07B8"/>
    <w:rsid w:val="005C1FEA"/>
    <w:rsid w:val="005C2F46"/>
    <w:rsid w:val="005C3495"/>
    <w:rsid w:val="005C67AA"/>
    <w:rsid w:val="005D0666"/>
    <w:rsid w:val="005D3C79"/>
    <w:rsid w:val="005E3491"/>
    <w:rsid w:val="005E3DFC"/>
    <w:rsid w:val="005E47DC"/>
    <w:rsid w:val="005E5942"/>
    <w:rsid w:val="005E60AF"/>
    <w:rsid w:val="005F1DEA"/>
    <w:rsid w:val="005F4D7A"/>
    <w:rsid w:val="005F6A46"/>
    <w:rsid w:val="006030FF"/>
    <w:rsid w:val="00603F95"/>
    <w:rsid w:val="00607380"/>
    <w:rsid w:val="00607FC9"/>
    <w:rsid w:val="006137B1"/>
    <w:rsid w:val="00621264"/>
    <w:rsid w:val="00622FE1"/>
    <w:rsid w:val="0062521C"/>
    <w:rsid w:val="00625455"/>
    <w:rsid w:val="00626A23"/>
    <w:rsid w:val="00630A2B"/>
    <w:rsid w:val="00632DC7"/>
    <w:rsid w:val="006342C8"/>
    <w:rsid w:val="006357FB"/>
    <w:rsid w:val="006406FC"/>
    <w:rsid w:val="006407AD"/>
    <w:rsid w:val="00640E57"/>
    <w:rsid w:val="00645C89"/>
    <w:rsid w:val="00646122"/>
    <w:rsid w:val="00647013"/>
    <w:rsid w:val="00653E16"/>
    <w:rsid w:val="0065515A"/>
    <w:rsid w:val="00657220"/>
    <w:rsid w:val="00657362"/>
    <w:rsid w:val="0066104B"/>
    <w:rsid w:val="00662339"/>
    <w:rsid w:val="00664725"/>
    <w:rsid w:val="006655EE"/>
    <w:rsid w:val="00667C10"/>
    <w:rsid w:val="00667EF4"/>
    <w:rsid w:val="0067066D"/>
    <w:rsid w:val="00670D99"/>
    <w:rsid w:val="006716E2"/>
    <w:rsid w:val="006723CE"/>
    <w:rsid w:val="00674B39"/>
    <w:rsid w:val="00675FD8"/>
    <w:rsid w:val="00676FCA"/>
    <w:rsid w:val="00677177"/>
    <w:rsid w:val="006773DB"/>
    <w:rsid w:val="00680141"/>
    <w:rsid w:val="00684C2E"/>
    <w:rsid w:val="0068612E"/>
    <w:rsid w:val="00687C92"/>
    <w:rsid w:val="00691796"/>
    <w:rsid w:val="0069534E"/>
    <w:rsid w:val="00696625"/>
    <w:rsid w:val="0069669C"/>
    <w:rsid w:val="00696827"/>
    <w:rsid w:val="006A1200"/>
    <w:rsid w:val="006A1422"/>
    <w:rsid w:val="006A32D6"/>
    <w:rsid w:val="006A4F4E"/>
    <w:rsid w:val="006A6C23"/>
    <w:rsid w:val="006A72FA"/>
    <w:rsid w:val="006A7E65"/>
    <w:rsid w:val="006B1374"/>
    <w:rsid w:val="006B14DB"/>
    <w:rsid w:val="006B21C4"/>
    <w:rsid w:val="006B78F0"/>
    <w:rsid w:val="006C4A1A"/>
    <w:rsid w:val="006C6712"/>
    <w:rsid w:val="006C77ED"/>
    <w:rsid w:val="006C7E68"/>
    <w:rsid w:val="006D0393"/>
    <w:rsid w:val="006D1A83"/>
    <w:rsid w:val="006D3EB3"/>
    <w:rsid w:val="006E1CFE"/>
    <w:rsid w:val="006E713B"/>
    <w:rsid w:val="006F02B8"/>
    <w:rsid w:val="006F10C4"/>
    <w:rsid w:val="006F383E"/>
    <w:rsid w:val="006F40E9"/>
    <w:rsid w:val="006F5603"/>
    <w:rsid w:val="006F5EB3"/>
    <w:rsid w:val="006F77EA"/>
    <w:rsid w:val="006F7B87"/>
    <w:rsid w:val="00701400"/>
    <w:rsid w:val="007026F6"/>
    <w:rsid w:val="007037CF"/>
    <w:rsid w:val="00704004"/>
    <w:rsid w:val="00710668"/>
    <w:rsid w:val="00714D9E"/>
    <w:rsid w:val="007160FD"/>
    <w:rsid w:val="007167C0"/>
    <w:rsid w:val="00720481"/>
    <w:rsid w:val="0072474B"/>
    <w:rsid w:val="00733193"/>
    <w:rsid w:val="00733572"/>
    <w:rsid w:val="007340D8"/>
    <w:rsid w:val="00734CD0"/>
    <w:rsid w:val="00735309"/>
    <w:rsid w:val="00740DDF"/>
    <w:rsid w:val="00741B06"/>
    <w:rsid w:val="007430E0"/>
    <w:rsid w:val="00744DDA"/>
    <w:rsid w:val="00745E03"/>
    <w:rsid w:val="00752D45"/>
    <w:rsid w:val="00752F07"/>
    <w:rsid w:val="007561F5"/>
    <w:rsid w:val="007562ED"/>
    <w:rsid w:val="0075732A"/>
    <w:rsid w:val="00757ADA"/>
    <w:rsid w:val="007600F8"/>
    <w:rsid w:val="00760262"/>
    <w:rsid w:val="0076310C"/>
    <w:rsid w:val="00766908"/>
    <w:rsid w:val="00767278"/>
    <w:rsid w:val="0076744F"/>
    <w:rsid w:val="00767BCE"/>
    <w:rsid w:val="00767EFC"/>
    <w:rsid w:val="007707DE"/>
    <w:rsid w:val="00770B5D"/>
    <w:rsid w:val="007752F1"/>
    <w:rsid w:val="00776768"/>
    <w:rsid w:val="007777A6"/>
    <w:rsid w:val="00780046"/>
    <w:rsid w:val="0078187A"/>
    <w:rsid w:val="00786BB7"/>
    <w:rsid w:val="00787556"/>
    <w:rsid w:val="00792B54"/>
    <w:rsid w:val="00793E1C"/>
    <w:rsid w:val="00794ED8"/>
    <w:rsid w:val="007A2573"/>
    <w:rsid w:val="007A4476"/>
    <w:rsid w:val="007B106C"/>
    <w:rsid w:val="007B14C8"/>
    <w:rsid w:val="007B1A4E"/>
    <w:rsid w:val="007B3D05"/>
    <w:rsid w:val="007B5503"/>
    <w:rsid w:val="007B63C6"/>
    <w:rsid w:val="007B68C6"/>
    <w:rsid w:val="007C179C"/>
    <w:rsid w:val="007C21E3"/>
    <w:rsid w:val="007C3FD1"/>
    <w:rsid w:val="007C6BB3"/>
    <w:rsid w:val="007C6D7C"/>
    <w:rsid w:val="007D14B4"/>
    <w:rsid w:val="007D3AD7"/>
    <w:rsid w:val="007E24F6"/>
    <w:rsid w:val="007E3D0F"/>
    <w:rsid w:val="007E412F"/>
    <w:rsid w:val="007E6086"/>
    <w:rsid w:val="007F009E"/>
    <w:rsid w:val="007F2F7E"/>
    <w:rsid w:val="00800F64"/>
    <w:rsid w:val="00801050"/>
    <w:rsid w:val="00802B6D"/>
    <w:rsid w:val="00802F0B"/>
    <w:rsid w:val="00803690"/>
    <w:rsid w:val="00810A67"/>
    <w:rsid w:val="00810CFF"/>
    <w:rsid w:val="00832623"/>
    <w:rsid w:val="00833CF7"/>
    <w:rsid w:val="00834CDE"/>
    <w:rsid w:val="008374E4"/>
    <w:rsid w:val="00842464"/>
    <w:rsid w:val="00844021"/>
    <w:rsid w:val="0084431D"/>
    <w:rsid w:val="00845601"/>
    <w:rsid w:val="00845A2F"/>
    <w:rsid w:val="00846176"/>
    <w:rsid w:val="00851E28"/>
    <w:rsid w:val="00854101"/>
    <w:rsid w:val="00855499"/>
    <w:rsid w:val="00855C5C"/>
    <w:rsid w:val="00857BF2"/>
    <w:rsid w:val="00861A16"/>
    <w:rsid w:val="008679B5"/>
    <w:rsid w:val="00872577"/>
    <w:rsid w:val="0087297E"/>
    <w:rsid w:val="00880D82"/>
    <w:rsid w:val="0088444D"/>
    <w:rsid w:val="00886F26"/>
    <w:rsid w:val="00887B44"/>
    <w:rsid w:val="00892D56"/>
    <w:rsid w:val="0089441B"/>
    <w:rsid w:val="00896F3F"/>
    <w:rsid w:val="008A0759"/>
    <w:rsid w:val="008A2BFE"/>
    <w:rsid w:val="008A3C96"/>
    <w:rsid w:val="008B4019"/>
    <w:rsid w:val="008B65C9"/>
    <w:rsid w:val="008C2204"/>
    <w:rsid w:val="008C2D4A"/>
    <w:rsid w:val="008C6770"/>
    <w:rsid w:val="008D3900"/>
    <w:rsid w:val="008D3B45"/>
    <w:rsid w:val="008D5654"/>
    <w:rsid w:val="008D6E1D"/>
    <w:rsid w:val="008E1D19"/>
    <w:rsid w:val="008E36C1"/>
    <w:rsid w:val="008E3774"/>
    <w:rsid w:val="008E680F"/>
    <w:rsid w:val="008F09E8"/>
    <w:rsid w:val="008F39B4"/>
    <w:rsid w:val="008F4162"/>
    <w:rsid w:val="008F462B"/>
    <w:rsid w:val="008F556D"/>
    <w:rsid w:val="008F6ABF"/>
    <w:rsid w:val="00903E02"/>
    <w:rsid w:val="009043D4"/>
    <w:rsid w:val="00905260"/>
    <w:rsid w:val="00905909"/>
    <w:rsid w:val="009066F6"/>
    <w:rsid w:val="00911A6D"/>
    <w:rsid w:val="00913175"/>
    <w:rsid w:val="00916EDB"/>
    <w:rsid w:val="00920197"/>
    <w:rsid w:val="00920861"/>
    <w:rsid w:val="00921B74"/>
    <w:rsid w:val="00921CF2"/>
    <w:rsid w:val="00922B13"/>
    <w:rsid w:val="009242EF"/>
    <w:rsid w:val="00924B13"/>
    <w:rsid w:val="00925F71"/>
    <w:rsid w:val="00932291"/>
    <w:rsid w:val="00932861"/>
    <w:rsid w:val="0093408E"/>
    <w:rsid w:val="009426EC"/>
    <w:rsid w:val="00942EA2"/>
    <w:rsid w:val="009437E9"/>
    <w:rsid w:val="009449B4"/>
    <w:rsid w:val="009472D8"/>
    <w:rsid w:val="00952DDF"/>
    <w:rsid w:val="00952EC7"/>
    <w:rsid w:val="00955EA3"/>
    <w:rsid w:val="00957C56"/>
    <w:rsid w:val="009610A3"/>
    <w:rsid w:val="00961B2B"/>
    <w:rsid w:val="00963B6A"/>
    <w:rsid w:val="00970950"/>
    <w:rsid w:val="00971890"/>
    <w:rsid w:val="00972663"/>
    <w:rsid w:val="009733CD"/>
    <w:rsid w:val="009750F0"/>
    <w:rsid w:val="00975999"/>
    <w:rsid w:val="00977BF3"/>
    <w:rsid w:val="009812D4"/>
    <w:rsid w:val="00990A1A"/>
    <w:rsid w:val="0099204C"/>
    <w:rsid w:val="009920D8"/>
    <w:rsid w:val="009952F5"/>
    <w:rsid w:val="00997479"/>
    <w:rsid w:val="009A2060"/>
    <w:rsid w:val="009B34D1"/>
    <w:rsid w:val="009B38BE"/>
    <w:rsid w:val="009B3C76"/>
    <w:rsid w:val="009C175E"/>
    <w:rsid w:val="009C3D0F"/>
    <w:rsid w:val="009E1B19"/>
    <w:rsid w:val="009F35E2"/>
    <w:rsid w:val="009F65F9"/>
    <w:rsid w:val="009F6819"/>
    <w:rsid w:val="009F68BA"/>
    <w:rsid w:val="00A0422D"/>
    <w:rsid w:val="00A06277"/>
    <w:rsid w:val="00A079DC"/>
    <w:rsid w:val="00A111C2"/>
    <w:rsid w:val="00A1169B"/>
    <w:rsid w:val="00A14F56"/>
    <w:rsid w:val="00A16022"/>
    <w:rsid w:val="00A16EDF"/>
    <w:rsid w:val="00A250AF"/>
    <w:rsid w:val="00A311D6"/>
    <w:rsid w:val="00A3230B"/>
    <w:rsid w:val="00A338E7"/>
    <w:rsid w:val="00A35CAA"/>
    <w:rsid w:val="00A36E7F"/>
    <w:rsid w:val="00A41E65"/>
    <w:rsid w:val="00A43384"/>
    <w:rsid w:val="00A43E0A"/>
    <w:rsid w:val="00A4483B"/>
    <w:rsid w:val="00A47729"/>
    <w:rsid w:val="00A47FD6"/>
    <w:rsid w:val="00A50A81"/>
    <w:rsid w:val="00A530C7"/>
    <w:rsid w:val="00A55F5B"/>
    <w:rsid w:val="00A60185"/>
    <w:rsid w:val="00A6139F"/>
    <w:rsid w:val="00A65F0B"/>
    <w:rsid w:val="00A661EA"/>
    <w:rsid w:val="00A732DF"/>
    <w:rsid w:val="00A75226"/>
    <w:rsid w:val="00A7559F"/>
    <w:rsid w:val="00A762F9"/>
    <w:rsid w:val="00A77983"/>
    <w:rsid w:val="00A830E5"/>
    <w:rsid w:val="00A870AB"/>
    <w:rsid w:val="00A87135"/>
    <w:rsid w:val="00A87B13"/>
    <w:rsid w:val="00A90B96"/>
    <w:rsid w:val="00A9183B"/>
    <w:rsid w:val="00A9212D"/>
    <w:rsid w:val="00A93280"/>
    <w:rsid w:val="00A951EA"/>
    <w:rsid w:val="00A96349"/>
    <w:rsid w:val="00A975FE"/>
    <w:rsid w:val="00AA2548"/>
    <w:rsid w:val="00AA27F9"/>
    <w:rsid w:val="00AA4502"/>
    <w:rsid w:val="00AA5001"/>
    <w:rsid w:val="00AA58C4"/>
    <w:rsid w:val="00AA6BB6"/>
    <w:rsid w:val="00AA7003"/>
    <w:rsid w:val="00AB11C8"/>
    <w:rsid w:val="00AB4423"/>
    <w:rsid w:val="00AB5BA8"/>
    <w:rsid w:val="00AC0090"/>
    <w:rsid w:val="00AC08A8"/>
    <w:rsid w:val="00AC467B"/>
    <w:rsid w:val="00AC66B4"/>
    <w:rsid w:val="00AC6EA1"/>
    <w:rsid w:val="00AD0105"/>
    <w:rsid w:val="00AD113C"/>
    <w:rsid w:val="00AD1395"/>
    <w:rsid w:val="00AD56C8"/>
    <w:rsid w:val="00AD58F2"/>
    <w:rsid w:val="00AD71DC"/>
    <w:rsid w:val="00AF4616"/>
    <w:rsid w:val="00B01489"/>
    <w:rsid w:val="00B033A8"/>
    <w:rsid w:val="00B0512A"/>
    <w:rsid w:val="00B0529F"/>
    <w:rsid w:val="00B123E6"/>
    <w:rsid w:val="00B1418B"/>
    <w:rsid w:val="00B15ED8"/>
    <w:rsid w:val="00B16E10"/>
    <w:rsid w:val="00B21195"/>
    <w:rsid w:val="00B244B5"/>
    <w:rsid w:val="00B24538"/>
    <w:rsid w:val="00B24B22"/>
    <w:rsid w:val="00B25310"/>
    <w:rsid w:val="00B25784"/>
    <w:rsid w:val="00B25E3D"/>
    <w:rsid w:val="00B32F8F"/>
    <w:rsid w:val="00B3492A"/>
    <w:rsid w:val="00B37DB3"/>
    <w:rsid w:val="00B508A4"/>
    <w:rsid w:val="00B54DE9"/>
    <w:rsid w:val="00B553EC"/>
    <w:rsid w:val="00B55E3F"/>
    <w:rsid w:val="00B6012C"/>
    <w:rsid w:val="00B63C1E"/>
    <w:rsid w:val="00B67CE8"/>
    <w:rsid w:val="00B71D10"/>
    <w:rsid w:val="00B77013"/>
    <w:rsid w:val="00B850C7"/>
    <w:rsid w:val="00B9208A"/>
    <w:rsid w:val="00B93DD0"/>
    <w:rsid w:val="00B96620"/>
    <w:rsid w:val="00B97732"/>
    <w:rsid w:val="00BA1D36"/>
    <w:rsid w:val="00BA57D9"/>
    <w:rsid w:val="00BA65A8"/>
    <w:rsid w:val="00BA6D19"/>
    <w:rsid w:val="00BA7461"/>
    <w:rsid w:val="00BA7A53"/>
    <w:rsid w:val="00BA7DA9"/>
    <w:rsid w:val="00BB36F4"/>
    <w:rsid w:val="00BC4215"/>
    <w:rsid w:val="00BC5B3A"/>
    <w:rsid w:val="00BC7090"/>
    <w:rsid w:val="00BD1A6F"/>
    <w:rsid w:val="00BD6EAB"/>
    <w:rsid w:val="00BE051B"/>
    <w:rsid w:val="00BE0F48"/>
    <w:rsid w:val="00BE0F6A"/>
    <w:rsid w:val="00BE1488"/>
    <w:rsid w:val="00BE3ABB"/>
    <w:rsid w:val="00BE6D3C"/>
    <w:rsid w:val="00BE7695"/>
    <w:rsid w:val="00BE7852"/>
    <w:rsid w:val="00BF15D4"/>
    <w:rsid w:val="00BF6ECF"/>
    <w:rsid w:val="00BF7CEE"/>
    <w:rsid w:val="00BF7DBE"/>
    <w:rsid w:val="00C03880"/>
    <w:rsid w:val="00C05173"/>
    <w:rsid w:val="00C07199"/>
    <w:rsid w:val="00C135CF"/>
    <w:rsid w:val="00C13BE8"/>
    <w:rsid w:val="00C14F7C"/>
    <w:rsid w:val="00C20087"/>
    <w:rsid w:val="00C21EF2"/>
    <w:rsid w:val="00C22069"/>
    <w:rsid w:val="00C2374D"/>
    <w:rsid w:val="00C23C8C"/>
    <w:rsid w:val="00C2683F"/>
    <w:rsid w:val="00C3184D"/>
    <w:rsid w:val="00C4714E"/>
    <w:rsid w:val="00C4780E"/>
    <w:rsid w:val="00C50AC2"/>
    <w:rsid w:val="00C51CCA"/>
    <w:rsid w:val="00C52F7A"/>
    <w:rsid w:val="00C5504F"/>
    <w:rsid w:val="00C57B55"/>
    <w:rsid w:val="00C60350"/>
    <w:rsid w:val="00C63376"/>
    <w:rsid w:val="00C70AC6"/>
    <w:rsid w:val="00C74F97"/>
    <w:rsid w:val="00C8276E"/>
    <w:rsid w:val="00C842AC"/>
    <w:rsid w:val="00C86CCB"/>
    <w:rsid w:val="00C92B5D"/>
    <w:rsid w:val="00C946CC"/>
    <w:rsid w:val="00C96688"/>
    <w:rsid w:val="00C96AEB"/>
    <w:rsid w:val="00CA0723"/>
    <w:rsid w:val="00CB1690"/>
    <w:rsid w:val="00CB53E1"/>
    <w:rsid w:val="00CC0E44"/>
    <w:rsid w:val="00CC1B41"/>
    <w:rsid w:val="00CC3397"/>
    <w:rsid w:val="00CC4365"/>
    <w:rsid w:val="00CD11B0"/>
    <w:rsid w:val="00CD2D9F"/>
    <w:rsid w:val="00CD54D6"/>
    <w:rsid w:val="00CE06E1"/>
    <w:rsid w:val="00CE198A"/>
    <w:rsid w:val="00CE5C2A"/>
    <w:rsid w:val="00CE6B07"/>
    <w:rsid w:val="00CE71C2"/>
    <w:rsid w:val="00CF047C"/>
    <w:rsid w:val="00CF09EB"/>
    <w:rsid w:val="00CF175F"/>
    <w:rsid w:val="00CF2380"/>
    <w:rsid w:val="00CF34E9"/>
    <w:rsid w:val="00CF42D5"/>
    <w:rsid w:val="00CF4EDA"/>
    <w:rsid w:val="00CF6B35"/>
    <w:rsid w:val="00CF7B39"/>
    <w:rsid w:val="00D00C8A"/>
    <w:rsid w:val="00D021CB"/>
    <w:rsid w:val="00D10C5F"/>
    <w:rsid w:val="00D10F1A"/>
    <w:rsid w:val="00D116F8"/>
    <w:rsid w:val="00D14D44"/>
    <w:rsid w:val="00D16C5F"/>
    <w:rsid w:val="00D17596"/>
    <w:rsid w:val="00D21D54"/>
    <w:rsid w:val="00D22640"/>
    <w:rsid w:val="00D23696"/>
    <w:rsid w:val="00D2475A"/>
    <w:rsid w:val="00D26D3A"/>
    <w:rsid w:val="00D32540"/>
    <w:rsid w:val="00D36235"/>
    <w:rsid w:val="00D45EE3"/>
    <w:rsid w:val="00D47EC5"/>
    <w:rsid w:val="00D50618"/>
    <w:rsid w:val="00D509E9"/>
    <w:rsid w:val="00D52BDB"/>
    <w:rsid w:val="00D53B1C"/>
    <w:rsid w:val="00D54DA1"/>
    <w:rsid w:val="00D56382"/>
    <w:rsid w:val="00D61AEE"/>
    <w:rsid w:val="00D67451"/>
    <w:rsid w:val="00D727BF"/>
    <w:rsid w:val="00D7796E"/>
    <w:rsid w:val="00DA1B12"/>
    <w:rsid w:val="00DA54C9"/>
    <w:rsid w:val="00DA6739"/>
    <w:rsid w:val="00DA6CAE"/>
    <w:rsid w:val="00DB1A9E"/>
    <w:rsid w:val="00DB2A14"/>
    <w:rsid w:val="00DB31D6"/>
    <w:rsid w:val="00DB4005"/>
    <w:rsid w:val="00DB4396"/>
    <w:rsid w:val="00DC02D2"/>
    <w:rsid w:val="00DC1229"/>
    <w:rsid w:val="00DC2524"/>
    <w:rsid w:val="00DC34EB"/>
    <w:rsid w:val="00DC5974"/>
    <w:rsid w:val="00DC6D74"/>
    <w:rsid w:val="00DD0FF3"/>
    <w:rsid w:val="00DD1227"/>
    <w:rsid w:val="00DD7A6B"/>
    <w:rsid w:val="00DE22C6"/>
    <w:rsid w:val="00DF1E5B"/>
    <w:rsid w:val="00DF2275"/>
    <w:rsid w:val="00DF28AE"/>
    <w:rsid w:val="00DF2B4E"/>
    <w:rsid w:val="00DF2E5D"/>
    <w:rsid w:val="00DF3F5E"/>
    <w:rsid w:val="00DF53B7"/>
    <w:rsid w:val="00DF5653"/>
    <w:rsid w:val="00DF5905"/>
    <w:rsid w:val="00E003AC"/>
    <w:rsid w:val="00E0046F"/>
    <w:rsid w:val="00E018EF"/>
    <w:rsid w:val="00E038E0"/>
    <w:rsid w:val="00E03D6A"/>
    <w:rsid w:val="00E0596E"/>
    <w:rsid w:val="00E06F66"/>
    <w:rsid w:val="00E07AB7"/>
    <w:rsid w:val="00E12275"/>
    <w:rsid w:val="00E122DC"/>
    <w:rsid w:val="00E12A52"/>
    <w:rsid w:val="00E12A5B"/>
    <w:rsid w:val="00E15085"/>
    <w:rsid w:val="00E15D05"/>
    <w:rsid w:val="00E254DC"/>
    <w:rsid w:val="00E356E5"/>
    <w:rsid w:val="00E36F81"/>
    <w:rsid w:val="00E42E7B"/>
    <w:rsid w:val="00E45765"/>
    <w:rsid w:val="00E5098C"/>
    <w:rsid w:val="00E52A13"/>
    <w:rsid w:val="00E55AB5"/>
    <w:rsid w:val="00E5635A"/>
    <w:rsid w:val="00E60213"/>
    <w:rsid w:val="00E64987"/>
    <w:rsid w:val="00E64C93"/>
    <w:rsid w:val="00E661B2"/>
    <w:rsid w:val="00E74D29"/>
    <w:rsid w:val="00E823CD"/>
    <w:rsid w:val="00E83C74"/>
    <w:rsid w:val="00E83CEE"/>
    <w:rsid w:val="00E8763B"/>
    <w:rsid w:val="00E879EB"/>
    <w:rsid w:val="00E91F18"/>
    <w:rsid w:val="00E9226D"/>
    <w:rsid w:val="00EA1266"/>
    <w:rsid w:val="00EA15F5"/>
    <w:rsid w:val="00EA19FE"/>
    <w:rsid w:val="00EA416C"/>
    <w:rsid w:val="00EA48C9"/>
    <w:rsid w:val="00EA5941"/>
    <w:rsid w:val="00EA76CE"/>
    <w:rsid w:val="00EB2A3E"/>
    <w:rsid w:val="00EB473A"/>
    <w:rsid w:val="00EB60CE"/>
    <w:rsid w:val="00EB7D53"/>
    <w:rsid w:val="00EC050A"/>
    <w:rsid w:val="00EC393E"/>
    <w:rsid w:val="00ED7640"/>
    <w:rsid w:val="00EE1F39"/>
    <w:rsid w:val="00EE3146"/>
    <w:rsid w:val="00EF50BB"/>
    <w:rsid w:val="00EF53FF"/>
    <w:rsid w:val="00EF7AFF"/>
    <w:rsid w:val="00F00192"/>
    <w:rsid w:val="00F012FC"/>
    <w:rsid w:val="00F01DF6"/>
    <w:rsid w:val="00F0268F"/>
    <w:rsid w:val="00F0340D"/>
    <w:rsid w:val="00F059A6"/>
    <w:rsid w:val="00F05F3A"/>
    <w:rsid w:val="00F1189E"/>
    <w:rsid w:val="00F14829"/>
    <w:rsid w:val="00F163AD"/>
    <w:rsid w:val="00F22371"/>
    <w:rsid w:val="00F23756"/>
    <w:rsid w:val="00F2523A"/>
    <w:rsid w:val="00F25FFA"/>
    <w:rsid w:val="00F310D2"/>
    <w:rsid w:val="00F33E32"/>
    <w:rsid w:val="00F36D1D"/>
    <w:rsid w:val="00F36F3D"/>
    <w:rsid w:val="00F4533A"/>
    <w:rsid w:val="00F45BAE"/>
    <w:rsid w:val="00F477BD"/>
    <w:rsid w:val="00F519E9"/>
    <w:rsid w:val="00F52599"/>
    <w:rsid w:val="00F52DA2"/>
    <w:rsid w:val="00F53491"/>
    <w:rsid w:val="00F5534A"/>
    <w:rsid w:val="00F62968"/>
    <w:rsid w:val="00F64D6E"/>
    <w:rsid w:val="00F65A1C"/>
    <w:rsid w:val="00F66F50"/>
    <w:rsid w:val="00F716CE"/>
    <w:rsid w:val="00F732E5"/>
    <w:rsid w:val="00F74590"/>
    <w:rsid w:val="00F77D2C"/>
    <w:rsid w:val="00F82212"/>
    <w:rsid w:val="00F82FF8"/>
    <w:rsid w:val="00F8330D"/>
    <w:rsid w:val="00F84305"/>
    <w:rsid w:val="00F8485C"/>
    <w:rsid w:val="00F87149"/>
    <w:rsid w:val="00F873C1"/>
    <w:rsid w:val="00F87FFE"/>
    <w:rsid w:val="00F91197"/>
    <w:rsid w:val="00F94B3A"/>
    <w:rsid w:val="00F954C9"/>
    <w:rsid w:val="00F96681"/>
    <w:rsid w:val="00F96FBA"/>
    <w:rsid w:val="00F97960"/>
    <w:rsid w:val="00FA363D"/>
    <w:rsid w:val="00FA4CF0"/>
    <w:rsid w:val="00FA5E16"/>
    <w:rsid w:val="00FA5E45"/>
    <w:rsid w:val="00FA61AA"/>
    <w:rsid w:val="00FA69A4"/>
    <w:rsid w:val="00FB1279"/>
    <w:rsid w:val="00FB1495"/>
    <w:rsid w:val="00FB2EFF"/>
    <w:rsid w:val="00FB3112"/>
    <w:rsid w:val="00FB3759"/>
    <w:rsid w:val="00FB6C7E"/>
    <w:rsid w:val="00FC503E"/>
    <w:rsid w:val="00FC67E3"/>
    <w:rsid w:val="00FC74C7"/>
    <w:rsid w:val="00FD1694"/>
    <w:rsid w:val="00FD6EF2"/>
    <w:rsid w:val="00FD7636"/>
    <w:rsid w:val="00FD76A3"/>
    <w:rsid w:val="00FE143F"/>
    <w:rsid w:val="00FE2F77"/>
    <w:rsid w:val="00FE3229"/>
    <w:rsid w:val="00FE74C3"/>
    <w:rsid w:val="00FE760C"/>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31B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C6712"/>
    <w:pPr>
      <w:pBdr>
        <w:bottom w:val="single" w:sz="4" w:space="1" w:color="808080" w:themeColor="background1" w:themeShade="80"/>
      </w:pBdr>
      <w:tabs>
        <w:tab w:val="center" w:pos="4513"/>
        <w:tab w:val="right" w:pos="9026"/>
      </w:tabs>
      <w:spacing w:after="120" w:line="240" w:lineRule="auto"/>
    </w:pPr>
    <w:rPr>
      <w:color w:val="808080" w:themeColor="background1" w:themeShade="80"/>
      <w:sz w:val="16"/>
    </w:rPr>
  </w:style>
  <w:style w:type="character" w:customStyle="1" w:styleId="HeaderChar">
    <w:name w:val="Header Char"/>
    <w:basedOn w:val="DefaultParagraphFont"/>
    <w:link w:val="Header"/>
    <w:rsid w:val="006C6712"/>
    <w:rPr>
      <w:color w:val="808080" w:themeColor="background1" w:themeShade="80"/>
      <w:sz w:val="16"/>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BodyText10">
    <w:name w:val="Body Text1"/>
    <w:basedOn w:val="Normal"/>
    <w:rsid w:val="00972663"/>
    <w:pPr>
      <w:spacing w:after="120" w:line="240" w:lineRule="atLeast"/>
      <w:jc w:val="both"/>
    </w:pPr>
    <w:rPr>
      <w:rFonts w:eastAsia="Times New Roman"/>
      <w:szCs w:val="20"/>
    </w:rPr>
  </w:style>
  <w:style w:type="character" w:styleId="FollowedHyperlink">
    <w:name w:val="FollowedHyperlink"/>
    <w:basedOn w:val="DefaultParagraphFont"/>
    <w:uiPriority w:val="99"/>
    <w:semiHidden/>
    <w:unhideWhenUsed/>
    <w:rsid w:val="008440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34456862">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yperlink" Target="http://www.afma.gov.au/about/corporate-publications/" TargetMode="External"/><Relationship Id="rId39" Type="http://schemas.openxmlformats.org/officeDocument/2006/relationships/hyperlink" Target="http://www.afma.gov.au/sustainability-environment/ecological-risk-management-strategies/" TargetMode="Externa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hyperlink" Target="http://www.afma.gov.au/wp-content/uploads/2014/11/BSCZSF-Bycatch-and-Discarding-Workplan-2015-17.pdf" TargetMode="External"/><Relationship Id="rId42" Type="http://schemas.openxmlformats.org/officeDocument/2006/relationships/hyperlink" Target="http://www.agriculture.gov.au/SiteCollectionDocuments/fisheries/domestic/harvest-strategy-policy/russ.pdf" TargetMode="External"/><Relationship Id="rId47" Type="http://schemas.openxmlformats.org/officeDocument/2006/relationships/hyperlink" Target="http://www.afma.gov.au/sustainability-environment/ecological-risk-management-strategies/" TargetMode="External"/><Relationship Id="rId50" Type="http://schemas.openxmlformats.org/officeDocument/2006/relationships/hyperlink" Target="http://www.frdc.com.au/research/Final_reports/2014-204%20DLD.pdf"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www.afma.gov.au/sustainability-environment/protected-species-management/protected-species-interaction-reports/" TargetMode="External"/><Relationship Id="rId33" Type="http://schemas.openxmlformats.org/officeDocument/2006/relationships/hyperlink" Target="http://www.afma.gov.au/sustainability-environment/ecological-risk-management-strategies/" TargetMode="External"/><Relationship Id="rId38" Type="http://schemas.openxmlformats.org/officeDocument/2006/relationships/hyperlink" Target="http://fish.gov.au/reports/molluscs/scallops/Pages/commercial_scallop.aspx" TargetMode="External"/><Relationship Id="rId46" Type="http://schemas.openxmlformats.org/officeDocument/2006/relationships/hyperlink" Target="http://www.afma.gov.au/wp-content/uploads/2014/11/Ecological-Risk-Assessment-Residual-Risk-BSCZSF-November-2009.pdf"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6.xml"/><Relationship Id="rId29" Type="http://schemas.openxmlformats.org/officeDocument/2006/relationships/hyperlink" Target="http://www.afma.gov.au/wp-content/uploads/2014/08/BSCZSF-Management-Arrangements-2015-Final.pdf" TargetMode="External"/><Relationship Id="rId41" Type="http://schemas.openxmlformats.org/officeDocument/2006/relationships/hyperlink" Target="http://www.afma.gov.au/resources/catch-data/"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environment.gov.au/marine/fisheries/commonwealth/bass-strait" TargetMode="External"/><Relationship Id="rId32" Type="http://schemas.openxmlformats.org/officeDocument/2006/relationships/hyperlink" Target="http://www.afma.gov.au/wp-content/uploads/2014/11/Ecological-Risk-Assessment-Residual-Risk-BSCZSF-November-2009.pdf" TargetMode="External"/><Relationship Id="rId37" Type="http://schemas.openxmlformats.org/officeDocument/2006/relationships/hyperlink" Target="http://www.frdc.com.au/research/Final_reports/2014-204%20DLD.pdf" TargetMode="External"/><Relationship Id="rId40" Type="http://schemas.openxmlformats.org/officeDocument/2006/relationships/hyperlink" Target="http://www.afma.gov.au/wp-content/uploads/2014/11/BSCZSF-Bycatch-and-Discarding-Workplan-2015-17.pdf" TargetMode="External"/><Relationship Id="rId45" Type="http://schemas.openxmlformats.org/officeDocument/2006/relationships/hyperlink" Target="http://www.afma.gov.au/wp-content/uploads/2014/11/Ecological-Risk-Assessment-BSCZSF-June-2007.pdf"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yperlink" Target="http://www.afma.gov.au/fisheries/bass-strait-central-zone-scallop-fishery/" TargetMode="External"/><Relationship Id="rId36" Type="http://schemas.openxmlformats.org/officeDocument/2006/relationships/hyperlink" Target="http://www.afma.gov.au/wp-content/uploads/2016/01/BSCZSF-2015-Survey-Final-Report.pdf" TargetMode="External"/><Relationship Id="rId49" Type="http://schemas.openxmlformats.org/officeDocument/2006/relationships/hyperlink" Target="http://www.tsic.org.au/files/Projects/ebfm/Final_Reporting/Final_Report_EBFM_Project_081013_Web_Version.pdf" TargetMode="Externa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yperlink" Target="http://www.afma.gov.au/wp-content/uploads/2014/11/Ecological-Risk-Assessment-BSCZSF-June-2007.pdf" TargetMode="External"/><Relationship Id="rId44" Type="http://schemas.openxmlformats.org/officeDocument/2006/relationships/hyperlink" Target="http://www.afma.gov.au/wp-content/uploads/2014/11/BSCZSF-Bycatch-and-Discarding-Workplan-2015-17.pdf" TargetMode="External"/><Relationship Id="rId52" Type="http://schemas.openxmlformats.org/officeDocument/2006/relationships/hyperlink" Target="http://nerpmarinebiodiversity2015.report/predicting-benthic-impacts-and-recovery-to-support-biodiversity-management-in-the-south-east-marine-regio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yperlink" Target="http://www.afma.gov.au/sustainability-environment/protected-species-management/protected-species-interaction-reports/" TargetMode="External"/><Relationship Id="rId30" Type="http://schemas.openxmlformats.org/officeDocument/2006/relationships/hyperlink" Target="http://www.afma.gov.au/wp-content/uploads/2014/11/Bass-Strait-Central-Zone-Scallop-Fishery-June-2015-Harvest-Strategy.pdf" TargetMode="External"/><Relationship Id="rId35" Type="http://schemas.openxmlformats.org/officeDocument/2006/relationships/hyperlink" Target="http://data.daff.gov.au/data/warehouse/9aam/fsrXXd9abm_/fsr15d9abm_20151030/02_FishStatus2015BassStraitCentralZoneScallop_1.0.0.pdf" TargetMode="External"/><Relationship Id="rId43" Type="http://schemas.openxmlformats.org/officeDocument/2006/relationships/hyperlink" Target="http://www.afma.gov.au/sustainability-environment/ecological-risk-management-strategies/" TargetMode="External"/><Relationship Id="rId48" Type="http://schemas.openxmlformats.org/officeDocument/2006/relationships/hyperlink" Target="http://www.frdc.com.au/research/Final_reports/2014-204%20DLD.pdf" TargetMode="External"/><Relationship Id="rId8" Type="http://schemas.openxmlformats.org/officeDocument/2006/relationships/endnotes" Target="endnotes.xml"/><Relationship Id="rId51" Type="http://schemas.openxmlformats.org/officeDocument/2006/relationships/hyperlink" Target="http://www.frdc.com.au/research/Final_reports/2014-204%20DL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8F9A1-34C1-4978-AAFF-6DFC2B57204A}">
  <ds:schemaRefs>
    <ds:schemaRef ds:uri="http://schemas.openxmlformats.org/officeDocument/2006/bibliography"/>
  </ds:schemaRefs>
</ds:datastoreItem>
</file>

<file path=customXml/itemProps2.xml><?xml version="1.0" encoding="utf-8"?>
<ds:datastoreItem xmlns:ds="http://schemas.openxmlformats.org/officeDocument/2006/customXml" ds:itemID="{9DF203AE-0AC8-495A-96DB-0260BCFD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A582DB36.dotm</Template>
  <TotalTime>0</TotalTime>
  <Pages>19</Pages>
  <Words>6472</Words>
  <Characters>36895</Characters>
  <Application>Microsoft Office Word</Application>
  <DocSecurity>0</DocSecurity>
  <Lines>858</Lines>
  <Paragraphs>438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theCommonwealth Bass Strait Central Zone Scallop Fishery</dc:title>
  <dc:creator/>
  <cp:lastModifiedBy/>
  <cp:revision>1</cp:revision>
  <dcterms:created xsi:type="dcterms:W3CDTF">2018-08-16T04:06:00Z</dcterms:created>
  <dcterms:modified xsi:type="dcterms:W3CDTF">2018-08-16T04:21:00Z</dcterms:modified>
</cp:coreProperties>
</file>