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E34B1" w14:textId="77777777" w:rsidR="008C7AAA" w:rsidRPr="00F6308F" w:rsidRDefault="008C7AAA" w:rsidP="008C7AAA">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53505D43" wp14:editId="4D16B220">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8"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0398505B" w14:textId="77777777" w:rsidR="008C7AAA" w:rsidRPr="00F6308F" w:rsidRDefault="008C7AAA" w:rsidP="008C7AAA">
      <w:pPr>
        <w:widowControl w:val="0"/>
        <w:tabs>
          <w:tab w:val="left" w:pos="6700"/>
        </w:tabs>
        <w:spacing w:after="120"/>
        <w:jc w:val="center"/>
        <w:rPr>
          <w:b/>
          <w:sz w:val="48"/>
        </w:rPr>
      </w:pPr>
    </w:p>
    <w:p w14:paraId="054F75AC" w14:textId="77777777" w:rsidR="008C7AAA" w:rsidRPr="00F6308F" w:rsidRDefault="008C7AAA" w:rsidP="008C7AAA">
      <w:pPr>
        <w:widowControl w:val="0"/>
        <w:tabs>
          <w:tab w:val="left" w:pos="6700"/>
        </w:tabs>
        <w:spacing w:after="120"/>
        <w:jc w:val="center"/>
        <w:rPr>
          <w:b/>
          <w:sz w:val="48"/>
        </w:rPr>
      </w:pPr>
    </w:p>
    <w:p w14:paraId="54620D51" w14:textId="77777777" w:rsidR="008C7AAA" w:rsidRPr="00F6308F" w:rsidRDefault="008C7AAA" w:rsidP="008C7AAA">
      <w:pPr>
        <w:widowControl w:val="0"/>
        <w:tabs>
          <w:tab w:val="left" w:pos="6700"/>
        </w:tabs>
        <w:spacing w:after="120"/>
        <w:jc w:val="center"/>
        <w:rPr>
          <w:b/>
          <w:sz w:val="48"/>
        </w:rPr>
      </w:pPr>
    </w:p>
    <w:p w14:paraId="50A5C15A" w14:textId="77777777" w:rsidR="008C7AAA" w:rsidRPr="00F6308F" w:rsidRDefault="008C7AAA" w:rsidP="008C7AAA">
      <w:pPr>
        <w:spacing w:after="120"/>
        <w:jc w:val="center"/>
        <w:rPr>
          <w:sz w:val="36"/>
        </w:rPr>
      </w:pPr>
      <w:r w:rsidRPr="00F6308F">
        <w:rPr>
          <w:sz w:val="36"/>
        </w:rPr>
        <w:t>Assess</w:t>
      </w:r>
      <w:bookmarkStart w:id="1" w:name="_GoBack"/>
      <w:bookmarkEnd w:id="1"/>
      <w:r w:rsidRPr="00F6308F">
        <w:rPr>
          <w:sz w:val="36"/>
        </w:rPr>
        <w:t>ment of the</w:t>
      </w:r>
    </w:p>
    <w:p w14:paraId="01F78D3D" w14:textId="10213BC4" w:rsidR="008C7AAA" w:rsidRPr="00F6308F" w:rsidRDefault="008C7AAA" w:rsidP="008C7AAA">
      <w:pPr>
        <w:pStyle w:val="Heading6"/>
        <w:spacing w:after="120"/>
        <w:jc w:val="center"/>
        <w:rPr>
          <w:rFonts w:ascii="Arial" w:hAnsi="Arial"/>
          <w:b w:val="0"/>
          <w:i/>
          <w:sz w:val="36"/>
        </w:rPr>
      </w:pPr>
      <w:r>
        <w:rPr>
          <w:rFonts w:ascii="Arial" w:hAnsi="Arial"/>
          <w:sz w:val="36"/>
        </w:rPr>
        <w:t>Commonwealth Skipjack Tuna Fishery</w:t>
      </w:r>
    </w:p>
    <w:p w14:paraId="10F21416" w14:textId="77777777" w:rsidR="008C7AAA" w:rsidRPr="00F6308F" w:rsidRDefault="008C7AAA" w:rsidP="008C7AAA">
      <w:pPr>
        <w:widowControl w:val="0"/>
        <w:tabs>
          <w:tab w:val="left" w:pos="6700"/>
        </w:tabs>
        <w:spacing w:after="120"/>
        <w:jc w:val="center"/>
        <w:rPr>
          <w:b/>
          <w:sz w:val="48"/>
        </w:rPr>
      </w:pPr>
    </w:p>
    <w:p w14:paraId="31F948F1" w14:textId="77777777" w:rsidR="008C7AAA" w:rsidRPr="00F6308F" w:rsidRDefault="008C7AAA" w:rsidP="008C7AAA">
      <w:pPr>
        <w:widowControl w:val="0"/>
        <w:tabs>
          <w:tab w:val="left" w:pos="6700"/>
        </w:tabs>
        <w:spacing w:after="120"/>
        <w:jc w:val="center"/>
        <w:rPr>
          <w:b/>
          <w:sz w:val="48"/>
        </w:rPr>
      </w:pPr>
    </w:p>
    <w:p w14:paraId="437011D4" w14:textId="77777777" w:rsidR="008C7AAA" w:rsidRPr="00176CE1" w:rsidRDefault="008C7AAA" w:rsidP="008C7AAA">
      <w:pPr>
        <w:widowControl w:val="0"/>
        <w:tabs>
          <w:tab w:val="left" w:pos="6700"/>
        </w:tabs>
        <w:spacing w:after="120"/>
        <w:jc w:val="center"/>
        <w:rPr>
          <w:b/>
          <w:sz w:val="32"/>
        </w:rPr>
      </w:pPr>
    </w:p>
    <w:p w14:paraId="3D68C869" w14:textId="77777777" w:rsidR="008C7AAA" w:rsidRPr="00176CE1" w:rsidRDefault="008C7AAA" w:rsidP="008C7AAA">
      <w:pPr>
        <w:widowControl w:val="0"/>
        <w:tabs>
          <w:tab w:val="left" w:pos="6700"/>
        </w:tabs>
        <w:spacing w:after="120"/>
        <w:jc w:val="center"/>
        <w:rPr>
          <w:b/>
          <w:sz w:val="32"/>
        </w:rPr>
      </w:pPr>
    </w:p>
    <w:p w14:paraId="77DD282D" w14:textId="77777777" w:rsidR="008C7AAA" w:rsidRPr="00176CE1" w:rsidRDefault="008C7AAA" w:rsidP="008C7AAA">
      <w:pPr>
        <w:widowControl w:val="0"/>
        <w:tabs>
          <w:tab w:val="left" w:pos="6700"/>
        </w:tabs>
        <w:spacing w:after="120"/>
        <w:jc w:val="center"/>
        <w:rPr>
          <w:b/>
          <w:sz w:val="32"/>
        </w:rPr>
      </w:pPr>
    </w:p>
    <w:p w14:paraId="7A5B43D9" w14:textId="77777777" w:rsidR="008C7AAA" w:rsidRPr="00176CE1" w:rsidRDefault="008C7AAA" w:rsidP="008C7AAA">
      <w:pPr>
        <w:widowControl w:val="0"/>
        <w:tabs>
          <w:tab w:val="left" w:pos="6700"/>
        </w:tabs>
        <w:spacing w:after="120"/>
        <w:jc w:val="center"/>
        <w:rPr>
          <w:b/>
          <w:sz w:val="32"/>
        </w:rPr>
      </w:pPr>
    </w:p>
    <w:p w14:paraId="1A46E5A1" w14:textId="77777777" w:rsidR="008C7AAA" w:rsidRPr="00176CE1" w:rsidRDefault="008C7AAA" w:rsidP="008C7AAA">
      <w:pPr>
        <w:widowControl w:val="0"/>
        <w:tabs>
          <w:tab w:val="left" w:pos="6700"/>
        </w:tabs>
        <w:spacing w:after="120"/>
        <w:jc w:val="center"/>
        <w:rPr>
          <w:b/>
          <w:sz w:val="32"/>
        </w:rPr>
      </w:pPr>
    </w:p>
    <w:p w14:paraId="2CE40677" w14:textId="77777777" w:rsidR="008C7AAA" w:rsidRPr="00176CE1" w:rsidRDefault="008C7AAA" w:rsidP="008C7AAA">
      <w:pPr>
        <w:widowControl w:val="0"/>
        <w:tabs>
          <w:tab w:val="left" w:pos="6700"/>
        </w:tabs>
        <w:spacing w:after="120"/>
        <w:jc w:val="center"/>
        <w:rPr>
          <w:b/>
          <w:sz w:val="32"/>
        </w:rPr>
      </w:pPr>
    </w:p>
    <w:p w14:paraId="42D8C6D1" w14:textId="77777777" w:rsidR="008C7AAA" w:rsidRPr="00176CE1" w:rsidRDefault="008C7AAA" w:rsidP="008C7AAA">
      <w:pPr>
        <w:widowControl w:val="0"/>
        <w:tabs>
          <w:tab w:val="left" w:pos="6700"/>
        </w:tabs>
        <w:spacing w:after="120"/>
        <w:jc w:val="center"/>
        <w:rPr>
          <w:b/>
          <w:sz w:val="32"/>
        </w:rPr>
      </w:pPr>
    </w:p>
    <w:p w14:paraId="115013A0" w14:textId="77777777" w:rsidR="008C7AAA" w:rsidRPr="00176CE1" w:rsidRDefault="008C7AAA" w:rsidP="008C7AAA">
      <w:pPr>
        <w:widowControl w:val="0"/>
        <w:tabs>
          <w:tab w:val="left" w:pos="6700"/>
        </w:tabs>
        <w:spacing w:after="120"/>
        <w:jc w:val="center"/>
        <w:rPr>
          <w:b/>
          <w:sz w:val="32"/>
        </w:rPr>
      </w:pPr>
    </w:p>
    <w:p w14:paraId="480D907B" w14:textId="77777777" w:rsidR="008C7AAA" w:rsidRPr="00176CE1" w:rsidRDefault="008C7AAA" w:rsidP="008C7AAA">
      <w:pPr>
        <w:widowControl w:val="0"/>
        <w:tabs>
          <w:tab w:val="left" w:pos="6700"/>
        </w:tabs>
        <w:spacing w:after="120"/>
        <w:jc w:val="center"/>
        <w:rPr>
          <w:b/>
          <w:sz w:val="32"/>
        </w:rPr>
      </w:pPr>
    </w:p>
    <w:p w14:paraId="4B6C90BB" w14:textId="77777777" w:rsidR="008C7AAA" w:rsidRPr="00176CE1" w:rsidRDefault="008C7AAA" w:rsidP="008C7AAA">
      <w:pPr>
        <w:widowControl w:val="0"/>
        <w:tabs>
          <w:tab w:val="left" w:pos="6700"/>
        </w:tabs>
        <w:spacing w:after="120"/>
        <w:jc w:val="center"/>
        <w:rPr>
          <w:b/>
          <w:sz w:val="32"/>
        </w:rPr>
      </w:pPr>
    </w:p>
    <w:p w14:paraId="1EF92BCE" w14:textId="77777777" w:rsidR="008C7AAA" w:rsidRPr="00176CE1" w:rsidRDefault="008C7AAA" w:rsidP="008C7AAA">
      <w:pPr>
        <w:widowControl w:val="0"/>
        <w:tabs>
          <w:tab w:val="left" w:pos="6700"/>
        </w:tabs>
        <w:spacing w:after="120"/>
        <w:jc w:val="center"/>
        <w:rPr>
          <w:b/>
          <w:sz w:val="32"/>
        </w:rPr>
      </w:pPr>
    </w:p>
    <w:p w14:paraId="58123774" w14:textId="0CA015A0" w:rsidR="008C7AAA" w:rsidRPr="00F6308F" w:rsidRDefault="008C7AAA" w:rsidP="008C7AAA">
      <w:pPr>
        <w:pStyle w:val="Heading7"/>
        <w:rPr>
          <w:rFonts w:ascii="Arial" w:hAnsi="Arial"/>
          <w:lang w:val="en-AU"/>
        </w:rPr>
      </w:pPr>
      <w:r>
        <w:rPr>
          <w:rFonts w:ascii="Arial" w:hAnsi="Arial"/>
          <w:lang w:val="en-AU"/>
        </w:rPr>
        <w:t>October</w:t>
      </w:r>
      <w:r w:rsidRPr="00176CE1">
        <w:rPr>
          <w:rFonts w:ascii="Arial" w:hAnsi="Arial"/>
          <w:lang w:val="en-AU"/>
        </w:rPr>
        <w:t xml:space="preserve"> 2016</w:t>
      </w:r>
      <w:r>
        <w:rPr>
          <w:rFonts w:ascii="Arial" w:hAnsi="Arial"/>
          <w:lang w:val="en-AU"/>
        </w:rPr>
        <w:t xml:space="preserve"> </w:t>
      </w:r>
    </w:p>
    <w:p w14:paraId="4DE65121" w14:textId="77777777" w:rsidR="008C7AAA" w:rsidRPr="00F6308F" w:rsidRDefault="008C7AAA" w:rsidP="008C7AAA"/>
    <w:p w14:paraId="4A8ABD45" w14:textId="09752B70" w:rsidR="008C7AAA" w:rsidRDefault="008C7AAA" w:rsidP="008C7AAA">
      <w:pPr>
        <w:spacing w:before="60" w:after="0"/>
        <w:rPr>
          <w:sz w:val="20"/>
          <w:szCs w:val="20"/>
        </w:rPr>
      </w:pPr>
      <w:r>
        <w:rPr>
          <w:sz w:val="20"/>
          <w:szCs w:val="20"/>
        </w:rPr>
        <w:br w:type="page"/>
      </w:r>
    </w:p>
    <w:p w14:paraId="6F101564" w14:textId="77777777" w:rsidR="008C7AAA" w:rsidRPr="00574DD7" w:rsidRDefault="008C7AAA" w:rsidP="008C7AAA">
      <w:pPr>
        <w:spacing w:before="60" w:after="0"/>
        <w:rPr>
          <w:sz w:val="20"/>
          <w:szCs w:val="20"/>
        </w:rPr>
      </w:pPr>
    </w:p>
    <w:p w14:paraId="478BCA65" w14:textId="77777777" w:rsidR="008C7AAA" w:rsidRPr="00574DD7" w:rsidRDefault="008C7AAA" w:rsidP="008C7AAA">
      <w:pPr>
        <w:spacing w:before="60" w:after="0"/>
        <w:rPr>
          <w:rStyle w:val="Hyperlink"/>
          <w:rFonts w:eastAsia="Times New Roman"/>
          <w:noProof/>
          <w:color w:val="auto"/>
          <w:sz w:val="20"/>
          <w:szCs w:val="20"/>
          <w:lang w:eastAsia="en-AU"/>
        </w:rPr>
      </w:pPr>
    </w:p>
    <w:p w14:paraId="58E065B9" w14:textId="77777777" w:rsidR="008C7AAA" w:rsidRPr="00574DD7" w:rsidRDefault="008C7AAA" w:rsidP="008C7AAA">
      <w:pPr>
        <w:spacing w:before="60" w:after="0"/>
        <w:rPr>
          <w:rStyle w:val="Hyperlink"/>
          <w:rFonts w:eastAsia="Times New Roman"/>
          <w:noProof/>
          <w:color w:val="auto"/>
          <w:sz w:val="20"/>
          <w:szCs w:val="20"/>
          <w:lang w:eastAsia="en-AU"/>
        </w:rPr>
      </w:pPr>
    </w:p>
    <w:p w14:paraId="33AB4CAA" w14:textId="77777777" w:rsidR="008C7AAA" w:rsidRPr="00574DD7" w:rsidRDefault="008C7AAA" w:rsidP="008C7AAA">
      <w:pPr>
        <w:spacing w:before="60" w:after="0"/>
        <w:rPr>
          <w:rStyle w:val="Hyperlink"/>
          <w:rFonts w:eastAsia="Times New Roman"/>
          <w:noProof/>
          <w:color w:val="auto"/>
          <w:sz w:val="20"/>
          <w:szCs w:val="20"/>
          <w:lang w:eastAsia="en-AU"/>
        </w:rPr>
      </w:pPr>
    </w:p>
    <w:p w14:paraId="4DA8E329" w14:textId="77777777" w:rsidR="008C7AAA" w:rsidRPr="00574DD7" w:rsidRDefault="008C7AAA" w:rsidP="008C7AAA">
      <w:pPr>
        <w:spacing w:before="60" w:after="0"/>
        <w:rPr>
          <w:rStyle w:val="Hyperlink"/>
          <w:rFonts w:eastAsia="Times New Roman"/>
          <w:noProof/>
          <w:color w:val="auto"/>
          <w:sz w:val="20"/>
          <w:szCs w:val="20"/>
          <w:lang w:eastAsia="en-AU"/>
        </w:rPr>
      </w:pPr>
    </w:p>
    <w:p w14:paraId="631F67B8" w14:textId="77777777" w:rsidR="008C7AAA" w:rsidRPr="00574DD7" w:rsidRDefault="008C7AAA" w:rsidP="008C7AAA">
      <w:pPr>
        <w:spacing w:before="60" w:after="0"/>
        <w:rPr>
          <w:rStyle w:val="Hyperlink"/>
          <w:rFonts w:eastAsia="Times New Roman"/>
          <w:noProof/>
          <w:color w:val="auto"/>
          <w:sz w:val="20"/>
          <w:szCs w:val="20"/>
          <w:lang w:eastAsia="en-AU"/>
        </w:rPr>
      </w:pPr>
    </w:p>
    <w:p w14:paraId="46DAF727" w14:textId="77777777" w:rsidR="008C7AAA" w:rsidRPr="00574DD7" w:rsidRDefault="008C7AAA" w:rsidP="008C7AAA">
      <w:pPr>
        <w:spacing w:before="60" w:after="0"/>
        <w:rPr>
          <w:rStyle w:val="Hyperlink"/>
          <w:rFonts w:eastAsia="Times New Roman"/>
          <w:noProof/>
          <w:color w:val="auto"/>
          <w:sz w:val="20"/>
          <w:szCs w:val="20"/>
          <w:lang w:eastAsia="en-AU"/>
        </w:rPr>
      </w:pPr>
    </w:p>
    <w:p w14:paraId="59486FEE" w14:textId="77777777" w:rsidR="008C7AAA" w:rsidRPr="00574DD7" w:rsidRDefault="008C7AAA" w:rsidP="008C7AAA">
      <w:pPr>
        <w:spacing w:before="60" w:after="0"/>
        <w:rPr>
          <w:rStyle w:val="Hyperlink"/>
          <w:rFonts w:eastAsia="Times New Roman"/>
          <w:noProof/>
          <w:color w:val="auto"/>
          <w:sz w:val="20"/>
          <w:szCs w:val="20"/>
          <w:lang w:eastAsia="en-AU"/>
        </w:rPr>
      </w:pPr>
    </w:p>
    <w:p w14:paraId="4AFAD25B" w14:textId="77777777" w:rsidR="008C7AAA" w:rsidRPr="00574DD7" w:rsidRDefault="008C7AAA" w:rsidP="008C7AAA">
      <w:pPr>
        <w:tabs>
          <w:tab w:val="right" w:leader="dot" w:pos="8302"/>
        </w:tabs>
        <w:spacing w:before="60" w:after="0"/>
        <w:rPr>
          <w:noProof/>
          <w:webHidden/>
          <w:sz w:val="20"/>
          <w:szCs w:val="20"/>
        </w:rPr>
      </w:pPr>
    </w:p>
    <w:p w14:paraId="1364BF2F" w14:textId="77777777" w:rsidR="008C7AAA" w:rsidRPr="00574DD7" w:rsidRDefault="008C7AAA" w:rsidP="008C7AAA">
      <w:pPr>
        <w:tabs>
          <w:tab w:val="right" w:leader="dot" w:pos="8302"/>
        </w:tabs>
        <w:spacing w:before="60" w:after="0"/>
        <w:rPr>
          <w:noProof/>
          <w:webHidden/>
          <w:sz w:val="20"/>
          <w:szCs w:val="20"/>
        </w:rPr>
      </w:pPr>
    </w:p>
    <w:p w14:paraId="1B07248D" w14:textId="77777777" w:rsidR="008C7AAA" w:rsidRPr="00574DD7" w:rsidRDefault="008C7AAA" w:rsidP="008C7AAA">
      <w:pPr>
        <w:tabs>
          <w:tab w:val="right" w:leader="dot" w:pos="8302"/>
        </w:tabs>
        <w:spacing w:before="60" w:after="0"/>
        <w:rPr>
          <w:noProof/>
          <w:webHidden/>
          <w:sz w:val="20"/>
          <w:szCs w:val="20"/>
        </w:rPr>
      </w:pPr>
    </w:p>
    <w:p w14:paraId="7C11EAB8" w14:textId="77777777" w:rsidR="008C7AAA" w:rsidRDefault="008C7AAA" w:rsidP="008C7AAA">
      <w:pPr>
        <w:tabs>
          <w:tab w:val="right" w:leader="dot" w:pos="8302"/>
        </w:tabs>
        <w:spacing w:before="60" w:after="0"/>
        <w:rPr>
          <w:noProof/>
          <w:webHidden/>
          <w:sz w:val="20"/>
          <w:szCs w:val="20"/>
        </w:rPr>
      </w:pPr>
    </w:p>
    <w:p w14:paraId="56668935" w14:textId="77777777" w:rsidR="008C7AAA" w:rsidRDefault="008C7AAA" w:rsidP="008C7AAA">
      <w:pPr>
        <w:tabs>
          <w:tab w:val="right" w:leader="dot" w:pos="8302"/>
        </w:tabs>
        <w:spacing w:before="60" w:after="0"/>
        <w:rPr>
          <w:noProof/>
          <w:webHidden/>
          <w:sz w:val="20"/>
          <w:szCs w:val="20"/>
        </w:rPr>
      </w:pPr>
    </w:p>
    <w:p w14:paraId="36AA938A" w14:textId="77777777" w:rsidR="008C7AAA" w:rsidRDefault="008C7AAA" w:rsidP="008C7AAA">
      <w:pPr>
        <w:tabs>
          <w:tab w:val="right" w:leader="dot" w:pos="8302"/>
        </w:tabs>
        <w:spacing w:before="60" w:after="0"/>
        <w:rPr>
          <w:noProof/>
          <w:webHidden/>
          <w:sz w:val="20"/>
          <w:szCs w:val="20"/>
        </w:rPr>
      </w:pPr>
    </w:p>
    <w:p w14:paraId="48EAF471" w14:textId="77777777" w:rsidR="008C7AAA" w:rsidRDefault="008C7AAA" w:rsidP="008C7AAA">
      <w:pPr>
        <w:tabs>
          <w:tab w:val="right" w:leader="dot" w:pos="8302"/>
        </w:tabs>
        <w:spacing w:before="60" w:after="0"/>
        <w:rPr>
          <w:noProof/>
          <w:webHidden/>
          <w:sz w:val="20"/>
          <w:szCs w:val="20"/>
        </w:rPr>
      </w:pPr>
    </w:p>
    <w:p w14:paraId="78B06EAF" w14:textId="77777777" w:rsidR="008C7AAA" w:rsidRDefault="008C7AAA" w:rsidP="008C7AAA">
      <w:pPr>
        <w:tabs>
          <w:tab w:val="right" w:leader="dot" w:pos="8302"/>
        </w:tabs>
        <w:spacing w:before="60" w:after="0"/>
        <w:rPr>
          <w:noProof/>
          <w:webHidden/>
          <w:sz w:val="20"/>
          <w:szCs w:val="20"/>
        </w:rPr>
      </w:pPr>
    </w:p>
    <w:p w14:paraId="23933566" w14:textId="77777777" w:rsidR="008C7AAA" w:rsidRDefault="008C7AAA" w:rsidP="008C7AAA">
      <w:pPr>
        <w:tabs>
          <w:tab w:val="right" w:leader="dot" w:pos="8302"/>
        </w:tabs>
        <w:spacing w:before="60" w:after="0"/>
        <w:rPr>
          <w:noProof/>
          <w:webHidden/>
          <w:sz w:val="20"/>
          <w:szCs w:val="20"/>
        </w:rPr>
      </w:pPr>
    </w:p>
    <w:p w14:paraId="61744D6A" w14:textId="77777777" w:rsidR="008C7AAA" w:rsidRDefault="008C7AAA" w:rsidP="008C7AAA">
      <w:pPr>
        <w:tabs>
          <w:tab w:val="right" w:leader="dot" w:pos="8302"/>
        </w:tabs>
        <w:spacing w:before="60" w:after="0"/>
        <w:rPr>
          <w:noProof/>
          <w:webHidden/>
          <w:sz w:val="20"/>
          <w:szCs w:val="20"/>
        </w:rPr>
      </w:pPr>
    </w:p>
    <w:p w14:paraId="45CAC0A9" w14:textId="77777777" w:rsidR="008C7AAA" w:rsidRDefault="008C7AAA" w:rsidP="008C7AAA">
      <w:pPr>
        <w:tabs>
          <w:tab w:val="right" w:leader="dot" w:pos="8302"/>
        </w:tabs>
        <w:spacing w:before="60" w:after="0"/>
        <w:rPr>
          <w:noProof/>
          <w:webHidden/>
          <w:sz w:val="20"/>
          <w:szCs w:val="20"/>
        </w:rPr>
      </w:pPr>
    </w:p>
    <w:p w14:paraId="0E4DF57B" w14:textId="77777777" w:rsidR="008C7AAA" w:rsidRDefault="008C7AAA" w:rsidP="008C7AAA">
      <w:pPr>
        <w:spacing w:before="60" w:after="0"/>
        <w:rPr>
          <w:sz w:val="20"/>
          <w:szCs w:val="20"/>
        </w:rPr>
      </w:pPr>
    </w:p>
    <w:p w14:paraId="5FCF1A3E" w14:textId="77777777" w:rsidR="008C7AAA" w:rsidRDefault="008C7AAA" w:rsidP="008C7AAA">
      <w:pPr>
        <w:spacing w:before="60" w:after="0"/>
        <w:rPr>
          <w:sz w:val="20"/>
          <w:szCs w:val="20"/>
        </w:rPr>
      </w:pPr>
    </w:p>
    <w:p w14:paraId="272E9CF5" w14:textId="77777777" w:rsidR="008C7AAA" w:rsidRDefault="008C7AAA" w:rsidP="008C7AAA">
      <w:pPr>
        <w:spacing w:before="60" w:after="0"/>
        <w:rPr>
          <w:sz w:val="20"/>
          <w:szCs w:val="20"/>
        </w:rPr>
      </w:pPr>
    </w:p>
    <w:p w14:paraId="42483414" w14:textId="77777777" w:rsidR="008C7AAA" w:rsidRDefault="008C7AAA" w:rsidP="008C7AAA">
      <w:pPr>
        <w:spacing w:before="60" w:after="0"/>
        <w:rPr>
          <w:sz w:val="20"/>
          <w:szCs w:val="20"/>
        </w:rPr>
      </w:pPr>
    </w:p>
    <w:p w14:paraId="6702AB45" w14:textId="77777777" w:rsidR="008C7AAA" w:rsidRDefault="008C7AAA" w:rsidP="008C7AAA">
      <w:pPr>
        <w:spacing w:before="60" w:after="0"/>
        <w:rPr>
          <w:sz w:val="20"/>
          <w:szCs w:val="20"/>
        </w:rPr>
      </w:pPr>
    </w:p>
    <w:p w14:paraId="6C716542" w14:textId="77777777" w:rsidR="008C7AAA" w:rsidRDefault="008C7AAA" w:rsidP="008C7AAA">
      <w:pPr>
        <w:spacing w:before="60" w:after="0"/>
        <w:rPr>
          <w:sz w:val="20"/>
          <w:szCs w:val="20"/>
        </w:rPr>
      </w:pPr>
    </w:p>
    <w:p w14:paraId="55468418" w14:textId="77777777" w:rsidR="008C7AAA" w:rsidRDefault="008C7AAA" w:rsidP="008C7AAA">
      <w:pPr>
        <w:spacing w:before="60" w:after="0"/>
        <w:rPr>
          <w:sz w:val="20"/>
          <w:szCs w:val="20"/>
        </w:rPr>
      </w:pPr>
    </w:p>
    <w:p w14:paraId="0D4674F3" w14:textId="77777777" w:rsidR="008C7AAA" w:rsidRDefault="008C7AAA" w:rsidP="008C7AAA">
      <w:pPr>
        <w:spacing w:before="60" w:after="0"/>
        <w:rPr>
          <w:sz w:val="20"/>
          <w:szCs w:val="20"/>
        </w:rPr>
      </w:pPr>
    </w:p>
    <w:p w14:paraId="630134CA" w14:textId="77777777" w:rsidR="008C7AAA" w:rsidRPr="00574DD7" w:rsidRDefault="008C7AAA" w:rsidP="008C7AAA">
      <w:pPr>
        <w:spacing w:before="60" w:after="0"/>
        <w:rPr>
          <w:sz w:val="20"/>
          <w:szCs w:val="20"/>
        </w:rPr>
      </w:pPr>
    </w:p>
    <w:p w14:paraId="40531129" w14:textId="77777777" w:rsidR="008C7AAA" w:rsidRPr="00480A40" w:rsidRDefault="008C7AAA" w:rsidP="008C7AAA">
      <w:pPr>
        <w:pStyle w:val="NormalWeb"/>
        <w:spacing w:before="60" w:beforeAutospacing="0" w:after="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4DC61B53" w14:textId="77777777" w:rsidR="008C7AAA" w:rsidRPr="00480A40" w:rsidRDefault="008C7AAA" w:rsidP="008C7AAA">
      <w:pPr>
        <w:pStyle w:val="NormalWeb"/>
        <w:spacing w:before="60" w:beforeAutospacing="0" w:after="0" w:afterAutospacing="0"/>
        <w:rPr>
          <w:rFonts w:ascii="Arial" w:hAnsi="Arial" w:cs="Arial"/>
          <w:i/>
          <w:sz w:val="16"/>
          <w:szCs w:val="16"/>
        </w:rPr>
      </w:pPr>
      <w:r>
        <w:rPr>
          <w:rFonts w:ascii="Arial" w:hAnsi="Arial" w:cs="Arial"/>
          <w:noProof/>
          <w:sz w:val="16"/>
          <w:szCs w:val="16"/>
          <w:lang w:val="en-AU" w:eastAsia="en-AU"/>
        </w:rPr>
        <w:drawing>
          <wp:inline distT="0" distB="0" distL="0" distR="0" wp14:anchorId="7ABC46D8" wp14:editId="23F6C8C7">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9"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4413194B" w14:textId="31C37A44" w:rsidR="008C7AAA" w:rsidRPr="008403C4" w:rsidRDefault="008C7AAA" w:rsidP="008C7AAA">
      <w:pPr>
        <w:pStyle w:val="NormalWeb"/>
        <w:spacing w:before="60" w:beforeAutospacing="0" w:after="0" w:afterAutospacing="0"/>
        <w:rPr>
          <w:rFonts w:ascii="Arial" w:hAnsi="Arial" w:cs="Arial"/>
          <w:sz w:val="16"/>
          <w:szCs w:val="16"/>
        </w:rPr>
      </w:pPr>
      <w:r w:rsidRPr="008403C4">
        <w:rPr>
          <w:rFonts w:ascii="Arial" w:hAnsi="Arial" w:cs="Arial"/>
          <w:i/>
          <w:sz w:val="16"/>
          <w:szCs w:val="16"/>
        </w:rPr>
        <w:t xml:space="preserve">Assessment of the </w:t>
      </w:r>
      <w:r>
        <w:rPr>
          <w:rFonts w:ascii="Arial" w:hAnsi="Arial" w:cs="Arial"/>
          <w:i/>
          <w:sz w:val="16"/>
          <w:szCs w:val="16"/>
        </w:rPr>
        <w:t>Commonwealth Skipjack Tuna</w:t>
      </w:r>
      <w:r w:rsidRPr="008403C4">
        <w:rPr>
          <w:rFonts w:ascii="Arial" w:hAnsi="Arial" w:cs="Arial"/>
          <w:i/>
          <w:sz w:val="16"/>
          <w:szCs w:val="16"/>
        </w:rPr>
        <w:t xml:space="preserve"> Fishery </w:t>
      </w:r>
      <w:r>
        <w:rPr>
          <w:rFonts w:ascii="Arial" w:hAnsi="Arial" w:cs="Arial"/>
          <w:i/>
          <w:sz w:val="16"/>
          <w:szCs w:val="16"/>
        </w:rPr>
        <w:t>October</w:t>
      </w:r>
      <w:r w:rsidRPr="008403C4">
        <w:rPr>
          <w:rFonts w:ascii="Arial" w:hAnsi="Arial" w:cs="Arial"/>
          <w:i/>
          <w:sz w:val="16"/>
          <w:szCs w:val="16"/>
        </w:rPr>
        <w:t xml:space="preserve"> 2016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2BBE196E" w14:textId="25D6B473" w:rsidR="008C7AAA" w:rsidRPr="00480A40" w:rsidRDefault="008C7AAA" w:rsidP="008C7AAA">
      <w:pPr>
        <w:pStyle w:val="NormalWeb"/>
        <w:spacing w:before="60" w:beforeAutospacing="0" w:after="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Pr>
          <w:rFonts w:ascii="Arial" w:hAnsi="Arial" w:cs="Arial"/>
          <w:i/>
          <w:sz w:val="16"/>
          <w:szCs w:val="16"/>
        </w:rPr>
        <w:t>Commonwealth Skipjack Tuna</w:t>
      </w:r>
      <w:r w:rsidRPr="008403C4">
        <w:rPr>
          <w:rFonts w:ascii="Arial" w:hAnsi="Arial" w:cs="Arial"/>
          <w:i/>
          <w:sz w:val="16"/>
          <w:szCs w:val="16"/>
        </w:rPr>
        <w:t xml:space="preserve"> Fishery </w:t>
      </w:r>
      <w:r>
        <w:rPr>
          <w:rFonts w:ascii="Arial" w:hAnsi="Arial" w:cs="Arial"/>
          <w:i/>
          <w:sz w:val="16"/>
          <w:szCs w:val="16"/>
        </w:rPr>
        <w:t>October</w:t>
      </w:r>
      <w:r w:rsidRPr="008403C4">
        <w:rPr>
          <w:rFonts w:ascii="Arial" w:hAnsi="Arial" w:cs="Arial"/>
          <w:i/>
          <w:sz w:val="16"/>
          <w:szCs w:val="16"/>
        </w:rPr>
        <w:t xml:space="preserve"> 2016</w:t>
      </w:r>
      <w:r w:rsidRPr="008403C4">
        <w:rPr>
          <w:rFonts w:ascii="Arial" w:hAnsi="Arial" w:cs="Arial"/>
          <w:sz w:val="16"/>
          <w:szCs w:val="16"/>
        </w:rPr>
        <w:t>, Commonwealth of Australia 2016’.</w:t>
      </w:r>
    </w:p>
    <w:p w14:paraId="36E259DE" w14:textId="77777777" w:rsidR="008C7AAA" w:rsidRPr="00F6308F" w:rsidRDefault="008C7AAA" w:rsidP="008C7AAA">
      <w:pPr>
        <w:pStyle w:val="NormalWeb"/>
        <w:spacing w:before="60" w:beforeAutospacing="0" w:after="0" w:afterAutospacing="0"/>
        <w:rPr>
          <w:rFonts w:ascii="Arial" w:hAnsi="Arial" w:cs="Arial"/>
          <w:sz w:val="20"/>
          <w:szCs w:val="20"/>
          <w:lang w:val="en-AU"/>
        </w:rPr>
      </w:pPr>
      <w:r w:rsidRPr="00F6308F">
        <w:rPr>
          <w:rFonts w:ascii="Arial" w:hAnsi="Arial" w:cs="Arial"/>
          <w:sz w:val="20"/>
          <w:szCs w:val="20"/>
          <w:lang w:val="en-AU"/>
        </w:rPr>
        <w:t xml:space="preserve"> </w:t>
      </w:r>
    </w:p>
    <w:p w14:paraId="249E6960" w14:textId="77777777" w:rsidR="008C7AAA" w:rsidRPr="00F6308F" w:rsidRDefault="008C7AAA" w:rsidP="008C7AAA">
      <w:pPr>
        <w:spacing w:before="60" w:after="0"/>
        <w:rPr>
          <w:b/>
          <w:sz w:val="16"/>
          <w:szCs w:val="16"/>
        </w:rPr>
      </w:pPr>
      <w:r w:rsidRPr="00F6308F">
        <w:rPr>
          <w:b/>
          <w:sz w:val="16"/>
          <w:szCs w:val="16"/>
        </w:rPr>
        <w:t>Disclaimer</w:t>
      </w:r>
    </w:p>
    <w:p w14:paraId="6C3D458A" w14:textId="77777777" w:rsidR="008C7AAA" w:rsidRPr="00F6308F" w:rsidRDefault="008C7AAA" w:rsidP="008C7AAA">
      <w:pPr>
        <w:pStyle w:val="NormalWeb"/>
        <w:spacing w:before="60" w:beforeAutospacing="0" w:after="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05A1ABC8" w14:textId="77777777" w:rsidR="008C7AAA" w:rsidRDefault="008C7AAA" w:rsidP="008C7AAA">
      <w:pPr>
        <w:spacing w:before="60" w:after="0"/>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2647D9D2" w14:textId="77777777" w:rsidR="008C7AAA" w:rsidRDefault="008C7AAA" w:rsidP="008C7AAA">
      <w:pPr>
        <w:spacing w:before="60" w:after="0"/>
        <w:rPr>
          <w:sz w:val="16"/>
          <w:szCs w:val="16"/>
        </w:rPr>
      </w:pPr>
    </w:p>
    <w:p w14:paraId="2D7C0FAD" w14:textId="45CF90F3" w:rsidR="008C7AAA" w:rsidRDefault="008C7AAA" w:rsidP="008C7AAA">
      <w:pPr>
        <w:spacing w:before="60" w:after="0"/>
        <w:rPr>
          <w:sz w:val="16"/>
          <w:szCs w:val="16"/>
        </w:rPr>
      </w:pPr>
      <w:r>
        <w:rPr>
          <w:sz w:val="16"/>
          <w:szCs w:val="16"/>
        </w:rPr>
        <w:br w:type="page"/>
      </w:r>
    </w:p>
    <w:p w14:paraId="46F8A2F4" w14:textId="77777777" w:rsidR="008C7AAA" w:rsidRPr="00F6308F" w:rsidRDefault="008C7AAA" w:rsidP="008C7AAA">
      <w:pPr>
        <w:spacing w:before="60" w:after="0"/>
        <w:rPr>
          <w:sz w:val="16"/>
          <w:szCs w:val="16"/>
        </w:rPr>
      </w:pPr>
    </w:p>
    <w:sdt>
      <w:sdtPr>
        <w:rPr>
          <w:b/>
        </w:rPr>
        <w:id w:val="992149566"/>
        <w:docPartObj>
          <w:docPartGallery w:val="Table of Contents"/>
          <w:docPartUnique/>
        </w:docPartObj>
      </w:sdtPr>
      <w:sdtEndPr>
        <w:rPr>
          <w:b w:val="0"/>
          <w:noProof/>
        </w:rPr>
      </w:sdtEndPr>
      <w:sdtContent>
        <w:p w14:paraId="7C10B7C7" w14:textId="77777777" w:rsidR="008C7AAA" w:rsidRPr="00E22088" w:rsidRDefault="008C7AAA" w:rsidP="008C7AAA">
          <w:pPr>
            <w:rPr>
              <w:b/>
            </w:rPr>
          </w:pPr>
          <w:r w:rsidRPr="00E22088">
            <w:rPr>
              <w:b/>
            </w:rPr>
            <w:t>CONTENTS</w:t>
          </w:r>
        </w:p>
        <w:p w14:paraId="28673525" w14:textId="77777777" w:rsidR="008C7AAA" w:rsidRDefault="008C7AAA" w:rsidP="008C7AAA">
          <w:pPr>
            <w:pStyle w:val="TOC1"/>
          </w:pPr>
        </w:p>
        <w:p w14:paraId="660BEF70" w14:textId="77777777" w:rsidR="009A3888" w:rsidRDefault="008C7AAA">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22186624" w:history="1">
            <w:r w:rsidR="009A3888" w:rsidRPr="0038024D">
              <w:rPr>
                <w:rStyle w:val="Hyperlink"/>
              </w:rPr>
              <w:t>Section 1: Summary of the Assessment for the Commonwealth Skipjack Tuna Fishery Against the Guidelines for the Ecologically Sustainable Management of Fisheries (2nd Edition)</w:t>
            </w:r>
            <w:r w:rsidR="009A3888">
              <w:rPr>
                <w:webHidden/>
              </w:rPr>
              <w:tab/>
            </w:r>
            <w:r w:rsidR="009A3888">
              <w:rPr>
                <w:webHidden/>
              </w:rPr>
              <w:fldChar w:fldCharType="begin"/>
            </w:r>
            <w:r w:rsidR="009A3888">
              <w:rPr>
                <w:webHidden/>
              </w:rPr>
              <w:instrText xml:space="preserve"> PAGEREF _Toc522186624 \h </w:instrText>
            </w:r>
            <w:r w:rsidR="009A3888">
              <w:rPr>
                <w:webHidden/>
              </w:rPr>
            </w:r>
            <w:r w:rsidR="009A3888">
              <w:rPr>
                <w:webHidden/>
              </w:rPr>
              <w:fldChar w:fldCharType="separate"/>
            </w:r>
            <w:r w:rsidR="002E6494">
              <w:rPr>
                <w:webHidden/>
              </w:rPr>
              <w:t>4</w:t>
            </w:r>
            <w:r w:rsidR="009A3888">
              <w:rPr>
                <w:webHidden/>
              </w:rPr>
              <w:fldChar w:fldCharType="end"/>
            </w:r>
          </w:hyperlink>
        </w:p>
        <w:p w14:paraId="72ED80FD" w14:textId="77777777" w:rsidR="009A3888" w:rsidRDefault="00A95BFF">
          <w:pPr>
            <w:pStyle w:val="TOC1"/>
            <w:rPr>
              <w:rFonts w:asciiTheme="minorHAnsi" w:eastAsiaTheme="minorEastAsia" w:hAnsiTheme="minorHAnsi" w:cstheme="minorBidi"/>
              <w:sz w:val="22"/>
              <w:szCs w:val="22"/>
            </w:rPr>
          </w:pPr>
          <w:hyperlink w:anchor="_Toc522186625" w:history="1">
            <w:r w:rsidR="009A3888" w:rsidRPr="0038024D">
              <w:rPr>
                <w:rStyle w:val="Hyperlink"/>
              </w:rPr>
              <w:t>Section 2: Detailed Analysis of the Commonwealth Skipjack Tuna Fishery Against the Guidelines for the Ecologically Sustainable Management of Fisheries (2nd Edition)</w:t>
            </w:r>
            <w:r w:rsidR="009A3888">
              <w:rPr>
                <w:webHidden/>
              </w:rPr>
              <w:tab/>
            </w:r>
            <w:r w:rsidR="009A3888">
              <w:rPr>
                <w:webHidden/>
              </w:rPr>
              <w:fldChar w:fldCharType="begin"/>
            </w:r>
            <w:r w:rsidR="009A3888">
              <w:rPr>
                <w:webHidden/>
              </w:rPr>
              <w:instrText xml:space="preserve"> PAGEREF _Toc522186625 \h </w:instrText>
            </w:r>
            <w:r w:rsidR="009A3888">
              <w:rPr>
                <w:webHidden/>
              </w:rPr>
            </w:r>
            <w:r w:rsidR="009A3888">
              <w:rPr>
                <w:webHidden/>
              </w:rPr>
              <w:fldChar w:fldCharType="separate"/>
            </w:r>
            <w:r w:rsidR="002E6494">
              <w:rPr>
                <w:webHidden/>
              </w:rPr>
              <w:t>8</w:t>
            </w:r>
            <w:r w:rsidR="009A3888">
              <w:rPr>
                <w:webHidden/>
              </w:rPr>
              <w:fldChar w:fldCharType="end"/>
            </w:r>
          </w:hyperlink>
        </w:p>
        <w:p w14:paraId="1C7A59EE" w14:textId="77777777" w:rsidR="009A3888" w:rsidRDefault="00A95BFF">
          <w:pPr>
            <w:pStyle w:val="TOC1"/>
            <w:rPr>
              <w:rFonts w:asciiTheme="minorHAnsi" w:eastAsiaTheme="minorEastAsia" w:hAnsiTheme="minorHAnsi" w:cstheme="minorBidi"/>
              <w:sz w:val="22"/>
              <w:szCs w:val="22"/>
            </w:rPr>
          </w:pPr>
          <w:hyperlink w:anchor="_Toc522186626" w:history="1">
            <w:r w:rsidR="009A3888" w:rsidRPr="0038024D">
              <w:rPr>
                <w:rStyle w:val="Hyperlink"/>
              </w:rPr>
              <w:t>Section 3: Assessment of the Commonwealth Skipjack Tuna Fishery Against the Requirements of the EPBC Act</w:t>
            </w:r>
            <w:r w:rsidR="009A3888">
              <w:rPr>
                <w:webHidden/>
              </w:rPr>
              <w:tab/>
            </w:r>
            <w:r w:rsidR="009A3888">
              <w:rPr>
                <w:webHidden/>
              </w:rPr>
              <w:fldChar w:fldCharType="begin"/>
            </w:r>
            <w:r w:rsidR="009A3888">
              <w:rPr>
                <w:webHidden/>
              </w:rPr>
              <w:instrText xml:space="preserve"> PAGEREF _Toc522186626 \h </w:instrText>
            </w:r>
            <w:r w:rsidR="009A3888">
              <w:rPr>
                <w:webHidden/>
              </w:rPr>
            </w:r>
            <w:r w:rsidR="009A3888">
              <w:rPr>
                <w:webHidden/>
              </w:rPr>
              <w:fldChar w:fldCharType="separate"/>
            </w:r>
            <w:r w:rsidR="002E6494">
              <w:rPr>
                <w:webHidden/>
              </w:rPr>
              <w:t>20</w:t>
            </w:r>
            <w:r w:rsidR="009A3888">
              <w:rPr>
                <w:webHidden/>
              </w:rPr>
              <w:fldChar w:fldCharType="end"/>
            </w:r>
          </w:hyperlink>
        </w:p>
        <w:p w14:paraId="209FE1DE" w14:textId="77777777" w:rsidR="008C7AAA" w:rsidRPr="00893305" w:rsidRDefault="008C7AAA" w:rsidP="008C7AAA">
          <w:r w:rsidRPr="00893305">
            <w:rPr>
              <w:b/>
              <w:bCs/>
              <w:noProof/>
            </w:rPr>
            <w:fldChar w:fldCharType="end"/>
          </w:r>
        </w:p>
      </w:sdtContent>
    </w:sdt>
    <w:p w14:paraId="68B549B7" w14:textId="77777777" w:rsidR="008C7AAA" w:rsidRDefault="008C7AAA" w:rsidP="008C7AAA">
      <w:pPr>
        <w:spacing w:after="120" w:line="240" w:lineRule="auto"/>
        <w:rPr>
          <w:rStyle w:val="Emphasis"/>
          <w:rFonts w:cs="Arial"/>
          <w:b/>
          <w:i w:val="0"/>
          <w:iCs w:val="0"/>
          <w:sz w:val="24"/>
          <w:szCs w:val="24"/>
        </w:rPr>
        <w:sectPr w:rsidR="008C7AAA" w:rsidSect="008C7AAA">
          <w:headerReference w:type="even" r:id="rId10"/>
          <w:headerReference w:type="default" r:id="rId11"/>
          <w:footerReference w:type="even" r:id="rId12"/>
          <w:footerReference w:type="default" r:id="rId13"/>
          <w:headerReference w:type="first" r:id="rId14"/>
          <w:footerReference w:type="first" r:id="rId15"/>
          <w:pgSz w:w="11906" w:h="16838"/>
          <w:pgMar w:top="1361" w:right="709" w:bottom="1361" w:left="709" w:header="709" w:footer="57" w:gutter="0"/>
          <w:cols w:space="708"/>
          <w:titlePg/>
          <w:docGrid w:linePitch="360"/>
        </w:sectPr>
      </w:pPr>
    </w:p>
    <w:p w14:paraId="0B3B688A" w14:textId="673521EC" w:rsidR="008C7AAA" w:rsidRPr="0062083D" w:rsidRDefault="008C7AAA" w:rsidP="0062083D">
      <w:pPr>
        <w:pStyle w:val="Heading1"/>
        <w:spacing w:before="60" w:after="60" w:line="240" w:lineRule="auto"/>
      </w:pPr>
      <w:bookmarkStart w:id="2" w:name="_Toc514849743"/>
      <w:bookmarkStart w:id="3" w:name="_Toc522186624"/>
      <w:bookmarkStart w:id="4" w:name="_Toc514848955"/>
      <w:bookmarkStart w:id="5" w:name="_Toc514848956"/>
      <w:r w:rsidRPr="0062083D">
        <w:lastRenderedPageBreak/>
        <w:t>Section 1: Summary of the Assessment for the Commonwealth Skipjack Tuna Fishery Against the Guidelines for the Ecologically Sustainable Management of Fisheries (2nd Edition)</w:t>
      </w:r>
      <w:bookmarkEnd w:id="2"/>
      <w:bookmarkEnd w:id="3"/>
    </w:p>
    <w:bookmarkEnd w:id="4"/>
    <w:bookmarkEnd w:id="5"/>
    <w:p w14:paraId="69FB517F" w14:textId="77777777" w:rsidR="00224154" w:rsidRPr="0062083D" w:rsidRDefault="008E3774" w:rsidP="0062083D">
      <w:pPr>
        <w:spacing w:before="60" w:after="60" w:line="240" w:lineRule="auto"/>
        <w:rPr>
          <w:rStyle w:val="Emphasis"/>
          <w:rFonts w:cs="Arial"/>
          <w:i w:val="0"/>
          <w:iCs w:val="0"/>
          <w:sz w:val="20"/>
          <w:szCs w:val="20"/>
        </w:rPr>
      </w:pPr>
      <w:r w:rsidRPr="0062083D">
        <w:rPr>
          <w:rStyle w:val="Emphasis"/>
          <w:rFonts w:cs="Arial"/>
          <w:b/>
          <w:i w:val="0"/>
          <w:iCs w:val="0"/>
          <w:sz w:val="20"/>
          <w:szCs w:val="20"/>
        </w:rPr>
        <w:t>Purpose</w:t>
      </w:r>
      <w:r w:rsidRPr="0062083D">
        <w:rPr>
          <w:rStyle w:val="Emphasis"/>
          <w:rFonts w:cs="Arial"/>
          <w:i w:val="0"/>
          <w:iCs w:val="0"/>
          <w:sz w:val="20"/>
          <w:szCs w:val="20"/>
        </w:rPr>
        <w:t xml:space="preserve">: </w:t>
      </w:r>
      <w:r w:rsidR="00B16E10" w:rsidRPr="0062083D">
        <w:rPr>
          <w:rStyle w:val="Emphasis"/>
          <w:rFonts w:cs="Arial"/>
          <w:i w:val="0"/>
          <w:iCs w:val="0"/>
          <w:sz w:val="20"/>
          <w:szCs w:val="20"/>
        </w:rPr>
        <w:t>T</w:t>
      </w:r>
      <w:r w:rsidRPr="0062083D">
        <w:rPr>
          <w:rStyle w:val="Emphasis"/>
          <w:rFonts w:cs="Arial"/>
          <w:i w:val="0"/>
          <w:iCs w:val="0"/>
          <w:sz w:val="20"/>
          <w:szCs w:val="20"/>
        </w:rPr>
        <w:t>o enable transparent articulation of which commercial fisheries assessed under the EPBC Act clearly meet all legislative requirements</w:t>
      </w:r>
      <w:r w:rsidR="00B16E10" w:rsidRPr="0062083D">
        <w:rPr>
          <w:rStyle w:val="Emphasis"/>
          <w:rFonts w:cs="Arial"/>
          <w:i w:val="0"/>
          <w:iCs w:val="0"/>
          <w:sz w:val="20"/>
          <w:szCs w:val="20"/>
        </w:rPr>
        <w:t xml:space="preserve"> and all Guidelines, and </w:t>
      </w:r>
      <w:r w:rsidR="00164155" w:rsidRPr="0062083D">
        <w:rPr>
          <w:rStyle w:val="Emphasis"/>
          <w:rFonts w:cs="Arial"/>
          <w:i w:val="0"/>
          <w:iCs w:val="0"/>
          <w:sz w:val="20"/>
          <w:szCs w:val="20"/>
        </w:rPr>
        <w:t xml:space="preserve">those </w:t>
      </w:r>
      <w:r w:rsidR="00B16E10" w:rsidRPr="0062083D">
        <w:rPr>
          <w:rStyle w:val="Emphasis"/>
          <w:rFonts w:cs="Arial"/>
          <w:i w:val="0"/>
          <w:iCs w:val="0"/>
          <w:sz w:val="20"/>
          <w:szCs w:val="20"/>
        </w:rPr>
        <w:t>which may require further investigation or assessment to demonstrate requirements are met.</w:t>
      </w:r>
    </w:p>
    <w:p w14:paraId="69FB5180" w14:textId="05C4E652" w:rsidR="0065374C" w:rsidRPr="0062083D" w:rsidRDefault="0065374C" w:rsidP="0062083D">
      <w:pPr>
        <w:spacing w:before="60" w:after="60" w:line="240" w:lineRule="auto"/>
        <w:rPr>
          <w:rStyle w:val="Emphasis"/>
          <w:rFonts w:cs="Arial"/>
          <w:i w:val="0"/>
          <w:iCs w:val="0"/>
          <w:sz w:val="20"/>
          <w:szCs w:val="20"/>
        </w:rPr>
      </w:pPr>
      <w:r w:rsidRPr="0062083D">
        <w:rPr>
          <w:rStyle w:val="Emphasis"/>
          <w:rFonts w:cs="Arial"/>
          <w:b/>
          <w:i w:val="0"/>
          <w:iCs w:val="0"/>
          <w:sz w:val="20"/>
          <w:szCs w:val="20"/>
        </w:rPr>
        <w:t>Summary</w:t>
      </w:r>
      <w:r w:rsidR="008C7AAA" w:rsidRPr="0062083D">
        <w:rPr>
          <w:rStyle w:val="Emphasis"/>
          <w:rFonts w:cs="Arial"/>
          <w:b/>
          <w:i w:val="0"/>
          <w:iCs w:val="0"/>
          <w:sz w:val="20"/>
          <w:szCs w:val="20"/>
        </w:rPr>
        <w:t xml:space="preserve">: </w:t>
      </w:r>
      <w:r w:rsidRPr="0062083D">
        <w:rPr>
          <w:rStyle w:val="Emphasis"/>
          <w:rFonts w:cs="Arial"/>
          <w:i w:val="0"/>
          <w:iCs w:val="0"/>
          <w:sz w:val="20"/>
          <w:szCs w:val="20"/>
        </w:rPr>
        <w:t>Overview of Skipjack Tuna Fishery against the relevant requirements of the Guidelines and the EPBC Act.</w:t>
      </w:r>
    </w:p>
    <w:tbl>
      <w:tblPr>
        <w:tblStyle w:val="TableGrid"/>
        <w:tblW w:w="5000" w:type="pct"/>
        <w:tblLook w:val="04A0" w:firstRow="1" w:lastRow="0" w:firstColumn="1" w:lastColumn="0" w:noHBand="0" w:noVBand="1"/>
      </w:tblPr>
      <w:tblGrid>
        <w:gridCol w:w="3526"/>
        <w:gridCol w:w="1410"/>
        <w:gridCol w:w="1411"/>
        <w:gridCol w:w="1411"/>
        <w:gridCol w:w="6348"/>
      </w:tblGrid>
      <w:tr w:rsidR="0065374C" w:rsidRPr="0062083D" w14:paraId="69FB5186" w14:textId="77777777" w:rsidTr="009A3888">
        <w:trPr>
          <w:cnfStyle w:val="100000000000" w:firstRow="1" w:lastRow="0" w:firstColumn="0" w:lastColumn="0" w:oddVBand="0" w:evenVBand="0" w:oddHBand="0" w:evenHBand="0" w:firstRowFirstColumn="0" w:firstRowLastColumn="0" w:lastRowFirstColumn="0" w:lastRowLastColumn="0"/>
        </w:trPr>
        <w:tc>
          <w:tcPr>
            <w:tcW w:w="1250" w:type="pct"/>
          </w:tcPr>
          <w:p w14:paraId="69FB5181" w14:textId="091A91B7" w:rsidR="0065374C" w:rsidRPr="0062083D" w:rsidRDefault="008C7AAA" w:rsidP="0062083D">
            <w:pPr>
              <w:spacing w:before="60" w:after="60" w:line="240" w:lineRule="auto"/>
              <w:rPr>
                <w:rFonts w:cs="Arial"/>
                <w:b/>
                <w:sz w:val="20"/>
                <w:szCs w:val="20"/>
              </w:rPr>
            </w:pPr>
            <w:r w:rsidRPr="0062083D">
              <w:rPr>
                <w:rFonts w:cs="Arial"/>
                <w:b/>
                <w:sz w:val="20"/>
                <w:szCs w:val="20"/>
              </w:rPr>
              <w:t>Guidelines</w:t>
            </w:r>
          </w:p>
        </w:tc>
        <w:tc>
          <w:tcPr>
            <w:tcW w:w="500" w:type="pct"/>
            <w:shd w:val="clear" w:color="auto" w:fill="92D050"/>
          </w:tcPr>
          <w:p w14:paraId="69FB5182" w14:textId="77777777" w:rsidR="0065374C" w:rsidRPr="0062083D" w:rsidRDefault="0065374C" w:rsidP="0062083D">
            <w:pPr>
              <w:spacing w:before="60" w:after="60" w:line="240" w:lineRule="auto"/>
              <w:rPr>
                <w:rFonts w:cs="Arial"/>
                <w:b/>
                <w:sz w:val="20"/>
                <w:szCs w:val="20"/>
              </w:rPr>
            </w:pPr>
            <w:r w:rsidRPr="0062083D">
              <w:rPr>
                <w:rFonts w:cs="Arial"/>
                <w:b/>
                <w:sz w:val="20"/>
                <w:szCs w:val="20"/>
              </w:rPr>
              <w:t>Meets</w:t>
            </w:r>
          </w:p>
        </w:tc>
        <w:tc>
          <w:tcPr>
            <w:tcW w:w="500" w:type="pct"/>
            <w:shd w:val="clear" w:color="auto" w:fill="FFC000"/>
          </w:tcPr>
          <w:p w14:paraId="69FB5183" w14:textId="77777777" w:rsidR="0065374C" w:rsidRPr="0062083D" w:rsidRDefault="0065374C" w:rsidP="0062083D">
            <w:pPr>
              <w:spacing w:before="60" w:after="60" w:line="240" w:lineRule="auto"/>
              <w:rPr>
                <w:rFonts w:cs="Arial"/>
                <w:b/>
                <w:sz w:val="20"/>
                <w:szCs w:val="20"/>
              </w:rPr>
            </w:pPr>
            <w:r w:rsidRPr="0062083D">
              <w:rPr>
                <w:rFonts w:cs="Arial"/>
                <w:b/>
                <w:sz w:val="20"/>
                <w:szCs w:val="20"/>
              </w:rPr>
              <w:t>Partially meets</w:t>
            </w:r>
          </w:p>
        </w:tc>
        <w:tc>
          <w:tcPr>
            <w:tcW w:w="500" w:type="pct"/>
            <w:shd w:val="clear" w:color="auto" w:fill="FF0000"/>
          </w:tcPr>
          <w:p w14:paraId="69FB5184" w14:textId="77777777" w:rsidR="0065374C" w:rsidRPr="0062083D" w:rsidRDefault="0065374C" w:rsidP="0062083D">
            <w:pPr>
              <w:spacing w:before="60" w:after="60" w:line="240" w:lineRule="auto"/>
              <w:rPr>
                <w:rFonts w:cs="Arial"/>
                <w:b/>
                <w:sz w:val="20"/>
                <w:szCs w:val="20"/>
              </w:rPr>
            </w:pPr>
            <w:r w:rsidRPr="0062083D">
              <w:rPr>
                <w:rFonts w:cs="Arial"/>
                <w:b/>
                <w:sz w:val="20"/>
                <w:szCs w:val="20"/>
              </w:rPr>
              <w:t>Does not meet</w:t>
            </w:r>
          </w:p>
        </w:tc>
        <w:tc>
          <w:tcPr>
            <w:tcW w:w="2250" w:type="pct"/>
          </w:tcPr>
          <w:p w14:paraId="69FB5185" w14:textId="77777777" w:rsidR="0065374C" w:rsidRPr="0062083D" w:rsidRDefault="0065374C" w:rsidP="0062083D">
            <w:pPr>
              <w:spacing w:before="60" w:after="60" w:line="240" w:lineRule="auto"/>
              <w:rPr>
                <w:rFonts w:cs="Arial"/>
                <w:b/>
                <w:sz w:val="20"/>
                <w:szCs w:val="20"/>
              </w:rPr>
            </w:pPr>
            <w:r w:rsidRPr="0062083D">
              <w:rPr>
                <w:rFonts w:cs="Arial"/>
                <w:b/>
                <w:sz w:val="20"/>
                <w:szCs w:val="20"/>
              </w:rPr>
              <w:t>Details</w:t>
            </w:r>
          </w:p>
        </w:tc>
      </w:tr>
      <w:tr w:rsidR="0065374C" w:rsidRPr="0062083D" w14:paraId="69FB518E" w14:textId="77777777" w:rsidTr="009A3888">
        <w:trPr>
          <w:cnfStyle w:val="000000100000" w:firstRow="0" w:lastRow="0" w:firstColumn="0" w:lastColumn="0" w:oddVBand="0" w:evenVBand="0" w:oddHBand="1" w:evenHBand="0" w:firstRowFirstColumn="0" w:firstRowLastColumn="0" w:lastRowFirstColumn="0" w:lastRowLastColumn="0"/>
        </w:trPr>
        <w:tc>
          <w:tcPr>
            <w:tcW w:w="1250" w:type="pct"/>
          </w:tcPr>
          <w:p w14:paraId="69FB5189" w14:textId="77777777" w:rsidR="0065374C" w:rsidRPr="0062083D" w:rsidRDefault="0065374C" w:rsidP="0062083D">
            <w:pPr>
              <w:spacing w:before="60" w:after="60" w:line="240" w:lineRule="auto"/>
              <w:rPr>
                <w:rFonts w:cs="Arial"/>
                <w:sz w:val="20"/>
                <w:szCs w:val="20"/>
              </w:rPr>
            </w:pPr>
            <w:r w:rsidRPr="0062083D">
              <w:rPr>
                <w:rFonts w:cs="Arial"/>
                <w:sz w:val="20"/>
                <w:szCs w:val="20"/>
              </w:rPr>
              <w:t>Management regime</w:t>
            </w:r>
          </w:p>
        </w:tc>
        <w:tc>
          <w:tcPr>
            <w:tcW w:w="500" w:type="pct"/>
            <w:shd w:val="clear" w:color="auto" w:fill="92D050"/>
          </w:tcPr>
          <w:p w14:paraId="69FB518A" w14:textId="2EA1F020" w:rsidR="0065374C" w:rsidRPr="0062083D" w:rsidRDefault="00AC1143" w:rsidP="0062083D">
            <w:pPr>
              <w:spacing w:before="60" w:after="60" w:line="240" w:lineRule="auto"/>
              <w:rPr>
                <w:rFonts w:cs="Arial"/>
                <w:sz w:val="20"/>
                <w:szCs w:val="20"/>
              </w:rPr>
            </w:pPr>
            <w:r w:rsidRPr="0062083D">
              <w:rPr>
                <w:rFonts w:cs="Arial"/>
                <w:sz w:val="20"/>
                <w:szCs w:val="20"/>
              </w:rPr>
              <w:t>5</w:t>
            </w:r>
            <w:r w:rsidR="00611323" w:rsidRPr="0062083D">
              <w:rPr>
                <w:rFonts w:cs="Arial"/>
                <w:sz w:val="20"/>
                <w:szCs w:val="20"/>
              </w:rPr>
              <w:t xml:space="preserve"> of 9</w:t>
            </w:r>
          </w:p>
        </w:tc>
        <w:tc>
          <w:tcPr>
            <w:tcW w:w="500" w:type="pct"/>
            <w:shd w:val="clear" w:color="auto" w:fill="FFC000"/>
          </w:tcPr>
          <w:p w14:paraId="69FB518B" w14:textId="17C5DBA5" w:rsidR="0065374C" w:rsidRPr="0062083D" w:rsidRDefault="00AC1143" w:rsidP="0062083D">
            <w:pPr>
              <w:spacing w:before="60" w:after="60" w:line="240" w:lineRule="auto"/>
              <w:rPr>
                <w:rFonts w:cs="Arial"/>
                <w:sz w:val="20"/>
                <w:szCs w:val="20"/>
              </w:rPr>
            </w:pPr>
            <w:r w:rsidRPr="0062083D">
              <w:rPr>
                <w:rFonts w:cs="Arial"/>
                <w:sz w:val="20"/>
                <w:szCs w:val="20"/>
              </w:rPr>
              <w:t>4</w:t>
            </w:r>
            <w:r w:rsidR="00611323" w:rsidRPr="0062083D">
              <w:rPr>
                <w:rFonts w:cs="Arial"/>
                <w:sz w:val="20"/>
                <w:szCs w:val="20"/>
              </w:rPr>
              <w:t xml:space="preserve"> of 9</w:t>
            </w:r>
          </w:p>
        </w:tc>
        <w:tc>
          <w:tcPr>
            <w:tcW w:w="500" w:type="pct"/>
            <w:shd w:val="clear" w:color="auto" w:fill="auto"/>
          </w:tcPr>
          <w:p w14:paraId="69FB518C" w14:textId="03DEE448" w:rsidR="0065374C" w:rsidRPr="0062083D" w:rsidRDefault="00AC1143" w:rsidP="0062083D">
            <w:pPr>
              <w:spacing w:before="60" w:after="60" w:line="240" w:lineRule="auto"/>
              <w:rPr>
                <w:rFonts w:cs="Arial"/>
                <w:sz w:val="20"/>
                <w:szCs w:val="20"/>
              </w:rPr>
            </w:pPr>
            <w:r w:rsidRPr="0062083D">
              <w:rPr>
                <w:rFonts w:cs="Arial"/>
                <w:sz w:val="20"/>
                <w:szCs w:val="20"/>
              </w:rPr>
              <w:t>0</w:t>
            </w:r>
          </w:p>
        </w:tc>
        <w:tc>
          <w:tcPr>
            <w:tcW w:w="2250" w:type="pct"/>
          </w:tcPr>
          <w:p w14:paraId="69FB518D" w14:textId="4D314665" w:rsidR="0065374C" w:rsidRPr="0062083D" w:rsidRDefault="003E5C6D" w:rsidP="0062083D">
            <w:pPr>
              <w:spacing w:before="60" w:after="60" w:line="240" w:lineRule="auto"/>
              <w:rPr>
                <w:rFonts w:cs="Arial"/>
                <w:sz w:val="20"/>
                <w:szCs w:val="20"/>
              </w:rPr>
            </w:pPr>
            <w:r w:rsidRPr="0062083D">
              <w:rPr>
                <w:rStyle w:val="Emphasis"/>
                <w:rFonts w:cs="Arial"/>
                <w:i w:val="0"/>
                <w:iCs w:val="0"/>
                <w:sz w:val="20"/>
                <w:szCs w:val="20"/>
              </w:rPr>
              <w:t>T</w:t>
            </w:r>
            <w:r w:rsidR="00A4514C" w:rsidRPr="0062083D">
              <w:rPr>
                <w:rStyle w:val="Emphasis"/>
                <w:rFonts w:cs="Arial"/>
                <w:i w:val="0"/>
                <w:iCs w:val="0"/>
                <w:sz w:val="20"/>
                <w:szCs w:val="20"/>
              </w:rPr>
              <w:t>he current management regime is sufficient while the fishery remains inactive</w:t>
            </w:r>
            <w:r w:rsidRPr="0062083D">
              <w:rPr>
                <w:rStyle w:val="Emphasis"/>
                <w:rFonts w:cs="Arial"/>
                <w:i w:val="0"/>
                <w:iCs w:val="0"/>
                <w:sz w:val="20"/>
                <w:szCs w:val="20"/>
              </w:rPr>
              <w:t xml:space="preserve"> but </w:t>
            </w:r>
            <w:r w:rsidR="00A4514C" w:rsidRPr="0062083D">
              <w:rPr>
                <w:rStyle w:val="Emphasis"/>
                <w:rFonts w:cs="Arial"/>
                <w:i w:val="0"/>
                <w:iCs w:val="0"/>
                <w:sz w:val="20"/>
                <w:szCs w:val="20"/>
              </w:rPr>
              <w:t xml:space="preserve">is unlikely to </w:t>
            </w:r>
            <w:r w:rsidRPr="0062083D">
              <w:rPr>
                <w:rStyle w:val="Emphasis"/>
                <w:rFonts w:cs="Arial"/>
                <w:i w:val="0"/>
                <w:iCs w:val="0"/>
                <w:sz w:val="20"/>
                <w:szCs w:val="20"/>
              </w:rPr>
              <w:t xml:space="preserve">remain so if </w:t>
            </w:r>
            <w:r w:rsidR="00A4514C" w:rsidRPr="0062083D">
              <w:rPr>
                <w:rStyle w:val="Emphasis"/>
                <w:rFonts w:cs="Arial"/>
                <w:i w:val="0"/>
                <w:iCs w:val="0"/>
                <w:sz w:val="20"/>
                <w:szCs w:val="20"/>
              </w:rPr>
              <w:t>fishing effort increase to levels that could fully utilise the total allowable catch.</w:t>
            </w:r>
          </w:p>
        </w:tc>
      </w:tr>
      <w:tr w:rsidR="0065374C" w:rsidRPr="0062083D" w14:paraId="69FB5195" w14:textId="77777777" w:rsidTr="009A3888">
        <w:trPr>
          <w:cnfStyle w:val="000000010000" w:firstRow="0" w:lastRow="0" w:firstColumn="0" w:lastColumn="0" w:oddVBand="0" w:evenVBand="0" w:oddHBand="0" w:evenHBand="1" w:firstRowFirstColumn="0" w:firstRowLastColumn="0" w:lastRowFirstColumn="0" w:lastRowLastColumn="0"/>
        </w:trPr>
        <w:tc>
          <w:tcPr>
            <w:tcW w:w="1250" w:type="pct"/>
          </w:tcPr>
          <w:p w14:paraId="69FB518F" w14:textId="77777777" w:rsidR="0065374C" w:rsidRPr="0062083D" w:rsidRDefault="0065374C" w:rsidP="0062083D">
            <w:pPr>
              <w:spacing w:before="60" w:after="60" w:line="240" w:lineRule="auto"/>
              <w:rPr>
                <w:rFonts w:cs="Arial"/>
                <w:sz w:val="20"/>
                <w:szCs w:val="20"/>
              </w:rPr>
            </w:pPr>
            <w:r w:rsidRPr="0062083D">
              <w:rPr>
                <w:rFonts w:cs="Arial"/>
                <w:sz w:val="20"/>
                <w:szCs w:val="20"/>
              </w:rPr>
              <w:t>Principle 1 (target stocks)</w:t>
            </w:r>
          </w:p>
        </w:tc>
        <w:tc>
          <w:tcPr>
            <w:tcW w:w="500" w:type="pct"/>
            <w:shd w:val="clear" w:color="auto" w:fill="92D050"/>
          </w:tcPr>
          <w:p w14:paraId="69FB5190" w14:textId="520A310F" w:rsidR="0065374C" w:rsidRPr="0062083D" w:rsidRDefault="00DB7BDD" w:rsidP="0062083D">
            <w:pPr>
              <w:spacing w:before="60" w:after="60" w:line="240" w:lineRule="auto"/>
              <w:rPr>
                <w:rFonts w:cs="Arial"/>
                <w:sz w:val="20"/>
                <w:szCs w:val="20"/>
              </w:rPr>
            </w:pPr>
            <w:r w:rsidRPr="0062083D">
              <w:rPr>
                <w:rFonts w:cs="Arial"/>
                <w:sz w:val="20"/>
                <w:szCs w:val="20"/>
              </w:rPr>
              <w:t>6</w:t>
            </w:r>
            <w:r w:rsidR="00611323" w:rsidRPr="0062083D">
              <w:rPr>
                <w:rFonts w:cs="Arial"/>
                <w:sz w:val="20"/>
                <w:szCs w:val="20"/>
              </w:rPr>
              <w:t xml:space="preserve"> of 9</w:t>
            </w:r>
          </w:p>
        </w:tc>
        <w:tc>
          <w:tcPr>
            <w:tcW w:w="500" w:type="pct"/>
            <w:shd w:val="clear" w:color="auto" w:fill="FFC000"/>
          </w:tcPr>
          <w:p w14:paraId="69FB5191" w14:textId="0766178C" w:rsidR="0065374C" w:rsidRPr="0062083D" w:rsidRDefault="00DB7BDD" w:rsidP="0062083D">
            <w:pPr>
              <w:spacing w:before="60" w:after="60" w:line="240" w:lineRule="auto"/>
              <w:rPr>
                <w:rFonts w:cs="Arial"/>
                <w:sz w:val="20"/>
                <w:szCs w:val="20"/>
              </w:rPr>
            </w:pPr>
            <w:r w:rsidRPr="0062083D">
              <w:rPr>
                <w:rFonts w:cs="Arial"/>
                <w:sz w:val="20"/>
                <w:szCs w:val="20"/>
              </w:rPr>
              <w:t>3</w:t>
            </w:r>
            <w:r w:rsidR="00611323" w:rsidRPr="0062083D">
              <w:rPr>
                <w:rFonts w:cs="Arial"/>
                <w:sz w:val="20"/>
                <w:szCs w:val="20"/>
              </w:rPr>
              <w:t xml:space="preserve"> of 9</w:t>
            </w:r>
          </w:p>
        </w:tc>
        <w:tc>
          <w:tcPr>
            <w:tcW w:w="500" w:type="pct"/>
            <w:shd w:val="clear" w:color="auto" w:fill="auto"/>
          </w:tcPr>
          <w:p w14:paraId="69FB5192" w14:textId="4B511E63" w:rsidR="0065374C" w:rsidRPr="0062083D" w:rsidRDefault="00AC1143" w:rsidP="0062083D">
            <w:pPr>
              <w:spacing w:before="60" w:after="60" w:line="240" w:lineRule="auto"/>
              <w:rPr>
                <w:rFonts w:cs="Arial"/>
                <w:sz w:val="20"/>
                <w:szCs w:val="20"/>
              </w:rPr>
            </w:pPr>
            <w:r w:rsidRPr="0062083D">
              <w:rPr>
                <w:rFonts w:cs="Arial"/>
                <w:sz w:val="20"/>
                <w:szCs w:val="20"/>
              </w:rPr>
              <w:t>0</w:t>
            </w:r>
          </w:p>
        </w:tc>
        <w:tc>
          <w:tcPr>
            <w:tcW w:w="2250" w:type="pct"/>
          </w:tcPr>
          <w:p w14:paraId="6A22C931" w14:textId="77777777" w:rsidR="003E5C6D" w:rsidRPr="0062083D" w:rsidRDefault="001704F6" w:rsidP="0062083D">
            <w:pPr>
              <w:spacing w:before="60" w:after="60" w:line="240" w:lineRule="auto"/>
              <w:rPr>
                <w:rFonts w:cs="Arial"/>
                <w:sz w:val="20"/>
                <w:szCs w:val="20"/>
              </w:rPr>
            </w:pPr>
            <w:r w:rsidRPr="0062083D">
              <w:rPr>
                <w:rFonts w:cs="Arial"/>
                <w:sz w:val="20"/>
                <w:szCs w:val="20"/>
              </w:rPr>
              <w:t>The domestic fishery is not overfished or subject to overfishing</w:t>
            </w:r>
            <w:r w:rsidR="00E07F9A" w:rsidRPr="0062083D">
              <w:rPr>
                <w:rFonts w:cs="Arial"/>
                <w:sz w:val="20"/>
                <w:szCs w:val="20"/>
              </w:rPr>
              <w:t xml:space="preserve"> and there is no risk of this while the fishery remains inactive.</w:t>
            </w:r>
          </w:p>
          <w:p w14:paraId="69FB5193" w14:textId="538D3E82" w:rsidR="0065374C" w:rsidRPr="0062083D" w:rsidRDefault="00E07F9A" w:rsidP="0062083D">
            <w:pPr>
              <w:spacing w:before="60" w:after="60" w:line="240" w:lineRule="auto"/>
              <w:rPr>
                <w:rFonts w:cs="Arial"/>
                <w:sz w:val="20"/>
                <w:szCs w:val="20"/>
              </w:rPr>
            </w:pPr>
            <w:r w:rsidRPr="0062083D">
              <w:rPr>
                <w:rFonts w:cs="Arial"/>
                <w:sz w:val="20"/>
                <w:szCs w:val="20"/>
              </w:rPr>
              <w:t>However</w:t>
            </w:r>
            <w:r w:rsidR="001704F6" w:rsidRPr="0062083D">
              <w:rPr>
                <w:rFonts w:cs="Arial"/>
                <w:sz w:val="20"/>
                <w:szCs w:val="20"/>
              </w:rPr>
              <w:t xml:space="preserve"> domestic management arrangements do not appear sufficient to constrain catches and manage localised depletion if fishing resumes and expands to its potential.</w:t>
            </w:r>
          </w:p>
          <w:p w14:paraId="69FB5194" w14:textId="77777777" w:rsidR="001704F6" w:rsidRPr="0062083D" w:rsidRDefault="001704F6" w:rsidP="0062083D">
            <w:pPr>
              <w:spacing w:before="60" w:after="60" w:line="240" w:lineRule="auto"/>
              <w:rPr>
                <w:rFonts w:cs="Arial"/>
                <w:sz w:val="20"/>
                <w:szCs w:val="20"/>
              </w:rPr>
            </w:pPr>
            <w:r w:rsidRPr="0062083D">
              <w:rPr>
                <w:rFonts w:cs="Arial"/>
                <w:sz w:val="20"/>
                <w:szCs w:val="20"/>
              </w:rPr>
              <w:t>International management</w:t>
            </w:r>
            <w:r w:rsidR="00E07F9A" w:rsidRPr="0062083D">
              <w:rPr>
                <w:rFonts w:cs="Arial"/>
                <w:sz w:val="20"/>
                <w:szCs w:val="20"/>
              </w:rPr>
              <w:t xml:space="preserve">, </w:t>
            </w:r>
            <w:r w:rsidRPr="0062083D">
              <w:rPr>
                <w:rFonts w:cs="Arial"/>
                <w:sz w:val="20"/>
                <w:szCs w:val="20"/>
              </w:rPr>
              <w:t xml:space="preserve">appears relatively robust, </w:t>
            </w:r>
            <w:r w:rsidR="00E07F9A" w:rsidRPr="0062083D">
              <w:rPr>
                <w:rFonts w:cs="Arial"/>
                <w:sz w:val="20"/>
                <w:szCs w:val="20"/>
              </w:rPr>
              <w:t>but has some uncertainty</w:t>
            </w:r>
            <w:r w:rsidRPr="0062083D">
              <w:rPr>
                <w:rFonts w:cs="Arial"/>
                <w:sz w:val="20"/>
                <w:szCs w:val="20"/>
              </w:rPr>
              <w:t xml:space="preserve"> around </w:t>
            </w:r>
            <w:r w:rsidR="00E07F9A" w:rsidRPr="0062083D">
              <w:rPr>
                <w:rFonts w:cs="Arial"/>
                <w:sz w:val="20"/>
                <w:szCs w:val="20"/>
              </w:rPr>
              <w:t xml:space="preserve">its </w:t>
            </w:r>
            <w:r w:rsidRPr="0062083D">
              <w:rPr>
                <w:rFonts w:cs="Arial"/>
                <w:sz w:val="20"/>
                <w:szCs w:val="20"/>
              </w:rPr>
              <w:t>data</w:t>
            </w:r>
            <w:r w:rsidR="00E07F9A" w:rsidRPr="0062083D">
              <w:rPr>
                <w:rFonts w:cs="Arial"/>
                <w:sz w:val="20"/>
                <w:szCs w:val="20"/>
              </w:rPr>
              <w:t xml:space="preserve"> collection program</w:t>
            </w:r>
            <w:r w:rsidRPr="0062083D">
              <w:rPr>
                <w:rFonts w:cs="Arial"/>
                <w:sz w:val="20"/>
                <w:szCs w:val="20"/>
              </w:rPr>
              <w:t>.</w:t>
            </w:r>
          </w:p>
        </w:tc>
      </w:tr>
      <w:tr w:rsidR="0065374C" w:rsidRPr="0062083D" w14:paraId="69FB519C" w14:textId="77777777" w:rsidTr="009A3888">
        <w:trPr>
          <w:cnfStyle w:val="000000100000" w:firstRow="0" w:lastRow="0" w:firstColumn="0" w:lastColumn="0" w:oddVBand="0" w:evenVBand="0" w:oddHBand="1" w:evenHBand="0" w:firstRowFirstColumn="0" w:firstRowLastColumn="0" w:lastRowFirstColumn="0" w:lastRowLastColumn="0"/>
        </w:trPr>
        <w:tc>
          <w:tcPr>
            <w:tcW w:w="1250" w:type="pct"/>
          </w:tcPr>
          <w:p w14:paraId="69FB5196" w14:textId="77777777" w:rsidR="0065374C" w:rsidRPr="0062083D" w:rsidRDefault="0065374C" w:rsidP="0062083D">
            <w:pPr>
              <w:spacing w:before="60" w:after="60" w:line="240" w:lineRule="auto"/>
              <w:rPr>
                <w:rFonts w:cs="Arial"/>
                <w:sz w:val="20"/>
                <w:szCs w:val="20"/>
              </w:rPr>
            </w:pPr>
            <w:r w:rsidRPr="0062083D">
              <w:rPr>
                <w:rFonts w:cs="Arial"/>
                <w:sz w:val="20"/>
                <w:szCs w:val="20"/>
              </w:rPr>
              <w:t>Principle 2 (bycatch and TEPS)</w:t>
            </w:r>
          </w:p>
        </w:tc>
        <w:tc>
          <w:tcPr>
            <w:tcW w:w="500" w:type="pct"/>
            <w:shd w:val="clear" w:color="auto" w:fill="92D050"/>
          </w:tcPr>
          <w:p w14:paraId="69FB5197" w14:textId="3F9E5ACF" w:rsidR="0065374C" w:rsidRPr="0062083D" w:rsidRDefault="00506D17" w:rsidP="0062083D">
            <w:pPr>
              <w:spacing w:before="60" w:after="60" w:line="240" w:lineRule="auto"/>
              <w:rPr>
                <w:rFonts w:cs="Arial"/>
                <w:sz w:val="20"/>
                <w:szCs w:val="20"/>
              </w:rPr>
            </w:pPr>
            <w:r w:rsidRPr="0062083D">
              <w:rPr>
                <w:rFonts w:cs="Arial"/>
                <w:sz w:val="20"/>
                <w:szCs w:val="20"/>
              </w:rPr>
              <w:t>8</w:t>
            </w:r>
            <w:r w:rsidR="00611323" w:rsidRPr="0062083D">
              <w:rPr>
                <w:rFonts w:cs="Arial"/>
                <w:sz w:val="20"/>
                <w:szCs w:val="20"/>
              </w:rPr>
              <w:t xml:space="preserve"> of 8</w:t>
            </w:r>
          </w:p>
        </w:tc>
        <w:tc>
          <w:tcPr>
            <w:tcW w:w="500" w:type="pct"/>
            <w:shd w:val="clear" w:color="auto" w:fill="auto"/>
          </w:tcPr>
          <w:p w14:paraId="69FB5198" w14:textId="4136C5ED" w:rsidR="0065374C" w:rsidRPr="0062083D" w:rsidRDefault="00506D17" w:rsidP="0062083D">
            <w:pPr>
              <w:spacing w:before="60" w:after="60" w:line="240" w:lineRule="auto"/>
              <w:rPr>
                <w:rFonts w:cs="Arial"/>
                <w:sz w:val="20"/>
                <w:szCs w:val="20"/>
              </w:rPr>
            </w:pPr>
            <w:r w:rsidRPr="0062083D">
              <w:rPr>
                <w:rFonts w:cs="Arial"/>
                <w:sz w:val="20"/>
                <w:szCs w:val="20"/>
              </w:rPr>
              <w:t>0</w:t>
            </w:r>
          </w:p>
        </w:tc>
        <w:tc>
          <w:tcPr>
            <w:tcW w:w="500" w:type="pct"/>
            <w:shd w:val="clear" w:color="auto" w:fill="auto"/>
          </w:tcPr>
          <w:p w14:paraId="69FB5199" w14:textId="69B337F6" w:rsidR="0065374C" w:rsidRPr="0062083D" w:rsidRDefault="00AC1143" w:rsidP="0062083D">
            <w:pPr>
              <w:spacing w:before="60" w:after="60" w:line="240" w:lineRule="auto"/>
              <w:rPr>
                <w:rFonts w:cs="Arial"/>
                <w:sz w:val="20"/>
                <w:szCs w:val="20"/>
              </w:rPr>
            </w:pPr>
            <w:r w:rsidRPr="0062083D">
              <w:rPr>
                <w:rFonts w:cs="Arial"/>
                <w:sz w:val="20"/>
                <w:szCs w:val="20"/>
              </w:rPr>
              <w:t>0</w:t>
            </w:r>
          </w:p>
        </w:tc>
        <w:tc>
          <w:tcPr>
            <w:tcW w:w="2250" w:type="pct"/>
          </w:tcPr>
          <w:p w14:paraId="69FB519A" w14:textId="77777777" w:rsidR="00894730" w:rsidRPr="0062083D" w:rsidRDefault="00894730" w:rsidP="0062083D">
            <w:pPr>
              <w:spacing w:before="60" w:after="60" w:line="240" w:lineRule="auto"/>
              <w:rPr>
                <w:rFonts w:cs="Arial"/>
                <w:sz w:val="20"/>
                <w:szCs w:val="20"/>
              </w:rPr>
            </w:pPr>
            <w:r w:rsidRPr="0062083D">
              <w:rPr>
                <w:rFonts w:cs="Arial"/>
                <w:sz w:val="20"/>
                <w:szCs w:val="20"/>
              </w:rPr>
              <w:t>Bycatch is managed using catch limits but is generally low.</w:t>
            </w:r>
          </w:p>
          <w:p w14:paraId="69FB519B" w14:textId="42432E7E" w:rsidR="0065374C" w:rsidRPr="0062083D" w:rsidRDefault="001704F6" w:rsidP="0062083D">
            <w:pPr>
              <w:spacing w:before="60" w:after="60" w:line="240" w:lineRule="auto"/>
              <w:rPr>
                <w:rFonts w:cs="Arial"/>
                <w:sz w:val="20"/>
                <w:szCs w:val="20"/>
              </w:rPr>
            </w:pPr>
            <w:r w:rsidRPr="0062083D">
              <w:rPr>
                <w:rFonts w:cs="Arial"/>
                <w:sz w:val="20"/>
                <w:szCs w:val="20"/>
              </w:rPr>
              <w:t xml:space="preserve">Twenty-five species of marine mammals have been identified </w:t>
            </w:r>
            <w:r w:rsidR="00E555F8" w:rsidRPr="0062083D">
              <w:rPr>
                <w:rFonts w:cs="Arial"/>
                <w:sz w:val="20"/>
                <w:szCs w:val="20"/>
              </w:rPr>
              <w:t xml:space="preserve">as high risk </w:t>
            </w:r>
            <w:r w:rsidRPr="0062083D">
              <w:rPr>
                <w:rFonts w:cs="Arial"/>
                <w:sz w:val="20"/>
                <w:szCs w:val="20"/>
              </w:rPr>
              <w:t xml:space="preserve">through the </w:t>
            </w:r>
            <w:r w:rsidR="0065374C" w:rsidRPr="0062083D">
              <w:rPr>
                <w:rFonts w:cs="Arial"/>
                <w:sz w:val="20"/>
                <w:szCs w:val="20"/>
              </w:rPr>
              <w:t>ERA</w:t>
            </w:r>
            <w:r w:rsidRPr="0062083D">
              <w:rPr>
                <w:rFonts w:cs="Arial"/>
                <w:sz w:val="20"/>
                <w:szCs w:val="20"/>
              </w:rPr>
              <w:t xml:space="preserve"> but </w:t>
            </w:r>
            <w:r w:rsidR="00894730" w:rsidRPr="0062083D">
              <w:rPr>
                <w:rFonts w:cs="Arial"/>
                <w:sz w:val="20"/>
                <w:szCs w:val="20"/>
              </w:rPr>
              <w:t xml:space="preserve">no interactions have been reported in logbook or observer data to date. Risk </w:t>
            </w:r>
            <w:r w:rsidR="0082579E" w:rsidRPr="0062083D">
              <w:rPr>
                <w:rFonts w:cs="Arial"/>
                <w:sz w:val="20"/>
                <w:szCs w:val="20"/>
              </w:rPr>
              <w:t>management</w:t>
            </w:r>
            <w:r w:rsidR="00894730" w:rsidRPr="0062083D">
              <w:rPr>
                <w:rFonts w:cs="Arial"/>
                <w:sz w:val="20"/>
                <w:szCs w:val="20"/>
              </w:rPr>
              <w:t xml:space="preserve"> is focussed on monitoring and responding to any interactions but does not prescribe any specific arrangements to avoid interactions.</w:t>
            </w:r>
          </w:p>
        </w:tc>
      </w:tr>
      <w:tr w:rsidR="0065374C" w:rsidRPr="0062083D" w14:paraId="69FB51A2" w14:textId="77777777" w:rsidTr="009A3888">
        <w:trPr>
          <w:cnfStyle w:val="000000010000" w:firstRow="0" w:lastRow="0" w:firstColumn="0" w:lastColumn="0" w:oddVBand="0" w:evenVBand="0" w:oddHBand="0" w:evenHBand="1" w:firstRowFirstColumn="0" w:firstRowLastColumn="0" w:lastRowFirstColumn="0" w:lastRowLastColumn="0"/>
        </w:trPr>
        <w:tc>
          <w:tcPr>
            <w:tcW w:w="1250" w:type="pct"/>
          </w:tcPr>
          <w:p w14:paraId="69FB519D" w14:textId="77777777" w:rsidR="0065374C" w:rsidRPr="0062083D" w:rsidRDefault="0065374C" w:rsidP="0062083D">
            <w:pPr>
              <w:spacing w:before="60" w:after="60" w:line="240" w:lineRule="auto"/>
              <w:rPr>
                <w:rFonts w:cs="Arial"/>
                <w:sz w:val="20"/>
                <w:szCs w:val="20"/>
              </w:rPr>
            </w:pPr>
            <w:r w:rsidRPr="0062083D">
              <w:rPr>
                <w:rFonts w:cs="Arial"/>
                <w:sz w:val="20"/>
                <w:szCs w:val="20"/>
              </w:rPr>
              <w:t>Principle 2 (ecosystem impacts)</w:t>
            </w:r>
          </w:p>
        </w:tc>
        <w:tc>
          <w:tcPr>
            <w:tcW w:w="500" w:type="pct"/>
            <w:shd w:val="clear" w:color="auto" w:fill="92D050"/>
          </w:tcPr>
          <w:p w14:paraId="69FB519E" w14:textId="19F54670" w:rsidR="0065374C" w:rsidRPr="0062083D" w:rsidRDefault="00AC1143" w:rsidP="0062083D">
            <w:pPr>
              <w:spacing w:before="60" w:after="60" w:line="240" w:lineRule="auto"/>
              <w:rPr>
                <w:rFonts w:cs="Arial"/>
                <w:sz w:val="20"/>
                <w:szCs w:val="20"/>
              </w:rPr>
            </w:pPr>
            <w:r w:rsidRPr="0062083D">
              <w:rPr>
                <w:rFonts w:cs="Arial"/>
                <w:sz w:val="20"/>
                <w:szCs w:val="20"/>
              </w:rPr>
              <w:t>5</w:t>
            </w:r>
            <w:r w:rsidR="00611323" w:rsidRPr="0062083D">
              <w:rPr>
                <w:rFonts w:cs="Arial"/>
                <w:sz w:val="20"/>
                <w:szCs w:val="20"/>
              </w:rPr>
              <w:t xml:space="preserve"> of 5</w:t>
            </w:r>
          </w:p>
        </w:tc>
        <w:tc>
          <w:tcPr>
            <w:tcW w:w="500" w:type="pct"/>
            <w:shd w:val="clear" w:color="auto" w:fill="auto"/>
          </w:tcPr>
          <w:p w14:paraId="69FB519F" w14:textId="093B9B8D" w:rsidR="0065374C" w:rsidRPr="0062083D" w:rsidRDefault="00AC1143" w:rsidP="0062083D">
            <w:pPr>
              <w:spacing w:before="60" w:after="60" w:line="240" w:lineRule="auto"/>
              <w:rPr>
                <w:rFonts w:cs="Arial"/>
                <w:sz w:val="20"/>
                <w:szCs w:val="20"/>
              </w:rPr>
            </w:pPr>
            <w:r w:rsidRPr="0062083D">
              <w:rPr>
                <w:rFonts w:cs="Arial"/>
                <w:sz w:val="20"/>
                <w:szCs w:val="20"/>
              </w:rPr>
              <w:t>0</w:t>
            </w:r>
          </w:p>
        </w:tc>
        <w:tc>
          <w:tcPr>
            <w:tcW w:w="500" w:type="pct"/>
            <w:shd w:val="clear" w:color="auto" w:fill="auto"/>
          </w:tcPr>
          <w:p w14:paraId="69FB51A0" w14:textId="11544BBB" w:rsidR="0065374C" w:rsidRPr="0062083D" w:rsidRDefault="00AC1143" w:rsidP="0062083D">
            <w:pPr>
              <w:spacing w:before="60" w:after="60" w:line="240" w:lineRule="auto"/>
              <w:rPr>
                <w:rFonts w:cs="Arial"/>
                <w:sz w:val="20"/>
                <w:szCs w:val="20"/>
              </w:rPr>
            </w:pPr>
            <w:r w:rsidRPr="0062083D">
              <w:rPr>
                <w:rFonts w:cs="Arial"/>
                <w:sz w:val="20"/>
                <w:szCs w:val="20"/>
              </w:rPr>
              <w:t>0</w:t>
            </w:r>
          </w:p>
        </w:tc>
        <w:tc>
          <w:tcPr>
            <w:tcW w:w="2250" w:type="pct"/>
          </w:tcPr>
          <w:p w14:paraId="69FB51A1" w14:textId="1C422FCC" w:rsidR="0065374C" w:rsidRPr="0062083D" w:rsidRDefault="00894730" w:rsidP="0062083D">
            <w:pPr>
              <w:spacing w:before="60" w:after="60" w:line="240" w:lineRule="auto"/>
              <w:rPr>
                <w:rFonts w:cs="Arial"/>
                <w:sz w:val="20"/>
                <w:szCs w:val="20"/>
              </w:rPr>
            </w:pPr>
            <w:r w:rsidRPr="0062083D">
              <w:rPr>
                <w:rFonts w:cs="Arial"/>
                <w:sz w:val="20"/>
                <w:szCs w:val="20"/>
              </w:rPr>
              <w:t xml:space="preserve">Ecological risk assessments have been completed and a risk </w:t>
            </w:r>
            <w:r w:rsidR="0082579E" w:rsidRPr="0062083D">
              <w:rPr>
                <w:rFonts w:cs="Arial"/>
                <w:sz w:val="20"/>
                <w:szCs w:val="20"/>
              </w:rPr>
              <w:t>management</w:t>
            </w:r>
            <w:r w:rsidRPr="0062083D">
              <w:rPr>
                <w:rFonts w:cs="Arial"/>
                <w:sz w:val="20"/>
                <w:szCs w:val="20"/>
              </w:rPr>
              <w:t xml:space="preserve"> strategy is in place.</w:t>
            </w:r>
          </w:p>
        </w:tc>
      </w:tr>
      <w:tr w:rsidR="0065374C" w:rsidRPr="0062083D" w14:paraId="69FB51A4" w14:textId="77777777" w:rsidTr="009A3888">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69FB51A3" w14:textId="35F198D5" w:rsidR="0065374C" w:rsidRPr="0062083D" w:rsidRDefault="0065374C" w:rsidP="0062083D">
            <w:pPr>
              <w:spacing w:before="60" w:after="60" w:line="240" w:lineRule="auto"/>
              <w:rPr>
                <w:rFonts w:cs="Arial"/>
                <w:b/>
                <w:sz w:val="20"/>
                <w:szCs w:val="20"/>
              </w:rPr>
            </w:pPr>
            <w:r w:rsidRPr="0062083D">
              <w:rPr>
                <w:rFonts w:cs="Arial"/>
                <w:b/>
                <w:sz w:val="20"/>
                <w:szCs w:val="20"/>
              </w:rPr>
              <w:t>EPBC requirements</w:t>
            </w:r>
          </w:p>
        </w:tc>
      </w:tr>
      <w:tr w:rsidR="009A3888" w:rsidRPr="0062083D" w14:paraId="5CE948BE" w14:textId="77777777" w:rsidTr="002D37D1">
        <w:trPr>
          <w:cnfStyle w:val="000000010000" w:firstRow="0" w:lastRow="0" w:firstColumn="0" w:lastColumn="0" w:oddVBand="0" w:evenVBand="0" w:oddHBand="0" w:evenHBand="1" w:firstRowFirstColumn="0" w:firstRowLastColumn="0" w:lastRowFirstColumn="0" w:lastRowLastColumn="0"/>
        </w:trPr>
        <w:tc>
          <w:tcPr>
            <w:tcW w:w="1250" w:type="pct"/>
          </w:tcPr>
          <w:p w14:paraId="558E871B" w14:textId="77777777" w:rsidR="009A3888" w:rsidRPr="0062083D" w:rsidRDefault="009A3888" w:rsidP="002D37D1">
            <w:pPr>
              <w:spacing w:before="60" w:after="60" w:line="240" w:lineRule="auto"/>
              <w:rPr>
                <w:rFonts w:cs="Arial"/>
                <w:sz w:val="20"/>
                <w:szCs w:val="20"/>
              </w:rPr>
            </w:pPr>
            <w:r w:rsidRPr="0062083D">
              <w:rPr>
                <w:rFonts w:cs="Arial"/>
                <w:sz w:val="20"/>
                <w:szCs w:val="20"/>
              </w:rPr>
              <w:t>Part 12</w:t>
            </w:r>
          </w:p>
        </w:tc>
        <w:tc>
          <w:tcPr>
            <w:tcW w:w="500" w:type="pct"/>
            <w:shd w:val="clear" w:color="auto" w:fill="92D050"/>
          </w:tcPr>
          <w:p w14:paraId="57E208A0" w14:textId="77777777" w:rsidR="009A3888" w:rsidRPr="0062083D" w:rsidRDefault="009A3888" w:rsidP="002D37D1">
            <w:pPr>
              <w:spacing w:before="60" w:after="60" w:line="240" w:lineRule="auto"/>
              <w:rPr>
                <w:rFonts w:cs="Arial"/>
                <w:sz w:val="20"/>
                <w:szCs w:val="20"/>
              </w:rPr>
            </w:pPr>
            <w:r w:rsidRPr="0062083D">
              <w:rPr>
                <w:rFonts w:cs="Arial"/>
                <w:sz w:val="20"/>
                <w:szCs w:val="20"/>
              </w:rPr>
              <w:t>1 of 1</w:t>
            </w:r>
          </w:p>
        </w:tc>
        <w:tc>
          <w:tcPr>
            <w:tcW w:w="500" w:type="pct"/>
            <w:shd w:val="clear" w:color="auto" w:fill="auto"/>
          </w:tcPr>
          <w:p w14:paraId="1571B898" w14:textId="77777777" w:rsidR="009A3888" w:rsidRPr="0062083D" w:rsidRDefault="009A3888" w:rsidP="002D37D1">
            <w:pPr>
              <w:spacing w:before="60" w:after="60" w:line="240" w:lineRule="auto"/>
              <w:rPr>
                <w:rFonts w:cs="Arial"/>
                <w:sz w:val="20"/>
                <w:szCs w:val="20"/>
              </w:rPr>
            </w:pPr>
            <w:r w:rsidRPr="0062083D">
              <w:rPr>
                <w:rFonts w:cs="Arial"/>
                <w:sz w:val="20"/>
                <w:szCs w:val="20"/>
              </w:rPr>
              <w:t>0</w:t>
            </w:r>
          </w:p>
        </w:tc>
        <w:tc>
          <w:tcPr>
            <w:tcW w:w="500" w:type="pct"/>
            <w:shd w:val="clear" w:color="auto" w:fill="auto"/>
          </w:tcPr>
          <w:p w14:paraId="46C36A39" w14:textId="77777777" w:rsidR="009A3888" w:rsidRPr="0062083D" w:rsidRDefault="009A3888" w:rsidP="002D37D1">
            <w:pPr>
              <w:spacing w:before="60" w:after="60" w:line="240" w:lineRule="auto"/>
              <w:rPr>
                <w:rFonts w:cs="Arial"/>
                <w:sz w:val="20"/>
                <w:szCs w:val="20"/>
              </w:rPr>
            </w:pPr>
            <w:r w:rsidRPr="0062083D">
              <w:rPr>
                <w:rFonts w:cs="Arial"/>
                <w:sz w:val="20"/>
                <w:szCs w:val="20"/>
              </w:rPr>
              <w:t>0</w:t>
            </w:r>
          </w:p>
        </w:tc>
        <w:tc>
          <w:tcPr>
            <w:tcW w:w="2250" w:type="pct"/>
          </w:tcPr>
          <w:p w14:paraId="51CEDFBA" w14:textId="77777777" w:rsidR="009A3888" w:rsidRPr="0062083D" w:rsidRDefault="009A3888" w:rsidP="002D37D1">
            <w:pPr>
              <w:spacing w:before="60" w:after="60" w:line="240" w:lineRule="auto"/>
              <w:rPr>
                <w:rFonts w:cs="Arial"/>
                <w:sz w:val="20"/>
                <w:szCs w:val="20"/>
              </w:rPr>
            </w:pPr>
            <w:r w:rsidRPr="0062083D">
              <w:rPr>
                <w:rFonts w:cs="Arial"/>
                <w:sz w:val="20"/>
                <w:szCs w:val="20"/>
              </w:rPr>
              <w:t>The fishery is not likely to compromise any of the values identified in relevant marine bioregional plans.</w:t>
            </w:r>
          </w:p>
          <w:p w14:paraId="0869C64E" w14:textId="77777777" w:rsidR="009A3888" w:rsidRPr="0062083D" w:rsidRDefault="009A3888" w:rsidP="002D37D1">
            <w:pPr>
              <w:spacing w:before="60" w:after="60" w:line="240" w:lineRule="auto"/>
              <w:rPr>
                <w:rFonts w:cs="Arial"/>
                <w:sz w:val="20"/>
                <w:szCs w:val="20"/>
              </w:rPr>
            </w:pPr>
            <w:r w:rsidRPr="0062083D">
              <w:rPr>
                <w:rFonts w:cs="Arial"/>
                <w:sz w:val="20"/>
                <w:szCs w:val="20"/>
              </w:rPr>
              <w:t>The fishery spans six marine bioregions. Ecological risks have been assessed and are managed in accordance with AFMA’s ecological risk management strategy.</w:t>
            </w:r>
          </w:p>
        </w:tc>
      </w:tr>
      <w:tr w:rsidR="0065374C" w:rsidRPr="0062083D" w14:paraId="69FB51AC" w14:textId="77777777" w:rsidTr="009A3888">
        <w:trPr>
          <w:cnfStyle w:val="000000100000" w:firstRow="0" w:lastRow="0" w:firstColumn="0" w:lastColumn="0" w:oddVBand="0" w:evenVBand="0" w:oddHBand="1" w:evenHBand="0" w:firstRowFirstColumn="0" w:firstRowLastColumn="0" w:lastRowFirstColumn="0" w:lastRowLastColumn="0"/>
        </w:trPr>
        <w:tc>
          <w:tcPr>
            <w:tcW w:w="1250" w:type="pct"/>
          </w:tcPr>
          <w:p w14:paraId="69FB51A5" w14:textId="77777777" w:rsidR="0065374C" w:rsidRPr="0062083D" w:rsidRDefault="0065374C" w:rsidP="0062083D">
            <w:pPr>
              <w:spacing w:before="60" w:after="60" w:line="240" w:lineRule="auto"/>
              <w:rPr>
                <w:rFonts w:cs="Arial"/>
                <w:sz w:val="20"/>
                <w:szCs w:val="20"/>
              </w:rPr>
            </w:pPr>
            <w:r w:rsidRPr="0062083D">
              <w:rPr>
                <w:rFonts w:cs="Arial"/>
                <w:sz w:val="20"/>
                <w:szCs w:val="20"/>
              </w:rPr>
              <w:t>Part 13</w:t>
            </w:r>
          </w:p>
        </w:tc>
        <w:tc>
          <w:tcPr>
            <w:tcW w:w="500" w:type="pct"/>
            <w:shd w:val="clear" w:color="auto" w:fill="92D050"/>
          </w:tcPr>
          <w:p w14:paraId="69FB51A6" w14:textId="0983C522" w:rsidR="0065374C" w:rsidRPr="0062083D" w:rsidRDefault="00AC1143" w:rsidP="0062083D">
            <w:pPr>
              <w:spacing w:before="60" w:after="60" w:line="240" w:lineRule="auto"/>
              <w:rPr>
                <w:rFonts w:cs="Arial"/>
                <w:sz w:val="20"/>
                <w:szCs w:val="20"/>
              </w:rPr>
            </w:pPr>
            <w:r w:rsidRPr="0062083D">
              <w:rPr>
                <w:rFonts w:cs="Arial"/>
                <w:sz w:val="20"/>
                <w:szCs w:val="20"/>
              </w:rPr>
              <w:t>10</w:t>
            </w:r>
            <w:r w:rsidR="00611323" w:rsidRPr="0062083D">
              <w:rPr>
                <w:rFonts w:cs="Arial"/>
                <w:sz w:val="20"/>
                <w:szCs w:val="20"/>
              </w:rPr>
              <w:t xml:space="preserve"> of 12</w:t>
            </w:r>
          </w:p>
        </w:tc>
        <w:tc>
          <w:tcPr>
            <w:tcW w:w="500" w:type="pct"/>
            <w:shd w:val="clear" w:color="auto" w:fill="FFC000"/>
          </w:tcPr>
          <w:p w14:paraId="69FB51A7" w14:textId="2276EBFE" w:rsidR="0065374C" w:rsidRPr="0062083D" w:rsidRDefault="00AC1143" w:rsidP="0062083D">
            <w:pPr>
              <w:spacing w:before="60" w:after="60" w:line="240" w:lineRule="auto"/>
              <w:rPr>
                <w:rFonts w:cs="Arial"/>
                <w:sz w:val="20"/>
                <w:szCs w:val="20"/>
              </w:rPr>
            </w:pPr>
            <w:r w:rsidRPr="0062083D">
              <w:rPr>
                <w:rFonts w:cs="Arial"/>
                <w:sz w:val="20"/>
                <w:szCs w:val="20"/>
              </w:rPr>
              <w:t>1</w:t>
            </w:r>
            <w:r w:rsidR="00DB7BDD" w:rsidRPr="0062083D">
              <w:rPr>
                <w:rFonts w:cs="Arial"/>
                <w:sz w:val="20"/>
                <w:szCs w:val="20"/>
              </w:rPr>
              <w:t xml:space="preserve"> of 12</w:t>
            </w:r>
          </w:p>
        </w:tc>
        <w:tc>
          <w:tcPr>
            <w:tcW w:w="500" w:type="pct"/>
            <w:shd w:val="clear" w:color="auto" w:fill="FF0000"/>
          </w:tcPr>
          <w:p w14:paraId="69FB51A8" w14:textId="51B5A281" w:rsidR="0065374C" w:rsidRPr="0062083D" w:rsidRDefault="00AC1143" w:rsidP="0062083D">
            <w:pPr>
              <w:spacing w:before="60" w:after="60" w:line="240" w:lineRule="auto"/>
              <w:rPr>
                <w:rFonts w:cs="Arial"/>
                <w:sz w:val="20"/>
                <w:szCs w:val="20"/>
              </w:rPr>
            </w:pPr>
            <w:r w:rsidRPr="0062083D">
              <w:rPr>
                <w:rFonts w:cs="Arial"/>
                <w:sz w:val="20"/>
                <w:szCs w:val="20"/>
              </w:rPr>
              <w:t>1</w:t>
            </w:r>
            <w:r w:rsidR="00DB7BDD" w:rsidRPr="0062083D">
              <w:rPr>
                <w:rFonts w:cs="Arial"/>
                <w:sz w:val="20"/>
                <w:szCs w:val="20"/>
              </w:rPr>
              <w:t xml:space="preserve"> of 12</w:t>
            </w:r>
          </w:p>
        </w:tc>
        <w:tc>
          <w:tcPr>
            <w:tcW w:w="2250" w:type="pct"/>
          </w:tcPr>
          <w:p w14:paraId="69FB51A9" w14:textId="77777777" w:rsidR="0065374C" w:rsidRPr="0062083D" w:rsidRDefault="00473C0F" w:rsidP="0062083D">
            <w:pPr>
              <w:spacing w:before="60" w:after="60" w:line="240" w:lineRule="auto"/>
              <w:rPr>
                <w:rFonts w:cs="Arial"/>
                <w:sz w:val="20"/>
                <w:szCs w:val="20"/>
              </w:rPr>
            </w:pPr>
            <w:r w:rsidRPr="0062083D">
              <w:rPr>
                <w:rFonts w:cs="Arial"/>
                <w:sz w:val="20"/>
                <w:szCs w:val="20"/>
              </w:rPr>
              <w:t>There have been no reported interactions with protected species to date</w:t>
            </w:r>
            <w:r w:rsidR="005376B6" w:rsidRPr="0062083D">
              <w:rPr>
                <w:rFonts w:cs="Arial"/>
                <w:sz w:val="20"/>
                <w:szCs w:val="20"/>
              </w:rPr>
              <w:t xml:space="preserve"> and risks are well managed</w:t>
            </w:r>
            <w:r w:rsidRPr="0062083D">
              <w:rPr>
                <w:rFonts w:cs="Arial"/>
                <w:sz w:val="20"/>
                <w:szCs w:val="20"/>
              </w:rPr>
              <w:t>.</w:t>
            </w:r>
          </w:p>
          <w:p w14:paraId="69FB51AA" w14:textId="77777777" w:rsidR="005376B6" w:rsidRPr="0062083D" w:rsidRDefault="005376B6" w:rsidP="0062083D">
            <w:pPr>
              <w:spacing w:before="60" w:after="60" w:line="240" w:lineRule="auto"/>
              <w:rPr>
                <w:rFonts w:cs="Arial"/>
                <w:sz w:val="20"/>
                <w:szCs w:val="20"/>
              </w:rPr>
            </w:pPr>
            <w:r w:rsidRPr="0062083D">
              <w:rPr>
                <w:rFonts w:cs="Arial"/>
                <w:sz w:val="20"/>
                <w:szCs w:val="20"/>
              </w:rPr>
              <w:t>Accreditation of the management regime is recommended, subject to the following condition:</w:t>
            </w:r>
          </w:p>
          <w:p w14:paraId="69FB51AB" w14:textId="654032B0" w:rsidR="005376B6" w:rsidRPr="0062083D" w:rsidRDefault="00D605A4" w:rsidP="0062083D">
            <w:pPr>
              <w:spacing w:before="60" w:after="60" w:line="240" w:lineRule="auto"/>
              <w:rPr>
                <w:rFonts w:cs="Arial"/>
                <w:sz w:val="20"/>
                <w:szCs w:val="20"/>
              </w:rPr>
            </w:pPr>
            <w:r w:rsidRPr="0062083D">
              <w:rPr>
                <w:rFonts w:cs="Arial"/>
                <w:sz w:val="20"/>
                <w:szCs w:val="20"/>
              </w:rPr>
              <w:t xml:space="preserve">AFMA to review its management regime within 12 months of a Level 2a trigger, as defined in the Skipjack Tuna Fishery Harvest Strategy, </w:t>
            </w:r>
            <w:r w:rsidRPr="0062083D">
              <w:rPr>
                <w:rFonts w:cs="Arial"/>
                <w:sz w:val="20"/>
                <w:szCs w:val="20"/>
              </w:rPr>
              <w:lastRenderedPageBreak/>
              <w:t>being reached. This review should include ecological risk assessment and risk management, harvest strategy and bycatch arrangements. Reassessment of the fishery under these new arrangements and the provisions of the EPBC Act will be considered at this time.</w:t>
            </w:r>
          </w:p>
        </w:tc>
      </w:tr>
      <w:tr w:rsidR="0065374C" w:rsidRPr="0062083D" w14:paraId="69FB51B3" w14:textId="77777777" w:rsidTr="009A3888">
        <w:trPr>
          <w:cnfStyle w:val="000000010000" w:firstRow="0" w:lastRow="0" w:firstColumn="0" w:lastColumn="0" w:oddVBand="0" w:evenVBand="0" w:oddHBand="0" w:evenHBand="1" w:firstRowFirstColumn="0" w:firstRowLastColumn="0" w:lastRowFirstColumn="0" w:lastRowLastColumn="0"/>
        </w:trPr>
        <w:tc>
          <w:tcPr>
            <w:tcW w:w="1250" w:type="pct"/>
          </w:tcPr>
          <w:p w14:paraId="69FB51AD" w14:textId="77777777" w:rsidR="0065374C" w:rsidRPr="0062083D" w:rsidRDefault="0065374C" w:rsidP="0062083D">
            <w:pPr>
              <w:spacing w:before="60" w:after="60" w:line="240" w:lineRule="auto"/>
              <w:rPr>
                <w:rFonts w:cs="Arial"/>
                <w:sz w:val="20"/>
                <w:szCs w:val="20"/>
              </w:rPr>
            </w:pPr>
            <w:r w:rsidRPr="0062083D">
              <w:rPr>
                <w:rFonts w:cs="Arial"/>
                <w:sz w:val="20"/>
                <w:szCs w:val="20"/>
              </w:rPr>
              <w:lastRenderedPageBreak/>
              <w:t>Part 13A</w:t>
            </w:r>
          </w:p>
        </w:tc>
        <w:tc>
          <w:tcPr>
            <w:tcW w:w="500" w:type="pct"/>
            <w:shd w:val="clear" w:color="auto" w:fill="92D050"/>
          </w:tcPr>
          <w:p w14:paraId="69FB51AE" w14:textId="752E39D8" w:rsidR="0065374C" w:rsidRPr="0062083D" w:rsidRDefault="00AC1143" w:rsidP="0062083D">
            <w:pPr>
              <w:spacing w:before="60" w:after="60" w:line="240" w:lineRule="auto"/>
              <w:rPr>
                <w:rFonts w:cs="Arial"/>
                <w:sz w:val="20"/>
                <w:szCs w:val="20"/>
              </w:rPr>
            </w:pPr>
            <w:r w:rsidRPr="0062083D">
              <w:rPr>
                <w:rFonts w:cs="Arial"/>
                <w:sz w:val="20"/>
                <w:szCs w:val="20"/>
              </w:rPr>
              <w:t>2</w:t>
            </w:r>
            <w:r w:rsidR="00611323" w:rsidRPr="0062083D">
              <w:rPr>
                <w:rFonts w:cs="Arial"/>
                <w:sz w:val="20"/>
                <w:szCs w:val="20"/>
              </w:rPr>
              <w:t xml:space="preserve"> of 3</w:t>
            </w:r>
          </w:p>
        </w:tc>
        <w:tc>
          <w:tcPr>
            <w:tcW w:w="500" w:type="pct"/>
            <w:shd w:val="clear" w:color="auto" w:fill="FFC000"/>
          </w:tcPr>
          <w:p w14:paraId="0B6800F4" w14:textId="653CB264" w:rsidR="00AC1143" w:rsidRPr="0062083D" w:rsidRDefault="00AC1143" w:rsidP="0062083D">
            <w:pPr>
              <w:spacing w:before="60" w:after="60" w:line="240" w:lineRule="auto"/>
              <w:rPr>
                <w:rFonts w:cs="Arial"/>
                <w:sz w:val="20"/>
                <w:szCs w:val="20"/>
              </w:rPr>
            </w:pPr>
            <w:r w:rsidRPr="0062083D">
              <w:rPr>
                <w:rFonts w:cs="Arial"/>
                <w:sz w:val="20"/>
                <w:szCs w:val="20"/>
              </w:rPr>
              <w:t>1</w:t>
            </w:r>
            <w:r w:rsidR="00611323" w:rsidRPr="0062083D">
              <w:rPr>
                <w:rFonts w:cs="Arial"/>
                <w:sz w:val="20"/>
                <w:szCs w:val="20"/>
              </w:rPr>
              <w:t xml:space="preserve"> of 3</w:t>
            </w:r>
          </w:p>
          <w:p w14:paraId="69FB51AF" w14:textId="07699393" w:rsidR="0065374C" w:rsidRPr="0062083D" w:rsidRDefault="00AC1143" w:rsidP="0062083D">
            <w:pPr>
              <w:spacing w:before="60" w:after="60" w:line="240" w:lineRule="auto"/>
              <w:rPr>
                <w:rFonts w:cs="Arial"/>
                <w:sz w:val="20"/>
                <w:szCs w:val="20"/>
              </w:rPr>
            </w:pPr>
            <w:r w:rsidRPr="0062083D">
              <w:rPr>
                <w:rFonts w:cs="Arial"/>
                <w:sz w:val="20"/>
                <w:szCs w:val="20"/>
              </w:rPr>
              <w:t>(s303DC(3))</w:t>
            </w:r>
          </w:p>
        </w:tc>
        <w:tc>
          <w:tcPr>
            <w:tcW w:w="500" w:type="pct"/>
            <w:shd w:val="clear" w:color="auto" w:fill="auto"/>
          </w:tcPr>
          <w:p w14:paraId="69FB51B0" w14:textId="784F331C" w:rsidR="0065374C" w:rsidRPr="0062083D" w:rsidRDefault="00AC1143" w:rsidP="0062083D">
            <w:pPr>
              <w:spacing w:before="60" w:after="60" w:line="240" w:lineRule="auto"/>
              <w:rPr>
                <w:rFonts w:cs="Arial"/>
                <w:sz w:val="20"/>
                <w:szCs w:val="20"/>
              </w:rPr>
            </w:pPr>
            <w:r w:rsidRPr="0062083D">
              <w:rPr>
                <w:rFonts w:cs="Arial"/>
                <w:sz w:val="20"/>
                <w:szCs w:val="20"/>
              </w:rPr>
              <w:t>0</w:t>
            </w:r>
          </w:p>
        </w:tc>
        <w:tc>
          <w:tcPr>
            <w:tcW w:w="2250" w:type="pct"/>
          </w:tcPr>
          <w:p w14:paraId="69FB51B1" w14:textId="77FB03D6" w:rsidR="00B659CE" w:rsidRPr="0062083D" w:rsidRDefault="00473C0F" w:rsidP="0062083D">
            <w:pPr>
              <w:spacing w:before="60" w:after="60" w:line="240" w:lineRule="auto"/>
              <w:rPr>
                <w:rFonts w:cs="Arial"/>
                <w:sz w:val="20"/>
                <w:szCs w:val="20"/>
              </w:rPr>
            </w:pPr>
            <w:r w:rsidRPr="0062083D">
              <w:rPr>
                <w:rFonts w:cs="Arial"/>
                <w:sz w:val="20"/>
                <w:szCs w:val="20"/>
              </w:rPr>
              <w:t xml:space="preserve">The fishery is managed in accordance with the </w:t>
            </w:r>
            <w:r w:rsidR="00AC1143" w:rsidRPr="0062083D">
              <w:rPr>
                <w:rFonts w:cs="Arial"/>
                <w:sz w:val="20"/>
                <w:szCs w:val="20"/>
              </w:rPr>
              <w:t>O</w:t>
            </w:r>
            <w:r w:rsidRPr="0062083D">
              <w:rPr>
                <w:rFonts w:cs="Arial"/>
                <w:sz w:val="20"/>
                <w:szCs w:val="20"/>
              </w:rPr>
              <w:t>bjects of Part 13A and is not considered to have an unacceptable or unsustain</w:t>
            </w:r>
            <w:r w:rsidR="003D33A2" w:rsidRPr="0062083D">
              <w:rPr>
                <w:rFonts w:cs="Arial"/>
                <w:sz w:val="20"/>
                <w:szCs w:val="20"/>
              </w:rPr>
              <w:t>able impact on the environment.</w:t>
            </w:r>
          </w:p>
          <w:p w14:paraId="69FB51B2" w14:textId="77777777" w:rsidR="0065374C" w:rsidRPr="0062083D" w:rsidRDefault="00473C0F" w:rsidP="0062083D">
            <w:pPr>
              <w:spacing w:before="60" w:after="60" w:line="240" w:lineRule="auto"/>
              <w:rPr>
                <w:rFonts w:cs="Arial"/>
                <w:sz w:val="20"/>
                <w:szCs w:val="20"/>
              </w:rPr>
            </w:pPr>
            <w:r w:rsidRPr="0062083D">
              <w:rPr>
                <w:rFonts w:cs="Arial"/>
                <w:sz w:val="20"/>
                <w:szCs w:val="20"/>
              </w:rPr>
              <w:t>Consultation was undertaken in October 2014 (MS14</w:t>
            </w:r>
            <w:r w:rsidR="003D33A2" w:rsidRPr="0062083D">
              <w:rPr>
                <w:rFonts w:cs="Arial"/>
                <w:sz w:val="20"/>
                <w:szCs w:val="20"/>
              </w:rPr>
              <w:noBreakHyphen/>
            </w:r>
            <w:r w:rsidRPr="0062083D">
              <w:rPr>
                <w:rFonts w:cs="Arial"/>
                <w:sz w:val="20"/>
                <w:szCs w:val="20"/>
              </w:rPr>
              <w:t>002367).</w:t>
            </w:r>
          </w:p>
        </w:tc>
      </w:tr>
      <w:tr w:rsidR="0065374C" w:rsidRPr="0062083D" w14:paraId="69FB51C0" w14:textId="77777777" w:rsidTr="009A3888">
        <w:trPr>
          <w:cnfStyle w:val="000000100000" w:firstRow="0" w:lastRow="0" w:firstColumn="0" w:lastColumn="0" w:oddVBand="0" w:evenVBand="0" w:oddHBand="1" w:evenHBand="0" w:firstRowFirstColumn="0" w:firstRowLastColumn="0" w:lastRowFirstColumn="0" w:lastRowLastColumn="0"/>
        </w:trPr>
        <w:tc>
          <w:tcPr>
            <w:tcW w:w="1250" w:type="pct"/>
          </w:tcPr>
          <w:p w14:paraId="69FB51BB" w14:textId="77777777" w:rsidR="0065374C" w:rsidRPr="0062083D" w:rsidRDefault="0065374C" w:rsidP="0062083D">
            <w:pPr>
              <w:spacing w:before="60" w:after="60" w:line="240" w:lineRule="auto"/>
              <w:rPr>
                <w:rFonts w:cs="Arial"/>
                <w:sz w:val="20"/>
                <w:szCs w:val="20"/>
              </w:rPr>
            </w:pPr>
            <w:r w:rsidRPr="0062083D">
              <w:rPr>
                <w:rFonts w:cs="Arial"/>
                <w:sz w:val="20"/>
                <w:szCs w:val="20"/>
              </w:rPr>
              <w:t>Part 16</w:t>
            </w:r>
          </w:p>
        </w:tc>
        <w:tc>
          <w:tcPr>
            <w:tcW w:w="500" w:type="pct"/>
            <w:shd w:val="clear" w:color="auto" w:fill="auto"/>
          </w:tcPr>
          <w:p w14:paraId="69FB51BC" w14:textId="2F8BE7BD" w:rsidR="0065374C" w:rsidRPr="0062083D" w:rsidRDefault="00AC1143" w:rsidP="0062083D">
            <w:pPr>
              <w:spacing w:before="60" w:after="60" w:line="240" w:lineRule="auto"/>
              <w:rPr>
                <w:rFonts w:cs="Arial"/>
                <w:sz w:val="20"/>
                <w:szCs w:val="20"/>
              </w:rPr>
            </w:pPr>
            <w:r w:rsidRPr="0062083D">
              <w:rPr>
                <w:rFonts w:cs="Arial"/>
                <w:sz w:val="20"/>
                <w:szCs w:val="20"/>
              </w:rPr>
              <w:t>0</w:t>
            </w:r>
          </w:p>
        </w:tc>
        <w:tc>
          <w:tcPr>
            <w:tcW w:w="500" w:type="pct"/>
            <w:shd w:val="clear" w:color="auto" w:fill="FFC000"/>
          </w:tcPr>
          <w:p w14:paraId="69FB51BD" w14:textId="2B7B39A4" w:rsidR="0065374C" w:rsidRPr="0062083D" w:rsidRDefault="00AC1143" w:rsidP="0062083D">
            <w:pPr>
              <w:spacing w:before="60" w:after="60" w:line="240" w:lineRule="auto"/>
              <w:rPr>
                <w:rFonts w:cs="Arial"/>
                <w:sz w:val="20"/>
                <w:szCs w:val="20"/>
              </w:rPr>
            </w:pPr>
            <w:r w:rsidRPr="0062083D">
              <w:rPr>
                <w:rFonts w:cs="Arial"/>
                <w:sz w:val="20"/>
                <w:szCs w:val="20"/>
              </w:rPr>
              <w:t>1</w:t>
            </w:r>
            <w:r w:rsidR="00611323" w:rsidRPr="0062083D">
              <w:rPr>
                <w:rFonts w:cs="Arial"/>
                <w:sz w:val="20"/>
                <w:szCs w:val="20"/>
              </w:rPr>
              <w:t xml:space="preserve"> of 1</w:t>
            </w:r>
          </w:p>
        </w:tc>
        <w:tc>
          <w:tcPr>
            <w:tcW w:w="500" w:type="pct"/>
            <w:shd w:val="clear" w:color="auto" w:fill="auto"/>
          </w:tcPr>
          <w:p w14:paraId="69FB51BE" w14:textId="0D7FEB7E" w:rsidR="0065374C" w:rsidRPr="0062083D" w:rsidRDefault="00AC1143" w:rsidP="0062083D">
            <w:pPr>
              <w:spacing w:before="60" w:after="60" w:line="240" w:lineRule="auto"/>
              <w:rPr>
                <w:rFonts w:cs="Arial"/>
                <w:sz w:val="20"/>
                <w:szCs w:val="20"/>
              </w:rPr>
            </w:pPr>
            <w:r w:rsidRPr="0062083D">
              <w:rPr>
                <w:rFonts w:cs="Arial"/>
                <w:sz w:val="20"/>
                <w:szCs w:val="20"/>
              </w:rPr>
              <w:t>0</w:t>
            </w:r>
          </w:p>
        </w:tc>
        <w:tc>
          <w:tcPr>
            <w:tcW w:w="2250" w:type="pct"/>
          </w:tcPr>
          <w:p w14:paraId="69FB51BF" w14:textId="77777777" w:rsidR="0065374C" w:rsidRPr="0062083D" w:rsidRDefault="00473C0F" w:rsidP="0062083D">
            <w:pPr>
              <w:spacing w:before="60" w:after="60" w:line="240" w:lineRule="auto"/>
              <w:rPr>
                <w:rFonts w:cs="Arial"/>
                <w:sz w:val="20"/>
                <w:szCs w:val="20"/>
              </w:rPr>
            </w:pPr>
            <w:r w:rsidRPr="0062083D">
              <w:rPr>
                <w:rFonts w:cs="Arial"/>
                <w:sz w:val="20"/>
                <w:szCs w:val="20"/>
              </w:rPr>
              <w:t>Precautionary catch triggers and catch limits are in place but may not be able to respond in a timely way or to constrain catch if the fishery recommences and expands to its capacity.</w:t>
            </w:r>
          </w:p>
        </w:tc>
      </w:tr>
      <w:tr w:rsidR="0065374C" w:rsidRPr="0062083D" w14:paraId="69FB51C3" w14:textId="77777777" w:rsidTr="009A3888">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69FB51C2" w14:textId="5D904E37" w:rsidR="005376B6" w:rsidRPr="0062083D" w:rsidRDefault="0065374C" w:rsidP="0062083D">
            <w:pPr>
              <w:spacing w:before="60" w:after="60" w:line="240" w:lineRule="auto"/>
              <w:rPr>
                <w:rStyle w:val="Emphasis"/>
                <w:rFonts w:cs="Arial"/>
                <w:i w:val="0"/>
                <w:iCs w:val="0"/>
                <w:sz w:val="20"/>
                <w:szCs w:val="20"/>
              </w:rPr>
            </w:pPr>
            <w:r w:rsidRPr="0062083D">
              <w:rPr>
                <w:rStyle w:val="Emphasis"/>
                <w:rFonts w:cs="Arial"/>
                <w:b/>
                <w:i w:val="0"/>
                <w:iCs w:val="0"/>
                <w:sz w:val="20"/>
                <w:szCs w:val="20"/>
              </w:rPr>
              <w:t>Conclusion</w:t>
            </w:r>
            <w:r w:rsidRPr="0062083D">
              <w:rPr>
                <w:rStyle w:val="Emphasis"/>
                <w:rFonts w:cs="Arial"/>
                <w:i w:val="0"/>
                <w:iCs w:val="0"/>
                <w:sz w:val="20"/>
                <w:szCs w:val="20"/>
              </w:rPr>
              <w:t>:</w:t>
            </w:r>
            <w:r w:rsidR="0062083D" w:rsidRPr="0062083D">
              <w:rPr>
                <w:rStyle w:val="Emphasis"/>
                <w:rFonts w:cs="Arial"/>
                <w:i w:val="0"/>
                <w:iCs w:val="0"/>
                <w:sz w:val="20"/>
                <w:szCs w:val="20"/>
              </w:rPr>
              <w:t xml:space="preserve"> </w:t>
            </w:r>
            <w:r w:rsidR="00CE1DA1" w:rsidRPr="0062083D">
              <w:rPr>
                <w:rStyle w:val="Emphasis"/>
                <w:rFonts w:cs="Arial"/>
                <w:i w:val="0"/>
                <w:iCs w:val="0"/>
                <w:sz w:val="20"/>
                <w:szCs w:val="20"/>
              </w:rPr>
              <w:t>Although</w:t>
            </w:r>
            <w:r w:rsidR="00A4514C" w:rsidRPr="0062083D">
              <w:rPr>
                <w:rStyle w:val="Emphasis"/>
                <w:rFonts w:cs="Arial"/>
                <w:i w:val="0"/>
                <w:iCs w:val="0"/>
                <w:sz w:val="20"/>
                <w:szCs w:val="20"/>
              </w:rPr>
              <w:t xml:space="preserve"> the current management regime is sufficient while the fishery remains inactive, it is </w:t>
            </w:r>
            <w:r w:rsidRPr="0062083D">
              <w:rPr>
                <w:rStyle w:val="Emphasis"/>
                <w:rFonts w:cs="Arial"/>
                <w:i w:val="0"/>
                <w:iCs w:val="0"/>
                <w:sz w:val="20"/>
                <w:szCs w:val="20"/>
              </w:rPr>
              <w:t>unlikely to be adequate should fishing effort increase to levels that could fully utilise the allowable catch.</w:t>
            </w:r>
            <w:r w:rsidR="00A4514C" w:rsidRPr="0062083D">
              <w:rPr>
                <w:rStyle w:val="Emphasis"/>
                <w:rFonts w:cs="Arial"/>
                <w:i w:val="0"/>
                <w:iCs w:val="0"/>
                <w:sz w:val="20"/>
                <w:szCs w:val="20"/>
              </w:rPr>
              <w:t xml:space="preserve"> AFMA has advised that </w:t>
            </w:r>
            <w:r w:rsidRPr="0062083D">
              <w:rPr>
                <w:rStyle w:val="Emphasis"/>
                <w:rFonts w:cs="Arial"/>
                <w:i w:val="0"/>
                <w:iCs w:val="0"/>
                <w:sz w:val="20"/>
                <w:szCs w:val="20"/>
              </w:rPr>
              <w:t>the fisheries management arrangements will be reviewed and revised when effort increases</w:t>
            </w:r>
            <w:r w:rsidR="00A4514C" w:rsidRPr="0062083D">
              <w:rPr>
                <w:rStyle w:val="Emphasis"/>
                <w:rFonts w:cs="Arial"/>
                <w:i w:val="0"/>
                <w:iCs w:val="0"/>
                <w:sz w:val="20"/>
                <w:szCs w:val="20"/>
              </w:rPr>
              <w:t>.</w:t>
            </w:r>
          </w:p>
        </w:tc>
      </w:tr>
      <w:tr w:rsidR="0065374C" w:rsidRPr="0062083D" w14:paraId="69FB51C7" w14:textId="77777777" w:rsidTr="009A3888">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69FB51C5" w14:textId="50D852BA" w:rsidR="00A1540F" w:rsidRPr="0062083D" w:rsidRDefault="0065374C" w:rsidP="0062083D">
            <w:pPr>
              <w:spacing w:before="60" w:after="60" w:line="240" w:lineRule="auto"/>
              <w:rPr>
                <w:rStyle w:val="Emphasis"/>
                <w:rFonts w:cs="Arial"/>
                <w:i w:val="0"/>
                <w:iCs w:val="0"/>
                <w:sz w:val="20"/>
                <w:szCs w:val="20"/>
              </w:rPr>
            </w:pPr>
            <w:r w:rsidRPr="0062083D">
              <w:rPr>
                <w:rStyle w:val="Emphasis"/>
                <w:rFonts w:cs="Arial"/>
                <w:b/>
                <w:i w:val="0"/>
                <w:iCs w:val="0"/>
                <w:sz w:val="20"/>
                <w:szCs w:val="20"/>
              </w:rPr>
              <w:t>Final recommendation for 2016 assessment of Skipjack Tuna Fishery</w:t>
            </w:r>
            <w:r w:rsidRPr="0062083D">
              <w:rPr>
                <w:rStyle w:val="Emphasis"/>
                <w:rFonts w:cs="Arial"/>
                <w:i w:val="0"/>
                <w:iCs w:val="0"/>
                <w:sz w:val="20"/>
                <w:szCs w:val="20"/>
              </w:rPr>
              <w:t>:</w:t>
            </w:r>
            <w:r w:rsidR="0062083D" w:rsidRPr="0062083D">
              <w:rPr>
                <w:rStyle w:val="Emphasis"/>
                <w:rFonts w:cs="Arial"/>
                <w:i w:val="0"/>
                <w:iCs w:val="0"/>
                <w:sz w:val="20"/>
                <w:szCs w:val="20"/>
              </w:rPr>
              <w:t xml:space="preserve"> </w:t>
            </w:r>
            <w:r w:rsidR="00A4514C" w:rsidRPr="0062083D">
              <w:rPr>
                <w:rStyle w:val="Emphasis"/>
                <w:rFonts w:cs="Arial"/>
                <w:i w:val="0"/>
                <w:iCs w:val="0"/>
                <w:sz w:val="20"/>
                <w:szCs w:val="20"/>
              </w:rPr>
              <w:t xml:space="preserve">Subject to </w:t>
            </w:r>
            <w:r w:rsidR="00A1540F" w:rsidRPr="0062083D">
              <w:rPr>
                <w:rStyle w:val="Emphasis"/>
                <w:rFonts w:cs="Arial"/>
                <w:i w:val="0"/>
                <w:iCs w:val="0"/>
                <w:sz w:val="20"/>
                <w:szCs w:val="20"/>
              </w:rPr>
              <w:t xml:space="preserve">the following </w:t>
            </w:r>
            <w:r w:rsidR="00A4514C" w:rsidRPr="0062083D">
              <w:rPr>
                <w:rStyle w:val="Emphasis"/>
                <w:rFonts w:cs="Arial"/>
                <w:i w:val="0"/>
                <w:iCs w:val="0"/>
                <w:sz w:val="20"/>
                <w:szCs w:val="20"/>
              </w:rPr>
              <w:t>condition</w:t>
            </w:r>
            <w:r w:rsidR="00A1540F" w:rsidRPr="0062083D">
              <w:rPr>
                <w:rStyle w:val="Emphasis"/>
                <w:rFonts w:cs="Arial"/>
                <w:i w:val="0"/>
                <w:iCs w:val="0"/>
                <w:sz w:val="20"/>
                <w:szCs w:val="20"/>
              </w:rPr>
              <w:t xml:space="preserve">, </w:t>
            </w:r>
            <w:r w:rsidR="00A4514C" w:rsidRPr="0062083D">
              <w:rPr>
                <w:rStyle w:val="Emphasis"/>
                <w:rFonts w:cs="Arial"/>
                <w:i w:val="0"/>
                <w:iCs w:val="0"/>
                <w:sz w:val="20"/>
                <w:szCs w:val="20"/>
              </w:rPr>
              <w:t xml:space="preserve">the Department recommends </w:t>
            </w:r>
            <w:r w:rsidR="00A1540F" w:rsidRPr="0062083D">
              <w:rPr>
                <w:rStyle w:val="Emphasis"/>
                <w:rFonts w:cs="Arial"/>
                <w:i w:val="0"/>
                <w:iCs w:val="0"/>
                <w:sz w:val="20"/>
                <w:szCs w:val="20"/>
              </w:rPr>
              <w:t xml:space="preserve">the fishery </w:t>
            </w:r>
            <w:r w:rsidR="00611323" w:rsidRPr="0062083D">
              <w:rPr>
                <w:rStyle w:val="Emphasis"/>
                <w:rFonts w:cs="Arial"/>
                <w:i w:val="0"/>
                <w:iCs w:val="0"/>
                <w:sz w:val="20"/>
                <w:szCs w:val="20"/>
              </w:rPr>
              <w:t>to be considered for 10 year approval</w:t>
            </w:r>
            <w:r w:rsidR="00A1540F" w:rsidRPr="0062083D">
              <w:rPr>
                <w:rStyle w:val="Emphasis"/>
                <w:rFonts w:cs="Arial"/>
                <w:i w:val="0"/>
                <w:iCs w:val="0"/>
                <w:sz w:val="20"/>
                <w:szCs w:val="20"/>
              </w:rPr>
              <w:t xml:space="preserve"> </w:t>
            </w:r>
            <w:r w:rsidR="00A4514C" w:rsidRPr="0062083D">
              <w:rPr>
                <w:rStyle w:val="Emphasis"/>
                <w:rFonts w:cs="Arial"/>
                <w:i w:val="0"/>
                <w:iCs w:val="0"/>
                <w:sz w:val="20"/>
                <w:szCs w:val="20"/>
              </w:rPr>
              <w:t>(2016 to 2026).</w:t>
            </w:r>
          </w:p>
          <w:p w14:paraId="69FB51C6" w14:textId="7632EE21" w:rsidR="00260DB1" w:rsidRPr="0062083D" w:rsidRDefault="00A1540F" w:rsidP="0062083D">
            <w:pPr>
              <w:spacing w:before="60" w:after="60" w:line="240" w:lineRule="auto"/>
              <w:rPr>
                <w:rStyle w:val="Emphasis"/>
                <w:rFonts w:cs="Arial"/>
                <w:i w:val="0"/>
                <w:iCs w:val="0"/>
                <w:sz w:val="20"/>
                <w:szCs w:val="20"/>
              </w:rPr>
            </w:pPr>
            <w:r w:rsidRPr="0062083D">
              <w:rPr>
                <w:rFonts w:cs="Arial"/>
                <w:b/>
                <w:sz w:val="20"/>
                <w:szCs w:val="20"/>
              </w:rPr>
              <w:t>Condition:</w:t>
            </w:r>
            <w:r w:rsidRPr="0062083D">
              <w:rPr>
                <w:rFonts w:cs="Arial"/>
                <w:sz w:val="20"/>
                <w:szCs w:val="20"/>
              </w:rPr>
              <w:t xml:space="preserve"> </w:t>
            </w:r>
            <w:r w:rsidR="00260DB1" w:rsidRPr="0062083D">
              <w:rPr>
                <w:rFonts w:cs="Arial"/>
                <w:sz w:val="20"/>
                <w:szCs w:val="20"/>
              </w:rPr>
              <w:t>AFMA to review its management regime within 12 months of a Level 2a trigger, as defined in the Skipjack Tuna Fishery Harvest Strategy, being reached. This review should include ecological risk assessment and risk management, harvest strategy and bycatch arrangements. Reassessment of the fishery under these new arrangements and the provisions of the EPBC Act will be considered at this time.</w:t>
            </w:r>
          </w:p>
        </w:tc>
      </w:tr>
    </w:tbl>
    <w:p w14:paraId="34B6C650" w14:textId="77777777" w:rsidR="0062083D" w:rsidRPr="0062083D" w:rsidRDefault="0062083D" w:rsidP="0062083D">
      <w:pPr>
        <w:spacing w:before="60" w:after="60" w:line="240" w:lineRule="auto"/>
        <w:rPr>
          <w:rStyle w:val="Emphasis"/>
          <w:rFonts w:cs="Arial"/>
          <w:b/>
          <w:i w:val="0"/>
          <w:iCs w:val="0"/>
          <w:sz w:val="20"/>
          <w:szCs w:val="20"/>
          <w:u w:val="single"/>
        </w:rPr>
      </w:pPr>
    </w:p>
    <w:p w14:paraId="7BA56F26" w14:textId="77777777" w:rsidR="0062083D" w:rsidRPr="0062083D" w:rsidRDefault="0062083D" w:rsidP="0062083D">
      <w:pPr>
        <w:spacing w:before="60" w:after="60" w:line="240" w:lineRule="auto"/>
        <w:rPr>
          <w:rStyle w:val="Emphasis"/>
          <w:rFonts w:cs="Arial"/>
          <w:b/>
          <w:i w:val="0"/>
          <w:iCs w:val="0"/>
          <w:sz w:val="20"/>
          <w:szCs w:val="20"/>
          <w:u w:val="single"/>
        </w:rPr>
        <w:sectPr w:rsidR="0062083D" w:rsidRPr="0062083D" w:rsidSect="008C7AAA">
          <w:pgSz w:w="16838" w:h="11906" w:orient="landscape"/>
          <w:pgMar w:top="709" w:right="1361" w:bottom="709" w:left="1361" w:header="709" w:footer="54" w:gutter="0"/>
          <w:cols w:space="708"/>
          <w:docGrid w:linePitch="360"/>
        </w:sectPr>
      </w:pPr>
    </w:p>
    <w:p w14:paraId="2794D529" w14:textId="77777777" w:rsidR="0062083D" w:rsidRPr="0062083D" w:rsidRDefault="0062083D" w:rsidP="0062083D">
      <w:pPr>
        <w:spacing w:before="60" w:after="60" w:line="240" w:lineRule="auto"/>
        <w:rPr>
          <w:rStyle w:val="Emphasis"/>
          <w:rFonts w:cs="Arial"/>
          <w:b/>
          <w:i w:val="0"/>
          <w:iCs w:val="0"/>
          <w:u w:val="single"/>
        </w:rPr>
      </w:pPr>
      <w:r w:rsidRPr="0062083D">
        <w:rPr>
          <w:rStyle w:val="Emphasis"/>
          <w:rFonts w:cs="Arial"/>
          <w:b/>
          <w:i w:val="0"/>
          <w:iCs w:val="0"/>
          <w:u w:val="single"/>
        </w:rPr>
        <w:lastRenderedPageBreak/>
        <w:t>Notes</w:t>
      </w:r>
    </w:p>
    <w:p w14:paraId="5AD45AA8" w14:textId="13C255C5" w:rsidR="00260DB1" w:rsidRPr="0062083D" w:rsidRDefault="00260DB1" w:rsidP="0062083D">
      <w:pPr>
        <w:spacing w:before="60" w:after="60" w:line="240" w:lineRule="auto"/>
        <w:rPr>
          <w:rStyle w:val="Emphasis"/>
          <w:rFonts w:cs="Arial"/>
          <w:b/>
          <w:i w:val="0"/>
          <w:iCs w:val="0"/>
          <w:sz w:val="20"/>
          <w:szCs w:val="20"/>
        </w:rPr>
      </w:pPr>
      <w:r w:rsidRPr="0062083D">
        <w:rPr>
          <w:rStyle w:val="Emphasis"/>
          <w:rFonts w:cs="Arial"/>
          <w:b/>
          <w:i w:val="0"/>
          <w:iCs w:val="0"/>
          <w:sz w:val="20"/>
          <w:szCs w:val="20"/>
        </w:rPr>
        <w:t>Description of Level 2a triggers from AFMA’s Skipjack Tuna Harvest Strategy.</w:t>
      </w:r>
    </w:p>
    <w:p w14:paraId="1FA6D259" w14:textId="2AECC6E1" w:rsidR="00260DB1" w:rsidRPr="0062083D" w:rsidRDefault="00260DB1" w:rsidP="0062083D">
      <w:pPr>
        <w:pStyle w:val="ListNumber"/>
        <w:spacing w:before="60" w:after="60" w:line="240" w:lineRule="auto"/>
        <w:ind w:left="0" w:firstLine="0"/>
        <w:rPr>
          <w:rStyle w:val="Emphasis"/>
          <w:rFonts w:cs="Arial"/>
          <w:i w:val="0"/>
          <w:iCs w:val="0"/>
          <w:sz w:val="20"/>
          <w:szCs w:val="20"/>
        </w:rPr>
      </w:pPr>
      <w:r w:rsidRPr="0062083D">
        <w:rPr>
          <w:rStyle w:val="Emphasis"/>
          <w:rFonts w:cs="Arial"/>
          <w:i w:val="0"/>
          <w:iCs w:val="0"/>
          <w:sz w:val="20"/>
          <w:szCs w:val="20"/>
        </w:rPr>
        <w:t>If the latest regional stock assessment, undertaken within last three years, indicates that the stock is underexploited, the trigger value is twice the historical high catch.</w:t>
      </w:r>
    </w:p>
    <w:p w14:paraId="5DE068B6" w14:textId="589678FC" w:rsidR="00260DB1" w:rsidRPr="0062083D" w:rsidRDefault="00260DB1" w:rsidP="0062083D">
      <w:pPr>
        <w:pStyle w:val="ListNumber"/>
        <w:spacing w:before="60" w:after="60" w:line="240" w:lineRule="auto"/>
        <w:ind w:left="0" w:firstLine="0"/>
        <w:rPr>
          <w:rStyle w:val="Emphasis"/>
          <w:rFonts w:cs="Arial"/>
          <w:i w:val="0"/>
          <w:iCs w:val="0"/>
          <w:sz w:val="20"/>
          <w:szCs w:val="20"/>
        </w:rPr>
      </w:pPr>
      <w:r w:rsidRPr="0062083D">
        <w:rPr>
          <w:rStyle w:val="Emphasis"/>
          <w:rFonts w:cs="Arial"/>
          <w:i w:val="0"/>
          <w:iCs w:val="0"/>
          <w:sz w:val="20"/>
          <w:szCs w:val="20"/>
        </w:rPr>
        <w:t>If there has been no regional stock assessment undertaken within the last three years, OR if the regional stock assessment outcomes are uncertain, the trigger value is 1.5 times the historical high catch.</w:t>
      </w:r>
    </w:p>
    <w:p w14:paraId="051DF9CB" w14:textId="1FAC2DD2" w:rsidR="00260DB1" w:rsidRPr="0062083D" w:rsidRDefault="00260DB1" w:rsidP="0062083D">
      <w:pPr>
        <w:pStyle w:val="ListNumber"/>
        <w:spacing w:before="60" w:after="60" w:line="240" w:lineRule="auto"/>
        <w:ind w:left="0" w:firstLine="0"/>
        <w:rPr>
          <w:rStyle w:val="Emphasis"/>
          <w:rFonts w:cs="Arial"/>
          <w:i w:val="0"/>
          <w:iCs w:val="0"/>
          <w:sz w:val="20"/>
          <w:szCs w:val="20"/>
        </w:rPr>
      </w:pPr>
      <w:r w:rsidRPr="0062083D">
        <w:rPr>
          <w:rStyle w:val="Emphasis"/>
          <w:rFonts w:cs="Arial"/>
          <w:i w:val="0"/>
          <w:iCs w:val="0"/>
          <w:sz w:val="20"/>
          <w:szCs w:val="20"/>
        </w:rPr>
        <w:t>If the regional stock assessment indicates that the stock is fully or over exploited, this trigger is automatically reached irrespective of the current catch level.</w:t>
      </w:r>
    </w:p>
    <w:p w14:paraId="534C6929" w14:textId="2B6695B3" w:rsidR="00260DB1" w:rsidRPr="009A3888" w:rsidRDefault="00260DB1" w:rsidP="0062083D">
      <w:pPr>
        <w:pStyle w:val="ListNumber"/>
        <w:spacing w:before="60" w:after="60" w:line="240" w:lineRule="auto"/>
        <w:ind w:left="0" w:firstLine="0"/>
        <w:rPr>
          <w:rStyle w:val="Emphasis"/>
          <w:rFonts w:cs="Arial"/>
          <w:b/>
          <w:i w:val="0"/>
          <w:iCs w:val="0"/>
          <w:sz w:val="20"/>
          <w:szCs w:val="20"/>
          <w:u w:val="single"/>
        </w:rPr>
      </w:pPr>
      <w:r w:rsidRPr="0062083D">
        <w:rPr>
          <w:rStyle w:val="Emphasis"/>
          <w:rFonts w:cs="Arial"/>
          <w:i w:val="0"/>
          <w:iCs w:val="0"/>
          <w:sz w:val="20"/>
          <w:szCs w:val="20"/>
        </w:rPr>
        <w:t xml:space="preserve">If 75 percent of Australia’s skipjack tuna allocation from relevant Regional Fisheries Management Organisations, or Australia’s whole of government position on Australia’s skipjack tuna allocation is caught, whichever is </w:t>
      </w:r>
      <w:proofErr w:type="gramStart"/>
      <w:r w:rsidRPr="0062083D">
        <w:rPr>
          <w:rStyle w:val="Emphasis"/>
          <w:rFonts w:cs="Arial"/>
          <w:i w:val="0"/>
          <w:iCs w:val="0"/>
          <w:sz w:val="20"/>
          <w:szCs w:val="20"/>
        </w:rPr>
        <w:t>smaller.</w:t>
      </w:r>
      <w:proofErr w:type="gramEnd"/>
    </w:p>
    <w:p w14:paraId="00B7A44B" w14:textId="77777777" w:rsidR="009A3888" w:rsidRPr="0062083D" w:rsidRDefault="009A3888" w:rsidP="0062083D">
      <w:pPr>
        <w:pStyle w:val="ListNumber"/>
        <w:spacing w:before="60" w:after="60" w:line="240" w:lineRule="auto"/>
        <w:ind w:left="0" w:firstLine="0"/>
        <w:rPr>
          <w:rStyle w:val="Emphasis"/>
          <w:rFonts w:cs="Arial"/>
          <w:b/>
          <w:i w:val="0"/>
          <w:iCs w:val="0"/>
          <w:sz w:val="20"/>
          <w:szCs w:val="20"/>
          <w:u w:val="single"/>
        </w:rPr>
      </w:pPr>
    </w:p>
    <w:p w14:paraId="69FB51CA" w14:textId="77777777" w:rsidR="00C46BA7" w:rsidRPr="0062083D" w:rsidRDefault="0099149B" w:rsidP="0062083D">
      <w:pPr>
        <w:spacing w:before="60" w:after="60" w:line="240" w:lineRule="auto"/>
        <w:rPr>
          <w:rStyle w:val="Emphasis"/>
          <w:rFonts w:cs="Arial"/>
          <w:b/>
          <w:i w:val="0"/>
          <w:iCs w:val="0"/>
          <w:sz w:val="20"/>
          <w:szCs w:val="20"/>
          <w:u w:val="single"/>
        </w:rPr>
      </w:pPr>
      <w:r w:rsidRPr="0062083D">
        <w:rPr>
          <w:rStyle w:val="Emphasis"/>
          <w:rFonts w:cs="Arial"/>
          <w:b/>
          <w:i w:val="0"/>
          <w:iCs w:val="0"/>
          <w:sz w:val="20"/>
          <w:szCs w:val="20"/>
          <w:u w:val="single"/>
        </w:rPr>
        <w:t>Assessment history:</w:t>
      </w:r>
    </w:p>
    <w:p w14:paraId="69FB51CB" w14:textId="77777777" w:rsidR="00EF47E9" w:rsidRPr="0062083D" w:rsidRDefault="0099149B" w:rsidP="0062083D">
      <w:pPr>
        <w:spacing w:before="60" w:after="60" w:line="240" w:lineRule="auto"/>
        <w:rPr>
          <w:rStyle w:val="Emphasis"/>
          <w:rFonts w:cs="Arial"/>
          <w:i w:val="0"/>
          <w:iCs w:val="0"/>
          <w:sz w:val="20"/>
          <w:szCs w:val="20"/>
        </w:rPr>
      </w:pPr>
      <w:r w:rsidRPr="0062083D">
        <w:rPr>
          <w:rStyle w:val="Emphasis"/>
          <w:rFonts w:cs="Arial"/>
          <w:i w:val="0"/>
          <w:iCs w:val="0"/>
          <w:sz w:val="20"/>
          <w:szCs w:val="20"/>
        </w:rPr>
        <w:t>1</w:t>
      </w:r>
      <w:r w:rsidRPr="0062083D">
        <w:rPr>
          <w:rStyle w:val="Emphasis"/>
          <w:rFonts w:cs="Arial"/>
          <w:i w:val="0"/>
          <w:iCs w:val="0"/>
          <w:sz w:val="20"/>
          <w:szCs w:val="20"/>
          <w:vertAlign w:val="superscript"/>
        </w:rPr>
        <w:t>st</w:t>
      </w:r>
      <w:r w:rsidRPr="0062083D">
        <w:rPr>
          <w:rStyle w:val="Emphasis"/>
          <w:rFonts w:cs="Arial"/>
          <w:i w:val="0"/>
          <w:iCs w:val="0"/>
          <w:sz w:val="20"/>
          <w:szCs w:val="20"/>
        </w:rPr>
        <w:t xml:space="preserve"> assessment finalised 2005 – WTO with 3 conditions and 6 recommendations</w:t>
      </w:r>
    </w:p>
    <w:p w14:paraId="69FB51CC" w14:textId="77777777" w:rsidR="00EF47E9" w:rsidRPr="0062083D" w:rsidRDefault="0099149B" w:rsidP="0062083D">
      <w:pPr>
        <w:spacing w:before="60" w:after="60" w:line="240" w:lineRule="auto"/>
        <w:rPr>
          <w:rStyle w:val="Emphasis"/>
          <w:rFonts w:cs="Arial"/>
          <w:i w:val="0"/>
          <w:iCs w:val="0"/>
          <w:sz w:val="20"/>
          <w:szCs w:val="20"/>
        </w:rPr>
      </w:pPr>
      <w:r w:rsidRPr="0062083D">
        <w:rPr>
          <w:rStyle w:val="Emphasis"/>
          <w:rFonts w:cs="Arial"/>
          <w:i w:val="0"/>
          <w:iCs w:val="0"/>
          <w:sz w:val="20"/>
          <w:szCs w:val="20"/>
        </w:rPr>
        <w:t>2</w:t>
      </w:r>
      <w:r w:rsidRPr="0062083D">
        <w:rPr>
          <w:rStyle w:val="Emphasis"/>
          <w:rFonts w:cs="Arial"/>
          <w:i w:val="0"/>
          <w:iCs w:val="0"/>
          <w:sz w:val="20"/>
          <w:szCs w:val="20"/>
          <w:vertAlign w:val="superscript"/>
        </w:rPr>
        <w:t>nd</w:t>
      </w:r>
      <w:r w:rsidRPr="0062083D">
        <w:rPr>
          <w:rStyle w:val="Emphasis"/>
          <w:rFonts w:cs="Arial"/>
          <w:i w:val="0"/>
          <w:iCs w:val="0"/>
          <w:sz w:val="20"/>
          <w:szCs w:val="20"/>
        </w:rPr>
        <w:t xml:space="preserve"> assessment finalised 2008 – WTO with 4 conditions and 7 recommendations</w:t>
      </w:r>
    </w:p>
    <w:p w14:paraId="69FB51CD" w14:textId="77777777" w:rsidR="00EF47E9" w:rsidRPr="0062083D" w:rsidRDefault="0099149B" w:rsidP="0062083D">
      <w:pPr>
        <w:spacing w:before="60" w:after="60" w:line="240" w:lineRule="auto"/>
        <w:rPr>
          <w:rStyle w:val="Emphasis"/>
          <w:rFonts w:cs="Arial"/>
          <w:i w:val="0"/>
          <w:iCs w:val="0"/>
          <w:sz w:val="20"/>
          <w:szCs w:val="20"/>
        </w:rPr>
      </w:pPr>
      <w:r w:rsidRPr="0062083D">
        <w:rPr>
          <w:rStyle w:val="Emphasis"/>
          <w:rFonts w:cs="Arial"/>
          <w:i w:val="0"/>
          <w:iCs w:val="0"/>
          <w:sz w:val="20"/>
          <w:szCs w:val="20"/>
        </w:rPr>
        <w:t>3</w:t>
      </w:r>
      <w:r w:rsidRPr="0062083D">
        <w:rPr>
          <w:rStyle w:val="Emphasis"/>
          <w:rFonts w:cs="Arial"/>
          <w:i w:val="0"/>
          <w:iCs w:val="0"/>
          <w:sz w:val="20"/>
          <w:szCs w:val="20"/>
          <w:vertAlign w:val="superscript"/>
        </w:rPr>
        <w:t>rd</w:t>
      </w:r>
      <w:r w:rsidRPr="0062083D">
        <w:rPr>
          <w:rStyle w:val="Emphasis"/>
          <w:rFonts w:cs="Arial"/>
          <w:i w:val="0"/>
          <w:iCs w:val="0"/>
          <w:sz w:val="20"/>
          <w:szCs w:val="20"/>
        </w:rPr>
        <w:t xml:space="preserve"> assessment finalised 2012 – LENS with 7 recommendations until 30 November 2016.</w:t>
      </w:r>
    </w:p>
    <w:p w14:paraId="69FB51CE" w14:textId="77777777" w:rsidR="00EF47E9" w:rsidRPr="0062083D" w:rsidRDefault="0099149B" w:rsidP="0062083D">
      <w:pPr>
        <w:spacing w:before="60" w:after="60" w:line="240" w:lineRule="auto"/>
        <w:rPr>
          <w:rStyle w:val="Emphasis"/>
          <w:rFonts w:cs="Arial"/>
          <w:i w:val="0"/>
          <w:iCs w:val="0"/>
          <w:sz w:val="20"/>
          <w:szCs w:val="20"/>
        </w:rPr>
      </w:pPr>
      <w:r w:rsidRPr="0062083D">
        <w:rPr>
          <w:rStyle w:val="Emphasis"/>
          <w:rFonts w:cs="Arial"/>
          <w:i w:val="0"/>
          <w:iCs w:val="0"/>
          <w:sz w:val="20"/>
          <w:szCs w:val="20"/>
        </w:rPr>
        <w:t>No public comments received in last assessment.</w:t>
      </w:r>
    </w:p>
    <w:p w14:paraId="69FB51CF" w14:textId="6CF474EB" w:rsidR="0099149B" w:rsidRDefault="00A95BFF" w:rsidP="0062083D">
      <w:pPr>
        <w:spacing w:before="60" w:after="60" w:line="240" w:lineRule="auto"/>
        <w:rPr>
          <w:rStyle w:val="Hyperlink"/>
          <w:rFonts w:cs="Arial"/>
          <w:sz w:val="20"/>
          <w:szCs w:val="20"/>
        </w:rPr>
      </w:pPr>
      <w:hyperlink r:id="rId16" w:history="1">
        <w:r w:rsidR="0099149B" w:rsidRPr="0062083D">
          <w:rPr>
            <w:rStyle w:val="Hyperlink"/>
            <w:rFonts w:cs="Arial"/>
            <w:sz w:val="20"/>
            <w:szCs w:val="20"/>
          </w:rPr>
          <w:t>http://www.environment.gov.au/marine/fisheries/commonwealth/shpjack-tuna</w:t>
        </w:r>
      </w:hyperlink>
      <w:r w:rsidR="009A3888">
        <w:rPr>
          <w:rStyle w:val="Hyperlink"/>
          <w:rFonts w:cs="Arial"/>
          <w:sz w:val="20"/>
          <w:szCs w:val="20"/>
        </w:rPr>
        <w:t>.</w:t>
      </w:r>
    </w:p>
    <w:p w14:paraId="72CAE65D" w14:textId="77777777" w:rsidR="009A3888" w:rsidRPr="0062083D" w:rsidRDefault="009A3888" w:rsidP="0062083D">
      <w:pPr>
        <w:spacing w:before="60" w:after="60" w:line="240" w:lineRule="auto"/>
        <w:rPr>
          <w:rStyle w:val="Emphasis"/>
          <w:rFonts w:cs="Arial"/>
          <w:i w:val="0"/>
          <w:iCs w:val="0"/>
          <w:sz w:val="20"/>
          <w:szCs w:val="20"/>
        </w:rPr>
      </w:pPr>
    </w:p>
    <w:p w14:paraId="69FB51D1" w14:textId="005FBF20" w:rsidR="0099149B" w:rsidRPr="0062083D" w:rsidRDefault="00C46BA7" w:rsidP="0062083D">
      <w:pPr>
        <w:spacing w:before="60" w:after="60" w:line="240" w:lineRule="auto"/>
        <w:rPr>
          <w:rStyle w:val="Emphasis"/>
          <w:rFonts w:cs="Arial"/>
          <w:b/>
          <w:i w:val="0"/>
          <w:iCs w:val="0"/>
          <w:sz w:val="20"/>
          <w:szCs w:val="20"/>
          <w:u w:val="single"/>
        </w:rPr>
      </w:pPr>
      <w:r w:rsidRPr="0062083D">
        <w:rPr>
          <w:rStyle w:val="Emphasis"/>
          <w:rFonts w:cs="Arial"/>
          <w:b/>
          <w:i w:val="0"/>
          <w:iCs w:val="0"/>
          <w:sz w:val="20"/>
          <w:szCs w:val="20"/>
          <w:u w:val="single"/>
        </w:rPr>
        <w:t>Key links:</w:t>
      </w:r>
    </w:p>
    <w:p w14:paraId="69FB51D2" w14:textId="77777777" w:rsidR="0099149B" w:rsidRPr="0062083D" w:rsidRDefault="0099149B" w:rsidP="0062083D">
      <w:pPr>
        <w:spacing w:before="60" w:after="60" w:line="240" w:lineRule="auto"/>
        <w:rPr>
          <w:rStyle w:val="Emphasis"/>
          <w:rFonts w:cs="Arial"/>
          <w:i w:val="0"/>
          <w:iCs w:val="0"/>
          <w:sz w:val="20"/>
          <w:szCs w:val="20"/>
        </w:rPr>
      </w:pPr>
      <w:r w:rsidRPr="0062083D">
        <w:rPr>
          <w:rStyle w:val="Emphasis"/>
          <w:rFonts w:cs="Arial"/>
          <w:i w:val="0"/>
          <w:iCs w:val="0"/>
          <w:sz w:val="20"/>
          <w:szCs w:val="20"/>
        </w:rPr>
        <w:t xml:space="preserve">Annual report </w:t>
      </w:r>
      <w:r w:rsidR="00C46BA7" w:rsidRPr="0062083D">
        <w:rPr>
          <w:rStyle w:val="Emphasis"/>
          <w:rFonts w:cs="Arial"/>
          <w:i w:val="0"/>
          <w:iCs w:val="0"/>
          <w:sz w:val="20"/>
          <w:szCs w:val="20"/>
        </w:rPr>
        <w:t xml:space="preserve">to the Department: </w:t>
      </w:r>
      <w:r w:rsidRPr="0062083D">
        <w:rPr>
          <w:rStyle w:val="Emphasis"/>
          <w:rFonts w:cs="Arial"/>
          <w:i w:val="0"/>
          <w:iCs w:val="0"/>
          <w:sz w:val="20"/>
          <w:szCs w:val="20"/>
        </w:rPr>
        <w:t xml:space="preserve">last </w:t>
      </w:r>
      <w:r w:rsidR="00C46BA7" w:rsidRPr="0062083D">
        <w:rPr>
          <w:rStyle w:val="Emphasis"/>
          <w:rFonts w:cs="Arial"/>
          <w:i w:val="0"/>
          <w:iCs w:val="0"/>
          <w:sz w:val="20"/>
          <w:szCs w:val="20"/>
        </w:rPr>
        <w:t xml:space="preserve">report </w:t>
      </w:r>
      <w:r w:rsidRPr="0062083D">
        <w:rPr>
          <w:rStyle w:val="Emphasis"/>
          <w:rFonts w:cs="Arial"/>
          <w:i w:val="0"/>
          <w:iCs w:val="0"/>
          <w:sz w:val="20"/>
          <w:szCs w:val="20"/>
        </w:rPr>
        <w:t>provided in Aug</w:t>
      </w:r>
      <w:r w:rsidR="00F7765A" w:rsidRPr="0062083D">
        <w:rPr>
          <w:rStyle w:val="Emphasis"/>
          <w:rFonts w:cs="Arial"/>
          <w:i w:val="0"/>
          <w:iCs w:val="0"/>
          <w:sz w:val="20"/>
          <w:szCs w:val="20"/>
        </w:rPr>
        <w:t>ust</w:t>
      </w:r>
      <w:r w:rsidRPr="0062083D">
        <w:rPr>
          <w:rStyle w:val="Emphasis"/>
          <w:rFonts w:cs="Arial"/>
          <w:i w:val="0"/>
          <w:iCs w:val="0"/>
          <w:sz w:val="20"/>
          <w:szCs w:val="20"/>
        </w:rPr>
        <w:t xml:space="preserve"> 201</w:t>
      </w:r>
      <w:r w:rsidR="00F7765A" w:rsidRPr="0062083D">
        <w:rPr>
          <w:rStyle w:val="Emphasis"/>
          <w:rFonts w:cs="Arial"/>
          <w:i w:val="0"/>
          <w:iCs w:val="0"/>
          <w:sz w:val="20"/>
          <w:szCs w:val="20"/>
        </w:rPr>
        <w:t>3.</w:t>
      </w:r>
    </w:p>
    <w:p w14:paraId="69FB51D3" w14:textId="04B87421" w:rsidR="0099149B" w:rsidRPr="0062083D" w:rsidRDefault="0099149B" w:rsidP="0062083D">
      <w:pPr>
        <w:spacing w:before="60" w:after="60" w:line="240" w:lineRule="auto"/>
        <w:rPr>
          <w:rStyle w:val="Emphasis"/>
          <w:rFonts w:cs="Arial"/>
          <w:i w:val="0"/>
          <w:iCs w:val="0"/>
          <w:sz w:val="20"/>
          <w:szCs w:val="20"/>
        </w:rPr>
      </w:pPr>
      <w:r w:rsidRPr="0062083D">
        <w:rPr>
          <w:rStyle w:val="Emphasis"/>
          <w:rFonts w:cs="Arial"/>
          <w:i w:val="0"/>
          <w:iCs w:val="0"/>
          <w:sz w:val="20"/>
          <w:szCs w:val="20"/>
        </w:rPr>
        <w:t>Protected species interactions</w:t>
      </w:r>
      <w:r w:rsidR="00C46BA7" w:rsidRPr="0062083D">
        <w:rPr>
          <w:rStyle w:val="Emphasis"/>
          <w:rFonts w:cs="Arial"/>
          <w:i w:val="0"/>
          <w:iCs w:val="0"/>
          <w:sz w:val="20"/>
          <w:szCs w:val="20"/>
        </w:rPr>
        <w:t xml:space="preserve">: </w:t>
      </w:r>
      <w:r w:rsidRPr="0062083D">
        <w:rPr>
          <w:rStyle w:val="Emphasis"/>
          <w:rFonts w:cs="Arial"/>
          <w:i w:val="0"/>
          <w:iCs w:val="0"/>
          <w:sz w:val="20"/>
          <w:szCs w:val="20"/>
        </w:rPr>
        <w:t xml:space="preserve">none recorded </w:t>
      </w:r>
      <w:r w:rsidR="00E55684" w:rsidRPr="0062083D">
        <w:rPr>
          <w:rStyle w:val="Emphasis"/>
          <w:rFonts w:cs="Arial"/>
          <w:i w:val="0"/>
          <w:iCs w:val="0"/>
          <w:sz w:val="20"/>
          <w:szCs w:val="20"/>
        </w:rPr>
        <w:t xml:space="preserve">in logbook or observer records to date. </w:t>
      </w:r>
      <w:r w:rsidR="00C46BA7" w:rsidRPr="0062083D">
        <w:rPr>
          <w:rStyle w:val="Emphasis"/>
          <w:rFonts w:cs="Arial"/>
          <w:i w:val="0"/>
          <w:iCs w:val="0"/>
          <w:sz w:val="20"/>
          <w:szCs w:val="20"/>
        </w:rPr>
        <w:t>All</w:t>
      </w:r>
      <w:r w:rsidR="00F7765A" w:rsidRPr="0062083D">
        <w:rPr>
          <w:rStyle w:val="Emphasis"/>
          <w:rFonts w:cs="Arial"/>
          <w:i w:val="0"/>
          <w:iCs w:val="0"/>
          <w:sz w:val="20"/>
          <w:szCs w:val="20"/>
        </w:rPr>
        <w:t xml:space="preserve"> i</w:t>
      </w:r>
      <w:r w:rsidRPr="0062083D">
        <w:rPr>
          <w:rStyle w:val="Emphasis"/>
          <w:rFonts w:cs="Arial"/>
          <w:i w:val="0"/>
          <w:iCs w:val="0"/>
          <w:sz w:val="20"/>
          <w:szCs w:val="20"/>
        </w:rPr>
        <w:t xml:space="preserve">nteractions publicly reported at </w:t>
      </w:r>
      <w:hyperlink r:id="rId17" w:history="1">
        <w:r w:rsidRPr="0062083D">
          <w:rPr>
            <w:rStyle w:val="Hyperlink"/>
            <w:rFonts w:cs="Arial"/>
            <w:sz w:val="20"/>
            <w:szCs w:val="20"/>
          </w:rPr>
          <w:t>http://www.afma.gov.au/sustainability-environment/protected-species-management/protected-species-interaction-reports/</w:t>
        </w:r>
      </w:hyperlink>
      <w:r w:rsidR="004D3295" w:rsidRPr="0062083D">
        <w:rPr>
          <w:rStyle w:val="Emphasis"/>
          <w:rFonts w:cs="Arial"/>
          <w:i w:val="0"/>
          <w:iCs w:val="0"/>
          <w:sz w:val="20"/>
          <w:szCs w:val="20"/>
        </w:rPr>
        <w:t xml:space="preserve"> </w:t>
      </w:r>
      <w:r w:rsidR="004D3295" w:rsidRPr="0062083D">
        <w:rPr>
          <w:rFonts w:cs="Arial"/>
          <w:sz w:val="20"/>
          <w:szCs w:val="20"/>
        </w:rPr>
        <w:t>(accessed 17 August 2016)</w:t>
      </w:r>
    </w:p>
    <w:p w14:paraId="69FB51D4" w14:textId="77777777" w:rsidR="00C46BA7" w:rsidRPr="0062083D" w:rsidRDefault="00C46BA7" w:rsidP="0062083D">
      <w:pPr>
        <w:spacing w:before="60" w:after="60" w:line="240" w:lineRule="auto"/>
        <w:rPr>
          <w:rStyle w:val="Emphasis"/>
          <w:rFonts w:cs="Arial"/>
          <w:b/>
          <w:i w:val="0"/>
          <w:iCs w:val="0"/>
          <w:sz w:val="20"/>
          <w:szCs w:val="20"/>
        </w:rPr>
      </w:pPr>
      <w:r w:rsidRPr="0062083D">
        <w:rPr>
          <w:rStyle w:val="Emphasis"/>
          <w:rFonts w:cs="Arial"/>
          <w:b/>
          <w:i w:val="0"/>
          <w:iCs w:val="0"/>
          <w:sz w:val="20"/>
          <w:szCs w:val="20"/>
        </w:rPr>
        <w:t>Fishery Status</w:t>
      </w:r>
    </w:p>
    <w:p w14:paraId="69FB51D5" w14:textId="70D9A905" w:rsidR="0099149B" w:rsidRDefault="0099149B" w:rsidP="0062083D">
      <w:pPr>
        <w:pStyle w:val="ListBullet"/>
        <w:numPr>
          <w:ilvl w:val="0"/>
          <w:numId w:val="0"/>
        </w:numPr>
        <w:spacing w:before="60" w:after="60" w:line="240" w:lineRule="auto"/>
        <w:rPr>
          <w:rFonts w:cs="Arial"/>
          <w:sz w:val="20"/>
          <w:szCs w:val="20"/>
        </w:rPr>
      </w:pPr>
      <w:r w:rsidRPr="0062083D">
        <w:rPr>
          <w:rStyle w:val="Emphasis"/>
          <w:rFonts w:cs="Arial"/>
          <w:i w:val="0"/>
          <w:iCs w:val="0"/>
          <w:sz w:val="20"/>
          <w:szCs w:val="20"/>
        </w:rPr>
        <w:t xml:space="preserve">ABARES Fishery Status Reports 2015 (Indian Ocean and Western and Central Pacific Ocean stocks): not subject to overfishing and not overfished. </w:t>
      </w:r>
      <w:hyperlink r:id="rId18" w:history="1">
        <w:r w:rsidRPr="0062083D">
          <w:rPr>
            <w:rStyle w:val="Hyperlink"/>
            <w:rFonts w:cs="Arial"/>
            <w:sz w:val="20"/>
            <w:szCs w:val="20"/>
          </w:rPr>
          <w:t>http://data.daff.gov.au/data/warehouse/9aam/fsrXXd9abm_/fsr15d9abm_20151030/23_FishStatus2015SkipjackTuna_1.0.0.pdf</w:t>
        </w:r>
      </w:hyperlink>
      <w:r w:rsidR="004D3295" w:rsidRPr="0062083D">
        <w:rPr>
          <w:rStyle w:val="Hyperlink"/>
          <w:rFonts w:cs="Arial"/>
          <w:sz w:val="20"/>
          <w:szCs w:val="20"/>
        </w:rPr>
        <w:t xml:space="preserve"> </w:t>
      </w:r>
      <w:r w:rsidR="004D3295" w:rsidRPr="0062083D">
        <w:rPr>
          <w:rFonts w:cs="Arial"/>
          <w:sz w:val="20"/>
          <w:szCs w:val="20"/>
        </w:rPr>
        <w:t>(accessed 17 August 2016)</w:t>
      </w:r>
    </w:p>
    <w:p w14:paraId="3B9C13C5" w14:textId="77777777" w:rsidR="009A3888" w:rsidRPr="0062083D" w:rsidRDefault="009A3888" w:rsidP="0062083D">
      <w:pPr>
        <w:pStyle w:val="ListBullet"/>
        <w:numPr>
          <w:ilvl w:val="0"/>
          <w:numId w:val="0"/>
        </w:numPr>
        <w:spacing w:before="60" w:after="60" w:line="240" w:lineRule="auto"/>
        <w:rPr>
          <w:rStyle w:val="Emphasis"/>
          <w:rFonts w:cs="Arial"/>
          <w:i w:val="0"/>
          <w:iCs w:val="0"/>
          <w:sz w:val="20"/>
          <w:szCs w:val="20"/>
        </w:rPr>
      </w:pPr>
    </w:p>
    <w:p w14:paraId="69FB51D7" w14:textId="77777777" w:rsidR="00C46BA7" w:rsidRPr="0062083D" w:rsidRDefault="00C46BA7" w:rsidP="0062083D">
      <w:pPr>
        <w:pStyle w:val="ListBullet"/>
        <w:numPr>
          <w:ilvl w:val="0"/>
          <w:numId w:val="0"/>
        </w:numPr>
        <w:spacing w:before="60" w:after="60" w:line="240" w:lineRule="auto"/>
        <w:rPr>
          <w:rStyle w:val="Emphasis"/>
          <w:rFonts w:cs="Arial"/>
          <w:b/>
          <w:i w:val="0"/>
          <w:iCs w:val="0"/>
          <w:sz w:val="20"/>
          <w:szCs w:val="20"/>
        </w:rPr>
      </w:pPr>
      <w:r w:rsidRPr="0062083D">
        <w:rPr>
          <w:rStyle w:val="Emphasis"/>
          <w:rFonts w:cs="Arial"/>
          <w:b/>
          <w:i w:val="0"/>
          <w:iCs w:val="0"/>
          <w:sz w:val="20"/>
          <w:szCs w:val="20"/>
        </w:rPr>
        <w:t>Management Arrangements</w:t>
      </w:r>
    </w:p>
    <w:p w14:paraId="69FB51D8" w14:textId="77777777" w:rsidR="0099149B" w:rsidRPr="0062083D" w:rsidRDefault="0099149B" w:rsidP="0062083D">
      <w:pPr>
        <w:spacing w:before="60" w:after="60" w:line="240" w:lineRule="auto"/>
        <w:rPr>
          <w:rStyle w:val="Emphasis"/>
          <w:rFonts w:cs="Arial"/>
          <w:i w:val="0"/>
          <w:iCs w:val="0"/>
          <w:sz w:val="20"/>
          <w:szCs w:val="20"/>
        </w:rPr>
      </w:pPr>
      <w:r w:rsidRPr="0062083D">
        <w:rPr>
          <w:rStyle w:val="Emphasis"/>
          <w:rFonts w:cs="Arial"/>
          <w:i w:val="0"/>
          <w:iCs w:val="0"/>
          <w:sz w:val="20"/>
          <w:szCs w:val="20"/>
        </w:rPr>
        <w:t>AFMA fishery information page</w:t>
      </w:r>
      <w:r w:rsidRPr="0062083D">
        <w:rPr>
          <w:rFonts w:cs="Arial"/>
          <w:sz w:val="20"/>
          <w:szCs w:val="20"/>
        </w:rPr>
        <w:t xml:space="preserve">: </w:t>
      </w:r>
      <w:hyperlink r:id="rId19" w:history="1">
        <w:r w:rsidRPr="0062083D">
          <w:rPr>
            <w:rStyle w:val="Hyperlink"/>
            <w:rFonts w:cs="Arial"/>
            <w:sz w:val="20"/>
            <w:szCs w:val="20"/>
          </w:rPr>
          <w:t>http://www.afma.gov.au/fisheries/skipjack-tuna-fishery/</w:t>
        </w:r>
      </w:hyperlink>
    </w:p>
    <w:p w14:paraId="69FB51D9" w14:textId="1943052D" w:rsidR="0099149B" w:rsidRPr="0062083D" w:rsidRDefault="00F7765A" w:rsidP="0062083D">
      <w:pPr>
        <w:spacing w:before="60" w:after="60" w:line="240" w:lineRule="auto"/>
        <w:rPr>
          <w:rStyle w:val="Emphasis"/>
          <w:rFonts w:cs="Arial"/>
          <w:i w:val="0"/>
          <w:iCs w:val="0"/>
          <w:sz w:val="20"/>
          <w:szCs w:val="20"/>
        </w:rPr>
      </w:pPr>
      <w:r w:rsidRPr="0062083D">
        <w:rPr>
          <w:rStyle w:val="Emphasis"/>
          <w:rFonts w:cs="Arial"/>
          <w:i w:val="0"/>
          <w:iCs w:val="0"/>
          <w:sz w:val="20"/>
          <w:szCs w:val="20"/>
        </w:rPr>
        <w:t>Skipjack Tuna Fishery M</w:t>
      </w:r>
      <w:r w:rsidR="0099149B" w:rsidRPr="0062083D">
        <w:rPr>
          <w:rStyle w:val="Emphasis"/>
          <w:rFonts w:cs="Arial"/>
          <w:i w:val="0"/>
          <w:iCs w:val="0"/>
          <w:sz w:val="20"/>
          <w:szCs w:val="20"/>
        </w:rPr>
        <w:t xml:space="preserve">anagement </w:t>
      </w:r>
      <w:r w:rsidRPr="0062083D">
        <w:rPr>
          <w:rStyle w:val="Emphasis"/>
          <w:rFonts w:cs="Arial"/>
          <w:i w:val="0"/>
          <w:iCs w:val="0"/>
          <w:sz w:val="20"/>
          <w:szCs w:val="20"/>
        </w:rPr>
        <w:t>A</w:t>
      </w:r>
      <w:r w:rsidR="0099149B" w:rsidRPr="0062083D">
        <w:rPr>
          <w:rStyle w:val="Emphasis"/>
          <w:rFonts w:cs="Arial"/>
          <w:i w:val="0"/>
          <w:iCs w:val="0"/>
          <w:sz w:val="20"/>
          <w:szCs w:val="20"/>
        </w:rPr>
        <w:t xml:space="preserve">rrangements </w:t>
      </w:r>
      <w:r w:rsidRPr="0062083D">
        <w:rPr>
          <w:rStyle w:val="Emphasis"/>
          <w:rFonts w:cs="Arial"/>
          <w:i w:val="0"/>
          <w:iCs w:val="0"/>
          <w:sz w:val="20"/>
          <w:szCs w:val="20"/>
        </w:rPr>
        <w:t>B</w:t>
      </w:r>
      <w:r w:rsidR="0099149B" w:rsidRPr="0062083D">
        <w:rPr>
          <w:rStyle w:val="Emphasis"/>
          <w:rFonts w:cs="Arial"/>
          <w:i w:val="0"/>
          <w:iCs w:val="0"/>
          <w:sz w:val="20"/>
          <w:szCs w:val="20"/>
        </w:rPr>
        <w:t>ooklet</w:t>
      </w:r>
      <w:proofErr w:type="gramStart"/>
      <w:r w:rsidR="0099149B" w:rsidRPr="0062083D">
        <w:rPr>
          <w:rStyle w:val="Emphasis"/>
          <w:rFonts w:cs="Arial"/>
          <w:i w:val="0"/>
          <w:iCs w:val="0"/>
          <w:sz w:val="20"/>
          <w:szCs w:val="20"/>
        </w:rPr>
        <w:t>:</w:t>
      </w:r>
      <w:proofErr w:type="gramEnd"/>
      <w:r w:rsidR="004D3295" w:rsidRPr="0062083D">
        <w:rPr>
          <w:rStyle w:val="Emphasis"/>
          <w:rFonts w:cs="Arial"/>
          <w:i w:val="0"/>
          <w:iCs w:val="0"/>
          <w:sz w:val="20"/>
          <w:szCs w:val="20"/>
        </w:rPr>
        <w:br/>
      </w:r>
      <w:hyperlink r:id="rId20" w:history="1">
        <w:r w:rsidR="0099149B" w:rsidRPr="0062083D">
          <w:rPr>
            <w:rStyle w:val="Hyperlink"/>
            <w:rFonts w:cs="Arial"/>
            <w:sz w:val="20"/>
            <w:szCs w:val="20"/>
          </w:rPr>
          <w:t>http://www.afma.gov.au/wp-content/uploads/2014/08/Skipjack-management-arrangements-booklet-2015.pdf</w:t>
        </w:r>
      </w:hyperlink>
      <w:r w:rsidR="004D3295" w:rsidRPr="0062083D">
        <w:rPr>
          <w:rStyle w:val="Hyperlink"/>
          <w:rFonts w:cs="Arial"/>
          <w:sz w:val="20"/>
          <w:szCs w:val="20"/>
        </w:rPr>
        <w:t xml:space="preserve"> </w:t>
      </w:r>
      <w:r w:rsidR="004D3295" w:rsidRPr="0062083D">
        <w:rPr>
          <w:rFonts w:cs="Arial"/>
          <w:sz w:val="20"/>
          <w:szCs w:val="20"/>
        </w:rPr>
        <w:t>(accessed 17 August 2016)</w:t>
      </w:r>
    </w:p>
    <w:p w14:paraId="69FB51DA" w14:textId="7214EEF9" w:rsidR="0099149B" w:rsidRPr="0062083D" w:rsidRDefault="00C46BA7" w:rsidP="0062083D">
      <w:pPr>
        <w:spacing w:before="60" w:after="60" w:line="240" w:lineRule="auto"/>
        <w:rPr>
          <w:rStyle w:val="Emphasis"/>
          <w:rFonts w:cs="Arial"/>
          <w:i w:val="0"/>
          <w:iCs w:val="0"/>
          <w:sz w:val="20"/>
          <w:szCs w:val="20"/>
        </w:rPr>
      </w:pPr>
      <w:r w:rsidRPr="0062083D">
        <w:rPr>
          <w:rStyle w:val="Emphasis"/>
          <w:rFonts w:cs="Arial"/>
          <w:i w:val="0"/>
          <w:iCs w:val="0"/>
          <w:sz w:val="20"/>
          <w:szCs w:val="20"/>
        </w:rPr>
        <w:t xml:space="preserve">Skipjack Tuna Fishery </w:t>
      </w:r>
      <w:r w:rsidR="0099149B" w:rsidRPr="0062083D">
        <w:rPr>
          <w:rStyle w:val="Emphasis"/>
          <w:rFonts w:cs="Arial"/>
          <w:i w:val="0"/>
          <w:iCs w:val="0"/>
          <w:sz w:val="20"/>
          <w:szCs w:val="20"/>
        </w:rPr>
        <w:t xml:space="preserve">Harvest Strategy: </w:t>
      </w:r>
      <w:hyperlink r:id="rId21" w:history="1">
        <w:r w:rsidR="0099149B" w:rsidRPr="0062083D">
          <w:rPr>
            <w:rStyle w:val="Hyperlink"/>
            <w:rFonts w:cs="Arial"/>
            <w:sz w:val="20"/>
            <w:szCs w:val="20"/>
          </w:rPr>
          <w:t>http://www.afma.gov.au/wp-content/uploads/2014/11/Harvest-Strategy-SJTF-August-2011.doc</w:t>
        </w:r>
      </w:hyperlink>
      <w:r w:rsidR="004D3295" w:rsidRPr="0062083D">
        <w:rPr>
          <w:rStyle w:val="Hyperlink"/>
          <w:rFonts w:cs="Arial"/>
          <w:sz w:val="20"/>
          <w:szCs w:val="20"/>
        </w:rPr>
        <w:t xml:space="preserve"> </w:t>
      </w:r>
      <w:r w:rsidR="004D3295" w:rsidRPr="0062083D">
        <w:rPr>
          <w:rFonts w:cs="Arial"/>
          <w:sz w:val="20"/>
          <w:szCs w:val="20"/>
        </w:rPr>
        <w:t>(accessed 17 August 2016)</w:t>
      </w:r>
    </w:p>
    <w:p w14:paraId="69FB51DB" w14:textId="6B0BF017" w:rsidR="0099149B" w:rsidRPr="0062083D" w:rsidRDefault="00C46BA7" w:rsidP="0062083D">
      <w:pPr>
        <w:spacing w:before="60" w:after="60" w:line="240" w:lineRule="auto"/>
        <w:rPr>
          <w:rStyle w:val="Emphasis"/>
          <w:rFonts w:cs="Arial"/>
          <w:i w:val="0"/>
          <w:iCs w:val="0"/>
          <w:sz w:val="20"/>
          <w:szCs w:val="20"/>
        </w:rPr>
      </w:pPr>
      <w:r w:rsidRPr="0062083D">
        <w:rPr>
          <w:rStyle w:val="Emphasis"/>
          <w:rFonts w:cs="Arial"/>
          <w:i w:val="0"/>
          <w:iCs w:val="0"/>
          <w:sz w:val="20"/>
          <w:szCs w:val="20"/>
        </w:rPr>
        <w:t xml:space="preserve">Skipjack Tuna </w:t>
      </w:r>
      <w:r w:rsidR="0099149B" w:rsidRPr="0062083D">
        <w:rPr>
          <w:rStyle w:val="Emphasis"/>
          <w:rFonts w:cs="Arial"/>
          <w:i w:val="0"/>
          <w:iCs w:val="0"/>
          <w:sz w:val="20"/>
          <w:szCs w:val="20"/>
        </w:rPr>
        <w:t xml:space="preserve">Fishery permit conditions: </w:t>
      </w:r>
      <w:hyperlink r:id="rId22" w:history="1">
        <w:r w:rsidR="0099149B" w:rsidRPr="0062083D">
          <w:rPr>
            <w:rStyle w:val="Hyperlink"/>
            <w:rFonts w:cs="Arial"/>
            <w:sz w:val="20"/>
            <w:szCs w:val="20"/>
          </w:rPr>
          <w:t>http://www.afma.gov.au/fisheries-services/concession-holders-conditions/</w:t>
        </w:r>
      </w:hyperlink>
      <w:r w:rsidR="004D3295" w:rsidRPr="0062083D">
        <w:rPr>
          <w:rStyle w:val="Hyperlink"/>
          <w:rFonts w:cs="Arial"/>
          <w:sz w:val="20"/>
          <w:szCs w:val="20"/>
        </w:rPr>
        <w:t xml:space="preserve"> </w:t>
      </w:r>
      <w:r w:rsidR="004D3295" w:rsidRPr="0062083D">
        <w:rPr>
          <w:rFonts w:cs="Arial"/>
          <w:sz w:val="20"/>
          <w:szCs w:val="20"/>
        </w:rPr>
        <w:t>(accessed 17 August 2016)</w:t>
      </w:r>
    </w:p>
    <w:p w14:paraId="69FB51DC" w14:textId="72B84288" w:rsidR="00C46BA7" w:rsidRPr="0062083D" w:rsidRDefault="00A95BFF" w:rsidP="0062083D">
      <w:pPr>
        <w:spacing w:before="60" w:after="60" w:line="240" w:lineRule="auto"/>
        <w:rPr>
          <w:rStyle w:val="Emphasis"/>
          <w:rFonts w:cs="Arial"/>
          <w:i w:val="0"/>
          <w:iCs w:val="0"/>
          <w:sz w:val="20"/>
          <w:szCs w:val="20"/>
        </w:rPr>
      </w:pPr>
      <w:hyperlink r:id="rId23" w:history="1">
        <w:r w:rsidR="00C46BA7" w:rsidRPr="0062083D">
          <w:rPr>
            <w:rStyle w:val="Hyperlink"/>
            <w:rFonts w:cs="Arial"/>
            <w:sz w:val="20"/>
            <w:szCs w:val="20"/>
          </w:rPr>
          <w:t>The western and central pacific tuna fishery: 2014 overview and status of stocks Programme. Tuna Fisheries Assessment Report No. 15.</w:t>
        </w:r>
      </w:hyperlink>
      <w:r w:rsidR="00C46BA7" w:rsidRPr="0062083D">
        <w:rPr>
          <w:rStyle w:val="Emphasis"/>
          <w:rFonts w:cs="Arial"/>
          <w:i w:val="0"/>
          <w:iCs w:val="0"/>
          <w:sz w:val="20"/>
          <w:szCs w:val="20"/>
        </w:rPr>
        <w:br/>
        <w:t xml:space="preserve">Harley S., Williams P., Nicol S., Hampton J. and </w:t>
      </w:r>
      <w:proofErr w:type="spellStart"/>
      <w:r w:rsidR="00C46BA7" w:rsidRPr="0062083D">
        <w:rPr>
          <w:rStyle w:val="Emphasis"/>
          <w:rFonts w:cs="Arial"/>
          <w:i w:val="0"/>
          <w:iCs w:val="0"/>
          <w:sz w:val="20"/>
          <w:szCs w:val="20"/>
        </w:rPr>
        <w:t>Brouwer</w:t>
      </w:r>
      <w:proofErr w:type="spellEnd"/>
      <w:r w:rsidR="00C46BA7" w:rsidRPr="0062083D">
        <w:rPr>
          <w:rStyle w:val="Emphasis"/>
          <w:rFonts w:cs="Arial"/>
          <w:i w:val="0"/>
          <w:iCs w:val="0"/>
          <w:sz w:val="20"/>
          <w:szCs w:val="20"/>
        </w:rPr>
        <w:t xml:space="preserve"> S. (2015). Secretariat of the Pacific Community, Oceanic Fisheries (accessed</w:t>
      </w:r>
      <w:r w:rsidR="004D3295" w:rsidRPr="0062083D">
        <w:rPr>
          <w:rStyle w:val="Emphasis"/>
          <w:rFonts w:cs="Arial"/>
          <w:i w:val="0"/>
          <w:iCs w:val="0"/>
          <w:sz w:val="20"/>
          <w:szCs w:val="20"/>
        </w:rPr>
        <w:t> </w:t>
      </w:r>
      <w:r w:rsidR="00C46BA7" w:rsidRPr="0062083D">
        <w:rPr>
          <w:rStyle w:val="Emphasis"/>
          <w:rFonts w:cs="Arial"/>
          <w:i w:val="0"/>
          <w:iCs w:val="0"/>
          <w:sz w:val="20"/>
          <w:szCs w:val="20"/>
        </w:rPr>
        <w:t>20</w:t>
      </w:r>
      <w:r w:rsidR="004D3295" w:rsidRPr="0062083D">
        <w:rPr>
          <w:rStyle w:val="Emphasis"/>
          <w:rFonts w:cs="Arial"/>
          <w:i w:val="0"/>
          <w:iCs w:val="0"/>
          <w:sz w:val="20"/>
          <w:szCs w:val="20"/>
        </w:rPr>
        <w:t> </w:t>
      </w:r>
      <w:r w:rsidR="00C46BA7" w:rsidRPr="0062083D">
        <w:rPr>
          <w:rStyle w:val="Emphasis"/>
          <w:rFonts w:cs="Arial"/>
          <w:i w:val="0"/>
          <w:iCs w:val="0"/>
          <w:sz w:val="20"/>
          <w:szCs w:val="20"/>
        </w:rPr>
        <w:t>May</w:t>
      </w:r>
      <w:r w:rsidR="004D3295" w:rsidRPr="0062083D">
        <w:rPr>
          <w:rStyle w:val="Emphasis"/>
          <w:rFonts w:cs="Arial"/>
          <w:i w:val="0"/>
          <w:iCs w:val="0"/>
          <w:sz w:val="20"/>
          <w:szCs w:val="20"/>
        </w:rPr>
        <w:t> </w:t>
      </w:r>
      <w:r w:rsidR="00692F41" w:rsidRPr="0062083D">
        <w:rPr>
          <w:rStyle w:val="Emphasis"/>
          <w:rFonts w:cs="Arial"/>
          <w:i w:val="0"/>
          <w:iCs w:val="0"/>
          <w:sz w:val="20"/>
          <w:szCs w:val="20"/>
        </w:rPr>
        <w:t>2016)</w:t>
      </w:r>
    </w:p>
    <w:p w14:paraId="69FB51DD" w14:textId="77777777" w:rsidR="00C46BA7" w:rsidRPr="0062083D" w:rsidRDefault="00A95BFF" w:rsidP="0062083D">
      <w:pPr>
        <w:spacing w:before="60" w:after="60" w:line="240" w:lineRule="auto"/>
        <w:rPr>
          <w:rFonts w:cs="Arial"/>
          <w:sz w:val="20"/>
          <w:szCs w:val="20"/>
        </w:rPr>
      </w:pPr>
      <w:hyperlink r:id="rId24" w:history="1">
        <w:r w:rsidR="00C46BA7" w:rsidRPr="0062083D">
          <w:rPr>
            <w:rStyle w:val="Hyperlink"/>
            <w:rFonts w:cs="Arial"/>
            <w:sz w:val="20"/>
            <w:szCs w:val="20"/>
          </w:rPr>
          <w:t>IOTC–SC18 2015. Report of the 18th Session of the IOTC Scientific Committee. Bali, Indonesia 23–27 November 2015.</w:t>
        </w:r>
      </w:hyperlink>
      <w:r w:rsidR="00C46BA7" w:rsidRPr="0062083D">
        <w:rPr>
          <w:rFonts w:cs="Arial"/>
          <w:sz w:val="20"/>
          <w:szCs w:val="20"/>
        </w:rPr>
        <w:t xml:space="preserve"> IOTC–2015–SC18–</w:t>
      </w:r>
      <w:proofErr w:type="gramStart"/>
      <w:r w:rsidR="00C46BA7" w:rsidRPr="0062083D">
        <w:rPr>
          <w:rFonts w:cs="Arial"/>
          <w:sz w:val="20"/>
          <w:szCs w:val="20"/>
        </w:rPr>
        <w:t>R[</w:t>
      </w:r>
      <w:proofErr w:type="gramEnd"/>
      <w:r w:rsidR="00C46BA7" w:rsidRPr="0062083D">
        <w:rPr>
          <w:rFonts w:cs="Arial"/>
          <w:sz w:val="20"/>
          <w:szCs w:val="20"/>
        </w:rPr>
        <w:t>E]: 175 pp. (accessed 20 May 2015)</w:t>
      </w:r>
    </w:p>
    <w:p w14:paraId="69FB51DE" w14:textId="6CCB8C64" w:rsidR="0082270A" w:rsidRPr="0062083D" w:rsidRDefault="0082270A" w:rsidP="0062083D">
      <w:pPr>
        <w:spacing w:before="60" w:after="60" w:line="240" w:lineRule="auto"/>
        <w:rPr>
          <w:rFonts w:cs="Arial"/>
          <w:sz w:val="20"/>
          <w:szCs w:val="20"/>
        </w:rPr>
      </w:pPr>
      <w:r w:rsidRPr="0062083D">
        <w:rPr>
          <w:rFonts w:cs="Arial"/>
          <w:sz w:val="20"/>
          <w:szCs w:val="20"/>
        </w:rPr>
        <w:t xml:space="preserve">IOTC Status summary for species of tuna and tuna-like species under the IOTC mandate, as well as other species </w:t>
      </w:r>
      <w:r w:rsidR="003C6C40" w:rsidRPr="0062083D">
        <w:rPr>
          <w:rFonts w:cs="Arial"/>
          <w:sz w:val="20"/>
          <w:szCs w:val="20"/>
        </w:rPr>
        <w:t xml:space="preserve">impacted by IOTC fisheries: </w:t>
      </w:r>
      <w:hyperlink r:id="rId25" w:history="1">
        <w:r w:rsidR="003C6C40" w:rsidRPr="0062083D">
          <w:rPr>
            <w:rStyle w:val="Hyperlink"/>
            <w:rFonts w:cs="Arial"/>
            <w:sz w:val="20"/>
            <w:szCs w:val="20"/>
          </w:rPr>
          <w:t>http://iotc.org/science/status-summary-species-tuna-and-tuna-species-under-iotc-mandate-well-other-species-impacted-iotc</w:t>
        </w:r>
      </w:hyperlink>
      <w:r w:rsidR="003C6C40" w:rsidRPr="0062083D">
        <w:rPr>
          <w:rFonts w:cs="Arial"/>
          <w:sz w:val="20"/>
          <w:szCs w:val="20"/>
        </w:rPr>
        <w:t xml:space="preserve"> </w:t>
      </w:r>
      <w:r w:rsidR="00D42604" w:rsidRPr="0062083D">
        <w:rPr>
          <w:rFonts w:cs="Arial"/>
          <w:sz w:val="20"/>
          <w:szCs w:val="20"/>
        </w:rPr>
        <w:t>(accessed</w:t>
      </w:r>
      <w:r w:rsidR="004D3295" w:rsidRPr="0062083D">
        <w:rPr>
          <w:rFonts w:cs="Arial"/>
          <w:sz w:val="20"/>
          <w:szCs w:val="20"/>
        </w:rPr>
        <w:t> </w:t>
      </w:r>
      <w:r w:rsidR="00D42604" w:rsidRPr="0062083D">
        <w:rPr>
          <w:rFonts w:cs="Arial"/>
          <w:sz w:val="20"/>
          <w:szCs w:val="20"/>
        </w:rPr>
        <w:t>17</w:t>
      </w:r>
      <w:r w:rsidR="004D3295" w:rsidRPr="0062083D">
        <w:rPr>
          <w:rFonts w:cs="Arial"/>
          <w:sz w:val="20"/>
          <w:szCs w:val="20"/>
        </w:rPr>
        <w:t> </w:t>
      </w:r>
      <w:r w:rsidR="00D42604" w:rsidRPr="0062083D">
        <w:rPr>
          <w:rFonts w:cs="Arial"/>
          <w:sz w:val="20"/>
          <w:szCs w:val="20"/>
        </w:rPr>
        <w:t>August</w:t>
      </w:r>
      <w:r w:rsidR="004D3295" w:rsidRPr="0062083D">
        <w:rPr>
          <w:rFonts w:cs="Arial"/>
          <w:sz w:val="20"/>
          <w:szCs w:val="20"/>
        </w:rPr>
        <w:t> </w:t>
      </w:r>
      <w:r w:rsidR="00D42604" w:rsidRPr="0062083D">
        <w:rPr>
          <w:rFonts w:cs="Arial"/>
          <w:sz w:val="20"/>
          <w:szCs w:val="20"/>
        </w:rPr>
        <w:t>2016)</w:t>
      </w:r>
    </w:p>
    <w:p w14:paraId="69FB51DF" w14:textId="0E42C8B0" w:rsidR="00206AF8" w:rsidRPr="0062083D" w:rsidRDefault="00206AF8" w:rsidP="0062083D">
      <w:pPr>
        <w:spacing w:before="60" w:after="60" w:line="240" w:lineRule="auto"/>
        <w:rPr>
          <w:rFonts w:cs="Arial"/>
          <w:sz w:val="20"/>
          <w:szCs w:val="20"/>
        </w:rPr>
      </w:pPr>
      <w:r w:rsidRPr="0062083D">
        <w:rPr>
          <w:rFonts w:cs="Arial"/>
          <w:sz w:val="20"/>
          <w:szCs w:val="20"/>
        </w:rPr>
        <w:t xml:space="preserve">Logbooks and catch disposal records: </w:t>
      </w:r>
      <w:hyperlink r:id="rId26" w:history="1">
        <w:r w:rsidRPr="0062083D">
          <w:rPr>
            <w:rStyle w:val="Hyperlink"/>
            <w:rFonts w:cs="Arial"/>
            <w:sz w:val="20"/>
            <w:szCs w:val="20"/>
          </w:rPr>
          <w:t>http://www.afma.gov.au/fisheries-services/logbooks-and-catch-disposal/</w:t>
        </w:r>
      </w:hyperlink>
      <w:r w:rsidRPr="0062083D">
        <w:rPr>
          <w:rFonts w:cs="Arial"/>
          <w:sz w:val="20"/>
          <w:szCs w:val="20"/>
        </w:rPr>
        <w:t xml:space="preserve"> </w:t>
      </w:r>
      <w:r w:rsidR="004D3295" w:rsidRPr="0062083D">
        <w:rPr>
          <w:rFonts w:cs="Arial"/>
          <w:sz w:val="20"/>
          <w:szCs w:val="20"/>
        </w:rPr>
        <w:t>(accessed 17 August 2016)</w:t>
      </w:r>
    </w:p>
    <w:p w14:paraId="69FB51E0" w14:textId="2C31D19A" w:rsidR="00CC2879" w:rsidRPr="0062083D" w:rsidRDefault="00CC2879" w:rsidP="0062083D">
      <w:pPr>
        <w:spacing w:before="60" w:after="60" w:line="240" w:lineRule="auto"/>
        <w:rPr>
          <w:rFonts w:cs="Arial"/>
          <w:sz w:val="20"/>
          <w:szCs w:val="20"/>
        </w:rPr>
      </w:pPr>
      <w:r w:rsidRPr="0062083D">
        <w:rPr>
          <w:rFonts w:cs="Arial"/>
          <w:sz w:val="20"/>
          <w:szCs w:val="20"/>
        </w:rPr>
        <w:t xml:space="preserve">Annual corporate reports: </w:t>
      </w:r>
      <w:hyperlink r:id="rId27" w:history="1">
        <w:r w:rsidRPr="0062083D">
          <w:rPr>
            <w:rStyle w:val="Hyperlink"/>
            <w:rFonts w:cs="Arial"/>
            <w:sz w:val="20"/>
            <w:szCs w:val="20"/>
          </w:rPr>
          <w:t>http://www.afma.gov.au/about/corporate-publications/</w:t>
        </w:r>
      </w:hyperlink>
      <w:r w:rsidR="004D3295" w:rsidRPr="0062083D">
        <w:rPr>
          <w:rStyle w:val="Hyperlink"/>
          <w:rFonts w:cs="Arial"/>
          <w:sz w:val="20"/>
          <w:szCs w:val="20"/>
        </w:rPr>
        <w:t xml:space="preserve"> </w:t>
      </w:r>
      <w:r w:rsidR="004D3295" w:rsidRPr="0062083D">
        <w:rPr>
          <w:rFonts w:cs="Arial"/>
          <w:sz w:val="20"/>
          <w:szCs w:val="20"/>
        </w:rPr>
        <w:t>(accessed 17 August 2016)</w:t>
      </w:r>
    </w:p>
    <w:p w14:paraId="69FB51E1" w14:textId="4A1BC8EA" w:rsidR="00C46BA7" w:rsidRPr="0062083D" w:rsidRDefault="00C46BA7" w:rsidP="0062083D">
      <w:pPr>
        <w:spacing w:before="60" w:after="60" w:line="240" w:lineRule="auto"/>
        <w:rPr>
          <w:rStyle w:val="Emphasis"/>
          <w:rFonts w:cs="Arial"/>
          <w:i w:val="0"/>
          <w:iCs w:val="0"/>
          <w:sz w:val="20"/>
          <w:szCs w:val="20"/>
        </w:rPr>
      </w:pPr>
      <w:r w:rsidRPr="0062083D">
        <w:rPr>
          <w:rStyle w:val="Emphasis"/>
          <w:rFonts w:cs="Arial"/>
          <w:iCs w:val="0"/>
          <w:sz w:val="20"/>
          <w:szCs w:val="20"/>
        </w:rPr>
        <w:t>Fisheries Management Act 1991</w:t>
      </w:r>
      <w:r w:rsidRPr="0062083D">
        <w:rPr>
          <w:rStyle w:val="Emphasis"/>
          <w:rFonts w:cs="Arial"/>
          <w:i w:val="0"/>
          <w:iCs w:val="0"/>
          <w:sz w:val="20"/>
          <w:szCs w:val="20"/>
        </w:rPr>
        <w:t xml:space="preserve">: </w:t>
      </w:r>
      <w:hyperlink r:id="rId28" w:history="1">
        <w:r w:rsidRPr="0062083D">
          <w:rPr>
            <w:rStyle w:val="Hyperlink"/>
            <w:rFonts w:cs="Arial"/>
            <w:sz w:val="20"/>
            <w:szCs w:val="20"/>
          </w:rPr>
          <w:t>https://www.legislation.gov.au/Details/C2016C00795</w:t>
        </w:r>
      </w:hyperlink>
      <w:r w:rsidR="004D3295" w:rsidRPr="0062083D">
        <w:rPr>
          <w:rStyle w:val="Hyperlink"/>
          <w:rFonts w:cs="Arial"/>
          <w:sz w:val="20"/>
          <w:szCs w:val="20"/>
        </w:rPr>
        <w:t xml:space="preserve"> </w:t>
      </w:r>
      <w:r w:rsidR="004D3295" w:rsidRPr="0062083D">
        <w:rPr>
          <w:rFonts w:cs="Arial"/>
          <w:sz w:val="20"/>
          <w:szCs w:val="20"/>
        </w:rPr>
        <w:t>(accessed 17 August 2016)</w:t>
      </w:r>
    </w:p>
    <w:p w14:paraId="69FB51E2" w14:textId="499DD5C4" w:rsidR="00C46BA7" w:rsidRDefault="00C46BA7" w:rsidP="0062083D">
      <w:pPr>
        <w:spacing w:before="60" w:after="60" w:line="240" w:lineRule="auto"/>
        <w:rPr>
          <w:rFonts w:cs="Arial"/>
          <w:sz w:val="20"/>
          <w:szCs w:val="20"/>
        </w:rPr>
      </w:pPr>
      <w:r w:rsidRPr="0062083D">
        <w:rPr>
          <w:rStyle w:val="Emphasis"/>
          <w:rFonts w:cs="Arial"/>
          <w:i w:val="0"/>
          <w:iCs w:val="0"/>
          <w:sz w:val="20"/>
          <w:szCs w:val="20"/>
        </w:rPr>
        <w:lastRenderedPageBreak/>
        <w:t xml:space="preserve">Fisheries Management Regulations 1992: </w:t>
      </w:r>
      <w:hyperlink r:id="rId29" w:history="1">
        <w:r w:rsidRPr="0062083D">
          <w:rPr>
            <w:rStyle w:val="Hyperlink"/>
            <w:rFonts w:cs="Arial"/>
            <w:sz w:val="20"/>
            <w:szCs w:val="20"/>
          </w:rPr>
          <w:t>https://www.legislation.gov.au/Details/F2005C00123</w:t>
        </w:r>
      </w:hyperlink>
      <w:r w:rsidR="004D3295" w:rsidRPr="0062083D">
        <w:rPr>
          <w:rStyle w:val="Hyperlink"/>
          <w:rFonts w:cs="Arial"/>
          <w:sz w:val="20"/>
          <w:szCs w:val="20"/>
        </w:rPr>
        <w:t xml:space="preserve"> </w:t>
      </w:r>
      <w:r w:rsidR="004D3295" w:rsidRPr="0062083D">
        <w:rPr>
          <w:rFonts w:cs="Arial"/>
          <w:sz w:val="20"/>
          <w:szCs w:val="20"/>
        </w:rPr>
        <w:t>(accessed 17 August 2016)</w:t>
      </w:r>
    </w:p>
    <w:p w14:paraId="67B448FA" w14:textId="77777777" w:rsidR="009A3888" w:rsidRPr="0062083D" w:rsidRDefault="009A3888" w:rsidP="0062083D">
      <w:pPr>
        <w:spacing w:before="60" w:after="60" w:line="240" w:lineRule="auto"/>
        <w:rPr>
          <w:rStyle w:val="Emphasis"/>
          <w:rFonts w:cs="Arial"/>
          <w:i w:val="0"/>
          <w:iCs w:val="0"/>
          <w:sz w:val="20"/>
          <w:szCs w:val="20"/>
        </w:rPr>
      </w:pPr>
    </w:p>
    <w:p w14:paraId="69FB51E3" w14:textId="75DD4452" w:rsidR="00395F92" w:rsidRPr="0062083D" w:rsidRDefault="00395F92" w:rsidP="0062083D">
      <w:pPr>
        <w:spacing w:before="60" w:after="60" w:line="240" w:lineRule="auto"/>
        <w:rPr>
          <w:rStyle w:val="Emphasis"/>
          <w:rFonts w:cs="Arial"/>
          <w:b/>
          <w:i w:val="0"/>
          <w:iCs w:val="0"/>
          <w:sz w:val="20"/>
          <w:szCs w:val="20"/>
        </w:rPr>
      </w:pPr>
      <w:r w:rsidRPr="0062083D">
        <w:rPr>
          <w:rStyle w:val="Emphasis"/>
          <w:rFonts w:cs="Arial"/>
          <w:b/>
          <w:i w:val="0"/>
          <w:iCs w:val="0"/>
          <w:sz w:val="20"/>
          <w:szCs w:val="20"/>
        </w:rPr>
        <w:t>Ecological Risk Assessment (ERA) and Ecological Risk Management (ERM)</w:t>
      </w:r>
    </w:p>
    <w:p w14:paraId="69FB51E4" w14:textId="41C4C996" w:rsidR="00C64A3D" w:rsidRPr="0062083D" w:rsidRDefault="00C64A3D" w:rsidP="0062083D">
      <w:pPr>
        <w:pStyle w:val="ListBullet"/>
        <w:numPr>
          <w:ilvl w:val="0"/>
          <w:numId w:val="0"/>
        </w:numPr>
        <w:spacing w:before="60" w:after="60" w:line="240" w:lineRule="auto"/>
        <w:rPr>
          <w:rStyle w:val="Emphasis"/>
          <w:rFonts w:cs="Arial"/>
          <w:i w:val="0"/>
          <w:iCs w:val="0"/>
          <w:sz w:val="20"/>
          <w:szCs w:val="20"/>
        </w:rPr>
      </w:pPr>
      <w:r w:rsidRPr="0062083D">
        <w:rPr>
          <w:rStyle w:val="Emphasis"/>
          <w:rFonts w:cs="Arial"/>
          <w:i w:val="0"/>
          <w:iCs w:val="0"/>
          <w:sz w:val="20"/>
          <w:szCs w:val="20"/>
        </w:rPr>
        <w:t xml:space="preserve">Productivity </w:t>
      </w:r>
      <w:r w:rsidR="007707E9" w:rsidRPr="0062083D">
        <w:rPr>
          <w:rStyle w:val="Emphasis"/>
          <w:rFonts w:cs="Arial"/>
          <w:i w:val="0"/>
          <w:iCs w:val="0"/>
          <w:sz w:val="20"/>
          <w:szCs w:val="20"/>
        </w:rPr>
        <w:t>s</w:t>
      </w:r>
      <w:r w:rsidRPr="0062083D">
        <w:rPr>
          <w:rStyle w:val="Emphasis"/>
          <w:rFonts w:cs="Arial"/>
          <w:i w:val="0"/>
          <w:iCs w:val="0"/>
          <w:sz w:val="20"/>
          <w:szCs w:val="20"/>
        </w:rPr>
        <w:t xml:space="preserve">usceptibility </w:t>
      </w:r>
      <w:r w:rsidR="007707E9" w:rsidRPr="0062083D">
        <w:rPr>
          <w:rStyle w:val="Emphasis"/>
          <w:rFonts w:cs="Arial"/>
          <w:i w:val="0"/>
          <w:iCs w:val="0"/>
          <w:sz w:val="20"/>
          <w:szCs w:val="20"/>
        </w:rPr>
        <w:t>a</w:t>
      </w:r>
      <w:r w:rsidRPr="0062083D">
        <w:rPr>
          <w:rStyle w:val="Emphasis"/>
          <w:rFonts w:cs="Arial"/>
          <w:i w:val="0"/>
          <w:iCs w:val="0"/>
          <w:sz w:val="20"/>
          <w:szCs w:val="20"/>
        </w:rPr>
        <w:t>nalysis, June 2007:</w:t>
      </w:r>
      <w:r w:rsidR="00F7765A" w:rsidRPr="0062083D">
        <w:rPr>
          <w:rStyle w:val="Emphasis"/>
          <w:rFonts w:cs="Arial"/>
          <w:i w:val="0"/>
          <w:iCs w:val="0"/>
          <w:sz w:val="20"/>
          <w:szCs w:val="20"/>
        </w:rPr>
        <w:t xml:space="preserve"> </w:t>
      </w:r>
      <w:hyperlink r:id="rId30" w:history="1">
        <w:r w:rsidR="00F7765A" w:rsidRPr="0062083D">
          <w:rPr>
            <w:rStyle w:val="Hyperlink"/>
            <w:rFonts w:cs="Arial"/>
            <w:sz w:val="20"/>
            <w:szCs w:val="20"/>
          </w:rPr>
          <w:t>http://www.afma.gov.au/wp-content/uploads/2010/06/era_skipjack.pdf</w:t>
        </w:r>
      </w:hyperlink>
      <w:r w:rsidR="00F7765A" w:rsidRPr="0062083D">
        <w:rPr>
          <w:rStyle w:val="Emphasis"/>
          <w:rFonts w:cs="Arial"/>
          <w:i w:val="0"/>
          <w:iCs w:val="0"/>
          <w:sz w:val="20"/>
          <w:szCs w:val="20"/>
        </w:rPr>
        <w:t xml:space="preserve"> </w:t>
      </w:r>
      <w:r w:rsidR="004D3295" w:rsidRPr="0062083D">
        <w:rPr>
          <w:rFonts w:cs="Arial"/>
          <w:sz w:val="20"/>
          <w:szCs w:val="20"/>
        </w:rPr>
        <w:t>(accessed 17 August 2016)</w:t>
      </w:r>
    </w:p>
    <w:p w14:paraId="69FB51E5" w14:textId="35764D7E" w:rsidR="00C64A3D" w:rsidRPr="0062083D" w:rsidRDefault="00C64A3D" w:rsidP="0062083D">
      <w:pPr>
        <w:pStyle w:val="ListBullet"/>
        <w:numPr>
          <w:ilvl w:val="0"/>
          <w:numId w:val="0"/>
        </w:numPr>
        <w:spacing w:before="60" w:after="60" w:line="240" w:lineRule="auto"/>
        <w:rPr>
          <w:rStyle w:val="Emphasis"/>
          <w:rFonts w:cs="Arial"/>
          <w:i w:val="0"/>
          <w:iCs w:val="0"/>
          <w:sz w:val="20"/>
          <w:szCs w:val="20"/>
        </w:rPr>
      </w:pPr>
      <w:r w:rsidRPr="0062083D">
        <w:rPr>
          <w:rStyle w:val="Emphasis"/>
          <w:rFonts w:cs="Arial"/>
          <w:i w:val="0"/>
          <w:iCs w:val="0"/>
          <w:sz w:val="20"/>
          <w:szCs w:val="20"/>
        </w:rPr>
        <w:t xml:space="preserve">Residual </w:t>
      </w:r>
      <w:r w:rsidR="007707E9" w:rsidRPr="0062083D">
        <w:rPr>
          <w:rStyle w:val="Emphasis"/>
          <w:rFonts w:cs="Arial"/>
          <w:i w:val="0"/>
          <w:iCs w:val="0"/>
          <w:sz w:val="20"/>
          <w:szCs w:val="20"/>
        </w:rPr>
        <w:t>r</w:t>
      </w:r>
      <w:r w:rsidRPr="0062083D">
        <w:rPr>
          <w:rStyle w:val="Emphasis"/>
          <w:rFonts w:cs="Arial"/>
          <w:i w:val="0"/>
          <w:iCs w:val="0"/>
          <w:sz w:val="20"/>
          <w:szCs w:val="20"/>
        </w:rPr>
        <w:t xml:space="preserve">isk </w:t>
      </w:r>
      <w:r w:rsidR="007707E9" w:rsidRPr="0062083D">
        <w:rPr>
          <w:rStyle w:val="Emphasis"/>
          <w:rFonts w:cs="Arial"/>
          <w:i w:val="0"/>
          <w:iCs w:val="0"/>
          <w:sz w:val="20"/>
          <w:szCs w:val="20"/>
        </w:rPr>
        <w:t>a</w:t>
      </w:r>
      <w:r w:rsidR="00E55684" w:rsidRPr="0062083D">
        <w:rPr>
          <w:rStyle w:val="Emphasis"/>
          <w:rFonts w:cs="Arial"/>
          <w:i w:val="0"/>
          <w:iCs w:val="0"/>
          <w:sz w:val="20"/>
          <w:szCs w:val="20"/>
        </w:rPr>
        <w:t xml:space="preserve">ssessment, </w:t>
      </w:r>
      <w:r w:rsidRPr="0062083D">
        <w:rPr>
          <w:rStyle w:val="Emphasis"/>
          <w:rFonts w:cs="Arial"/>
          <w:i w:val="0"/>
          <w:iCs w:val="0"/>
          <w:sz w:val="20"/>
          <w:szCs w:val="20"/>
        </w:rPr>
        <w:t>December 2009</w:t>
      </w:r>
      <w:r w:rsidR="007707E9" w:rsidRPr="0062083D">
        <w:rPr>
          <w:rStyle w:val="Emphasis"/>
          <w:rFonts w:cs="Arial"/>
          <w:i w:val="0"/>
          <w:iCs w:val="0"/>
          <w:sz w:val="20"/>
          <w:szCs w:val="20"/>
        </w:rPr>
        <w:t xml:space="preserve"> </w:t>
      </w:r>
      <w:r w:rsidR="00E55684" w:rsidRPr="0062083D">
        <w:rPr>
          <w:rStyle w:val="Emphasis"/>
          <w:rFonts w:cs="Arial"/>
          <w:i w:val="0"/>
          <w:iCs w:val="0"/>
          <w:sz w:val="20"/>
          <w:szCs w:val="20"/>
        </w:rPr>
        <w:t>(</w:t>
      </w:r>
      <w:r w:rsidRPr="0062083D">
        <w:rPr>
          <w:rStyle w:val="Emphasis"/>
          <w:rFonts w:cs="Arial"/>
          <w:i w:val="0"/>
          <w:iCs w:val="0"/>
          <w:sz w:val="20"/>
          <w:szCs w:val="20"/>
        </w:rPr>
        <w:t>all species</w:t>
      </w:r>
      <w:r w:rsidR="00E55684" w:rsidRPr="0062083D">
        <w:rPr>
          <w:rStyle w:val="Emphasis"/>
          <w:rFonts w:cs="Arial"/>
          <w:i w:val="0"/>
          <w:iCs w:val="0"/>
          <w:sz w:val="20"/>
          <w:szCs w:val="20"/>
        </w:rPr>
        <w:t xml:space="preserve"> </w:t>
      </w:r>
      <w:r w:rsidRPr="0062083D">
        <w:rPr>
          <w:rStyle w:val="Emphasis"/>
          <w:rFonts w:cs="Arial"/>
          <w:i w:val="0"/>
          <w:iCs w:val="0"/>
          <w:sz w:val="20"/>
          <w:szCs w:val="20"/>
        </w:rPr>
        <w:t>occurring in the fishery</w:t>
      </w:r>
      <w:r w:rsidR="00E55684" w:rsidRPr="0062083D">
        <w:rPr>
          <w:rStyle w:val="Emphasis"/>
          <w:rFonts w:cs="Arial"/>
          <w:i w:val="0"/>
          <w:iCs w:val="0"/>
          <w:sz w:val="20"/>
          <w:szCs w:val="20"/>
        </w:rPr>
        <w:t>):</w:t>
      </w:r>
      <w:r w:rsidR="004D3295" w:rsidRPr="0062083D">
        <w:rPr>
          <w:rStyle w:val="Emphasis"/>
          <w:rFonts w:cs="Arial"/>
          <w:i w:val="0"/>
          <w:iCs w:val="0"/>
          <w:sz w:val="20"/>
          <w:szCs w:val="20"/>
        </w:rPr>
        <w:br/>
      </w:r>
      <w:hyperlink r:id="rId31" w:history="1">
        <w:r w:rsidR="007707E9" w:rsidRPr="0062083D">
          <w:rPr>
            <w:rStyle w:val="Hyperlink"/>
            <w:rFonts w:cs="Arial"/>
            <w:sz w:val="20"/>
            <w:szCs w:val="20"/>
          </w:rPr>
          <w:t>http://www.afma.gov.au/wp-content/uploads/2010/06/rrr_skipjack.pdf</w:t>
        </w:r>
      </w:hyperlink>
      <w:r w:rsidR="007707E9" w:rsidRPr="0062083D">
        <w:rPr>
          <w:rStyle w:val="Emphasis"/>
          <w:rFonts w:cs="Arial"/>
          <w:i w:val="0"/>
          <w:iCs w:val="0"/>
          <w:sz w:val="20"/>
          <w:szCs w:val="20"/>
        </w:rPr>
        <w:t xml:space="preserve"> </w:t>
      </w:r>
      <w:r w:rsidR="004D3295" w:rsidRPr="0062083D">
        <w:rPr>
          <w:rFonts w:cs="Arial"/>
          <w:sz w:val="20"/>
          <w:szCs w:val="20"/>
        </w:rPr>
        <w:t>(accessed 17 August 2016)</w:t>
      </w:r>
    </w:p>
    <w:p w14:paraId="69FB51E6" w14:textId="6FAA16E2" w:rsidR="007707E9" w:rsidRPr="0062083D" w:rsidRDefault="007707E9" w:rsidP="0062083D">
      <w:pPr>
        <w:pStyle w:val="ListBullet"/>
        <w:numPr>
          <w:ilvl w:val="0"/>
          <w:numId w:val="0"/>
        </w:numPr>
        <w:spacing w:before="60" w:after="60" w:line="240" w:lineRule="auto"/>
        <w:rPr>
          <w:rFonts w:cs="Arial"/>
          <w:sz w:val="20"/>
          <w:szCs w:val="20"/>
        </w:rPr>
      </w:pPr>
      <w:r w:rsidRPr="0062083D">
        <w:rPr>
          <w:rStyle w:val="Emphasis"/>
          <w:rFonts w:cs="Arial"/>
          <w:i w:val="0"/>
          <w:iCs w:val="0"/>
          <w:sz w:val="20"/>
          <w:szCs w:val="20"/>
        </w:rPr>
        <w:t>Rapid quantitative risk assessment of fish species in seven Commonwealth fisheries, April 2009:</w:t>
      </w:r>
      <w:r w:rsidR="004D3295" w:rsidRPr="0062083D">
        <w:rPr>
          <w:rStyle w:val="Emphasis"/>
          <w:rFonts w:cs="Arial"/>
          <w:i w:val="0"/>
          <w:iCs w:val="0"/>
          <w:sz w:val="20"/>
          <w:szCs w:val="20"/>
        </w:rPr>
        <w:br/>
      </w:r>
      <w:hyperlink r:id="rId32" w:history="1">
        <w:r w:rsidRPr="0062083D">
          <w:rPr>
            <w:rStyle w:val="Hyperlink"/>
            <w:rFonts w:cs="Arial"/>
            <w:sz w:val="20"/>
            <w:szCs w:val="20"/>
          </w:rPr>
          <w:t>http://www.afma.gov.au/wp-content/uploads/2014/11/Sustainability-Assessment-for-Fishing-Effect-SPF-April-2009.pdf</w:t>
        </w:r>
      </w:hyperlink>
      <w:r w:rsidR="004D3295" w:rsidRPr="0062083D">
        <w:rPr>
          <w:rStyle w:val="Hyperlink"/>
          <w:rFonts w:cs="Arial"/>
          <w:sz w:val="20"/>
          <w:szCs w:val="20"/>
        </w:rPr>
        <w:t xml:space="preserve"> </w:t>
      </w:r>
      <w:r w:rsidR="004D3295" w:rsidRPr="0062083D">
        <w:rPr>
          <w:rFonts w:cs="Arial"/>
          <w:sz w:val="20"/>
          <w:szCs w:val="20"/>
        </w:rPr>
        <w:t>(accessed 17 August 2016)</w:t>
      </w:r>
    </w:p>
    <w:p w14:paraId="7CFF9D44" w14:textId="77777777" w:rsidR="0062083D" w:rsidRPr="0062083D" w:rsidRDefault="007707E9" w:rsidP="0062083D">
      <w:pPr>
        <w:pStyle w:val="ListBullet"/>
        <w:numPr>
          <w:ilvl w:val="0"/>
          <w:numId w:val="0"/>
        </w:numPr>
        <w:spacing w:before="60" w:after="60" w:line="240" w:lineRule="auto"/>
        <w:rPr>
          <w:rFonts w:cs="Arial"/>
          <w:sz w:val="20"/>
          <w:szCs w:val="20"/>
        </w:rPr>
      </w:pPr>
      <w:r w:rsidRPr="0062083D">
        <w:rPr>
          <w:rFonts w:cs="Arial"/>
          <w:sz w:val="20"/>
          <w:szCs w:val="20"/>
        </w:rPr>
        <w:t>Ecological risk management report for the skipjack tuna fishery, March 2010:</w:t>
      </w:r>
      <w:r w:rsidR="004D3295" w:rsidRPr="0062083D">
        <w:rPr>
          <w:rFonts w:cs="Arial"/>
          <w:sz w:val="20"/>
          <w:szCs w:val="20"/>
        </w:rPr>
        <w:br/>
      </w:r>
      <w:hyperlink r:id="rId33" w:history="1">
        <w:r w:rsidRPr="0062083D">
          <w:rPr>
            <w:rStyle w:val="Hyperlink"/>
            <w:rFonts w:cs="Arial"/>
            <w:sz w:val="20"/>
            <w:szCs w:val="20"/>
          </w:rPr>
          <w:t>http://www.afma.gov.au/wp-content/uploads/2010/06/erm_skipjack.pdf</w:t>
        </w:r>
      </w:hyperlink>
      <w:r w:rsidR="004D3295" w:rsidRPr="0062083D">
        <w:rPr>
          <w:rStyle w:val="Hyperlink"/>
          <w:rFonts w:cs="Arial"/>
          <w:sz w:val="20"/>
          <w:szCs w:val="20"/>
        </w:rPr>
        <w:t xml:space="preserve"> </w:t>
      </w:r>
      <w:r w:rsidR="004D3295" w:rsidRPr="0062083D">
        <w:rPr>
          <w:rFonts w:cs="Arial"/>
          <w:sz w:val="20"/>
          <w:szCs w:val="20"/>
        </w:rPr>
        <w:t>(accessed 17 August 2016)</w:t>
      </w:r>
    </w:p>
    <w:p w14:paraId="5B266BAF" w14:textId="77777777" w:rsidR="0062083D" w:rsidRPr="0062083D" w:rsidRDefault="0062083D" w:rsidP="0062083D">
      <w:pPr>
        <w:pStyle w:val="ListBullet"/>
        <w:numPr>
          <w:ilvl w:val="0"/>
          <w:numId w:val="0"/>
        </w:numPr>
        <w:spacing w:before="60" w:after="60" w:line="240" w:lineRule="auto"/>
        <w:rPr>
          <w:rFonts w:cs="Arial"/>
          <w:sz w:val="20"/>
          <w:szCs w:val="20"/>
        </w:rPr>
      </w:pPr>
    </w:p>
    <w:p w14:paraId="15DB9CA0" w14:textId="77777777" w:rsidR="0062083D" w:rsidRPr="0062083D" w:rsidRDefault="0062083D" w:rsidP="0062083D">
      <w:pPr>
        <w:spacing w:before="60" w:after="60" w:line="240" w:lineRule="auto"/>
        <w:rPr>
          <w:rFonts w:cs="Arial"/>
          <w:b/>
          <w:sz w:val="20"/>
          <w:szCs w:val="20"/>
        </w:rPr>
        <w:sectPr w:rsidR="0062083D" w:rsidRPr="0062083D" w:rsidSect="0062083D">
          <w:pgSz w:w="11906" w:h="16838"/>
          <w:pgMar w:top="1361" w:right="709" w:bottom="1361" w:left="709" w:header="709" w:footer="57" w:gutter="0"/>
          <w:cols w:space="708"/>
          <w:docGrid w:linePitch="360"/>
        </w:sectPr>
      </w:pPr>
    </w:p>
    <w:p w14:paraId="604D8B62" w14:textId="538522CF" w:rsidR="0062083D" w:rsidRPr="0062083D" w:rsidRDefault="0062083D" w:rsidP="0062083D">
      <w:pPr>
        <w:pStyle w:val="Heading1"/>
        <w:spacing w:before="60" w:after="60" w:line="240" w:lineRule="auto"/>
      </w:pPr>
      <w:bookmarkStart w:id="6" w:name="_Toc514849744"/>
      <w:bookmarkStart w:id="7" w:name="_Toc522186625"/>
      <w:bookmarkStart w:id="8" w:name="_Toc506553892"/>
      <w:r w:rsidRPr="0062083D">
        <w:lastRenderedPageBreak/>
        <w:t>Section 2: Detailed Analysis of the Commonwealth Skipjack Tuna Fishery Against the Guidelines for the Ecologically Sustainable Management of Fisheries (2nd Edition)</w:t>
      </w:r>
      <w:bookmarkEnd w:id="6"/>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6835"/>
        <w:gridCol w:w="436"/>
      </w:tblGrid>
      <w:tr w:rsidR="009A3888" w:rsidRPr="0062083D" w14:paraId="69FB51F0" w14:textId="77777777" w:rsidTr="009A3888">
        <w:tc>
          <w:tcPr>
            <w:tcW w:w="2500" w:type="pct"/>
            <w:shd w:val="clear" w:color="auto" w:fill="auto"/>
          </w:tcPr>
          <w:bookmarkEnd w:id="8"/>
          <w:p w14:paraId="69FB51EB" w14:textId="77777777" w:rsidR="009A3888" w:rsidRPr="0062083D" w:rsidRDefault="009A3888" w:rsidP="00D16DE2">
            <w:pPr>
              <w:spacing w:before="60" w:after="60" w:line="240" w:lineRule="auto"/>
              <w:rPr>
                <w:rFonts w:cs="Arial"/>
                <w:sz w:val="20"/>
                <w:szCs w:val="20"/>
              </w:rPr>
            </w:pPr>
            <w:r w:rsidRPr="0062083D">
              <w:rPr>
                <w:rFonts w:cs="Arial"/>
                <w:b/>
                <w:sz w:val="20"/>
                <w:szCs w:val="20"/>
              </w:rPr>
              <w:t>Guidelines for the Ecologically Sustainable Management of Fisheries  (2nd edition)</w:t>
            </w:r>
          </w:p>
        </w:tc>
        <w:tc>
          <w:tcPr>
            <w:tcW w:w="2500" w:type="pct"/>
            <w:gridSpan w:val="2"/>
            <w:shd w:val="clear" w:color="auto" w:fill="auto"/>
          </w:tcPr>
          <w:p w14:paraId="69FB51EF" w14:textId="5BBF5747" w:rsidR="009A3888" w:rsidRPr="0062083D" w:rsidRDefault="009A3888" w:rsidP="00D16DE2">
            <w:pPr>
              <w:spacing w:before="60" w:after="60" w:line="240" w:lineRule="auto"/>
              <w:rPr>
                <w:rFonts w:cs="Arial"/>
                <w:b/>
                <w:sz w:val="20"/>
                <w:szCs w:val="20"/>
              </w:rPr>
            </w:pPr>
            <w:r w:rsidRPr="0062083D">
              <w:rPr>
                <w:rFonts w:cs="Arial"/>
                <w:b/>
                <w:sz w:val="20"/>
                <w:szCs w:val="20"/>
              </w:rPr>
              <w:t>Comment</w:t>
            </w:r>
          </w:p>
        </w:tc>
      </w:tr>
      <w:tr w:rsidR="00207379" w:rsidRPr="0062083D" w14:paraId="69FB51F2" w14:textId="77777777" w:rsidTr="009A3888">
        <w:tc>
          <w:tcPr>
            <w:tcW w:w="2500" w:type="pct"/>
            <w:gridSpan w:val="3"/>
            <w:shd w:val="clear" w:color="auto" w:fill="FFFF66"/>
          </w:tcPr>
          <w:p w14:paraId="69FB51F1" w14:textId="77777777" w:rsidR="00207379" w:rsidRPr="0062083D" w:rsidRDefault="00207379" w:rsidP="00D16DE2">
            <w:pPr>
              <w:spacing w:before="60" w:after="60" w:line="240" w:lineRule="auto"/>
              <w:rPr>
                <w:rFonts w:cs="Arial"/>
                <w:b/>
                <w:sz w:val="20"/>
                <w:szCs w:val="20"/>
              </w:rPr>
            </w:pPr>
            <w:r w:rsidRPr="0062083D">
              <w:rPr>
                <w:rFonts w:cs="Arial"/>
                <w:b/>
                <w:sz w:val="20"/>
                <w:szCs w:val="20"/>
              </w:rPr>
              <w:t>THE MANAGEMENT REGIME</w:t>
            </w:r>
          </w:p>
        </w:tc>
      </w:tr>
      <w:tr w:rsidR="00207379" w:rsidRPr="0062083D" w14:paraId="69FB51F4" w14:textId="77777777" w:rsidTr="009A3888">
        <w:tc>
          <w:tcPr>
            <w:tcW w:w="2500" w:type="pct"/>
            <w:gridSpan w:val="3"/>
            <w:shd w:val="clear" w:color="auto" w:fill="FFFF99"/>
          </w:tcPr>
          <w:p w14:paraId="69FB51F3" w14:textId="77777777" w:rsidR="00207379" w:rsidRPr="0062083D" w:rsidRDefault="00207379" w:rsidP="00D16DE2">
            <w:pPr>
              <w:spacing w:before="60" w:after="60" w:line="240" w:lineRule="auto"/>
              <w:rPr>
                <w:rFonts w:cs="Arial"/>
                <w:b/>
                <w:sz w:val="20"/>
                <w:szCs w:val="20"/>
              </w:rPr>
            </w:pPr>
            <w:r w:rsidRPr="0062083D">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62083D" w:rsidRPr="0062083D" w14:paraId="69FB51FF" w14:textId="77777777" w:rsidTr="009A3888">
        <w:tc>
          <w:tcPr>
            <w:tcW w:w="2500" w:type="pct"/>
            <w:shd w:val="clear" w:color="auto" w:fill="auto"/>
          </w:tcPr>
          <w:p w14:paraId="69FB51F5" w14:textId="77777777" w:rsidR="0062083D" w:rsidRPr="0062083D" w:rsidRDefault="0062083D" w:rsidP="00D16DE2">
            <w:pPr>
              <w:spacing w:before="60" w:after="60" w:line="240" w:lineRule="auto"/>
              <w:rPr>
                <w:rFonts w:cs="Arial"/>
                <w:sz w:val="20"/>
                <w:szCs w:val="20"/>
              </w:rPr>
            </w:pPr>
            <w:r w:rsidRPr="0062083D">
              <w:rPr>
                <w:rFonts w:cs="Arial"/>
                <w:sz w:val="20"/>
                <w:szCs w:val="20"/>
              </w:rPr>
              <w:t>Be documented, publicly available and transparent</w:t>
            </w:r>
          </w:p>
        </w:tc>
        <w:tc>
          <w:tcPr>
            <w:tcW w:w="2500" w:type="pct"/>
            <w:gridSpan w:val="2"/>
            <w:shd w:val="clear" w:color="auto" w:fill="92D050"/>
          </w:tcPr>
          <w:p w14:paraId="69FB51F9" w14:textId="624FA6EE" w:rsidR="0062083D" w:rsidRPr="0062083D" w:rsidRDefault="0062083D" w:rsidP="00D16DE2">
            <w:pPr>
              <w:spacing w:before="60" w:after="60" w:line="240" w:lineRule="auto"/>
              <w:rPr>
                <w:rFonts w:cs="Arial"/>
                <w:sz w:val="20"/>
                <w:szCs w:val="20"/>
              </w:rPr>
            </w:pPr>
            <w:r w:rsidRPr="0062083D">
              <w:rPr>
                <w:rFonts w:cs="Arial"/>
                <w:sz w:val="20"/>
                <w:szCs w:val="20"/>
              </w:rPr>
              <w:t>While management arrangements are sufficient for the current lack of fishing activity, a more clearly defined strategy for responding to change would help ensure risks continue to be managed if fishing recommences and expands to its potential.</w:t>
            </w:r>
          </w:p>
          <w:p w14:paraId="69FB51FA" w14:textId="77777777" w:rsidR="0062083D" w:rsidRPr="0062083D" w:rsidRDefault="0062083D" w:rsidP="00D16DE2">
            <w:pPr>
              <w:spacing w:before="60" w:after="60" w:line="240" w:lineRule="auto"/>
              <w:rPr>
                <w:rFonts w:cs="Arial"/>
                <w:sz w:val="20"/>
                <w:szCs w:val="20"/>
              </w:rPr>
            </w:pPr>
            <w:r w:rsidRPr="0062083D">
              <w:rPr>
                <w:rFonts w:cs="Arial"/>
                <w:sz w:val="20"/>
                <w:szCs w:val="20"/>
              </w:rPr>
              <w:t>Australia is a signatory to the Convention on the Conservation and Management of Highly Migratory Fish Stocks and the Indian Ocean Tuna Commission agreement. These two Regional Fisheries Management Organisations (RFMOs) cover the entire area of the fishery and help guide the management arrangements for the fishery.</w:t>
            </w:r>
          </w:p>
          <w:p w14:paraId="69FB51FD" w14:textId="486B5662" w:rsidR="0062083D" w:rsidRPr="0062083D" w:rsidRDefault="0062083D" w:rsidP="00D16DE2">
            <w:pPr>
              <w:spacing w:before="60" w:after="60" w:line="240" w:lineRule="auto"/>
              <w:rPr>
                <w:rFonts w:cs="Arial"/>
                <w:sz w:val="20"/>
                <w:szCs w:val="20"/>
              </w:rPr>
            </w:pPr>
            <w:r w:rsidRPr="0062083D">
              <w:rPr>
                <w:rFonts w:cs="Arial"/>
                <w:sz w:val="20"/>
                <w:szCs w:val="20"/>
              </w:rPr>
              <w:t xml:space="preserve">The management and conservation arrangements can be found at the </w:t>
            </w:r>
            <w:hyperlink r:id="rId34" w:history="1">
              <w:r w:rsidRPr="0062083D">
                <w:rPr>
                  <w:rStyle w:val="Hyperlink"/>
                  <w:rFonts w:cs="Arial"/>
                  <w:sz w:val="20"/>
                  <w:szCs w:val="20"/>
                </w:rPr>
                <w:t>Indian Ocean Tuna Commission</w:t>
              </w:r>
            </w:hyperlink>
            <w:r w:rsidRPr="0062083D">
              <w:rPr>
                <w:rFonts w:cs="Arial"/>
                <w:sz w:val="20"/>
                <w:szCs w:val="20"/>
              </w:rPr>
              <w:t xml:space="preserve"> (IOTC) and the </w:t>
            </w:r>
            <w:hyperlink r:id="rId35" w:history="1">
              <w:r w:rsidRPr="0062083D">
                <w:rPr>
                  <w:rStyle w:val="Hyperlink"/>
                  <w:rFonts w:cs="Arial"/>
                  <w:sz w:val="20"/>
                  <w:szCs w:val="20"/>
                </w:rPr>
                <w:t>Western and Central Pacific Fisheries Commission</w:t>
              </w:r>
            </w:hyperlink>
            <w:r w:rsidRPr="0062083D">
              <w:rPr>
                <w:rFonts w:cs="Arial"/>
                <w:sz w:val="20"/>
                <w:szCs w:val="20"/>
              </w:rPr>
              <w:t xml:space="preserve"> (WCPFC) websites. These arrangements are supported in the Australian fishery by the </w:t>
            </w:r>
            <w:hyperlink r:id="rId36" w:history="1">
              <w:r w:rsidRPr="0062083D">
                <w:rPr>
                  <w:rStyle w:val="Hyperlink"/>
                  <w:rFonts w:cs="Arial"/>
                  <w:sz w:val="20"/>
                  <w:szCs w:val="20"/>
                </w:rPr>
                <w:t>skipjack tuna fishery harvest strategy</w:t>
              </w:r>
            </w:hyperlink>
            <w:r w:rsidRPr="0062083D">
              <w:rPr>
                <w:rFonts w:cs="Arial"/>
                <w:sz w:val="20"/>
                <w:szCs w:val="20"/>
              </w:rPr>
              <w:t xml:space="preserve"> and </w:t>
            </w:r>
            <w:hyperlink r:id="rId37" w:history="1">
              <w:r w:rsidRPr="0062083D">
                <w:rPr>
                  <w:rStyle w:val="Hyperlink"/>
                  <w:rFonts w:cs="Arial"/>
                  <w:sz w:val="20"/>
                  <w:szCs w:val="20"/>
                </w:rPr>
                <w:t>conditions on fishing permits</w:t>
              </w:r>
            </w:hyperlink>
            <w:r w:rsidRPr="0062083D">
              <w:rPr>
                <w:rFonts w:cs="Arial"/>
                <w:sz w:val="20"/>
                <w:szCs w:val="20"/>
              </w:rPr>
              <w:t xml:space="preserve">; there is no formal management plan. The </w:t>
            </w:r>
            <w:hyperlink r:id="rId38" w:history="1">
              <w:r w:rsidRPr="0062083D">
                <w:rPr>
                  <w:rStyle w:val="Hyperlink"/>
                  <w:rFonts w:cs="Arial"/>
                  <w:sz w:val="20"/>
                  <w:szCs w:val="20"/>
                </w:rPr>
                <w:t>Skipjack tuna fisheries management arrangements booklet 2015</w:t>
              </w:r>
            </w:hyperlink>
            <w:r w:rsidRPr="0062083D">
              <w:rPr>
                <w:rFonts w:cs="Arial"/>
                <w:sz w:val="20"/>
                <w:szCs w:val="20"/>
              </w:rPr>
              <w:t xml:space="preserve"> provides a guide to these arrangements.</w:t>
            </w:r>
          </w:p>
          <w:p w14:paraId="69FB51FE" w14:textId="7D049AC7" w:rsidR="0062083D" w:rsidRPr="0062083D" w:rsidRDefault="0062083D" w:rsidP="00D16DE2">
            <w:pPr>
              <w:spacing w:before="60" w:after="60" w:line="240" w:lineRule="auto"/>
              <w:rPr>
                <w:rFonts w:cs="Arial"/>
                <w:sz w:val="20"/>
                <w:szCs w:val="20"/>
              </w:rPr>
            </w:pPr>
            <w:r w:rsidRPr="0062083D">
              <w:rPr>
                <w:rFonts w:cs="Arial"/>
                <w:sz w:val="20"/>
                <w:szCs w:val="20"/>
              </w:rPr>
              <w:t xml:space="preserve">The </w:t>
            </w:r>
            <w:hyperlink r:id="rId39" w:history="1">
              <w:r w:rsidRPr="0062083D">
                <w:rPr>
                  <w:rStyle w:val="Hyperlink"/>
                  <w:rFonts w:cs="Arial"/>
                  <w:sz w:val="20"/>
                  <w:szCs w:val="20"/>
                </w:rPr>
                <w:t>AFMA website</w:t>
              </w:r>
            </w:hyperlink>
            <w:r w:rsidRPr="0062083D">
              <w:rPr>
                <w:rFonts w:cs="Arial"/>
                <w:sz w:val="20"/>
                <w:szCs w:val="20"/>
              </w:rPr>
              <w:t xml:space="preserve"> states that “</w:t>
            </w:r>
            <w:r w:rsidRPr="0062083D">
              <w:rPr>
                <w:rFonts w:cs="Arial"/>
                <w:i/>
                <w:sz w:val="20"/>
                <w:szCs w:val="20"/>
              </w:rPr>
              <w:t>management arrangements for this fishery will be reviewed if active boats re-enter the fishery</w:t>
            </w:r>
            <w:r w:rsidRPr="0062083D">
              <w:rPr>
                <w:rFonts w:cs="Arial"/>
                <w:sz w:val="20"/>
                <w:szCs w:val="20"/>
              </w:rPr>
              <w:t xml:space="preserve">”. The </w:t>
            </w:r>
            <w:hyperlink r:id="rId40" w:history="1">
              <w:r w:rsidRPr="0062083D">
                <w:rPr>
                  <w:rStyle w:val="Hyperlink"/>
                  <w:rFonts w:cs="Arial"/>
                  <w:sz w:val="20"/>
                  <w:szCs w:val="20"/>
                </w:rPr>
                <w:t>harvest strategy</w:t>
              </w:r>
            </w:hyperlink>
            <w:r w:rsidRPr="0062083D">
              <w:rPr>
                <w:rFonts w:cs="Arial"/>
                <w:sz w:val="20"/>
                <w:szCs w:val="20"/>
              </w:rPr>
              <w:t xml:space="preserve"> for the fishery highlights the importance of resolving practical means to assess the fishery and broadly outlines steps to achieve this. However the triggers, nature and timing of the review activities are not well defined.</w:t>
            </w:r>
          </w:p>
        </w:tc>
      </w:tr>
      <w:tr w:rsidR="0062083D" w:rsidRPr="0062083D" w14:paraId="69FB5206" w14:textId="77777777" w:rsidTr="009A3888">
        <w:tc>
          <w:tcPr>
            <w:tcW w:w="2500" w:type="pct"/>
            <w:shd w:val="clear" w:color="auto" w:fill="auto"/>
          </w:tcPr>
          <w:p w14:paraId="69FB5200" w14:textId="77777777" w:rsidR="0062083D" w:rsidRPr="0062083D" w:rsidRDefault="0062083D" w:rsidP="00D16DE2">
            <w:pPr>
              <w:spacing w:before="60" w:after="60" w:line="240" w:lineRule="auto"/>
              <w:rPr>
                <w:rFonts w:cs="Arial"/>
                <w:sz w:val="20"/>
                <w:szCs w:val="20"/>
              </w:rPr>
            </w:pPr>
            <w:r w:rsidRPr="0062083D">
              <w:rPr>
                <w:rFonts w:cs="Arial"/>
                <w:sz w:val="20"/>
                <w:szCs w:val="20"/>
              </w:rPr>
              <w:t>Be developed through a consultative process providing opportunity to all interested and affected parties, including the general public</w:t>
            </w:r>
          </w:p>
        </w:tc>
        <w:tc>
          <w:tcPr>
            <w:tcW w:w="2500" w:type="pct"/>
            <w:gridSpan w:val="2"/>
            <w:shd w:val="clear" w:color="auto" w:fill="92D050"/>
          </w:tcPr>
          <w:p w14:paraId="69FB5204" w14:textId="1CC32C37" w:rsidR="0062083D" w:rsidRPr="0062083D" w:rsidRDefault="0062083D" w:rsidP="00D16DE2">
            <w:pPr>
              <w:spacing w:before="60" w:after="60" w:line="240" w:lineRule="auto"/>
              <w:rPr>
                <w:rFonts w:cs="Arial"/>
                <w:sz w:val="20"/>
                <w:szCs w:val="20"/>
              </w:rPr>
            </w:pPr>
            <w:r w:rsidRPr="0062083D">
              <w:rPr>
                <w:rFonts w:cs="Arial"/>
                <w:sz w:val="20"/>
                <w:szCs w:val="20"/>
              </w:rPr>
              <w:t>Management arrangements are developed through open and transparent processes.</w:t>
            </w:r>
          </w:p>
          <w:p w14:paraId="69FB5205" w14:textId="73A3B969" w:rsidR="0062083D" w:rsidRPr="0062083D" w:rsidRDefault="0062083D" w:rsidP="00D16DE2">
            <w:pPr>
              <w:spacing w:before="60" w:after="60" w:line="240" w:lineRule="auto"/>
              <w:rPr>
                <w:rFonts w:cs="Arial"/>
                <w:sz w:val="20"/>
                <w:szCs w:val="20"/>
              </w:rPr>
            </w:pPr>
            <w:r w:rsidRPr="0062083D">
              <w:rPr>
                <w:rFonts w:cs="Arial"/>
                <w:sz w:val="20"/>
                <w:szCs w:val="20"/>
              </w:rPr>
              <w:t xml:space="preserve">Consultative requirements for determining management plans and other arrangements are prescribed in the </w:t>
            </w:r>
            <w:r w:rsidRPr="0062083D">
              <w:rPr>
                <w:rFonts w:cs="Arial"/>
                <w:i/>
                <w:sz w:val="20"/>
                <w:szCs w:val="20"/>
              </w:rPr>
              <w:t>Fisheries Management Act 1991</w:t>
            </w:r>
            <w:r w:rsidRPr="0062083D">
              <w:rPr>
                <w:rFonts w:cs="Arial"/>
                <w:sz w:val="20"/>
                <w:szCs w:val="20"/>
              </w:rPr>
              <w:t>. More routine management advice is provided through consultative groups (Tropical Tuna Management Advisory Committee—TTMAC, and Tropical Tuna Resource Assessment Group—TTRAG). Minutes of TTMAC and TTRAG meetings are publicly available.</w:t>
            </w:r>
          </w:p>
        </w:tc>
      </w:tr>
      <w:tr w:rsidR="0062083D" w:rsidRPr="0062083D" w14:paraId="69FB520D" w14:textId="77777777" w:rsidTr="009A3888">
        <w:tc>
          <w:tcPr>
            <w:tcW w:w="2500" w:type="pct"/>
            <w:shd w:val="clear" w:color="auto" w:fill="auto"/>
          </w:tcPr>
          <w:p w14:paraId="69FB5207" w14:textId="77777777" w:rsidR="0062083D" w:rsidRPr="0062083D" w:rsidRDefault="0062083D" w:rsidP="00D16DE2">
            <w:pPr>
              <w:spacing w:before="60" w:after="60" w:line="240" w:lineRule="auto"/>
              <w:rPr>
                <w:rFonts w:cs="Arial"/>
                <w:sz w:val="20"/>
                <w:szCs w:val="20"/>
              </w:rPr>
            </w:pPr>
            <w:r w:rsidRPr="0062083D">
              <w:rPr>
                <w:rFonts w:cs="Arial"/>
                <w:sz w:val="20"/>
                <w:szCs w:val="20"/>
              </w:rPr>
              <w:t>Ensure that a range of expertise and community interests are involved in individual fishery management committees and during the stock assessment process</w:t>
            </w:r>
          </w:p>
        </w:tc>
        <w:tc>
          <w:tcPr>
            <w:tcW w:w="2500" w:type="pct"/>
            <w:gridSpan w:val="2"/>
            <w:shd w:val="clear" w:color="auto" w:fill="92D050"/>
          </w:tcPr>
          <w:p w14:paraId="69FB520B" w14:textId="4473EA57" w:rsidR="0062083D" w:rsidRPr="0062083D" w:rsidRDefault="0062083D" w:rsidP="00D16DE2">
            <w:pPr>
              <w:spacing w:before="60" w:after="60" w:line="240" w:lineRule="auto"/>
              <w:rPr>
                <w:rFonts w:cs="Arial"/>
                <w:sz w:val="20"/>
                <w:szCs w:val="20"/>
              </w:rPr>
            </w:pPr>
            <w:r w:rsidRPr="0062083D">
              <w:rPr>
                <w:rFonts w:cs="Arial"/>
                <w:sz w:val="20"/>
                <w:szCs w:val="20"/>
              </w:rPr>
              <w:t xml:space="preserve">A range of expertise and interests are involved in management processes. </w:t>
            </w:r>
          </w:p>
          <w:p w14:paraId="69FB520C" w14:textId="77777777" w:rsidR="0062083D" w:rsidRPr="0062083D" w:rsidRDefault="0062083D" w:rsidP="00D16DE2">
            <w:pPr>
              <w:spacing w:before="60" w:after="60" w:line="240" w:lineRule="auto"/>
              <w:rPr>
                <w:rFonts w:cs="Arial"/>
                <w:sz w:val="20"/>
                <w:szCs w:val="20"/>
              </w:rPr>
            </w:pPr>
            <w:r w:rsidRPr="0062083D">
              <w:rPr>
                <w:rFonts w:cs="Arial"/>
                <w:sz w:val="20"/>
                <w:szCs w:val="20"/>
              </w:rPr>
              <w:lastRenderedPageBreak/>
              <w:t>Stakeholders, including environmental, research, recreational and commercial fishing interests, are consulted through the TTMAC and TTRAG.</w:t>
            </w:r>
          </w:p>
        </w:tc>
      </w:tr>
      <w:tr w:rsidR="0062083D" w:rsidRPr="0062083D" w14:paraId="69FB5215" w14:textId="77777777" w:rsidTr="009A3888">
        <w:tc>
          <w:tcPr>
            <w:tcW w:w="2500" w:type="pct"/>
            <w:shd w:val="clear" w:color="auto" w:fill="auto"/>
          </w:tcPr>
          <w:p w14:paraId="69FB520E" w14:textId="77777777" w:rsidR="0062083D" w:rsidRPr="0062083D" w:rsidRDefault="0062083D" w:rsidP="00D16DE2">
            <w:pPr>
              <w:spacing w:before="60" w:after="60" w:line="240" w:lineRule="auto"/>
              <w:rPr>
                <w:rFonts w:cs="Arial"/>
                <w:sz w:val="20"/>
                <w:szCs w:val="20"/>
              </w:rPr>
            </w:pPr>
            <w:r w:rsidRPr="0062083D">
              <w:rPr>
                <w:rFonts w:cs="Arial"/>
                <w:sz w:val="20"/>
                <w:szCs w:val="20"/>
              </w:rPr>
              <w:lastRenderedPageBreak/>
              <w:t>Be strategic, containing objectives and performance criteria by which the effectiveness of the management arrangements are measured</w:t>
            </w:r>
          </w:p>
        </w:tc>
        <w:tc>
          <w:tcPr>
            <w:tcW w:w="2500" w:type="pct"/>
            <w:gridSpan w:val="2"/>
            <w:shd w:val="clear" w:color="auto" w:fill="FFC000"/>
          </w:tcPr>
          <w:p w14:paraId="69FB5213" w14:textId="3D85A09E" w:rsidR="0062083D" w:rsidRPr="0062083D" w:rsidRDefault="0062083D" w:rsidP="00D16DE2">
            <w:pPr>
              <w:spacing w:before="60" w:after="60" w:line="240" w:lineRule="auto"/>
              <w:rPr>
                <w:rFonts w:cs="Arial"/>
                <w:sz w:val="20"/>
                <w:szCs w:val="20"/>
              </w:rPr>
            </w:pPr>
            <w:r w:rsidRPr="0062083D">
              <w:rPr>
                <w:rFonts w:cs="Arial"/>
                <w:sz w:val="20"/>
                <w:szCs w:val="20"/>
              </w:rPr>
              <w:t>Management arrangements are adequate while the fishery is inactive, but the current harvest strategy may not be sufficient in the event of future expansion.</w:t>
            </w:r>
          </w:p>
          <w:p w14:paraId="6A577420" w14:textId="77777777" w:rsidR="0062083D" w:rsidRPr="0062083D" w:rsidRDefault="0062083D" w:rsidP="00D16DE2">
            <w:pPr>
              <w:spacing w:before="60" w:after="60" w:line="240" w:lineRule="auto"/>
              <w:rPr>
                <w:rFonts w:cs="Arial"/>
                <w:sz w:val="20"/>
                <w:szCs w:val="20"/>
              </w:rPr>
            </w:pPr>
            <w:r w:rsidRPr="0062083D">
              <w:rPr>
                <w:rFonts w:cs="Arial"/>
                <w:sz w:val="20"/>
                <w:szCs w:val="20"/>
              </w:rPr>
              <w:t>These decision rules appear unable to effectively detect or manage localised depletion, which is a key management driver for the fishery.</w:t>
            </w:r>
          </w:p>
          <w:p w14:paraId="69FB5214" w14:textId="380ED00F" w:rsidR="0062083D" w:rsidRPr="0062083D" w:rsidRDefault="0062083D" w:rsidP="00D16DE2">
            <w:pPr>
              <w:spacing w:before="60" w:after="60" w:line="240" w:lineRule="auto"/>
              <w:rPr>
                <w:rFonts w:cs="Arial"/>
                <w:sz w:val="20"/>
                <w:szCs w:val="20"/>
              </w:rPr>
            </w:pPr>
            <w:r w:rsidRPr="0062083D">
              <w:rPr>
                <w:rFonts w:cs="Arial"/>
                <w:sz w:val="20"/>
                <w:szCs w:val="20"/>
              </w:rPr>
              <w:t>The harvest strategy states that “</w:t>
            </w:r>
            <w:r w:rsidRPr="0062083D">
              <w:rPr>
                <w:rFonts w:cs="Arial"/>
                <w:i/>
                <w:sz w:val="20"/>
                <w:szCs w:val="20"/>
              </w:rPr>
              <w:t>resolving the details of a practical means to assess the fishery should be an immediate review priority, as is finalizing the agreed monitoring program.</w:t>
            </w:r>
            <w:r w:rsidRPr="0062083D">
              <w:rPr>
                <w:rFonts w:cs="Arial"/>
                <w:sz w:val="20"/>
                <w:szCs w:val="20"/>
              </w:rPr>
              <w:t>” It also calls for an evaluation of the harvest strategy in the context of overall (international) stock status and suggests that existing Management Strategy Evaluation frameworks developed for tropical tunas and billfish could be adapted to evaluate the performance of the management arrangements.</w:t>
            </w:r>
          </w:p>
        </w:tc>
      </w:tr>
      <w:tr w:rsidR="0062083D" w:rsidRPr="0062083D" w14:paraId="69FB5220" w14:textId="77777777" w:rsidTr="009A3888">
        <w:tc>
          <w:tcPr>
            <w:tcW w:w="2500" w:type="pct"/>
            <w:shd w:val="clear" w:color="auto" w:fill="auto"/>
          </w:tcPr>
          <w:p w14:paraId="69FB5216" w14:textId="77777777" w:rsidR="0062083D" w:rsidRPr="0062083D" w:rsidRDefault="0062083D" w:rsidP="00D16DE2">
            <w:pPr>
              <w:spacing w:before="60" w:after="60" w:line="240" w:lineRule="auto"/>
              <w:rPr>
                <w:rFonts w:cs="Arial"/>
                <w:sz w:val="20"/>
                <w:szCs w:val="20"/>
              </w:rPr>
            </w:pPr>
            <w:r w:rsidRPr="0062083D">
              <w:rPr>
                <w:rFonts w:cs="Arial"/>
                <w:sz w:val="20"/>
                <w:szCs w:val="20"/>
              </w:rPr>
              <w:t>Be capable of controlling the level of harvest in the fishery using input and/or output controls</w:t>
            </w:r>
          </w:p>
        </w:tc>
        <w:tc>
          <w:tcPr>
            <w:tcW w:w="2500" w:type="pct"/>
            <w:gridSpan w:val="2"/>
            <w:shd w:val="clear" w:color="auto" w:fill="FFC000"/>
          </w:tcPr>
          <w:p w14:paraId="69FB521A" w14:textId="2D691097" w:rsidR="0062083D" w:rsidRPr="0062083D" w:rsidRDefault="0062083D" w:rsidP="00D16DE2">
            <w:pPr>
              <w:spacing w:before="60" w:after="60" w:line="240" w:lineRule="auto"/>
              <w:rPr>
                <w:rFonts w:cs="Arial"/>
                <w:sz w:val="20"/>
                <w:szCs w:val="20"/>
              </w:rPr>
            </w:pPr>
            <w:r w:rsidRPr="0062083D">
              <w:rPr>
                <w:rFonts w:cs="Arial"/>
                <w:sz w:val="20"/>
                <w:szCs w:val="20"/>
              </w:rPr>
              <w:t>Harvest is currently constrained by market opportunity. Controls are designed to monitor and respond to change but may not be sufficient if the fishery expands.</w:t>
            </w:r>
          </w:p>
          <w:p w14:paraId="69FB521B" w14:textId="5D5FEBCD" w:rsidR="0062083D" w:rsidRPr="0062083D" w:rsidRDefault="0062083D" w:rsidP="00D16DE2">
            <w:pPr>
              <w:spacing w:before="60" w:after="60" w:line="240" w:lineRule="auto"/>
              <w:rPr>
                <w:rFonts w:cs="Arial"/>
                <w:sz w:val="20"/>
                <w:szCs w:val="20"/>
              </w:rPr>
            </w:pPr>
            <w:r w:rsidRPr="0062083D">
              <w:rPr>
                <w:rFonts w:cs="Arial"/>
                <w:sz w:val="20"/>
                <w:szCs w:val="20"/>
              </w:rPr>
              <w:t xml:space="preserve">A fishery-wide catch limit for the Eastern Skipjack Tuna Fishery is referred to in AFMA’s </w:t>
            </w:r>
            <w:hyperlink r:id="rId41" w:history="1">
              <w:r w:rsidRPr="0062083D">
                <w:rPr>
                  <w:rStyle w:val="Hyperlink"/>
                  <w:rFonts w:cs="Arial"/>
                  <w:i/>
                  <w:sz w:val="20"/>
                  <w:szCs w:val="20"/>
                </w:rPr>
                <w:t>Skipjack Tuna Fishery Management Arrangements 2015</w:t>
              </w:r>
            </w:hyperlink>
            <w:r w:rsidRPr="0062083D">
              <w:rPr>
                <w:rFonts w:cs="Arial"/>
                <w:sz w:val="20"/>
                <w:szCs w:val="20"/>
              </w:rPr>
              <w:t>, but these arrangements are prefaced as a guide only, potentially affecting their enforceability. Similar limits are absent for the Western Skipjack Tuna Fishery.</w:t>
            </w:r>
          </w:p>
          <w:p w14:paraId="69FB521C" w14:textId="2E2B2595" w:rsidR="0062083D" w:rsidRPr="0062083D" w:rsidRDefault="0062083D" w:rsidP="00D16DE2">
            <w:pPr>
              <w:spacing w:before="60" w:after="60" w:line="240" w:lineRule="auto"/>
              <w:rPr>
                <w:rFonts w:cs="Arial"/>
                <w:sz w:val="20"/>
                <w:szCs w:val="20"/>
              </w:rPr>
            </w:pPr>
            <w:r w:rsidRPr="0062083D">
              <w:rPr>
                <w:rFonts w:cs="Arial"/>
                <w:sz w:val="20"/>
                <w:szCs w:val="20"/>
              </w:rPr>
              <w:t>Fishing permits include trip-based and proportional catch limits for non-target species but do not contain limits for target species. They also limit entry and access to identified fishing zones, include gear restrictions and prohibit fishing around Fish Aggregating Devices.</w:t>
            </w:r>
          </w:p>
          <w:p w14:paraId="69FB521E" w14:textId="66F0B674" w:rsidR="0062083D" w:rsidRPr="0062083D" w:rsidRDefault="0062083D" w:rsidP="00D16DE2">
            <w:pPr>
              <w:spacing w:before="60" w:after="60" w:line="240" w:lineRule="auto"/>
              <w:rPr>
                <w:rFonts w:cs="Arial"/>
                <w:sz w:val="20"/>
                <w:szCs w:val="20"/>
              </w:rPr>
            </w:pPr>
            <w:r w:rsidRPr="0062083D">
              <w:rPr>
                <w:rFonts w:cs="Arial"/>
                <w:sz w:val="20"/>
                <w:szCs w:val="20"/>
              </w:rPr>
              <w:t xml:space="preserve">The </w:t>
            </w:r>
            <w:hyperlink r:id="rId42" w:history="1">
              <w:r w:rsidRPr="0062083D">
                <w:rPr>
                  <w:rStyle w:val="Hyperlink"/>
                  <w:rFonts w:cs="Arial"/>
                  <w:sz w:val="20"/>
                  <w:szCs w:val="20"/>
                </w:rPr>
                <w:t>harvest strategy</w:t>
              </w:r>
            </w:hyperlink>
            <w:r w:rsidRPr="0062083D">
              <w:rPr>
                <w:rFonts w:cs="Arial"/>
                <w:sz w:val="20"/>
                <w:szCs w:val="20"/>
              </w:rPr>
              <w:t xml:space="preserve"> seeks to limit catch to Australia’s allocation (level 3 trigger), but in the absence of an allocation or agreed Government position for the Western Skipjack Tuna Fishery, it appears unable to do so. AFMA can monitor landed catch using catch disposal records, but the process for monitoring and communicating limits to avoid over-fishing is presently undefined.</w:t>
            </w:r>
          </w:p>
          <w:p w14:paraId="5F446E8B" w14:textId="77777777" w:rsidR="0062083D" w:rsidRPr="0062083D" w:rsidRDefault="0062083D" w:rsidP="00D16DE2">
            <w:pPr>
              <w:spacing w:before="60" w:after="60" w:line="240" w:lineRule="auto"/>
              <w:rPr>
                <w:rFonts w:cs="Arial"/>
                <w:sz w:val="20"/>
                <w:szCs w:val="20"/>
              </w:rPr>
            </w:pPr>
            <w:r w:rsidRPr="0062083D">
              <w:rPr>
                <w:rFonts w:cs="Arial"/>
                <w:sz w:val="20"/>
                <w:szCs w:val="20"/>
              </w:rPr>
              <w:t>The harvest strategy lacks reference points to manage localised depletion (a key driver of the fishery), and triggers (e.g. trigger 2b) appear insufficient. The strategy states “</w:t>
            </w:r>
            <w:r w:rsidRPr="0062083D">
              <w:rPr>
                <w:rFonts w:cs="Arial"/>
                <w:i/>
                <w:sz w:val="20"/>
                <w:szCs w:val="20"/>
              </w:rPr>
              <w:t>there is little sense in undertaking an assessment if the high catch year is an anomaly in what is otherwise a fishery with low effort</w:t>
            </w:r>
            <w:r w:rsidRPr="0062083D">
              <w:rPr>
                <w:rFonts w:cs="Arial"/>
                <w:sz w:val="20"/>
                <w:szCs w:val="20"/>
              </w:rPr>
              <w:t xml:space="preserve">”. It requires catch in two consecutive </w:t>
            </w:r>
            <w:proofErr w:type="gramStart"/>
            <w:r w:rsidRPr="0062083D">
              <w:rPr>
                <w:rFonts w:cs="Arial"/>
                <w:sz w:val="20"/>
                <w:szCs w:val="20"/>
              </w:rPr>
              <w:t>years</w:t>
            </w:r>
            <w:proofErr w:type="gramEnd"/>
            <w:r w:rsidRPr="0062083D">
              <w:rPr>
                <w:rFonts w:cs="Arial"/>
                <w:sz w:val="20"/>
                <w:szCs w:val="20"/>
              </w:rPr>
              <w:t xml:space="preserve"> equivalent to the level 2a trigger before any assessment is triggered. Such sustained high catches may not occur if localised depletion leads to lower catches in the subsequent year. Assessment only occurs if the stock sustains the higher level of fishing, increasing the likelihood of a positive outcome. The trigger points are also based on historic high catches, which while undefined provide an ever-increasing benchmark.</w:t>
            </w:r>
          </w:p>
          <w:p w14:paraId="0A37A396" w14:textId="77777777" w:rsidR="0062083D" w:rsidRPr="0062083D" w:rsidRDefault="0062083D" w:rsidP="00D16DE2">
            <w:pPr>
              <w:spacing w:before="60" w:after="60" w:line="240" w:lineRule="auto"/>
              <w:rPr>
                <w:rFonts w:cs="Arial"/>
                <w:sz w:val="20"/>
                <w:szCs w:val="20"/>
              </w:rPr>
            </w:pPr>
            <w:r w:rsidRPr="0062083D">
              <w:rPr>
                <w:rFonts w:cs="Arial"/>
                <w:sz w:val="20"/>
                <w:szCs w:val="20"/>
              </w:rPr>
              <w:lastRenderedPageBreak/>
              <w:t>Acknowledging the developmental nature of the fishery, the strategy seeks to avoid limits at low harvest levels, while triggering progressively higher analyses to inform higher trigger levels. However the strategy only requires monitoring and review of trigger levels, delaying any further response (</w:t>
            </w:r>
            <w:hyperlink r:id="rId43" w:history="1">
              <w:r w:rsidRPr="0062083D">
                <w:rPr>
                  <w:rStyle w:val="Hyperlink"/>
                  <w:rFonts w:cs="Arial"/>
                  <w:sz w:val="20"/>
                  <w:szCs w:val="20"/>
                </w:rPr>
                <w:t>ABARES 2015</w:t>
              </w:r>
            </w:hyperlink>
            <w:r w:rsidRPr="0062083D">
              <w:rPr>
                <w:rFonts w:cs="Arial"/>
                <w:sz w:val="20"/>
                <w:szCs w:val="20"/>
              </w:rPr>
              <w:t>).</w:t>
            </w:r>
          </w:p>
          <w:p w14:paraId="69FB521F" w14:textId="138B6499" w:rsidR="0062083D" w:rsidRPr="0062083D" w:rsidRDefault="0062083D" w:rsidP="00D16DE2">
            <w:pPr>
              <w:spacing w:before="60" w:after="60" w:line="240" w:lineRule="auto"/>
              <w:rPr>
                <w:rFonts w:cs="Arial"/>
                <w:sz w:val="20"/>
                <w:szCs w:val="20"/>
              </w:rPr>
            </w:pPr>
            <w:r w:rsidRPr="0062083D">
              <w:rPr>
                <w:rFonts w:cs="Arial"/>
                <w:sz w:val="20"/>
                <w:szCs w:val="20"/>
              </w:rPr>
              <w:t>AFMA can however rapidly control fishing by issuing closure directions and/or temporary orders. These short-term arrangements allow management arrangements to be updated, but may be impractical given their potential economic impacts on the developing fishery and its markets.</w:t>
            </w:r>
          </w:p>
        </w:tc>
      </w:tr>
      <w:tr w:rsidR="0062083D" w:rsidRPr="0062083D" w14:paraId="69FB5227" w14:textId="77777777" w:rsidTr="009A3888">
        <w:tc>
          <w:tcPr>
            <w:tcW w:w="2500" w:type="pct"/>
            <w:shd w:val="clear" w:color="auto" w:fill="auto"/>
          </w:tcPr>
          <w:p w14:paraId="69FB5221" w14:textId="77777777" w:rsidR="0062083D" w:rsidRPr="0062083D" w:rsidRDefault="0062083D" w:rsidP="00D16DE2">
            <w:pPr>
              <w:spacing w:before="60" w:after="60" w:line="240" w:lineRule="auto"/>
              <w:rPr>
                <w:rFonts w:cs="Arial"/>
                <w:sz w:val="20"/>
                <w:szCs w:val="20"/>
              </w:rPr>
            </w:pPr>
            <w:r w:rsidRPr="0062083D">
              <w:rPr>
                <w:rFonts w:cs="Arial"/>
                <w:sz w:val="20"/>
                <w:szCs w:val="20"/>
              </w:rPr>
              <w:lastRenderedPageBreak/>
              <w:t>Contain the means of enforcing critical aspects of the management arrangements</w:t>
            </w:r>
          </w:p>
        </w:tc>
        <w:tc>
          <w:tcPr>
            <w:tcW w:w="2500" w:type="pct"/>
            <w:gridSpan w:val="2"/>
            <w:shd w:val="clear" w:color="auto" w:fill="FFC000"/>
          </w:tcPr>
          <w:p w14:paraId="69FB5225" w14:textId="04265722" w:rsidR="0062083D" w:rsidRPr="0062083D" w:rsidRDefault="0062083D" w:rsidP="00D16DE2">
            <w:pPr>
              <w:spacing w:before="60" w:after="60" w:line="240" w:lineRule="auto"/>
              <w:rPr>
                <w:rFonts w:cs="Arial"/>
                <w:sz w:val="20"/>
                <w:szCs w:val="20"/>
              </w:rPr>
            </w:pPr>
            <w:r w:rsidRPr="0062083D">
              <w:rPr>
                <w:rFonts w:cs="Arial"/>
                <w:sz w:val="20"/>
                <w:szCs w:val="20"/>
              </w:rPr>
              <w:t>Notwithstanding the constraints outlined in the previous section, AFMA’s compliance program is generally effective at identifying and responding to risk. It is also supported by legislative provisions.</w:t>
            </w:r>
          </w:p>
          <w:p w14:paraId="69FB5226" w14:textId="77777777" w:rsidR="0062083D" w:rsidRPr="0062083D" w:rsidRDefault="0062083D" w:rsidP="00D16DE2">
            <w:pPr>
              <w:spacing w:before="60" w:after="60" w:line="240" w:lineRule="auto"/>
              <w:rPr>
                <w:rFonts w:cs="Arial"/>
                <w:sz w:val="20"/>
                <w:szCs w:val="20"/>
              </w:rPr>
            </w:pPr>
            <w:r w:rsidRPr="0062083D">
              <w:rPr>
                <w:rFonts w:cs="Arial"/>
                <w:sz w:val="20"/>
                <w:szCs w:val="20"/>
              </w:rPr>
              <w:t>Concession holders are required to operate vessel monitoring systems and complete logbook and catch disposal records. This information allows fishing activity and catches to be investigated if necessary.</w:t>
            </w:r>
          </w:p>
        </w:tc>
      </w:tr>
      <w:tr w:rsidR="0062083D" w:rsidRPr="0062083D" w14:paraId="69FB522E" w14:textId="77777777" w:rsidTr="009A3888">
        <w:tc>
          <w:tcPr>
            <w:tcW w:w="2500" w:type="pct"/>
            <w:shd w:val="clear" w:color="auto" w:fill="auto"/>
          </w:tcPr>
          <w:p w14:paraId="69FB5228" w14:textId="77777777" w:rsidR="0062083D" w:rsidRPr="0062083D" w:rsidRDefault="0062083D" w:rsidP="00D16DE2">
            <w:pPr>
              <w:spacing w:before="60" w:after="60" w:line="240" w:lineRule="auto"/>
              <w:rPr>
                <w:rFonts w:cs="Arial"/>
                <w:sz w:val="20"/>
                <w:szCs w:val="20"/>
              </w:rPr>
            </w:pPr>
            <w:r w:rsidRPr="0062083D">
              <w:rPr>
                <w:rFonts w:cs="Arial"/>
                <w:sz w:val="20"/>
                <w:szCs w:val="20"/>
              </w:rPr>
              <w:t>Provide for the periodic review of the performance of the fishery management arrangements and the management strategies, objectives and criteria</w:t>
            </w:r>
          </w:p>
        </w:tc>
        <w:tc>
          <w:tcPr>
            <w:tcW w:w="2500" w:type="pct"/>
            <w:gridSpan w:val="2"/>
            <w:shd w:val="clear" w:color="auto" w:fill="FFC000"/>
          </w:tcPr>
          <w:p w14:paraId="69FB522C" w14:textId="70C6ED22" w:rsidR="0062083D" w:rsidRPr="0062083D" w:rsidRDefault="0062083D" w:rsidP="00D16DE2">
            <w:pPr>
              <w:spacing w:before="60" w:after="60" w:line="240" w:lineRule="auto"/>
              <w:rPr>
                <w:rFonts w:cs="Arial"/>
                <w:sz w:val="20"/>
                <w:szCs w:val="20"/>
              </w:rPr>
            </w:pPr>
            <w:r w:rsidRPr="0062083D">
              <w:rPr>
                <w:rFonts w:cs="Arial"/>
                <w:sz w:val="20"/>
                <w:szCs w:val="20"/>
              </w:rPr>
              <w:t>When the fishery is active, its management arrangements are periodically reviewed by the TTMAC and TTRAG. However this has not occurred for several years due to the lack of fishing.</w:t>
            </w:r>
          </w:p>
          <w:p w14:paraId="69FB522D" w14:textId="77777777" w:rsidR="0062083D" w:rsidRPr="0062083D" w:rsidRDefault="0062083D" w:rsidP="00D16DE2">
            <w:pPr>
              <w:spacing w:before="60" w:after="60" w:line="240" w:lineRule="auto"/>
              <w:rPr>
                <w:rFonts w:cs="Arial"/>
                <w:sz w:val="20"/>
                <w:szCs w:val="20"/>
              </w:rPr>
            </w:pPr>
            <w:r w:rsidRPr="0062083D">
              <w:rPr>
                <w:rFonts w:cs="Arial"/>
                <w:sz w:val="20"/>
                <w:szCs w:val="20"/>
              </w:rPr>
              <w:t>Australia has supported the development of a new strategic plan for the WCPFC, and noted the need for a clear vision and plan to achieve this.</w:t>
            </w:r>
          </w:p>
        </w:tc>
      </w:tr>
      <w:tr w:rsidR="0062083D" w:rsidRPr="0062083D" w14:paraId="69FB523A" w14:textId="77777777" w:rsidTr="009A3888">
        <w:tc>
          <w:tcPr>
            <w:tcW w:w="2500" w:type="pct"/>
            <w:shd w:val="clear" w:color="auto" w:fill="auto"/>
          </w:tcPr>
          <w:p w14:paraId="69FB522F" w14:textId="77777777" w:rsidR="0062083D" w:rsidRPr="0062083D" w:rsidRDefault="0062083D" w:rsidP="00D16DE2">
            <w:pPr>
              <w:spacing w:before="60" w:after="60" w:line="240" w:lineRule="auto"/>
              <w:rPr>
                <w:rFonts w:cs="Arial"/>
                <w:sz w:val="20"/>
                <w:szCs w:val="20"/>
              </w:rPr>
            </w:pPr>
            <w:r w:rsidRPr="0062083D">
              <w:rPr>
                <w:rFonts w:cs="Arial"/>
                <w:sz w:val="20"/>
                <w:szCs w:val="20"/>
              </w:rPr>
              <w:t>Be capable of assessing, monitoring and avoiding, remedying or mitigating any adverse impacts on the wider marine ecosystem in which the target species lives and the fishery operates</w:t>
            </w:r>
          </w:p>
        </w:tc>
        <w:tc>
          <w:tcPr>
            <w:tcW w:w="2500" w:type="pct"/>
            <w:gridSpan w:val="2"/>
            <w:shd w:val="clear" w:color="auto" w:fill="92D050"/>
          </w:tcPr>
          <w:p w14:paraId="69FB5233" w14:textId="106CAD83" w:rsidR="0062083D" w:rsidRPr="0062083D" w:rsidRDefault="0062083D" w:rsidP="00D16DE2">
            <w:pPr>
              <w:spacing w:before="60" w:after="60" w:line="240" w:lineRule="auto"/>
              <w:rPr>
                <w:rFonts w:cs="Arial"/>
                <w:sz w:val="20"/>
                <w:szCs w:val="20"/>
              </w:rPr>
            </w:pPr>
            <w:r w:rsidRPr="0062083D">
              <w:rPr>
                <w:rFonts w:cs="Arial"/>
                <w:sz w:val="20"/>
                <w:szCs w:val="20"/>
              </w:rPr>
              <w:t>Risks have been assessed and are managed through AFMA’s ecological risk management strategy.</w:t>
            </w:r>
          </w:p>
          <w:p w14:paraId="69FB5234" w14:textId="1F0B8F63" w:rsidR="0062083D" w:rsidRPr="0062083D" w:rsidRDefault="0062083D" w:rsidP="00D16DE2">
            <w:pPr>
              <w:spacing w:before="60" w:after="60" w:line="240" w:lineRule="auto"/>
              <w:rPr>
                <w:rFonts w:cs="Arial"/>
                <w:sz w:val="20"/>
                <w:szCs w:val="20"/>
              </w:rPr>
            </w:pPr>
            <w:r w:rsidRPr="0062083D">
              <w:rPr>
                <w:rFonts w:cs="Arial"/>
                <w:sz w:val="20"/>
                <w:szCs w:val="20"/>
              </w:rPr>
              <w:t>Twenty-five marine mammal species have been identified as being at high risk (</w:t>
            </w:r>
            <w:hyperlink r:id="rId44" w:history="1">
              <w:r w:rsidRPr="0062083D">
                <w:rPr>
                  <w:rStyle w:val="Hyperlink"/>
                  <w:rFonts w:cs="Arial"/>
                  <w:sz w:val="20"/>
                  <w:szCs w:val="20"/>
                </w:rPr>
                <w:t>AFMA 2009</w:t>
              </w:r>
            </w:hyperlink>
            <w:r w:rsidRPr="0062083D">
              <w:rPr>
                <w:rFonts w:cs="Arial"/>
                <w:sz w:val="20"/>
                <w:szCs w:val="20"/>
              </w:rPr>
              <w:t>); but no other species, habitats or ecological communities (</w:t>
            </w:r>
            <w:hyperlink r:id="rId45" w:history="1">
              <w:r w:rsidRPr="0062083D">
                <w:rPr>
                  <w:rStyle w:val="Hyperlink"/>
                  <w:rFonts w:cs="Arial"/>
                  <w:sz w:val="20"/>
                  <w:szCs w:val="20"/>
                </w:rPr>
                <w:t>AFMA 2010</w:t>
              </w:r>
            </w:hyperlink>
            <w:r w:rsidRPr="0062083D">
              <w:rPr>
                <w:rFonts w:cs="Arial"/>
                <w:sz w:val="20"/>
                <w:szCs w:val="20"/>
              </w:rPr>
              <w:t>). These high risk species were—with the exception of Australian fur seals—all cetaceans (whales, dolphins and whale dolphins).</w:t>
            </w:r>
          </w:p>
          <w:p w14:paraId="69FB5235" w14:textId="127821CF" w:rsidR="0062083D" w:rsidRPr="0062083D" w:rsidRDefault="0062083D" w:rsidP="00D16DE2">
            <w:pPr>
              <w:spacing w:before="60" w:after="60" w:line="240" w:lineRule="auto"/>
              <w:rPr>
                <w:rFonts w:cs="Arial"/>
                <w:sz w:val="20"/>
                <w:szCs w:val="20"/>
              </w:rPr>
            </w:pPr>
            <w:r w:rsidRPr="0062083D">
              <w:rPr>
                <w:rFonts w:cs="Arial"/>
                <w:sz w:val="20"/>
                <w:szCs w:val="20"/>
              </w:rPr>
              <w:t>Purse seining in Australian skipjack fisheries is very selective, targeting largely single species schools. Species other than skipjack tuna historically made up much less than two per cent of the total catch and no interactions with the high risk species have been reported in logbook or observer records to date (</w:t>
            </w:r>
            <w:hyperlink r:id="rId46" w:history="1">
              <w:r w:rsidRPr="0062083D">
                <w:rPr>
                  <w:rStyle w:val="Hyperlink"/>
                  <w:rFonts w:cs="Arial"/>
                  <w:sz w:val="20"/>
                  <w:szCs w:val="20"/>
                </w:rPr>
                <w:t>AFMA 2010</w:t>
              </w:r>
            </w:hyperlink>
            <w:r w:rsidRPr="0062083D">
              <w:rPr>
                <w:rFonts w:cs="Arial"/>
                <w:sz w:val="20"/>
                <w:szCs w:val="20"/>
              </w:rPr>
              <w:t>).</w:t>
            </w:r>
          </w:p>
          <w:p w14:paraId="69FB5236" w14:textId="0B2A8F57" w:rsidR="0062083D" w:rsidRPr="0062083D" w:rsidRDefault="0062083D" w:rsidP="00D16DE2">
            <w:pPr>
              <w:spacing w:before="60" w:after="60" w:line="240" w:lineRule="auto"/>
              <w:rPr>
                <w:rFonts w:cs="Arial"/>
                <w:sz w:val="20"/>
                <w:szCs w:val="20"/>
              </w:rPr>
            </w:pPr>
            <w:r w:rsidRPr="0062083D">
              <w:rPr>
                <w:rFonts w:cs="Arial"/>
                <w:sz w:val="20"/>
                <w:szCs w:val="20"/>
              </w:rPr>
              <w:t>The ERM strategy seeks to initially achieve at least five per cent observer coverage of all fishing activity, which includes the first trip by each boat each season (</w:t>
            </w:r>
            <w:hyperlink r:id="rId47" w:history="1">
              <w:r w:rsidRPr="0062083D">
                <w:rPr>
                  <w:rStyle w:val="Hyperlink"/>
                  <w:rFonts w:cs="Arial"/>
                  <w:sz w:val="20"/>
                  <w:szCs w:val="20"/>
                </w:rPr>
                <w:t>AFMA 2010</w:t>
              </w:r>
            </w:hyperlink>
            <w:r w:rsidRPr="0062083D">
              <w:rPr>
                <w:rFonts w:cs="Arial"/>
                <w:sz w:val="20"/>
                <w:szCs w:val="20"/>
              </w:rPr>
              <w:t> and pers. comm. 2016). This is intended to provide AFMA with a greater understanding of the nature of interactions within the ecosystem and allow AFMA to monitor any expansion of effort that occurs (</w:t>
            </w:r>
            <w:hyperlink r:id="rId48" w:history="1">
              <w:r w:rsidRPr="0062083D">
                <w:rPr>
                  <w:rStyle w:val="Hyperlink"/>
                  <w:rFonts w:cs="Arial"/>
                  <w:sz w:val="20"/>
                  <w:szCs w:val="20"/>
                </w:rPr>
                <w:t>AFMA 2010</w:t>
              </w:r>
            </w:hyperlink>
            <w:r w:rsidRPr="0062083D">
              <w:rPr>
                <w:rFonts w:cs="Arial"/>
                <w:sz w:val="20"/>
                <w:szCs w:val="20"/>
              </w:rPr>
              <w:t>).</w:t>
            </w:r>
          </w:p>
          <w:p w14:paraId="69FB5237" w14:textId="056D4791" w:rsidR="0062083D" w:rsidRPr="0062083D" w:rsidRDefault="0062083D" w:rsidP="00D16DE2">
            <w:pPr>
              <w:spacing w:before="60" w:after="60" w:line="240" w:lineRule="auto"/>
              <w:rPr>
                <w:rFonts w:cs="Arial"/>
                <w:sz w:val="20"/>
                <w:szCs w:val="20"/>
              </w:rPr>
            </w:pPr>
            <w:r w:rsidRPr="0062083D">
              <w:rPr>
                <w:rFonts w:cs="Arial"/>
                <w:sz w:val="20"/>
                <w:szCs w:val="20"/>
              </w:rPr>
              <w:t>Fishers must also report all catch, including non-target species, any interactions with protected species, and any gear loss, using AFMA approved logbooks. AFMA is developing guidelines for its Resource Assessment Groups which will help them implement the ERM strategies.</w:t>
            </w:r>
          </w:p>
          <w:p w14:paraId="69FB5238" w14:textId="19DCE069" w:rsidR="0062083D" w:rsidRPr="0062083D" w:rsidRDefault="0062083D" w:rsidP="00D16DE2">
            <w:pPr>
              <w:spacing w:before="60" w:after="60" w:line="240" w:lineRule="auto"/>
              <w:rPr>
                <w:rFonts w:cs="Arial"/>
                <w:sz w:val="20"/>
                <w:szCs w:val="20"/>
              </w:rPr>
            </w:pPr>
            <w:r w:rsidRPr="0062083D">
              <w:rPr>
                <w:rFonts w:cs="Arial"/>
                <w:sz w:val="20"/>
                <w:szCs w:val="20"/>
              </w:rPr>
              <w:lastRenderedPageBreak/>
              <w:t>The ERAs and ERM strategy for the fishery are due to be reviewed in 2018 but results will likely continue to be influenced by the lack of recent fishing activity, rather than potential activity. If the fishery recommences activity these assessments may need to be reviewed.</w:t>
            </w:r>
          </w:p>
          <w:p w14:paraId="69FB5239" w14:textId="77777777" w:rsidR="0062083D" w:rsidRPr="0062083D" w:rsidRDefault="0062083D" w:rsidP="00D16DE2">
            <w:pPr>
              <w:spacing w:before="60" w:after="60" w:line="240" w:lineRule="auto"/>
              <w:rPr>
                <w:rFonts w:cs="Arial"/>
                <w:sz w:val="20"/>
                <w:szCs w:val="20"/>
              </w:rPr>
            </w:pPr>
            <w:r w:rsidRPr="0062083D">
              <w:rPr>
                <w:rFonts w:cs="Arial"/>
                <w:sz w:val="20"/>
                <w:szCs w:val="20"/>
              </w:rPr>
              <w:t>Internationally, AFMA and DAWR have an ongoing role in the management of skipjack tuna fishing and its impacts on the wider marine ecosystem; this is achieved through their role in the IOTC and WCPFC. However the broad focus of these groups has led to concern about how well Australia’s specific needs can be met (</w:t>
            </w:r>
            <w:hyperlink r:id="rId49" w:history="1">
              <w:r w:rsidRPr="0062083D">
                <w:rPr>
                  <w:rStyle w:val="Hyperlink"/>
                  <w:rFonts w:cs="Arial"/>
                  <w:sz w:val="20"/>
                  <w:szCs w:val="20"/>
                </w:rPr>
                <w:t>ABARES 2015</w:t>
              </w:r>
            </w:hyperlink>
            <w:r w:rsidRPr="0062083D">
              <w:rPr>
                <w:rFonts w:cs="Arial"/>
                <w:sz w:val="20"/>
                <w:szCs w:val="20"/>
              </w:rPr>
              <w:t>).</w:t>
            </w:r>
          </w:p>
        </w:tc>
      </w:tr>
      <w:tr w:rsidR="0062083D" w:rsidRPr="0062083D" w14:paraId="69FB5241" w14:textId="77777777" w:rsidTr="009A3888">
        <w:tc>
          <w:tcPr>
            <w:tcW w:w="2500" w:type="pct"/>
            <w:shd w:val="clear" w:color="auto" w:fill="auto"/>
          </w:tcPr>
          <w:p w14:paraId="69FB523B" w14:textId="77777777" w:rsidR="0062083D" w:rsidRPr="0062083D" w:rsidRDefault="0062083D" w:rsidP="00D16DE2">
            <w:pPr>
              <w:spacing w:before="60" w:after="60" w:line="240" w:lineRule="auto"/>
              <w:rPr>
                <w:rFonts w:cs="Arial"/>
                <w:sz w:val="20"/>
                <w:szCs w:val="20"/>
              </w:rPr>
            </w:pPr>
            <w:r w:rsidRPr="0062083D">
              <w:rPr>
                <w:rFonts w:cs="Arial"/>
                <w:sz w:val="20"/>
                <w:szCs w:val="20"/>
              </w:rPr>
              <w:lastRenderedPageBreak/>
              <w:t>Requires compliance with relevant threat abatement plans, recovery plans, the National Policy on Fisheries Bycatch, and bycatch action strategies developed under the policy</w:t>
            </w:r>
          </w:p>
        </w:tc>
        <w:tc>
          <w:tcPr>
            <w:tcW w:w="2500" w:type="pct"/>
            <w:gridSpan w:val="2"/>
            <w:shd w:val="clear" w:color="auto" w:fill="92D050"/>
          </w:tcPr>
          <w:p w14:paraId="69FB523F" w14:textId="578E1C6B" w:rsidR="0062083D" w:rsidRPr="0062083D" w:rsidRDefault="0062083D" w:rsidP="00D16DE2">
            <w:pPr>
              <w:spacing w:before="60" w:after="60" w:line="240" w:lineRule="auto"/>
              <w:rPr>
                <w:rFonts w:cs="Arial"/>
                <w:sz w:val="20"/>
                <w:szCs w:val="20"/>
              </w:rPr>
            </w:pPr>
            <w:r w:rsidRPr="0062083D">
              <w:rPr>
                <w:rFonts w:cs="Arial"/>
                <w:sz w:val="20"/>
                <w:szCs w:val="20"/>
              </w:rPr>
              <w:t>The fishery is required to comply with all relevant Commonwealth plans and policies, the operations of which are typically overseen by groups including government, industry and environmental interests.</w:t>
            </w:r>
          </w:p>
          <w:p w14:paraId="69FB5240" w14:textId="4C5F3508" w:rsidR="0062083D" w:rsidRPr="0062083D" w:rsidRDefault="0062083D" w:rsidP="00D16DE2">
            <w:pPr>
              <w:spacing w:before="60" w:after="60" w:line="240" w:lineRule="auto"/>
              <w:rPr>
                <w:rFonts w:cs="Arial"/>
                <w:sz w:val="20"/>
                <w:szCs w:val="20"/>
              </w:rPr>
            </w:pPr>
            <w:r w:rsidRPr="0062083D">
              <w:rPr>
                <w:rFonts w:cs="Arial"/>
                <w:sz w:val="20"/>
                <w:szCs w:val="20"/>
              </w:rPr>
              <w:t xml:space="preserve">Compliance is reported annually in </w:t>
            </w:r>
            <w:hyperlink r:id="rId50" w:history="1">
              <w:r w:rsidRPr="0062083D">
                <w:rPr>
                  <w:rStyle w:val="Hyperlink"/>
                  <w:rFonts w:cs="Arial"/>
                  <w:sz w:val="20"/>
                  <w:szCs w:val="20"/>
                </w:rPr>
                <w:t>AFMA’s corporate reports</w:t>
              </w:r>
            </w:hyperlink>
            <w:r w:rsidRPr="0062083D">
              <w:rPr>
                <w:rFonts w:cs="Arial"/>
                <w:sz w:val="20"/>
                <w:szCs w:val="20"/>
              </w:rPr>
              <w:t>.</w:t>
            </w:r>
          </w:p>
        </w:tc>
      </w:tr>
      <w:tr w:rsidR="001736C7" w:rsidRPr="0062083D" w14:paraId="69FB5243" w14:textId="77777777" w:rsidTr="009A3888">
        <w:tc>
          <w:tcPr>
            <w:tcW w:w="2500" w:type="pct"/>
            <w:gridSpan w:val="3"/>
            <w:shd w:val="clear" w:color="auto" w:fill="92CDDC"/>
          </w:tcPr>
          <w:p w14:paraId="69FB5242" w14:textId="46487EA8" w:rsidR="001736C7" w:rsidRPr="0062083D" w:rsidRDefault="001736C7" w:rsidP="00D16DE2">
            <w:pPr>
              <w:autoSpaceDE w:val="0"/>
              <w:autoSpaceDN w:val="0"/>
              <w:adjustRightInd w:val="0"/>
              <w:spacing w:before="60" w:after="60" w:line="240" w:lineRule="auto"/>
              <w:rPr>
                <w:rFonts w:cs="Arial"/>
                <w:b/>
                <w:bCs/>
                <w:sz w:val="20"/>
                <w:szCs w:val="20"/>
              </w:rPr>
            </w:pPr>
            <w:r w:rsidRPr="0062083D">
              <w:rPr>
                <w:rFonts w:cs="Arial"/>
                <w:b/>
                <w:bCs/>
                <w:sz w:val="20"/>
                <w:szCs w:val="20"/>
              </w:rPr>
              <w:t xml:space="preserve">PRINCIPLE 1 - </w:t>
            </w:r>
            <w:r w:rsidRPr="0062083D">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62083D">
              <w:rPr>
                <w:rFonts w:cs="Arial"/>
                <w:b/>
                <w:bCs/>
                <w:sz w:val="20"/>
                <w:szCs w:val="20"/>
              </w:rPr>
              <w:t xml:space="preserve">. </w:t>
            </w:r>
          </w:p>
        </w:tc>
      </w:tr>
      <w:tr w:rsidR="001736C7" w:rsidRPr="0062083D" w14:paraId="69FB5245" w14:textId="77777777" w:rsidTr="009A3888">
        <w:tc>
          <w:tcPr>
            <w:tcW w:w="2500" w:type="pct"/>
            <w:gridSpan w:val="3"/>
            <w:shd w:val="clear" w:color="auto" w:fill="B6DDE8"/>
          </w:tcPr>
          <w:p w14:paraId="69FB5244" w14:textId="77777777" w:rsidR="001736C7" w:rsidRPr="0062083D" w:rsidRDefault="001736C7" w:rsidP="00D16DE2">
            <w:pPr>
              <w:spacing w:before="60" w:after="60" w:line="240" w:lineRule="auto"/>
              <w:rPr>
                <w:rFonts w:cs="Arial"/>
                <w:b/>
                <w:bCs/>
                <w:sz w:val="20"/>
                <w:szCs w:val="20"/>
              </w:rPr>
            </w:pPr>
            <w:r w:rsidRPr="0062083D">
              <w:rPr>
                <w:rFonts w:cs="Arial"/>
                <w:b/>
                <w:bCs/>
                <w:sz w:val="20"/>
                <w:szCs w:val="20"/>
              </w:rPr>
              <w:t xml:space="preserve">Objective 1 - </w:t>
            </w:r>
            <w:r w:rsidRPr="0062083D">
              <w:rPr>
                <w:rFonts w:cs="Arial"/>
                <w:sz w:val="20"/>
                <w:szCs w:val="20"/>
              </w:rPr>
              <w:t xml:space="preserve">The fishery shall be conducted at catch levels that maintain ecologically viable stock levels at an agreed point or range, with acceptable levels of probability. </w:t>
            </w:r>
          </w:p>
        </w:tc>
      </w:tr>
      <w:tr w:rsidR="001736C7" w:rsidRPr="0062083D" w14:paraId="69FB5247" w14:textId="77777777" w:rsidTr="009A3888">
        <w:tc>
          <w:tcPr>
            <w:tcW w:w="2500" w:type="pct"/>
            <w:gridSpan w:val="3"/>
            <w:shd w:val="clear" w:color="auto" w:fill="DAEEF3"/>
          </w:tcPr>
          <w:p w14:paraId="69FB5246" w14:textId="77777777" w:rsidR="001736C7" w:rsidRPr="0062083D" w:rsidRDefault="001736C7" w:rsidP="00D16DE2">
            <w:pPr>
              <w:spacing w:before="60" w:after="60" w:line="240" w:lineRule="auto"/>
              <w:rPr>
                <w:rFonts w:cs="Arial"/>
                <w:b/>
                <w:bCs/>
                <w:i/>
                <w:iCs/>
                <w:sz w:val="20"/>
                <w:szCs w:val="20"/>
              </w:rPr>
            </w:pPr>
            <w:r w:rsidRPr="0062083D">
              <w:rPr>
                <w:rFonts w:cs="Arial"/>
                <w:b/>
                <w:bCs/>
                <w:i/>
                <w:iCs/>
                <w:sz w:val="20"/>
                <w:szCs w:val="20"/>
              </w:rPr>
              <w:t xml:space="preserve">Information requirements </w:t>
            </w:r>
          </w:p>
        </w:tc>
      </w:tr>
      <w:tr w:rsidR="0062083D" w:rsidRPr="0062083D" w14:paraId="69FB5252" w14:textId="77777777" w:rsidTr="009A3888">
        <w:tc>
          <w:tcPr>
            <w:tcW w:w="2500" w:type="pct"/>
          </w:tcPr>
          <w:p w14:paraId="69FB5248" w14:textId="77777777" w:rsidR="0062083D" w:rsidRPr="0062083D" w:rsidRDefault="0062083D" w:rsidP="00D16DE2">
            <w:pPr>
              <w:spacing w:before="60" w:after="60" w:line="240" w:lineRule="auto"/>
              <w:rPr>
                <w:rFonts w:cs="Arial"/>
                <w:sz w:val="20"/>
                <w:szCs w:val="20"/>
              </w:rPr>
            </w:pPr>
            <w:r w:rsidRPr="0062083D">
              <w:rPr>
                <w:rFonts w:cs="Arial"/>
                <w:b/>
                <w:bCs/>
                <w:i/>
                <w:iCs/>
                <w:sz w:val="20"/>
                <w:szCs w:val="20"/>
              </w:rPr>
              <w:t xml:space="preserve">1.1.1 </w:t>
            </w:r>
            <w:r w:rsidRPr="0062083D">
              <w:rPr>
                <w:rFonts w:cs="Arial"/>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2500" w:type="pct"/>
            <w:gridSpan w:val="2"/>
            <w:shd w:val="clear" w:color="auto" w:fill="92D050"/>
          </w:tcPr>
          <w:p w14:paraId="69FB524C" w14:textId="3D2D459C" w:rsidR="0062083D" w:rsidRPr="0062083D" w:rsidRDefault="0062083D" w:rsidP="00D16DE2">
            <w:pPr>
              <w:spacing w:before="60" w:after="60" w:line="240" w:lineRule="auto"/>
              <w:rPr>
                <w:rFonts w:cs="Arial"/>
                <w:sz w:val="20"/>
                <w:szCs w:val="20"/>
              </w:rPr>
            </w:pPr>
            <w:r w:rsidRPr="0062083D">
              <w:rPr>
                <w:rFonts w:cs="Arial"/>
                <w:sz w:val="20"/>
                <w:szCs w:val="20"/>
              </w:rPr>
              <w:t>AFMA’s information collection system is robust and includes fishery dependent and independent research and monitoring.</w:t>
            </w:r>
          </w:p>
          <w:p w14:paraId="69FB524D" w14:textId="15D2C5B8" w:rsidR="0062083D" w:rsidRPr="0062083D" w:rsidRDefault="0062083D" w:rsidP="00D16DE2">
            <w:pPr>
              <w:spacing w:before="60" w:after="60" w:line="240" w:lineRule="auto"/>
              <w:rPr>
                <w:rFonts w:cs="Arial"/>
                <w:sz w:val="20"/>
                <w:szCs w:val="20"/>
              </w:rPr>
            </w:pPr>
            <w:r w:rsidRPr="0062083D">
              <w:rPr>
                <w:rFonts w:cs="Arial"/>
                <w:sz w:val="20"/>
                <w:szCs w:val="20"/>
              </w:rPr>
              <w:t xml:space="preserve">All Australian vessels are required to report their fishing activity and catches, including any protected species interactions, gear loss and other information using AFMA approved </w:t>
            </w:r>
            <w:hyperlink r:id="rId51" w:history="1">
              <w:r w:rsidRPr="0062083D">
                <w:rPr>
                  <w:rStyle w:val="Hyperlink"/>
                  <w:rFonts w:cs="Arial"/>
                  <w:sz w:val="20"/>
                  <w:szCs w:val="20"/>
                </w:rPr>
                <w:t>logbooks and catch disposal records</w:t>
              </w:r>
            </w:hyperlink>
            <w:r w:rsidRPr="0062083D">
              <w:rPr>
                <w:rFonts w:cs="Arial"/>
                <w:sz w:val="20"/>
                <w:szCs w:val="20"/>
              </w:rPr>
              <w:t xml:space="preserve"> All boats must also operate vessel monitoring systems at all times and carry an AFMA observer or e-monitoring system if requested. </w:t>
            </w:r>
          </w:p>
          <w:p w14:paraId="69FB524E" w14:textId="0D92F631" w:rsidR="0062083D" w:rsidRPr="0062083D" w:rsidRDefault="0062083D" w:rsidP="00D16DE2">
            <w:pPr>
              <w:spacing w:before="60" w:after="60" w:line="240" w:lineRule="auto"/>
              <w:rPr>
                <w:rFonts w:cs="Arial"/>
                <w:sz w:val="20"/>
                <w:szCs w:val="20"/>
              </w:rPr>
            </w:pPr>
            <w:r w:rsidRPr="0062083D">
              <w:rPr>
                <w:rFonts w:cs="Arial"/>
                <w:sz w:val="20"/>
                <w:szCs w:val="20"/>
              </w:rPr>
              <w:t>The ERM strategy requires at least five per cent observer coverage of all fishing activity, including the first trip by each boat each season (</w:t>
            </w:r>
            <w:hyperlink r:id="rId52" w:history="1">
              <w:r w:rsidRPr="0062083D">
                <w:rPr>
                  <w:rStyle w:val="Hyperlink"/>
                  <w:rFonts w:cs="Arial"/>
                  <w:sz w:val="20"/>
                  <w:szCs w:val="20"/>
                </w:rPr>
                <w:t>AFMA 2010</w:t>
              </w:r>
            </w:hyperlink>
            <w:r w:rsidRPr="0062083D">
              <w:rPr>
                <w:rFonts w:cs="Arial"/>
                <w:sz w:val="20"/>
                <w:szCs w:val="20"/>
              </w:rPr>
              <w:t xml:space="preserve"> and pers. comm. 2016). However there is no minimum requirement specified in the </w:t>
            </w:r>
            <w:hyperlink r:id="rId53" w:history="1">
              <w:r w:rsidRPr="0062083D">
                <w:rPr>
                  <w:rStyle w:val="Hyperlink"/>
                  <w:rFonts w:cs="Arial"/>
                  <w:sz w:val="20"/>
                  <w:szCs w:val="20"/>
                </w:rPr>
                <w:t>permit conditions</w:t>
              </w:r>
            </w:hyperlink>
            <w:r w:rsidRPr="0062083D">
              <w:rPr>
                <w:rFonts w:cs="Arial"/>
                <w:sz w:val="20"/>
                <w:szCs w:val="20"/>
              </w:rPr>
              <w:t>.</w:t>
            </w:r>
          </w:p>
          <w:p w14:paraId="2EFA293F" w14:textId="77777777" w:rsidR="0062083D" w:rsidRPr="0062083D" w:rsidRDefault="0062083D" w:rsidP="00D16DE2">
            <w:pPr>
              <w:spacing w:before="60" w:after="60" w:line="240" w:lineRule="auto"/>
              <w:rPr>
                <w:rFonts w:cs="Arial"/>
                <w:sz w:val="20"/>
                <w:szCs w:val="20"/>
              </w:rPr>
            </w:pPr>
            <w:r w:rsidRPr="0062083D">
              <w:rPr>
                <w:rFonts w:cs="Arial"/>
                <w:sz w:val="20"/>
                <w:szCs w:val="20"/>
              </w:rPr>
              <w:t>The WCPFC also set and oversee observer targets for areas under their mandate.</w:t>
            </w:r>
          </w:p>
          <w:p w14:paraId="69FB524F" w14:textId="4E0D20F7" w:rsidR="0062083D" w:rsidRPr="0062083D" w:rsidRDefault="0062083D" w:rsidP="00D16DE2">
            <w:pPr>
              <w:spacing w:before="60" w:after="60" w:line="240" w:lineRule="auto"/>
              <w:rPr>
                <w:rFonts w:cs="Arial"/>
                <w:sz w:val="20"/>
                <w:szCs w:val="20"/>
              </w:rPr>
            </w:pPr>
            <w:r w:rsidRPr="0062083D">
              <w:rPr>
                <w:rFonts w:cs="Arial"/>
                <w:sz w:val="20"/>
                <w:szCs w:val="20"/>
              </w:rPr>
              <w:t>In the IOTC area of waters member states are responsible for managing their own programs and this is not centrally governed. Observer coverage is also made difficult in these waters due to the significant proportion of artisanal type fishing.</w:t>
            </w:r>
          </w:p>
          <w:p w14:paraId="05875D14" w14:textId="77777777" w:rsidR="0062083D" w:rsidRPr="0062083D" w:rsidRDefault="0062083D" w:rsidP="00D16DE2">
            <w:pPr>
              <w:spacing w:before="60" w:after="60" w:line="240" w:lineRule="auto"/>
              <w:rPr>
                <w:rFonts w:cs="Arial"/>
                <w:sz w:val="20"/>
                <w:szCs w:val="20"/>
              </w:rPr>
            </w:pPr>
            <w:r w:rsidRPr="0062083D">
              <w:rPr>
                <w:rFonts w:cs="Arial"/>
                <w:sz w:val="20"/>
                <w:szCs w:val="20"/>
              </w:rPr>
              <w:t>The WCPFC has also noted safety issues for observers in some countries, but members are taking steps to address this (</w:t>
            </w:r>
            <w:hyperlink r:id="rId54" w:history="1">
              <w:r w:rsidRPr="0062083D">
                <w:rPr>
                  <w:rStyle w:val="Hyperlink"/>
                  <w:rFonts w:cs="Arial"/>
                  <w:sz w:val="20"/>
                  <w:szCs w:val="20"/>
                </w:rPr>
                <w:t>WCPFC 2015</w:t>
              </w:r>
            </w:hyperlink>
            <w:r w:rsidRPr="0062083D">
              <w:rPr>
                <w:rFonts w:cs="Arial"/>
                <w:sz w:val="20"/>
                <w:szCs w:val="20"/>
              </w:rPr>
              <w:t>) and these issues do not affect Australia’s domestic observer program.</w:t>
            </w:r>
          </w:p>
          <w:p w14:paraId="69FB5251" w14:textId="1DFD8128" w:rsidR="0062083D" w:rsidRPr="0062083D" w:rsidRDefault="0062083D" w:rsidP="00D16DE2">
            <w:pPr>
              <w:spacing w:before="60" w:after="60" w:line="240" w:lineRule="auto"/>
              <w:rPr>
                <w:rFonts w:cs="Arial"/>
                <w:sz w:val="20"/>
                <w:szCs w:val="20"/>
              </w:rPr>
            </w:pPr>
            <w:r w:rsidRPr="0062083D">
              <w:rPr>
                <w:rFonts w:cs="Arial"/>
                <w:sz w:val="20"/>
                <w:szCs w:val="20"/>
              </w:rPr>
              <w:lastRenderedPageBreak/>
              <w:t>Concerns have been raised by the IOTC as to the veracity of their data and data collection arrangements (</w:t>
            </w:r>
            <w:hyperlink r:id="rId55" w:history="1">
              <w:r w:rsidRPr="0062083D">
                <w:rPr>
                  <w:rStyle w:val="Hyperlink"/>
                  <w:rFonts w:cs="Arial"/>
                  <w:sz w:val="20"/>
                  <w:szCs w:val="20"/>
                </w:rPr>
                <w:t>IOTC 2015</w:t>
              </w:r>
            </w:hyperlink>
            <w:r w:rsidRPr="0062083D">
              <w:rPr>
                <w:rFonts w:cs="Arial"/>
                <w:sz w:val="20"/>
                <w:szCs w:val="20"/>
              </w:rPr>
              <w:t>) and efforts continue within WCPFC and IOTC to improve data quality and timeliness, which is important for stock assessment and management. It is unclear what impact these issues have on stock assessments and the sustainability of catch allocations, but the Australian arrangements are considered sufficiently robust.</w:t>
            </w:r>
          </w:p>
        </w:tc>
      </w:tr>
      <w:tr w:rsidR="00426E32" w:rsidRPr="0062083D" w14:paraId="45BC5536" w14:textId="77777777" w:rsidTr="009A3888">
        <w:tc>
          <w:tcPr>
            <w:tcW w:w="2500" w:type="pct"/>
            <w:gridSpan w:val="3"/>
            <w:shd w:val="clear" w:color="auto" w:fill="DAEEF3"/>
          </w:tcPr>
          <w:p w14:paraId="03649BDE" w14:textId="67B1D150" w:rsidR="00426E32" w:rsidRPr="0062083D" w:rsidRDefault="00426E32" w:rsidP="00D16DE2">
            <w:pPr>
              <w:spacing w:before="60" w:after="60" w:line="240" w:lineRule="auto"/>
              <w:rPr>
                <w:rFonts w:cs="Arial"/>
                <w:b/>
                <w:bCs/>
                <w:i/>
                <w:iCs/>
                <w:sz w:val="20"/>
                <w:szCs w:val="20"/>
              </w:rPr>
            </w:pPr>
            <w:r w:rsidRPr="0062083D">
              <w:rPr>
                <w:rFonts w:cs="Arial"/>
                <w:b/>
                <w:bCs/>
                <w:i/>
                <w:iCs/>
                <w:sz w:val="20"/>
                <w:szCs w:val="20"/>
              </w:rPr>
              <w:lastRenderedPageBreak/>
              <w:t xml:space="preserve">Assessment </w:t>
            </w:r>
          </w:p>
        </w:tc>
      </w:tr>
      <w:tr w:rsidR="0062083D" w:rsidRPr="0062083D" w14:paraId="611238C0" w14:textId="77777777" w:rsidTr="009A3888">
        <w:tc>
          <w:tcPr>
            <w:tcW w:w="2500" w:type="pct"/>
          </w:tcPr>
          <w:p w14:paraId="651DCFFB" w14:textId="77777777" w:rsidR="0062083D" w:rsidRPr="0062083D" w:rsidRDefault="0062083D" w:rsidP="00D16DE2">
            <w:pPr>
              <w:spacing w:before="60" w:after="60" w:line="240" w:lineRule="auto"/>
              <w:rPr>
                <w:rFonts w:cs="Arial"/>
                <w:sz w:val="20"/>
                <w:szCs w:val="20"/>
              </w:rPr>
            </w:pPr>
            <w:r w:rsidRPr="0062083D">
              <w:rPr>
                <w:rFonts w:cs="Arial"/>
                <w:b/>
                <w:bCs/>
                <w:i/>
                <w:iCs/>
                <w:sz w:val="20"/>
                <w:szCs w:val="20"/>
              </w:rPr>
              <w:t xml:space="preserve">1.1.2 </w:t>
            </w:r>
            <w:r w:rsidRPr="0062083D">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2500" w:type="pct"/>
            <w:gridSpan w:val="2"/>
            <w:shd w:val="clear" w:color="auto" w:fill="92D050"/>
          </w:tcPr>
          <w:p w14:paraId="53BE700A" w14:textId="580C502C" w:rsidR="0062083D" w:rsidRPr="0062083D" w:rsidRDefault="0062083D" w:rsidP="00D16DE2">
            <w:pPr>
              <w:spacing w:before="60" w:after="60" w:line="240" w:lineRule="auto"/>
              <w:rPr>
                <w:rFonts w:cs="Arial"/>
                <w:sz w:val="20"/>
                <w:szCs w:val="20"/>
              </w:rPr>
            </w:pPr>
            <w:r w:rsidRPr="0062083D">
              <w:rPr>
                <w:rFonts w:cs="Arial"/>
                <w:sz w:val="20"/>
                <w:szCs w:val="20"/>
              </w:rPr>
              <w:t>Domestic stock status is considered annually by ABARES and internationally every 2-3 years by IOTC and WCPFC.</w:t>
            </w:r>
          </w:p>
          <w:p w14:paraId="4BDD1768" w14:textId="77777777" w:rsidR="0062083D" w:rsidRPr="0062083D" w:rsidRDefault="0062083D" w:rsidP="00D16DE2">
            <w:pPr>
              <w:spacing w:before="60" w:after="60" w:line="240" w:lineRule="auto"/>
              <w:rPr>
                <w:rFonts w:cs="Arial"/>
                <w:sz w:val="20"/>
                <w:szCs w:val="20"/>
              </w:rPr>
            </w:pPr>
            <w:r w:rsidRPr="0062083D">
              <w:rPr>
                <w:rFonts w:cs="Arial"/>
                <w:sz w:val="20"/>
                <w:szCs w:val="20"/>
              </w:rPr>
              <w:t>International skipjack stocks are not considered to be overfished or subject to overfishing (</w:t>
            </w:r>
            <w:hyperlink r:id="rId56" w:history="1">
              <w:r w:rsidRPr="0062083D">
                <w:rPr>
                  <w:rStyle w:val="Hyperlink"/>
                  <w:rFonts w:cs="Arial"/>
                  <w:sz w:val="20"/>
                  <w:szCs w:val="20"/>
                </w:rPr>
                <w:t>ABARES 2015</w:t>
              </w:r>
            </w:hyperlink>
            <w:r w:rsidRPr="0062083D">
              <w:rPr>
                <w:rFonts w:cs="Arial"/>
                <w:sz w:val="20"/>
                <w:szCs w:val="20"/>
              </w:rPr>
              <w:t xml:space="preserve">, </w:t>
            </w:r>
            <w:hyperlink r:id="rId57" w:history="1">
              <w:r w:rsidRPr="0062083D">
                <w:rPr>
                  <w:rStyle w:val="Hyperlink"/>
                  <w:rFonts w:cs="Arial"/>
                  <w:sz w:val="20"/>
                  <w:szCs w:val="20"/>
                </w:rPr>
                <w:t>IOTC 2016</w:t>
              </w:r>
            </w:hyperlink>
            <w:r w:rsidRPr="0062083D">
              <w:rPr>
                <w:rFonts w:cs="Arial"/>
                <w:sz w:val="20"/>
                <w:szCs w:val="20"/>
              </w:rPr>
              <w:t xml:space="preserve">, </w:t>
            </w:r>
            <w:hyperlink r:id="rId58" w:history="1">
              <w:r w:rsidRPr="0062083D">
                <w:rPr>
                  <w:rStyle w:val="Hyperlink"/>
                  <w:rFonts w:cs="Arial"/>
                  <w:sz w:val="20"/>
                  <w:szCs w:val="20"/>
                </w:rPr>
                <w:t>WCPFC 2015</w:t>
              </w:r>
            </w:hyperlink>
            <w:r w:rsidRPr="0062083D">
              <w:rPr>
                <w:rFonts w:cs="Arial"/>
                <w:sz w:val="20"/>
                <w:szCs w:val="20"/>
              </w:rPr>
              <w:t>).</w:t>
            </w:r>
          </w:p>
          <w:p w14:paraId="7BD7E092" w14:textId="77777777" w:rsidR="0062083D" w:rsidRPr="0062083D" w:rsidRDefault="0062083D" w:rsidP="00D16DE2">
            <w:pPr>
              <w:spacing w:before="60" w:after="60" w:line="240" w:lineRule="auto"/>
              <w:rPr>
                <w:rFonts w:cs="Arial"/>
                <w:sz w:val="20"/>
                <w:szCs w:val="20"/>
              </w:rPr>
            </w:pPr>
            <w:r w:rsidRPr="0062083D">
              <w:rPr>
                <w:rFonts w:cs="Arial"/>
                <w:sz w:val="20"/>
                <w:szCs w:val="20"/>
              </w:rPr>
              <w:t>It is unclear what impact the international data collection issues (item 1.1.1) have on global stock assessments and sustainability of catch allocations. However Australia operates on the edge of the range for the species and Australian catches have been negligible in the global context. This minimises any risk posed by Australia’s fishery.</w:t>
            </w:r>
          </w:p>
          <w:p w14:paraId="23CF418B" w14:textId="77777777" w:rsidR="0062083D" w:rsidRPr="0062083D" w:rsidRDefault="0062083D" w:rsidP="00D16DE2">
            <w:pPr>
              <w:spacing w:before="60" w:after="60" w:line="240" w:lineRule="auto"/>
              <w:rPr>
                <w:rFonts w:cs="Arial"/>
                <w:sz w:val="20"/>
                <w:szCs w:val="20"/>
              </w:rPr>
            </w:pPr>
            <w:r w:rsidRPr="0062083D">
              <w:rPr>
                <w:rFonts w:cs="Arial"/>
                <w:sz w:val="20"/>
                <w:szCs w:val="20"/>
              </w:rPr>
              <w:t>While the fishery remains inactive, stock assessments do not affect the Australian fishery.</w:t>
            </w:r>
          </w:p>
        </w:tc>
      </w:tr>
      <w:tr w:rsidR="0062083D" w:rsidRPr="0062083D" w14:paraId="1DC9AA4B" w14:textId="77777777" w:rsidTr="009A3888">
        <w:tc>
          <w:tcPr>
            <w:tcW w:w="2500" w:type="pct"/>
          </w:tcPr>
          <w:p w14:paraId="131813FD" w14:textId="77777777" w:rsidR="0062083D" w:rsidRPr="0062083D" w:rsidRDefault="0062083D" w:rsidP="00D16DE2">
            <w:pPr>
              <w:spacing w:before="60" w:after="60" w:line="240" w:lineRule="auto"/>
              <w:rPr>
                <w:rFonts w:cs="Arial"/>
                <w:b/>
                <w:bCs/>
                <w:i/>
                <w:iCs/>
                <w:sz w:val="20"/>
                <w:szCs w:val="20"/>
              </w:rPr>
            </w:pPr>
            <w:r w:rsidRPr="0062083D">
              <w:rPr>
                <w:rFonts w:cs="Arial"/>
                <w:b/>
                <w:bCs/>
                <w:i/>
                <w:iCs/>
                <w:sz w:val="20"/>
                <w:szCs w:val="20"/>
              </w:rPr>
              <w:t xml:space="preserve">1.1.3 </w:t>
            </w:r>
            <w:r w:rsidRPr="0062083D">
              <w:rPr>
                <w:rFonts w:cs="Arial"/>
                <w:sz w:val="20"/>
                <w:szCs w:val="20"/>
              </w:rPr>
              <w:t>The distribution and spatial structure of the stock(s) has been established and factored into management responses</w:t>
            </w:r>
            <w:r w:rsidRPr="0062083D">
              <w:rPr>
                <w:rFonts w:cs="Arial"/>
                <w:i/>
                <w:iCs/>
                <w:sz w:val="20"/>
                <w:szCs w:val="20"/>
              </w:rPr>
              <w:t>.</w:t>
            </w:r>
          </w:p>
        </w:tc>
        <w:tc>
          <w:tcPr>
            <w:tcW w:w="2500" w:type="pct"/>
            <w:gridSpan w:val="2"/>
            <w:shd w:val="clear" w:color="auto" w:fill="92D050"/>
          </w:tcPr>
          <w:p w14:paraId="12020AE7" w14:textId="7E67C3A5" w:rsidR="0062083D" w:rsidRPr="0062083D" w:rsidRDefault="0062083D" w:rsidP="00D16DE2">
            <w:pPr>
              <w:spacing w:before="60" w:after="60" w:line="240" w:lineRule="auto"/>
              <w:rPr>
                <w:rFonts w:cs="Arial"/>
                <w:sz w:val="20"/>
                <w:szCs w:val="20"/>
              </w:rPr>
            </w:pPr>
            <w:r w:rsidRPr="0062083D">
              <w:rPr>
                <w:rFonts w:cs="Arial"/>
                <w:sz w:val="20"/>
                <w:szCs w:val="20"/>
              </w:rPr>
              <w:t>Two stocks have been identified and are managed in accordance with arrangements set by the IOTC and WCPFC. However, capacity to manage localised depletion in the domestic fishery is limited by the harvest strategy.</w:t>
            </w:r>
          </w:p>
          <w:p w14:paraId="7368FD48" w14:textId="77777777" w:rsidR="0062083D" w:rsidRPr="0062083D" w:rsidRDefault="0062083D" w:rsidP="00D16DE2">
            <w:pPr>
              <w:spacing w:before="60" w:after="60" w:line="240" w:lineRule="auto"/>
              <w:rPr>
                <w:rFonts w:cs="Arial"/>
                <w:sz w:val="20"/>
                <w:szCs w:val="20"/>
              </w:rPr>
            </w:pPr>
            <w:r w:rsidRPr="0062083D">
              <w:rPr>
                <w:rFonts w:cs="Arial"/>
                <w:sz w:val="20"/>
                <w:szCs w:val="20"/>
              </w:rPr>
              <w:t>While the fishery is inactive this does not affect its management.</w:t>
            </w:r>
          </w:p>
        </w:tc>
      </w:tr>
      <w:tr w:rsidR="0062083D" w:rsidRPr="0062083D" w14:paraId="6F960C90" w14:textId="77777777" w:rsidTr="009A3888">
        <w:tc>
          <w:tcPr>
            <w:tcW w:w="2500" w:type="pct"/>
          </w:tcPr>
          <w:p w14:paraId="5C96D1E4" w14:textId="77777777" w:rsidR="0062083D" w:rsidRPr="0062083D" w:rsidRDefault="0062083D" w:rsidP="00D16DE2">
            <w:pPr>
              <w:spacing w:before="60" w:after="60" w:line="240" w:lineRule="auto"/>
              <w:rPr>
                <w:rFonts w:cs="Arial"/>
                <w:b/>
                <w:bCs/>
                <w:i/>
                <w:iCs/>
                <w:sz w:val="20"/>
                <w:szCs w:val="20"/>
              </w:rPr>
            </w:pPr>
            <w:r w:rsidRPr="0062083D">
              <w:rPr>
                <w:rFonts w:cs="Arial"/>
                <w:b/>
                <w:bCs/>
                <w:i/>
                <w:iCs/>
                <w:sz w:val="20"/>
                <w:szCs w:val="20"/>
              </w:rPr>
              <w:t xml:space="preserve">1.1.4 </w:t>
            </w:r>
            <w:r w:rsidRPr="0062083D">
              <w:rPr>
                <w:rFonts w:cs="Arial"/>
                <w:sz w:val="20"/>
                <w:szCs w:val="20"/>
              </w:rPr>
              <w:t>There are reliable estimates of all removals, including commercial (landings and discards), recreational and indigenous, from the fished stock. These estimates have been factored into stock assessments and target species catch levels.</w:t>
            </w:r>
          </w:p>
        </w:tc>
        <w:tc>
          <w:tcPr>
            <w:tcW w:w="2500" w:type="pct"/>
            <w:gridSpan w:val="2"/>
            <w:shd w:val="clear" w:color="auto" w:fill="92D050"/>
          </w:tcPr>
          <w:p w14:paraId="2A42A03D" w14:textId="1C49AF04" w:rsidR="0062083D" w:rsidRPr="0062083D" w:rsidRDefault="0062083D" w:rsidP="00D16DE2">
            <w:pPr>
              <w:spacing w:before="60" w:after="60" w:line="240" w:lineRule="auto"/>
              <w:rPr>
                <w:rFonts w:cs="Arial"/>
                <w:sz w:val="20"/>
                <w:szCs w:val="20"/>
              </w:rPr>
            </w:pPr>
            <w:r w:rsidRPr="0062083D">
              <w:rPr>
                <w:rFonts w:cs="Arial"/>
                <w:sz w:val="20"/>
                <w:szCs w:val="20"/>
              </w:rPr>
              <w:t>International catches are considered in global stock assessments and in the domestic considerations undertaken by ABARES.</w:t>
            </w:r>
          </w:p>
          <w:p w14:paraId="5909FF5A" w14:textId="77777777" w:rsidR="0062083D" w:rsidRPr="0062083D" w:rsidRDefault="0062083D" w:rsidP="00D16DE2">
            <w:pPr>
              <w:spacing w:before="60" w:after="60" w:line="240" w:lineRule="auto"/>
              <w:rPr>
                <w:rFonts w:cs="Arial"/>
                <w:sz w:val="20"/>
                <w:szCs w:val="20"/>
              </w:rPr>
            </w:pPr>
            <w:r w:rsidRPr="0062083D">
              <w:rPr>
                <w:rFonts w:cs="Arial"/>
                <w:sz w:val="20"/>
                <w:szCs w:val="20"/>
              </w:rPr>
              <w:t>It is unclear what impact the international data collection issues (item 1.1.1) have on global stock assessments and sustainability of catch allocations. However the reproductive biology and range of the species, and Australia’s minor contribution to global catches mean the risk posed by Australia’s fishery is low.</w:t>
            </w:r>
          </w:p>
        </w:tc>
      </w:tr>
      <w:tr w:rsidR="0062083D" w:rsidRPr="0062083D" w14:paraId="429F8B9E" w14:textId="77777777" w:rsidTr="009A3888">
        <w:tc>
          <w:tcPr>
            <w:tcW w:w="2500" w:type="pct"/>
          </w:tcPr>
          <w:p w14:paraId="6A6CED97" w14:textId="77777777" w:rsidR="0062083D" w:rsidRPr="0062083D" w:rsidRDefault="0062083D" w:rsidP="00D16DE2">
            <w:pPr>
              <w:spacing w:before="60" w:after="60" w:line="240" w:lineRule="auto"/>
              <w:rPr>
                <w:rFonts w:cs="Arial"/>
                <w:b/>
                <w:bCs/>
                <w:i/>
                <w:iCs/>
                <w:sz w:val="20"/>
                <w:szCs w:val="20"/>
              </w:rPr>
            </w:pPr>
            <w:r w:rsidRPr="0062083D">
              <w:rPr>
                <w:rFonts w:cs="Arial"/>
                <w:b/>
                <w:bCs/>
                <w:i/>
                <w:iCs/>
                <w:sz w:val="20"/>
                <w:szCs w:val="20"/>
              </w:rPr>
              <w:t xml:space="preserve">1.1.5 </w:t>
            </w:r>
            <w:r w:rsidRPr="0062083D">
              <w:rPr>
                <w:rFonts w:cs="Arial"/>
                <w:sz w:val="20"/>
                <w:szCs w:val="20"/>
              </w:rPr>
              <w:t>There is a sound estimate of the potential productivity of the fished stock/s and the proportion that could be harvested.</w:t>
            </w:r>
          </w:p>
        </w:tc>
        <w:tc>
          <w:tcPr>
            <w:tcW w:w="2500" w:type="pct"/>
            <w:gridSpan w:val="2"/>
            <w:shd w:val="clear" w:color="auto" w:fill="92D050"/>
          </w:tcPr>
          <w:p w14:paraId="080EB6D1" w14:textId="5D4CBE9F" w:rsidR="0062083D" w:rsidRPr="0062083D" w:rsidRDefault="0062083D" w:rsidP="00D16DE2">
            <w:pPr>
              <w:spacing w:before="60" w:after="60" w:line="240" w:lineRule="auto"/>
              <w:rPr>
                <w:rFonts w:cs="Arial"/>
                <w:sz w:val="20"/>
                <w:szCs w:val="20"/>
              </w:rPr>
            </w:pPr>
            <w:r w:rsidRPr="0062083D">
              <w:rPr>
                <w:rFonts w:cs="Arial"/>
                <w:sz w:val="20"/>
                <w:szCs w:val="20"/>
              </w:rPr>
              <w:t>Sound productivity estimates are factored into stock assessments and management arrangements.</w:t>
            </w:r>
          </w:p>
          <w:p w14:paraId="378831CA" w14:textId="77777777" w:rsidR="0062083D" w:rsidRPr="0062083D" w:rsidRDefault="0062083D" w:rsidP="00D16DE2">
            <w:pPr>
              <w:spacing w:before="60" w:after="60" w:line="240" w:lineRule="auto"/>
              <w:rPr>
                <w:rFonts w:cs="Arial"/>
                <w:sz w:val="20"/>
                <w:szCs w:val="20"/>
              </w:rPr>
            </w:pPr>
            <w:r w:rsidRPr="0062083D">
              <w:rPr>
                <w:rFonts w:cs="Arial"/>
                <w:sz w:val="20"/>
                <w:szCs w:val="20"/>
              </w:rPr>
              <w:t xml:space="preserve">The species is relatively resilient, growing rapidly, being highly fecund and spawning opportunistically throughout the year. </w:t>
            </w:r>
          </w:p>
          <w:p w14:paraId="7EEADF41" w14:textId="77777777" w:rsidR="0062083D" w:rsidRPr="0062083D" w:rsidRDefault="0062083D" w:rsidP="00D16DE2">
            <w:pPr>
              <w:spacing w:before="60" w:after="60" w:line="240" w:lineRule="auto"/>
              <w:rPr>
                <w:rFonts w:cs="Arial"/>
                <w:sz w:val="20"/>
                <w:szCs w:val="20"/>
              </w:rPr>
            </w:pPr>
            <w:r w:rsidRPr="0062083D">
              <w:rPr>
                <w:rFonts w:cs="Arial"/>
                <w:sz w:val="20"/>
                <w:szCs w:val="20"/>
              </w:rPr>
              <w:t>In 2014, the western and central Pacific stock was considered to be moderately exploited and fishing mortality was considered sustainable (</w:t>
            </w:r>
            <w:hyperlink r:id="rId59" w:history="1">
              <w:r w:rsidRPr="0062083D">
                <w:rPr>
                  <w:rStyle w:val="Hyperlink"/>
                  <w:rFonts w:cs="Arial"/>
                  <w:sz w:val="20"/>
                  <w:szCs w:val="20"/>
                </w:rPr>
                <w:t>SC10, June 2014</w:t>
              </w:r>
            </w:hyperlink>
            <w:r w:rsidRPr="0062083D">
              <w:rPr>
                <w:rFonts w:cs="Arial"/>
                <w:sz w:val="20"/>
                <w:szCs w:val="20"/>
              </w:rPr>
              <w:t xml:space="preserve">). However, in 2015 there were concerns that high catch levels in the equatorial region could result in range contractions and have a significant impacts on stock size, especially in the western equatorial region. This was distinguished from any influence that may have occurred due to oceanographic conditions </w:t>
            </w:r>
            <w:r w:rsidRPr="0062083D">
              <w:rPr>
                <w:rFonts w:cs="Arial"/>
                <w:sz w:val="20"/>
                <w:szCs w:val="20"/>
              </w:rPr>
              <w:lastRenderedPageBreak/>
              <w:t>associated with El Niño and La Niña events (</w:t>
            </w:r>
            <w:hyperlink r:id="rId60" w:history="1">
              <w:r w:rsidRPr="0062083D">
                <w:rPr>
                  <w:rStyle w:val="Hyperlink"/>
                  <w:rFonts w:cs="Arial"/>
                  <w:sz w:val="20"/>
                  <w:szCs w:val="20"/>
                </w:rPr>
                <w:t>SC11, August 2015</w:t>
              </w:r>
            </w:hyperlink>
            <w:r w:rsidRPr="0062083D">
              <w:rPr>
                <w:rFonts w:cs="Arial"/>
                <w:sz w:val="20"/>
                <w:szCs w:val="20"/>
              </w:rPr>
              <w:t>). The committee recommended that action be taken to avoid further increases in fishing mortality and to keep the skipjack stock around current levels, with tighter purse-seine control rules and adoption of target reference points and harvest control rules (</w:t>
            </w:r>
            <w:hyperlink r:id="rId61" w:history="1">
              <w:r w:rsidRPr="0062083D">
                <w:rPr>
                  <w:rStyle w:val="Hyperlink"/>
                  <w:rFonts w:cs="Arial"/>
                  <w:sz w:val="20"/>
                  <w:szCs w:val="20"/>
                </w:rPr>
                <w:t>WCPFC 2015</w:t>
              </w:r>
            </w:hyperlink>
            <w:r w:rsidRPr="0062083D">
              <w:rPr>
                <w:rFonts w:cs="Arial"/>
                <w:sz w:val="20"/>
                <w:szCs w:val="20"/>
              </w:rPr>
              <w:t>).</w:t>
            </w:r>
          </w:p>
          <w:p w14:paraId="1383CEC1" w14:textId="70D084EB" w:rsidR="0062083D" w:rsidRPr="0062083D" w:rsidRDefault="0062083D" w:rsidP="00D16DE2">
            <w:pPr>
              <w:spacing w:before="60" w:after="60" w:line="240" w:lineRule="auto"/>
              <w:rPr>
                <w:rFonts w:cs="Arial"/>
                <w:sz w:val="20"/>
                <w:szCs w:val="20"/>
              </w:rPr>
            </w:pPr>
            <w:r w:rsidRPr="0062083D">
              <w:rPr>
                <w:rFonts w:cs="Arial"/>
                <w:sz w:val="20"/>
                <w:szCs w:val="20"/>
              </w:rPr>
              <w:t>The IOTC also expressed concern in 2014 that catch per set on Fish Aggregating Devices (FADs) had declined, despite an increasing number of FADs being deployed by the purse seine fleet. It also noted a large decrease in free school skipjack tuna. The cause of these declines is not fully understood and there is uncertainty in the assessment. Notwithstanding, the IOTC concluded that there is a low risk of exceeding MSY-based reference points if catches are maintained at current levels (</w:t>
            </w:r>
            <w:hyperlink r:id="rId62" w:history="1">
              <w:r w:rsidRPr="0062083D">
                <w:rPr>
                  <w:rStyle w:val="Hyperlink"/>
                  <w:rFonts w:cs="Arial"/>
                  <w:sz w:val="20"/>
                  <w:szCs w:val="20"/>
                </w:rPr>
                <w:t>IOTC 2016</w:t>
              </w:r>
            </w:hyperlink>
            <w:r w:rsidRPr="0062083D">
              <w:rPr>
                <w:rFonts w:cs="Arial"/>
                <w:sz w:val="20"/>
                <w:szCs w:val="20"/>
              </w:rPr>
              <w:t>).</w:t>
            </w:r>
          </w:p>
        </w:tc>
      </w:tr>
      <w:tr w:rsidR="00426E32" w:rsidRPr="0062083D" w14:paraId="325EF74A" w14:textId="77777777" w:rsidTr="009A3888">
        <w:tc>
          <w:tcPr>
            <w:tcW w:w="2500" w:type="pct"/>
            <w:gridSpan w:val="3"/>
            <w:shd w:val="clear" w:color="auto" w:fill="DAEEF3"/>
          </w:tcPr>
          <w:p w14:paraId="7DBC0D81" w14:textId="3472D838" w:rsidR="00426E32" w:rsidRPr="0062083D" w:rsidRDefault="00426E32" w:rsidP="00D16DE2">
            <w:pPr>
              <w:spacing w:before="60" w:after="60" w:line="240" w:lineRule="auto"/>
              <w:rPr>
                <w:rFonts w:cs="Arial"/>
                <w:b/>
                <w:bCs/>
                <w:i/>
                <w:iCs/>
                <w:sz w:val="20"/>
                <w:szCs w:val="20"/>
              </w:rPr>
            </w:pPr>
            <w:r w:rsidRPr="0062083D">
              <w:rPr>
                <w:rFonts w:cs="Arial"/>
                <w:b/>
                <w:bCs/>
                <w:i/>
                <w:iCs/>
                <w:sz w:val="20"/>
                <w:szCs w:val="20"/>
              </w:rPr>
              <w:lastRenderedPageBreak/>
              <w:t xml:space="preserve">Management responses </w:t>
            </w:r>
          </w:p>
        </w:tc>
      </w:tr>
      <w:tr w:rsidR="0062083D" w:rsidRPr="0062083D" w14:paraId="21E76DFF" w14:textId="77777777" w:rsidTr="009A3888">
        <w:tc>
          <w:tcPr>
            <w:tcW w:w="2500" w:type="pct"/>
          </w:tcPr>
          <w:p w14:paraId="00419B3E" w14:textId="77777777" w:rsidR="0062083D" w:rsidRPr="0062083D" w:rsidRDefault="0062083D" w:rsidP="00D16DE2">
            <w:pPr>
              <w:autoSpaceDE w:val="0"/>
              <w:autoSpaceDN w:val="0"/>
              <w:adjustRightInd w:val="0"/>
              <w:spacing w:before="60" w:after="60" w:line="240" w:lineRule="auto"/>
              <w:rPr>
                <w:rFonts w:cs="Arial"/>
                <w:sz w:val="20"/>
                <w:szCs w:val="20"/>
              </w:rPr>
            </w:pPr>
            <w:r w:rsidRPr="0062083D">
              <w:rPr>
                <w:rFonts w:cs="Arial"/>
                <w:b/>
                <w:bCs/>
                <w:i/>
                <w:iCs/>
                <w:sz w:val="20"/>
                <w:szCs w:val="20"/>
              </w:rPr>
              <w:t xml:space="preserve">1.1.6 </w:t>
            </w:r>
            <w:r w:rsidRPr="0062083D">
              <w:rPr>
                <w:rFonts w:cs="Arial"/>
                <w:sz w:val="20"/>
                <w:szCs w:val="20"/>
              </w:rPr>
              <w:t>There are reference points (target and/or limit), that trigger management actions including a biological bottom line and/or a catch or effort upper limit beyond which the stock should not be taken.</w:t>
            </w:r>
          </w:p>
        </w:tc>
        <w:tc>
          <w:tcPr>
            <w:tcW w:w="2500" w:type="pct"/>
            <w:gridSpan w:val="2"/>
            <w:shd w:val="clear" w:color="auto" w:fill="FFC000"/>
          </w:tcPr>
          <w:p w14:paraId="3D9AA1AB" w14:textId="099321BF" w:rsidR="0062083D" w:rsidRPr="0062083D" w:rsidRDefault="0062083D" w:rsidP="00D16DE2">
            <w:pPr>
              <w:spacing w:before="60" w:after="60" w:line="240" w:lineRule="auto"/>
              <w:rPr>
                <w:rFonts w:cs="Arial"/>
                <w:sz w:val="20"/>
                <w:szCs w:val="20"/>
              </w:rPr>
            </w:pPr>
            <w:r w:rsidRPr="0062083D">
              <w:rPr>
                <w:rFonts w:cs="Arial"/>
                <w:sz w:val="20"/>
                <w:szCs w:val="20"/>
              </w:rPr>
              <w:t>Reference points are used for international management and establishment of catch limits. However these are not adequately reflected in domestic arrangements if fishing activity increases to its potential.</w:t>
            </w:r>
          </w:p>
          <w:p w14:paraId="703900A0" w14:textId="77777777" w:rsidR="0062083D" w:rsidRPr="0062083D" w:rsidRDefault="0062083D" w:rsidP="00D16DE2">
            <w:pPr>
              <w:spacing w:before="60" w:after="60" w:line="240" w:lineRule="auto"/>
              <w:rPr>
                <w:rFonts w:cs="Arial"/>
                <w:sz w:val="20"/>
                <w:szCs w:val="20"/>
              </w:rPr>
            </w:pPr>
            <w:r w:rsidRPr="0062083D">
              <w:rPr>
                <w:rFonts w:cs="Arial"/>
                <w:sz w:val="20"/>
                <w:szCs w:val="20"/>
              </w:rPr>
              <w:t xml:space="preserve">Although the Commonwealth Harvest Strategy Policy does not require harvest strategies for fisheries managed under international arrangements, Australia has implemented a harvest strategy for Australia’s skipjack tuna fishery and is promoting development of harvest strategies for management of WCPFC fisheries. These are expected to be added to the WCPFC </w:t>
            </w:r>
            <w:proofErr w:type="spellStart"/>
            <w:r w:rsidRPr="0062083D">
              <w:rPr>
                <w:rFonts w:cs="Arial"/>
                <w:sz w:val="20"/>
                <w:szCs w:val="20"/>
              </w:rPr>
              <w:t>workplan</w:t>
            </w:r>
            <w:proofErr w:type="spellEnd"/>
            <w:r w:rsidRPr="0062083D">
              <w:rPr>
                <w:rFonts w:cs="Arial"/>
                <w:sz w:val="20"/>
                <w:szCs w:val="20"/>
              </w:rPr>
              <w:t xml:space="preserve"> but timing is unclear (</w:t>
            </w:r>
            <w:hyperlink r:id="rId63" w:history="1">
              <w:r w:rsidRPr="0062083D">
                <w:rPr>
                  <w:rStyle w:val="Hyperlink"/>
                  <w:rFonts w:cs="Arial"/>
                  <w:sz w:val="20"/>
                  <w:szCs w:val="20"/>
                </w:rPr>
                <w:t>WCPFC 2015</w:t>
              </w:r>
            </w:hyperlink>
            <w:r w:rsidRPr="0062083D">
              <w:rPr>
                <w:rFonts w:cs="Arial"/>
                <w:sz w:val="20"/>
                <w:szCs w:val="20"/>
              </w:rPr>
              <w:t>). The strategies serve to inform Australia’s position in international fora and provide a framework for management of the stock.</w:t>
            </w:r>
          </w:p>
          <w:p w14:paraId="55D9DC5B" w14:textId="77777777" w:rsidR="0062083D" w:rsidRPr="0062083D" w:rsidRDefault="0062083D" w:rsidP="00D16DE2">
            <w:pPr>
              <w:spacing w:before="60" w:after="60" w:line="240" w:lineRule="auto"/>
              <w:rPr>
                <w:rFonts w:cs="Arial"/>
                <w:sz w:val="20"/>
                <w:szCs w:val="20"/>
              </w:rPr>
            </w:pPr>
            <w:r w:rsidRPr="0062083D">
              <w:rPr>
                <w:rFonts w:cs="Arial"/>
                <w:sz w:val="20"/>
                <w:szCs w:val="20"/>
              </w:rPr>
              <w:t>Australia’s skipjack tuna fishery harvest strategy includes reference points and catch-level triggers that invoke control rules. However, the control rules appear slow to respond and may not adequately manage the risk of localised depletion (a stated objective of the harvest strategy). The proposed trigger points are also based on historic high catches; which appear to provide for an ever-increasing benchmark, diminishing effectiveness over time.</w:t>
            </w:r>
          </w:p>
        </w:tc>
      </w:tr>
      <w:tr w:rsidR="0062083D" w:rsidRPr="0062083D" w14:paraId="79A83135" w14:textId="77777777" w:rsidTr="009A3888">
        <w:tc>
          <w:tcPr>
            <w:tcW w:w="2500" w:type="pct"/>
          </w:tcPr>
          <w:p w14:paraId="4673886F" w14:textId="77777777" w:rsidR="0062083D" w:rsidRPr="0062083D" w:rsidRDefault="0062083D" w:rsidP="00D16DE2">
            <w:pPr>
              <w:spacing w:before="60" w:after="60" w:line="240" w:lineRule="auto"/>
              <w:rPr>
                <w:rFonts w:cs="Arial"/>
                <w:sz w:val="20"/>
                <w:szCs w:val="20"/>
              </w:rPr>
            </w:pPr>
            <w:r w:rsidRPr="0062083D">
              <w:rPr>
                <w:rFonts w:cs="Arial"/>
                <w:b/>
                <w:bCs/>
                <w:i/>
                <w:iCs/>
                <w:sz w:val="20"/>
                <w:szCs w:val="20"/>
              </w:rPr>
              <w:t xml:space="preserve">1.1.7 </w:t>
            </w:r>
            <w:r w:rsidRPr="0062083D">
              <w:rPr>
                <w:rFonts w:cs="Arial"/>
                <w:sz w:val="20"/>
                <w:szCs w:val="20"/>
              </w:rPr>
              <w:t>There are management strategies in place capable of controlling the level of take.</w:t>
            </w:r>
          </w:p>
        </w:tc>
        <w:tc>
          <w:tcPr>
            <w:tcW w:w="2500" w:type="pct"/>
            <w:gridSpan w:val="2"/>
            <w:shd w:val="clear" w:color="auto" w:fill="FFC000"/>
          </w:tcPr>
          <w:p w14:paraId="1D79DA24" w14:textId="6CDDF37D" w:rsidR="0062083D" w:rsidRPr="0062083D" w:rsidRDefault="0062083D" w:rsidP="00D16DE2">
            <w:pPr>
              <w:spacing w:before="60" w:after="60" w:line="240" w:lineRule="auto"/>
              <w:rPr>
                <w:rFonts w:cs="Arial"/>
                <w:sz w:val="20"/>
                <w:szCs w:val="20"/>
              </w:rPr>
            </w:pPr>
            <w:r w:rsidRPr="0062083D">
              <w:rPr>
                <w:rFonts w:cs="Arial"/>
                <w:sz w:val="20"/>
                <w:szCs w:val="20"/>
              </w:rPr>
              <w:t>Existing management strategies are appropriate for the current lack of fishing activity, but may not be adequate if the fishery resumes and expands to its potential.</w:t>
            </w:r>
          </w:p>
          <w:p w14:paraId="1F1EBF93" w14:textId="24CC1E42" w:rsidR="0062083D" w:rsidRPr="0062083D" w:rsidRDefault="0062083D" w:rsidP="00D16DE2">
            <w:pPr>
              <w:spacing w:before="60" w:after="60" w:line="240" w:lineRule="auto"/>
              <w:rPr>
                <w:rFonts w:cs="Arial"/>
                <w:sz w:val="20"/>
                <w:szCs w:val="20"/>
              </w:rPr>
            </w:pPr>
            <w:r w:rsidRPr="0062083D">
              <w:rPr>
                <w:rFonts w:cs="Arial"/>
                <w:sz w:val="20"/>
                <w:szCs w:val="20"/>
              </w:rPr>
              <w:t>There is limited entry but total allowable catch limits cannot be determined under the Fisheries Management Act 1991 without a formal management plan. AFMA can however rapidly control fishing by issuing closure directions and/or temporary orders. These short-term arrangements allow management arrangements to be updated, but may be impractical given their potential economic impacts on the developing fishery and its markets.</w:t>
            </w:r>
          </w:p>
        </w:tc>
      </w:tr>
      <w:tr w:rsidR="0062083D" w:rsidRPr="0062083D" w14:paraId="54E1AD32" w14:textId="77777777" w:rsidTr="009A3888">
        <w:tc>
          <w:tcPr>
            <w:tcW w:w="2500" w:type="pct"/>
          </w:tcPr>
          <w:p w14:paraId="4474B10B" w14:textId="77777777" w:rsidR="0062083D" w:rsidRPr="0062083D" w:rsidRDefault="0062083D" w:rsidP="00D16DE2">
            <w:pPr>
              <w:autoSpaceDE w:val="0"/>
              <w:autoSpaceDN w:val="0"/>
              <w:adjustRightInd w:val="0"/>
              <w:spacing w:before="60" w:after="60" w:line="240" w:lineRule="auto"/>
              <w:rPr>
                <w:rFonts w:cs="Arial"/>
                <w:b/>
                <w:i/>
                <w:sz w:val="20"/>
                <w:szCs w:val="20"/>
              </w:rPr>
            </w:pPr>
            <w:r w:rsidRPr="0062083D">
              <w:rPr>
                <w:rFonts w:cs="Arial"/>
                <w:b/>
                <w:bCs/>
                <w:i/>
                <w:iCs/>
                <w:sz w:val="20"/>
                <w:szCs w:val="20"/>
              </w:rPr>
              <w:t xml:space="preserve">1.1.8 </w:t>
            </w:r>
            <w:r w:rsidRPr="0062083D">
              <w:rPr>
                <w:rFonts w:cs="Arial"/>
                <w:sz w:val="20"/>
                <w:szCs w:val="20"/>
              </w:rPr>
              <w:t>Fishing is conducted in a manner that does not threaten stocks of byproduct species.</w:t>
            </w:r>
          </w:p>
        </w:tc>
        <w:tc>
          <w:tcPr>
            <w:tcW w:w="2500" w:type="pct"/>
            <w:gridSpan w:val="2"/>
            <w:shd w:val="clear" w:color="auto" w:fill="92D050"/>
          </w:tcPr>
          <w:p w14:paraId="5AEE482A" w14:textId="5B70A816" w:rsidR="0062083D" w:rsidRPr="0062083D" w:rsidRDefault="0062083D" w:rsidP="00D16DE2">
            <w:pPr>
              <w:spacing w:before="60" w:after="60" w:line="240" w:lineRule="auto"/>
              <w:rPr>
                <w:rFonts w:cs="Arial"/>
                <w:sz w:val="20"/>
                <w:szCs w:val="20"/>
              </w:rPr>
            </w:pPr>
            <w:r w:rsidRPr="0062083D">
              <w:rPr>
                <w:rFonts w:cs="Arial"/>
                <w:sz w:val="20"/>
                <w:szCs w:val="20"/>
              </w:rPr>
              <w:t>The Australian fishery is highly selective and results in very little catch of non-target species.</w:t>
            </w:r>
          </w:p>
          <w:p w14:paraId="02536B12" w14:textId="438DA22B" w:rsidR="0062083D" w:rsidRPr="0062083D" w:rsidRDefault="0062083D" w:rsidP="00D16DE2">
            <w:pPr>
              <w:spacing w:before="60" w:after="60" w:line="240" w:lineRule="auto"/>
              <w:rPr>
                <w:rFonts w:cs="Arial"/>
                <w:sz w:val="20"/>
                <w:szCs w:val="20"/>
              </w:rPr>
            </w:pPr>
            <w:r w:rsidRPr="0062083D">
              <w:rPr>
                <w:rFonts w:cs="Arial"/>
                <w:sz w:val="20"/>
                <w:szCs w:val="20"/>
              </w:rPr>
              <w:lastRenderedPageBreak/>
              <w:t>The use of FADs which can attract non-target species is prohibited in the Australian fishery. Fishers target free-schooling fish and use real-time intelligence on the target species, such as size of schools and size of individual fish being pursed to minimise any non-target catch and discarding. Species other than skipjack tuna have historically made up much less than two per cent of the total catch (</w:t>
            </w:r>
            <w:hyperlink r:id="rId64" w:history="1">
              <w:r w:rsidRPr="0062083D">
                <w:rPr>
                  <w:rStyle w:val="Hyperlink"/>
                  <w:rFonts w:cs="Arial"/>
                  <w:sz w:val="20"/>
                  <w:szCs w:val="20"/>
                </w:rPr>
                <w:t>AFMA 2010</w:t>
              </w:r>
            </w:hyperlink>
            <w:r w:rsidRPr="0062083D">
              <w:rPr>
                <w:rFonts w:cs="Arial"/>
                <w:sz w:val="20"/>
                <w:szCs w:val="20"/>
              </w:rPr>
              <w:t>).</w:t>
            </w:r>
          </w:p>
          <w:p w14:paraId="553F5606" w14:textId="77777777" w:rsidR="0062083D" w:rsidRPr="0062083D" w:rsidRDefault="0062083D" w:rsidP="00D16DE2">
            <w:pPr>
              <w:spacing w:before="60" w:after="60" w:line="240" w:lineRule="auto"/>
              <w:rPr>
                <w:rFonts w:cs="Arial"/>
                <w:sz w:val="20"/>
                <w:szCs w:val="20"/>
              </w:rPr>
            </w:pPr>
            <w:r w:rsidRPr="0062083D">
              <w:rPr>
                <w:rFonts w:cs="Arial"/>
                <w:sz w:val="20"/>
                <w:szCs w:val="20"/>
              </w:rPr>
              <w:t xml:space="preserve">Trip and season limits are applied through permit conditions and fishers are also required to operate in accordance with the </w:t>
            </w:r>
            <w:hyperlink r:id="rId65" w:history="1">
              <w:r w:rsidRPr="0062083D">
                <w:rPr>
                  <w:rStyle w:val="Hyperlink"/>
                  <w:rFonts w:cs="Arial"/>
                  <w:sz w:val="20"/>
                  <w:szCs w:val="20"/>
                </w:rPr>
                <w:t>Eastern Tuna and Billfish Fishery Management Plan 2010</w:t>
              </w:r>
            </w:hyperlink>
            <w:r w:rsidRPr="0062083D">
              <w:rPr>
                <w:rFonts w:cs="Arial"/>
                <w:sz w:val="20"/>
                <w:szCs w:val="20"/>
              </w:rPr>
              <w:t xml:space="preserve">, and </w:t>
            </w:r>
            <w:hyperlink r:id="rId66" w:history="1">
              <w:r w:rsidRPr="0062083D">
                <w:rPr>
                  <w:rStyle w:val="Hyperlink"/>
                  <w:rFonts w:cs="Arial"/>
                  <w:sz w:val="20"/>
                  <w:szCs w:val="20"/>
                </w:rPr>
                <w:t>Western Tuna and Billfish Fishery Management Plan 2005</w:t>
              </w:r>
            </w:hyperlink>
            <w:r w:rsidRPr="0062083D">
              <w:rPr>
                <w:rFonts w:cs="Arial"/>
                <w:sz w:val="20"/>
                <w:szCs w:val="20"/>
              </w:rPr>
              <w:t xml:space="preserve"> for some non-target species.</w:t>
            </w:r>
          </w:p>
          <w:p w14:paraId="79D3FEC4" w14:textId="77777777" w:rsidR="0062083D" w:rsidRPr="0062083D" w:rsidRDefault="0062083D" w:rsidP="00D16DE2">
            <w:pPr>
              <w:spacing w:before="60" w:after="60" w:line="240" w:lineRule="auto"/>
              <w:rPr>
                <w:rFonts w:cs="Arial"/>
                <w:sz w:val="20"/>
                <w:szCs w:val="20"/>
              </w:rPr>
            </w:pPr>
            <w:r w:rsidRPr="0062083D">
              <w:rPr>
                <w:rFonts w:cs="Arial"/>
                <w:sz w:val="20"/>
                <w:szCs w:val="20"/>
              </w:rPr>
              <w:t xml:space="preserve">There has been no fishing effort in Australian waters for several years so risk to byproduct species was not considered high in the level 3 ERA. </w:t>
            </w:r>
            <w:bookmarkStart w:id="9" w:name="OLE_LINK3"/>
            <w:bookmarkStart w:id="10" w:name="OLE_LINK4"/>
            <w:r w:rsidRPr="0062083D">
              <w:rPr>
                <w:rFonts w:cs="Arial"/>
                <w:sz w:val="20"/>
                <w:szCs w:val="20"/>
              </w:rPr>
              <w:t>These risk assessments may need to be reviewed if fishing recommences, but outcomes are not expected to change significantly</w:t>
            </w:r>
            <w:bookmarkEnd w:id="9"/>
            <w:bookmarkEnd w:id="10"/>
            <w:r w:rsidRPr="0062083D">
              <w:rPr>
                <w:rFonts w:cs="Arial"/>
                <w:sz w:val="20"/>
                <w:szCs w:val="20"/>
              </w:rPr>
              <w:t>.</w:t>
            </w:r>
          </w:p>
        </w:tc>
      </w:tr>
      <w:tr w:rsidR="00B149BA" w:rsidRPr="0062083D" w14:paraId="4A829D70" w14:textId="77777777" w:rsidTr="009A3888">
        <w:tc>
          <w:tcPr>
            <w:tcW w:w="2500" w:type="pct"/>
            <w:gridSpan w:val="3"/>
            <w:shd w:val="clear" w:color="auto" w:fill="DAEEF3"/>
          </w:tcPr>
          <w:p w14:paraId="1CA6EA98" w14:textId="6D4D34AA" w:rsidR="00B149BA" w:rsidRPr="0062083D" w:rsidRDefault="00B149BA" w:rsidP="00D16DE2">
            <w:pPr>
              <w:spacing w:before="60" w:after="60" w:line="240" w:lineRule="auto"/>
              <w:rPr>
                <w:rFonts w:cs="Arial"/>
                <w:sz w:val="20"/>
                <w:szCs w:val="20"/>
              </w:rPr>
            </w:pPr>
            <w:r w:rsidRPr="0062083D">
              <w:rPr>
                <w:rFonts w:cs="Arial"/>
                <w:sz w:val="20"/>
                <w:szCs w:val="20"/>
              </w:rPr>
              <w:lastRenderedPageBreak/>
              <w:t xml:space="preserve">(Guidelines 1.1.1 to 1.1.7 should be applied to by-product species to an appropriate level) </w:t>
            </w:r>
          </w:p>
        </w:tc>
      </w:tr>
      <w:tr w:rsidR="0062083D" w:rsidRPr="0062083D" w14:paraId="0DAFCCD8" w14:textId="77777777" w:rsidTr="009A3888">
        <w:tc>
          <w:tcPr>
            <w:tcW w:w="2500" w:type="pct"/>
          </w:tcPr>
          <w:p w14:paraId="0FDEBD53" w14:textId="77777777" w:rsidR="0062083D" w:rsidRPr="0062083D" w:rsidRDefault="0062083D" w:rsidP="00D16DE2">
            <w:pPr>
              <w:autoSpaceDE w:val="0"/>
              <w:autoSpaceDN w:val="0"/>
              <w:adjustRightInd w:val="0"/>
              <w:spacing w:before="60" w:after="60" w:line="240" w:lineRule="auto"/>
              <w:rPr>
                <w:rFonts w:cs="Arial"/>
                <w:sz w:val="20"/>
                <w:szCs w:val="20"/>
              </w:rPr>
            </w:pPr>
            <w:r w:rsidRPr="0062083D">
              <w:rPr>
                <w:rFonts w:cs="Arial"/>
                <w:b/>
                <w:bCs/>
                <w:i/>
                <w:iCs/>
                <w:sz w:val="20"/>
                <w:szCs w:val="20"/>
              </w:rPr>
              <w:t xml:space="preserve">1.1.9 </w:t>
            </w:r>
            <w:r w:rsidRPr="0062083D">
              <w:rPr>
                <w:rFonts w:cs="Arial"/>
                <w:sz w:val="20"/>
                <w:szCs w:val="20"/>
              </w:rPr>
              <w:t>The management response, considering uncertainties in the assessment and precautionary management actions, has a high chance of achieving the objective.</w:t>
            </w:r>
          </w:p>
        </w:tc>
        <w:tc>
          <w:tcPr>
            <w:tcW w:w="2500" w:type="pct"/>
            <w:gridSpan w:val="2"/>
            <w:shd w:val="clear" w:color="auto" w:fill="FFC000"/>
          </w:tcPr>
          <w:p w14:paraId="70627F05" w14:textId="3DC3C949" w:rsidR="0062083D" w:rsidRPr="0062083D" w:rsidRDefault="0062083D" w:rsidP="00D16DE2">
            <w:pPr>
              <w:spacing w:before="60" w:after="60" w:line="240" w:lineRule="auto"/>
              <w:rPr>
                <w:rFonts w:cs="Arial"/>
                <w:sz w:val="20"/>
                <w:szCs w:val="20"/>
              </w:rPr>
            </w:pPr>
            <w:r w:rsidRPr="0062083D">
              <w:rPr>
                <w:rFonts w:cs="Arial"/>
                <w:b/>
                <w:sz w:val="20"/>
                <w:szCs w:val="20"/>
              </w:rPr>
              <w:t xml:space="preserve">Existing management strategies are appropriate for the current lack of fishing activity, but may need review if the fishery resumes and expands to its potential. </w:t>
            </w:r>
          </w:p>
        </w:tc>
      </w:tr>
      <w:tr w:rsidR="00B149BA" w:rsidRPr="0062083D" w14:paraId="7B214091" w14:textId="77777777" w:rsidTr="009A3888">
        <w:tc>
          <w:tcPr>
            <w:tcW w:w="2500" w:type="pct"/>
            <w:gridSpan w:val="3"/>
            <w:shd w:val="clear" w:color="auto" w:fill="DAEEF3"/>
          </w:tcPr>
          <w:p w14:paraId="2C522ED8" w14:textId="77777777" w:rsidR="00B149BA" w:rsidRPr="0062083D" w:rsidRDefault="00B149BA" w:rsidP="00D16DE2">
            <w:pPr>
              <w:spacing w:before="60" w:after="60" w:line="240" w:lineRule="auto"/>
              <w:rPr>
                <w:rFonts w:cs="Arial"/>
                <w:b/>
                <w:bCs/>
                <w:sz w:val="20"/>
                <w:szCs w:val="20"/>
              </w:rPr>
            </w:pPr>
            <w:r w:rsidRPr="0062083D">
              <w:rPr>
                <w:rFonts w:cs="Arial"/>
                <w:b/>
                <w:bCs/>
                <w:sz w:val="20"/>
                <w:szCs w:val="20"/>
              </w:rPr>
              <w:t>If overfished, go to Objective 2:</w:t>
            </w:r>
          </w:p>
          <w:p w14:paraId="67DBED08" w14:textId="77777777" w:rsidR="00B149BA" w:rsidRPr="0062083D" w:rsidRDefault="00B149BA" w:rsidP="00D16DE2">
            <w:pPr>
              <w:spacing w:before="60" w:after="60" w:line="240" w:lineRule="auto"/>
              <w:rPr>
                <w:rFonts w:cs="Arial"/>
                <w:b/>
                <w:bCs/>
                <w:sz w:val="20"/>
                <w:szCs w:val="20"/>
              </w:rPr>
            </w:pPr>
            <w:r w:rsidRPr="0062083D">
              <w:rPr>
                <w:rFonts w:cs="Arial"/>
                <w:b/>
                <w:bCs/>
                <w:sz w:val="20"/>
                <w:szCs w:val="20"/>
              </w:rPr>
              <w:t>If not overfished, go to PRINCIPLE 2:</w:t>
            </w:r>
          </w:p>
        </w:tc>
      </w:tr>
      <w:tr w:rsidR="00B149BA" w:rsidRPr="0062083D" w14:paraId="16B247B3" w14:textId="77777777" w:rsidTr="009A3888">
        <w:tc>
          <w:tcPr>
            <w:tcW w:w="2500" w:type="pct"/>
            <w:gridSpan w:val="3"/>
            <w:shd w:val="clear" w:color="auto" w:fill="B6DDE8"/>
          </w:tcPr>
          <w:p w14:paraId="45B6F3C3" w14:textId="77777777" w:rsidR="00B149BA" w:rsidRPr="0062083D" w:rsidRDefault="00B149BA" w:rsidP="00D16DE2">
            <w:pPr>
              <w:spacing w:before="60" w:after="60" w:line="240" w:lineRule="auto"/>
              <w:rPr>
                <w:rFonts w:cs="Arial"/>
                <w:b/>
                <w:bCs/>
                <w:sz w:val="20"/>
                <w:szCs w:val="20"/>
              </w:rPr>
            </w:pPr>
            <w:r w:rsidRPr="0062083D">
              <w:rPr>
                <w:rFonts w:cs="Arial"/>
                <w:b/>
                <w:bCs/>
                <w:sz w:val="20"/>
                <w:szCs w:val="20"/>
              </w:rPr>
              <w:t xml:space="preserve">Objective 2 - </w:t>
            </w:r>
            <w:r w:rsidRPr="0062083D">
              <w:rPr>
                <w:rFonts w:cs="Arial"/>
                <w:sz w:val="20"/>
                <w:szCs w:val="20"/>
              </w:rPr>
              <w:t>Where the fished stock(s) are below a defined reference point, the fishery will be managed to promote recovery to ecologically viable stock levels within nominated timeframes.</w:t>
            </w:r>
          </w:p>
        </w:tc>
      </w:tr>
      <w:tr w:rsidR="00B149BA" w:rsidRPr="0062083D" w14:paraId="40E126BB" w14:textId="77777777" w:rsidTr="009A3888">
        <w:tc>
          <w:tcPr>
            <w:tcW w:w="2500" w:type="pct"/>
            <w:gridSpan w:val="3"/>
            <w:shd w:val="clear" w:color="auto" w:fill="DAEEF3"/>
          </w:tcPr>
          <w:p w14:paraId="507558EC" w14:textId="77777777" w:rsidR="00B149BA" w:rsidRPr="0062083D" w:rsidRDefault="00B149BA" w:rsidP="00D16DE2">
            <w:pPr>
              <w:spacing w:before="60" w:after="60" w:line="240" w:lineRule="auto"/>
              <w:rPr>
                <w:rFonts w:cs="Arial"/>
                <w:b/>
                <w:bCs/>
                <w:i/>
                <w:iCs/>
                <w:sz w:val="20"/>
                <w:szCs w:val="20"/>
              </w:rPr>
            </w:pPr>
            <w:r w:rsidRPr="0062083D">
              <w:rPr>
                <w:rFonts w:cs="Arial"/>
                <w:b/>
                <w:bCs/>
                <w:i/>
                <w:iCs/>
                <w:sz w:val="20"/>
                <w:szCs w:val="20"/>
              </w:rPr>
              <w:t xml:space="preserve">Management responses </w:t>
            </w:r>
          </w:p>
        </w:tc>
      </w:tr>
      <w:tr w:rsidR="004C1E61" w:rsidRPr="0062083D" w14:paraId="18468B61" w14:textId="77777777" w:rsidTr="009A3888">
        <w:tc>
          <w:tcPr>
            <w:tcW w:w="2500" w:type="pct"/>
            <w:tcBorders>
              <w:bottom w:val="single" w:sz="4" w:space="0" w:color="auto"/>
            </w:tcBorders>
          </w:tcPr>
          <w:p w14:paraId="1897BB56" w14:textId="77777777" w:rsidR="004C1E61" w:rsidRPr="0062083D" w:rsidRDefault="004C1E61" w:rsidP="00D16DE2">
            <w:pPr>
              <w:spacing w:before="60" w:after="60" w:line="240" w:lineRule="auto"/>
              <w:rPr>
                <w:rFonts w:cs="Arial"/>
                <w:sz w:val="20"/>
                <w:szCs w:val="20"/>
              </w:rPr>
            </w:pPr>
            <w:r w:rsidRPr="0062083D">
              <w:rPr>
                <w:rFonts w:cs="Arial"/>
                <w:b/>
                <w:bCs/>
                <w:i/>
                <w:iCs/>
                <w:sz w:val="20"/>
                <w:szCs w:val="20"/>
              </w:rPr>
              <w:t xml:space="preserve">1.2.1 </w:t>
            </w:r>
            <w:r w:rsidRPr="0062083D">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2500" w:type="pct"/>
            <w:gridSpan w:val="2"/>
            <w:tcBorders>
              <w:bottom w:val="single" w:sz="4" w:space="0" w:color="auto"/>
            </w:tcBorders>
            <w:shd w:val="clear" w:color="auto" w:fill="auto"/>
          </w:tcPr>
          <w:p w14:paraId="168C1D23" w14:textId="0483A758" w:rsidR="004C1E61" w:rsidRPr="004C1E61" w:rsidRDefault="004C1E61" w:rsidP="00D16DE2">
            <w:pPr>
              <w:spacing w:before="60" w:after="60" w:line="240" w:lineRule="auto"/>
              <w:rPr>
                <w:rFonts w:cs="Arial"/>
                <w:sz w:val="20"/>
                <w:szCs w:val="20"/>
              </w:rPr>
            </w:pPr>
            <w:r w:rsidRPr="004C1E61">
              <w:rPr>
                <w:rFonts w:cs="Arial"/>
                <w:sz w:val="20"/>
                <w:szCs w:val="20"/>
              </w:rPr>
              <w:t>Not applicable.</w:t>
            </w:r>
          </w:p>
        </w:tc>
      </w:tr>
      <w:tr w:rsidR="004C1E61" w:rsidRPr="0062083D" w14:paraId="34C6E157" w14:textId="77777777" w:rsidTr="009A3888">
        <w:tc>
          <w:tcPr>
            <w:tcW w:w="2500" w:type="pct"/>
            <w:tcBorders>
              <w:bottom w:val="single" w:sz="4" w:space="0" w:color="auto"/>
            </w:tcBorders>
          </w:tcPr>
          <w:p w14:paraId="655DBC89" w14:textId="77777777" w:rsidR="004C1E61" w:rsidRPr="0062083D" w:rsidRDefault="004C1E61" w:rsidP="00D16DE2">
            <w:pPr>
              <w:spacing w:before="60" w:after="60" w:line="240" w:lineRule="auto"/>
              <w:rPr>
                <w:rFonts w:cs="Arial"/>
                <w:sz w:val="20"/>
                <w:szCs w:val="20"/>
              </w:rPr>
            </w:pPr>
            <w:r w:rsidRPr="0062083D">
              <w:rPr>
                <w:rFonts w:cs="Arial"/>
                <w:b/>
                <w:bCs/>
                <w:i/>
                <w:iCs/>
                <w:sz w:val="20"/>
                <w:szCs w:val="20"/>
              </w:rPr>
              <w:t xml:space="preserve">1.2.2 </w:t>
            </w:r>
            <w:r w:rsidRPr="0062083D">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2500" w:type="pct"/>
            <w:gridSpan w:val="2"/>
            <w:tcBorders>
              <w:bottom w:val="single" w:sz="4" w:space="0" w:color="auto"/>
            </w:tcBorders>
            <w:shd w:val="clear" w:color="auto" w:fill="auto"/>
          </w:tcPr>
          <w:p w14:paraId="5BAA713C" w14:textId="1C6FFAFB" w:rsidR="004C1E61" w:rsidRPr="004C1E61" w:rsidRDefault="004C1E61" w:rsidP="00D16DE2">
            <w:pPr>
              <w:spacing w:before="60" w:after="60" w:line="240" w:lineRule="auto"/>
              <w:rPr>
                <w:rFonts w:cs="Arial"/>
                <w:sz w:val="20"/>
                <w:szCs w:val="20"/>
              </w:rPr>
            </w:pPr>
            <w:r w:rsidRPr="004C1E61">
              <w:rPr>
                <w:rFonts w:cs="Arial"/>
                <w:sz w:val="20"/>
                <w:szCs w:val="20"/>
              </w:rPr>
              <w:t>Not applicable.</w:t>
            </w:r>
          </w:p>
        </w:tc>
      </w:tr>
      <w:tr w:rsidR="00426E32" w:rsidRPr="0062083D" w14:paraId="1C0E8764" w14:textId="77777777" w:rsidTr="009A3888">
        <w:trPr>
          <w:gridAfter w:val="1"/>
          <w:wAfter w:w="355" w:type="pct"/>
        </w:trPr>
        <w:tc>
          <w:tcPr>
            <w:tcW w:w="2500" w:type="pct"/>
            <w:gridSpan w:val="2"/>
            <w:tcBorders>
              <w:top w:val="single" w:sz="4" w:space="0" w:color="auto"/>
            </w:tcBorders>
            <w:shd w:val="clear" w:color="auto" w:fill="B2A1C7"/>
          </w:tcPr>
          <w:p w14:paraId="3C121077" w14:textId="25BB68CA" w:rsidR="00426E32" w:rsidRPr="0062083D" w:rsidRDefault="00426E32" w:rsidP="00D16DE2">
            <w:pPr>
              <w:autoSpaceDE w:val="0"/>
              <w:autoSpaceDN w:val="0"/>
              <w:adjustRightInd w:val="0"/>
              <w:spacing w:before="60" w:after="60" w:line="240" w:lineRule="auto"/>
              <w:rPr>
                <w:rFonts w:cs="Arial"/>
                <w:sz w:val="20"/>
                <w:szCs w:val="20"/>
              </w:rPr>
            </w:pPr>
            <w:r w:rsidRPr="0062083D">
              <w:rPr>
                <w:rFonts w:cs="Arial"/>
                <w:b/>
                <w:bCs/>
                <w:sz w:val="20"/>
                <w:szCs w:val="20"/>
              </w:rPr>
              <w:t xml:space="preserve">PRINCIPLE 2 - </w:t>
            </w:r>
            <w:r w:rsidRPr="0062083D">
              <w:rPr>
                <w:rFonts w:cs="Arial"/>
                <w:sz w:val="20"/>
                <w:szCs w:val="20"/>
              </w:rPr>
              <w:t>Fishing operations should be managed to minimise their impact on the structure, productivity, function and biological diversity of the ecosystem.</w:t>
            </w:r>
          </w:p>
        </w:tc>
      </w:tr>
      <w:tr w:rsidR="00426E32" w:rsidRPr="0062083D" w14:paraId="09FC85E0" w14:textId="77777777" w:rsidTr="009A3888">
        <w:trPr>
          <w:gridAfter w:val="1"/>
          <w:wAfter w:w="355" w:type="pct"/>
        </w:trPr>
        <w:tc>
          <w:tcPr>
            <w:tcW w:w="2500" w:type="pct"/>
            <w:gridSpan w:val="2"/>
            <w:shd w:val="clear" w:color="auto" w:fill="CCC0D9"/>
          </w:tcPr>
          <w:p w14:paraId="746CB8DA" w14:textId="77777777" w:rsidR="00426E32" w:rsidRPr="0062083D" w:rsidRDefault="00426E32" w:rsidP="00D16DE2">
            <w:pPr>
              <w:autoSpaceDE w:val="0"/>
              <w:autoSpaceDN w:val="0"/>
              <w:adjustRightInd w:val="0"/>
              <w:spacing w:before="60" w:after="60" w:line="240" w:lineRule="auto"/>
              <w:rPr>
                <w:rFonts w:cs="Arial"/>
                <w:sz w:val="20"/>
                <w:szCs w:val="20"/>
              </w:rPr>
            </w:pPr>
            <w:r w:rsidRPr="0062083D">
              <w:rPr>
                <w:rFonts w:cs="Arial"/>
                <w:b/>
                <w:bCs/>
                <w:sz w:val="20"/>
                <w:szCs w:val="20"/>
              </w:rPr>
              <w:t xml:space="preserve">Objective 1 - </w:t>
            </w:r>
            <w:r w:rsidRPr="0062083D">
              <w:rPr>
                <w:rFonts w:cs="Arial"/>
                <w:sz w:val="20"/>
                <w:szCs w:val="20"/>
              </w:rPr>
              <w:t>The fishery is conducted in a manner that does not threaten bycatch species.</w:t>
            </w:r>
          </w:p>
        </w:tc>
      </w:tr>
      <w:tr w:rsidR="00426E32" w:rsidRPr="0062083D" w14:paraId="5847AC5A" w14:textId="77777777" w:rsidTr="009A3888">
        <w:trPr>
          <w:gridAfter w:val="1"/>
          <w:wAfter w:w="355" w:type="pct"/>
        </w:trPr>
        <w:tc>
          <w:tcPr>
            <w:tcW w:w="2500" w:type="pct"/>
            <w:gridSpan w:val="2"/>
            <w:shd w:val="clear" w:color="auto" w:fill="E5DFEC"/>
          </w:tcPr>
          <w:p w14:paraId="37A88D76" w14:textId="77777777" w:rsidR="00426E32" w:rsidRPr="0062083D" w:rsidRDefault="00426E32" w:rsidP="00D16DE2">
            <w:pPr>
              <w:spacing w:before="60" w:after="60" w:line="240" w:lineRule="auto"/>
              <w:rPr>
                <w:rFonts w:cs="Arial"/>
                <w:b/>
                <w:bCs/>
                <w:i/>
                <w:iCs/>
                <w:sz w:val="20"/>
                <w:szCs w:val="20"/>
              </w:rPr>
            </w:pPr>
            <w:r w:rsidRPr="0062083D">
              <w:rPr>
                <w:rFonts w:cs="Arial"/>
                <w:b/>
                <w:bCs/>
                <w:i/>
                <w:iCs/>
                <w:sz w:val="20"/>
                <w:szCs w:val="20"/>
              </w:rPr>
              <w:t>Information requirements</w:t>
            </w:r>
          </w:p>
        </w:tc>
      </w:tr>
      <w:tr w:rsidR="004C1E61" w:rsidRPr="0062083D" w14:paraId="6C53367A" w14:textId="77777777" w:rsidTr="009A3888">
        <w:trPr>
          <w:gridAfter w:val="1"/>
          <w:wAfter w:w="355" w:type="pct"/>
        </w:trPr>
        <w:tc>
          <w:tcPr>
            <w:tcW w:w="2500" w:type="pct"/>
          </w:tcPr>
          <w:p w14:paraId="50ABD348" w14:textId="77777777" w:rsidR="004C1E61" w:rsidRPr="0062083D" w:rsidRDefault="004C1E61" w:rsidP="00D16DE2">
            <w:pPr>
              <w:autoSpaceDE w:val="0"/>
              <w:autoSpaceDN w:val="0"/>
              <w:adjustRightInd w:val="0"/>
              <w:spacing w:before="60" w:after="60" w:line="240" w:lineRule="auto"/>
              <w:rPr>
                <w:rFonts w:cs="Arial"/>
                <w:sz w:val="20"/>
                <w:szCs w:val="20"/>
              </w:rPr>
            </w:pPr>
            <w:r w:rsidRPr="0062083D">
              <w:rPr>
                <w:rFonts w:cs="Arial"/>
                <w:b/>
                <w:bCs/>
                <w:i/>
                <w:iCs/>
                <w:sz w:val="20"/>
                <w:szCs w:val="20"/>
              </w:rPr>
              <w:lastRenderedPageBreak/>
              <w:t xml:space="preserve">2.1.1 </w:t>
            </w:r>
            <w:r w:rsidRPr="0062083D">
              <w:rPr>
                <w:rFonts w:cs="Arial"/>
                <w:sz w:val="20"/>
                <w:szCs w:val="20"/>
              </w:rPr>
              <w:t>Reliable information, appropriate to the scale of the fishery, is collected on the composition and abundance of bycatch.</w:t>
            </w:r>
          </w:p>
        </w:tc>
        <w:tc>
          <w:tcPr>
            <w:tcW w:w="2500" w:type="pct"/>
            <w:shd w:val="clear" w:color="auto" w:fill="92D050"/>
          </w:tcPr>
          <w:p w14:paraId="4E3B991B" w14:textId="14221A16" w:rsidR="004C1E61" w:rsidRPr="004C1E61" w:rsidRDefault="004C1E61" w:rsidP="00D16DE2">
            <w:pPr>
              <w:spacing w:before="60" w:after="60" w:line="240" w:lineRule="auto"/>
              <w:rPr>
                <w:rFonts w:cs="Arial"/>
                <w:sz w:val="20"/>
                <w:szCs w:val="20"/>
              </w:rPr>
            </w:pPr>
            <w:r w:rsidRPr="004C1E61">
              <w:rPr>
                <w:rFonts w:cs="Arial"/>
                <w:sz w:val="20"/>
                <w:szCs w:val="20"/>
              </w:rPr>
              <w:t>AFMA’s information collection system is robust and includes fishery dependent and independent research and monitoring.</w:t>
            </w:r>
          </w:p>
          <w:p w14:paraId="5F6D80CA" w14:textId="77777777" w:rsidR="004C1E61" w:rsidRPr="004C1E61" w:rsidRDefault="004C1E61" w:rsidP="00D16DE2">
            <w:pPr>
              <w:spacing w:before="60" w:after="60" w:line="240" w:lineRule="auto"/>
              <w:rPr>
                <w:rFonts w:cs="Arial"/>
                <w:sz w:val="20"/>
                <w:szCs w:val="20"/>
              </w:rPr>
            </w:pPr>
            <w:r w:rsidRPr="004C1E61">
              <w:rPr>
                <w:rFonts w:cs="Arial"/>
                <w:sz w:val="20"/>
                <w:szCs w:val="20"/>
              </w:rPr>
              <w:t xml:space="preserve">All Australian fishing activity and catches must be recorded using </w:t>
            </w:r>
            <w:hyperlink r:id="rId67" w:history="1">
              <w:r w:rsidRPr="004C1E61">
                <w:rPr>
                  <w:rStyle w:val="Hyperlink"/>
                  <w:rFonts w:cs="Arial"/>
                  <w:sz w:val="20"/>
                  <w:szCs w:val="20"/>
                </w:rPr>
                <w:t>AFMA approved logbooks</w:t>
              </w:r>
            </w:hyperlink>
            <w:r w:rsidRPr="004C1E61">
              <w:rPr>
                <w:rFonts w:cs="Arial"/>
                <w:sz w:val="20"/>
                <w:szCs w:val="20"/>
              </w:rPr>
              <w:t xml:space="preserve"> and all vessels are required to operate vessel monitoring systems; this allows the information to be investigated if necessary.</w:t>
            </w:r>
          </w:p>
          <w:p w14:paraId="06F2B960" w14:textId="77777777" w:rsidR="004C1E61" w:rsidRPr="004C1E61" w:rsidRDefault="004C1E61" w:rsidP="00D16DE2">
            <w:pPr>
              <w:spacing w:before="60" w:after="60" w:line="240" w:lineRule="auto"/>
              <w:rPr>
                <w:rFonts w:cs="Arial"/>
                <w:sz w:val="20"/>
                <w:szCs w:val="20"/>
              </w:rPr>
            </w:pPr>
            <w:bookmarkStart w:id="11" w:name="OLE_LINK5"/>
            <w:bookmarkStart w:id="12" w:name="OLE_LINK6"/>
            <w:r w:rsidRPr="004C1E61">
              <w:rPr>
                <w:rFonts w:cs="Arial"/>
                <w:sz w:val="20"/>
                <w:szCs w:val="20"/>
              </w:rPr>
              <w:t xml:space="preserve">Concession holders are also required to carry an AFMA observer or e-monitoring system if requested, but there is no minimum requirement specified in the </w:t>
            </w:r>
            <w:hyperlink r:id="rId68" w:history="1">
              <w:r w:rsidRPr="004C1E61">
                <w:rPr>
                  <w:rStyle w:val="Hyperlink"/>
                  <w:rFonts w:cs="Arial"/>
                  <w:sz w:val="20"/>
                  <w:szCs w:val="20"/>
                </w:rPr>
                <w:t>permit conditions</w:t>
              </w:r>
            </w:hyperlink>
            <w:r w:rsidRPr="004C1E61">
              <w:rPr>
                <w:rFonts w:cs="Arial"/>
                <w:sz w:val="20"/>
                <w:szCs w:val="20"/>
              </w:rPr>
              <w:t>.</w:t>
            </w:r>
          </w:p>
          <w:p w14:paraId="28BE523F" w14:textId="2B93246A" w:rsidR="004C1E61" w:rsidRPr="004C1E61" w:rsidRDefault="004C1E61" w:rsidP="00D16DE2">
            <w:pPr>
              <w:spacing w:before="60" w:after="60" w:line="240" w:lineRule="auto"/>
              <w:rPr>
                <w:rFonts w:cs="Arial"/>
                <w:sz w:val="20"/>
                <w:szCs w:val="20"/>
              </w:rPr>
            </w:pPr>
            <w:r w:rsidRPr="004C1E61">
              <w:rPr>
                <w:rFonts w:cs="Arial"/>
                <w:sz w:val="20"/>
                <w:szCs w:val="20"/>
              </w:rPr>
              <w:t>The ERM strategy requires at least five per cent observer coverage of all fishing activity, which includes the first trip by each boat each season (</w:t>
            </w:r>
            <w:hyperlink r:id="rId69" w:history="1">
              <w:r w:rsidRPr="004C1E61">
                <w:rPr>
                  <w:rStyle w:val="Hyperlink"/>
                  <w:rFonts w:cs="Arial"/>
                  <w:sz w:val="20"/>
                  <w:szCs w:val="20"/>
                </w:rPr>
                <w:t>AFMA 2010</w:t>
              </w:r>
            </w:hyperlink>
            <w:r w:rsidRPr="004C1E61">
              <w:rPr>
                <w:rFonts w:cs="Arial"/>
                <w:sz w:val="20"/>
                <w:szCs w:val="20"/>
              </w:rPr>
              <w:t xml:space="preserve"> and pers. comm. 2016). </w:t>
            </w:r>
          </w:p>
          <w:p w14:paraId="28660179" w14:textId="77777777" w:rsidR="004C1E61" w:rsidRPr="004C1E61" w:rsidRDefault="004C1E61" w:rsidP="00D16DE2">
            <w:pPr>
              <w:spacing w:before="60" w:after="60" w:line="240" w:lineRule="auto"/>
              <w:rPr>
                <w:rFonts w:cs="Arial"/>
                <w:sz w:val="20"/>
                <w:szCs w:val="20"/>
              </w:rPr>
            </w:pPr>
            <w:r w:rsidRPr="004C1E61">
              <w:rPr>
                <w:rFonts w:cs="Arial"/>
                <w:sz w:val="20"/>
                <w:szCs w:val="20"/>
              </w:rPr>
              <w:t>Similar information collection programs exist in the broader WCPFC and IOTC areas of competence, but issues such as observer safety, extent of artisanal fishing, quality and timeliness of data may affect the reliability of some of this information (</w:t>
            </w:r>
            <w:hyperlink r:id="rId70" w:history="1">
              <w:r w:rsidRPr="004C1E61">
                <w:rPr>
                  <w:rStyle w:val="Hyperlink"/>
                  <w:rFonts w:cs="Arial"/>
                  <w:sz w:val="20"/>
                  <w:szCs w:val="20"/>
                </w:rPr>
                <w:t>WCPFC 2015</w:t>
              </w:r>
            </w:hyperlink>
            <w:r w:rsidRPr="004C1E61">
              <w:rPr>
                <w:rFonts w:cs="Arial"/>
                <w:sz w:val="20"/>
                <w:szCs w:val="20"/>
              </w:rPr>
              <w:t xml:space="preserve">, </w:t>
            </w:r>
            <w:hyperlink r:id="rId71" w:history="1">
              <w:r w:rsidRPr="004C1E61">
                <w:rPr>
                  <w:rStyle w:val="Hyperlink"/>
                  <w:rFonts w:cs="Arial"/>
                  <w:sz w:val="20"/>
                  <w:szCs w:val="20"/>
                </w:rPr>
                <w:t>IOTC 2015</w:t>
              </w:r>
            </w:hyperlink>
            <w:r w:rsidRPr="004C1E61">
              <w:rPr>
                <w:rFonts w:cs="Arial"/>
                <w:sz w:val="20"/>
                <w:szCs w:val="20"/>
              </w:rPr>
              <w:t>). It is unclear what impact these issues may have on the sustainability of management arrangements internationally, however, given the current state of the Australian fishery, Australia’s arrangements are considered sufficiently robust.</w:t>
            </w:r>
            <w:bookmarkEnd w:id="11"/>
            <w:bookmarkEnd w:id="12"/>
          </w:p>
        </w:tc>
      </w:tr>
      <w:tr w:rsidR="00426E32" w:rsidRPr="0062083D" w14:paraId="5E0E6F1F" w14:textId="77777777" w:rsidTr="009A3888">
        <w:trPr>
          <w:gridAfter w:val="1"/>
          <w:wAfter w:w="355" w:type="pct"/>
        </w:trPr>
        <w:tc>
          <w:tcPr>
            <w:tcW w:w="2500" w:type="pct"/>
            <w:gridSpan w:val="2"/>
            <w:shd w:val="clear" w:color="auto" w:fill="E5DFEC"/>
          </w:tcPr>
          <w:p w14:paraId="4F5DD703" w14:textId="09572746" w:rsidR="00426E32" w:rsidRPr="0062083D" w:rsidRDefault="00426E32" w:rsidP="00D16DE2">
            <w:pPr>
              <w:spacing w:before="60" w:after="60" w:line="240" w:lineRule="auto"/>
              <w:rPr>
                <w:rFonts w:cs="Arial"/>
                <w:b/>
                <w:bCs/>
                <w:i/>
                <w:iCs/>
                <w:sz w:val="20"/>
                <w:szCs w:val="20"/>
              </w:rPr>
            </w:pPr>
            <w:r w:rsidRPr="0062083D">
              <w:rPr>
                <w:rFonts w:cs="Arial"/>
                <w:b/>
                <w:bCs/>
                <w:i/>
                <w:iCs/>
                <w:sz w:val="20"/>
                <w:szCs w:val="20"/>
              </w:rPr>
              <w:t>Assessments</w:t>
            </w:r>
          </w:p>
        </w:tc>
      </w:tr>
      <w:tr w:rsidR="004C1E61" w:rsidRPr="0062083D" w14:paraId="7974BA55" w14:textId="77777777" w:rsidTr="009A3888">
        <w:trPr>
          <w:gridAfter w:val="1"/>
          <w:wAfter w:w="355" w:type="pct"/>
        </w:trPr>
        <w:tc>
          <w:tcPr>
            <w:tcW w:w="2500" w:type="pct"/>
          </w:tcPr>
          <w:p w14:paraId="6AC9DAB7" w14:textId="77777777" w:rsidR="004C1E61" w:rsidRPr="0062083D" w:rsidRDefault="004C1E61" w:rsidP="00D16DE2">
            <w:pPr>
              <w:autoSpaceDE w:val="0"/>
              <w:autoSpaceDN w:val="0"/>
              <w:adjustRightInd w:val="0"/>
              <w:spacing w:before="60" w:after="60" w:line="240" w:lineRule="auto"/>
              <w:rPr>
                <w:rFonts w:cs="Arial"/>
                <w:sz w:val="20"/>
                <w:szCs w:val="20"/>
              </w:rPr>
            </w:pPr>
            <w:r w:rsidRPr="0062083D">
              <w:rPr>
                <w:rFonts w:cs="Arial"/>
                <w:b/>
                <w:bCs/>
                <w:i/>
                <w:iCs/>
                <w:sz w:val="20"/>
                <w:szCs w:val="20"/>
              </w:rPr>
              <w:t xml:space="preserve">2.1.2 </w:t>
            </w:r>
            <w:r w:rsidRPr="0062083D">
              <w:rPr>
                <w:rFonts w:cs="Arial"/>
                <w:sz w:val="20"/>
                <w:szCs w:val="20"/>
              </w:rPr>
              <w:t>There is a risk analysis of the bycatch with respect to its vulnerability to fishing.</w:t>
            </w:r>
          </w:p>
        </w:tc>
        <w:tc>
          <w:tcPr>
            <w:tcW w:w="2500" w:type="pct"/>
            <w:shd w:val="clear" w:color="auto" w:fill="92D050"/>
          </w:tcPr>
          <w:p w14:paraId="2B687540" w14:textId="715B6D88" w:rsidR="004C1E61" w:rsidRPr="004C1E61" w:rsidRDefault="004C1E61" w:rsidP="00D16DE2">
            <w:pPr>
              <w:spacing w:before="60" w:after="60" w:line="240" w:lineRule="auto"/>
              <w:rPr>
                <w:rFonts w:cs="Arial"/>
                <w:sz w:val="20"/>
                <w:szCs w:val="20"/>
              </w:rPr>
            </w:pPr>
            <w:r w:rsidRPr="004C1E61">
              <w:rPr>
                <w:rFonts w:cs="Arial"/>
                <w:sz w:val="20"/>
                <w:szCs w:val="20"/>
              </w:rPr>
              <w:t>Risks have been assessed and are being managed through AFMA’s ecological risk management strategy.</w:t>
            </w:r>
          </w:p>
          <w:p w14:paraId="6166ED97" w14:textId="77777777" w:rsidR="004C1E61" w:rsidRPr="004C1E61" w:rsidRDefault="004C1E61" w:rsidP="00D16DE2">
            <w:pPr>
              <w:spacing w:before="60" w:after="60" w:line="240" w:lineRule="auto"/>
              <w:rPr>
                <w:rFonts w:cs="Arial"/>
                <w:sz w:val="20"/>
                <w:szCs w:val="20"/>
              </w:rPr>
            </w:pPr>
            <w:r w:rsidRPr="004C1E61">
              <w:rPr>
                <w:rFonts w:cs="Arial"/>
                <w:sz w:val="20"/>
                <w:szCs w:val="20"/>
              </w:rPr>
              <w:t>No bycatch species were found to be at high risk in AFMA’s ERAs, and non-target species have historically made up much less than two per cent of the total catch (</w:t>
            </w:r>
            <w:hyperlink r:id="rId72" w:history="1">
              <w:r w:rsidRPr="004C1E61">
                <w:rPr>
                  <w:rStyle w:val="Hyperlink"/>
                  <w:rFonts w:cs="Arial"/>
                  <w:sz w:val="20"/>
                  <w:szCs w:val="20"/>
                </w:rPr>
                <w:t>AFMA 2010</w:t>
              </w:r>
            </w:hyperlink>
            <w:r w:rsidRPr="004C1E61">
              <w:rPr>
                <w:rFonts w:cs="Arial"/>
                <w:sz w:val="20"/>
                <w:szCs w:val="20"/>
              </w:rPr>
              <w:t>).</w:t>
            </w:r>
          </w:p>
          <w:p w14:paraId="44B5B5C9" w14:textId="77777777" w:rsidR="004C1E61" w:rsidRPr="004C1E61" w:rsidRDefault="004C1E61" w:rsidP="00D16DE2">
            <w:pPr>
              <w:spacing w:before="60" w:after="60" w:line="240" w:lineRule="auto"/>
              <w:rPr>
                <w:rFonts w:cs="Arial"/>
                <w:sz w:val="20"/>
                <w:szCs w:val="20"/>
              </w:rPr>
            </w:pPr>
            <w:r w:rsidRPr="004C1E61">
              <w:rPr>
                <w:rFonts w:cs="Arial"/>
                <w:sz w:val="20"/>
                <w:szCs w:val="20"/>
              </w:rPr>
              <w:t>When the fishery is active, information on bycatch is collected using logbooks and observer coverage. This is intended to provide AFMA with a greater understanding of the nature of interactions within the ecosystem and allow AFMA to monitor any expansion of effort that occurs (</w:t>
            </w:r>
            <w:hyperlink r:id="rId73" w:history="1">
              <w:r w:rsidRPr="004C1E61">
                <w:rPr>
                  <w:rStyle w:val="Hyperlink"/>
                  <w:rFonts w:cs="Arial"/>
                  <w:sz w:val="20"/>
                  <w:szCs w:val="20"/>
                </w:rPr>
                <w:t>AFMA 2010</w:t>
              </w:r>
            </w:hyperlink>
            <w:r w:rsidRPr="004C1E61">
              <w:rPr>
                <w:rFonts w:cs="Arial"/>
                <w:sz w:val="20"/>
                <w:szCs w:val="20"/>
              </w:rPr>
              <w:t>).</w:t>
            </w:r>
          </w:p>
          <w:p w14:paraId="0A0BCA7F" w14:textId="3AB4A28F" w:rsidR="004C1E61" w:rsidRPr="004C1E61" w:rsidRDefault="004C1E61" w:rsidP="00D16DE2">
            <w:pPr>
              <w:spacing w:before="60" w:after="60" w:line="240" w:lineRule="auto"/>
              <w:rPr>
                <w:rFonts w:cs="Arial"/>
                <w:sz w:val="20"/>
                <w:szCs w:val="20"/>
              </w:rPr>
            </w:pPr>
            <w:r w:rsidRPr="004C1E61">
              <w:rPr>
                <w:rFonts w:cs="Arial"/>
                <w:sz w:val="20"/>
                <w:szCs w:val="20"/>
              </w:rPr>
              <w:t>AFMA is developing guidelines for its Resource Assessment Groups to help them implement the ERM arrangements and has committed to review the ERAs and ERM strategy for the fishery in 2018. Results are expected to continue to be influenced by the lack of recent fishing activity, rather than potential activity, so these assessments may need further review if the fishery recommences activity.</w:t>
            </w:r>
          </w:p>
          <w:p w14:paraId="016421E3" w14:textId="6DE92EF5" w:rsidR="004C1E61" w:rsidRPr="004C1E61" w:rsidRDefault="004C1E61" w:rsidP="00D16DE2">
            <w:pPr>
              <w:spacing w:before="60" w:after="60" w:line="240" w:lineRule="auto"/>
              <w:rPr>
                <w:rFonts w:cs="Arial"/>
                <w:sz w:val="20"/>
                <w:szCs w:val="20"/>
              </w:rPr>
            </w:pPr>
            <w:r w:rsidRPr="004C1E61">
              <w:rPr>
                <w:rFonts w:cs="Arial"/>
                <w:sz w:val="20"/>
                <w:szCs w:val="20"/>
              </w:rPr>
              <w:t xml:space="preserve">AFMA and DAWR have an ongoing role in the international management of skipjack tuna fishing, including bycatch arrangements, through their role in the IOTC and WCPFC. However the broad focus of these groups has </w:t>
            </w:r>
            <w:r w:rsidRPr="004C1E61">
              <w:rPr>
                <w:rFonts w:cs="Arial"/>
                <w:sz w:val="20"/>
                <w:szCs w:val="20"/>
              </w:rPr>
              <w:lastRenderedPageBreak/>
              <w:t>led to concern about how well Australia’s specific needs can be met (</w:t>
            </w:r>
            <w:hyperlink r:id="rId74" w:history="1">
              <w:r w:rsidRPr="004C1E61">
                <w:rPr>
                  <w:rStyle w:val="Hyperlink"/>
                  <w:rFonts w:cs="Arial"/>
                  <w:sz w:val="20"/>
                  <w:szCs w:val="20"/>
                </w:rPr>
                <w:t>ABARES 2015</w:t>
              </w:r>
            </w:hyperlink>
            <w:r w:rsidRPr="004C1E61">
              <w:rPr>
                <w:rFonts w:cs="Arial"/>
                <w:sz w:val="20"/>
                <w:szCs w:val="20"/>
              </w:rPr>
              <w:t>).</w:t>
            </w:r>
          </w:p>
        </w:tc>
      </w:tr>
      <w:tr w:rsidR="00426E32" w:rsidRPr="0062083D" w14:paraId="14A95EC4" w14:textId="77777777" w:rsidTr="009A3888">
        <w:trPr>
          <w:gridAfter w:val="1"/>
          <w:wAfter w:w="355" w:type="pct"/>
        </w:trPr>
        <w:tc>
          <w:tcPr>
            <w:tcW w:w="2500" w:type="pct"/>
            <w:gridSpan w:val="2"/>
            <w:shd w:val="clear" w:color="auto" w:fill="E5DFEC"/>
          </w:tcPr>
          <w:p w14:paraId="0E1D49EA" w14:textId="77777777" w:rsidR="00426E32" w:rsidRPr="0062083D" w:rsidRDefault="00426E32" w:rsidP="00D16DE2">
            <w:pPr>
              <w:spacing w:before="60" w:after="60" w:line="240" w:lineRule="auto"/>
              <w:rPr>
                <w:rFonts w:cs="Arial"/>
                <w:b/>
                <w:bCs/>
                <w:i/>
                <w:iCs/>
                <w:sz w:val="20"/>
                <w:szCs w:val="20"/>
              </w:rPr>
            </w:pPr>
            <w:r w:rsidRPr="0062083D">
              <w:rPr>
                <w:rFonts w:cs="Arial"/>
                <w:b/>
                <w:bCs/>
                <w:i/>
                <w:iCs/>
                <w:sz w:val="20"/>
                <w:szCs w:val="20"/>
              </w:rPr>
              <w:lastRenderedPageBreak/>
              <w:t>Management responses</w:t>
            </w:r>
          </w:p>
        </w:tc>
      </w:tr>
      <w:tr w:rsidR="004C1E61" w:rsidRPr="0062083D" w14:paraId="3004A9AD" w14:textId="77777777" w:rsidTr="009A3888">
        <w:trPr>
          <w:gridAfter w:val="1"/>
          <w:wAfter w:w="355" w:type="pct"/>
        </w:trPr>
        <w:tc>
          <w:tcPr>
            <w:tcW w:w="2500" w:type="pct"/>
          </w:tcPr>
          <w:p w14:paraId="40A546FE" w14:textId="77777777" w:rsidR="004C1E61" w:rsidRPr="0062083D" w:rsidRDefault="004C1E61" w:rsidP="00D16DE2">
            <w:pPr>
              <w:autoSpaceDE w:val="0"/>
              <w:autoSpaceDN w:val="0"/>
              <w:adjustRightInd w:val="0"/>
              <w:spacing w:before="60" w:after="60" w:line="240" w:lineRule="auto"/>
              <w:rPr>
                <w:rFonts w:cs="Arial"/>
                <w:b/>
                <w:bCs/>
                <w:i/>
                <w:iCs/>
                <w:sz w:val="20"/>
                <w:szCs w:val="20"/>
              </w:rPr>
            </w:pPr>
            <w:r w:rsidRPr="0062083D">
              <w:rPr>
                <w:rFonts w:cs="Arial"/>
                <w:b/>
                <w:bCs/>
                <w:i/>
                <w:iCs/>
                <w:sz w:val="20"/>
                <w:szCs w:val="20"/>
              </w:rPr>
              <w:t xml:space="preserve">2.1.3 </w:t>
            </w:r>
            <w:r w:rsidRPr="0062083D">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2500" w:type="pct"/>
            <w:shd w:val="clear" w:color="auto" w:fill="92D050"/>
          </w:tcPr>
          <w:p w14:paraId="0FC6463C" w14:textId="243A23D1" w:rsidR="004C1E61" w:rsidRPr="004C1E61" w:rsidRDefault="004C1E61" w:rsidP="00D16DE2">
            <w:pPr>
              <w:spacing w:before="60" w:after="60" w:line="240" w:lineRule="auto"/>
              <w:rPr>
                <w:rFonts w:cs="Arial"/>
                <w:sz w:val="20"/>
                <w:szCs w:val="20"/>
              </w:rPr>
            </w:pPr>
            <w:r w:rsidRPr="004C1E61">
              <w:rPr>
                <w:rFonts w:cs="Arial"/>
                <w:sz w:val="20"/>
                <w:szCs w:val="20"/>
              </w:rPr>
              <w:t>The Australian fishery is highly selective and results in very little catch of non-target species.</w:t>
            </w:r>
          </w:p>
          <w:p w14:paraId="44812139" w14:textId="5BB63529" w:rsidR="004C1E61" w:rsidRPr="004C1E61" w:rsidRDefault="004C1E61" w:rsidP="00D16DE2">
            <w:pPr>
              <w:spacing w:before="60" w:after="60" w:line="240" w:lineRule="auto"/>
              <w:rPr>
                <w:rFonts w:cs="Arial"/>
                <w:sz w:val="20"/>
                <w:szCs w:val="20"/>
              </w:rPr>
            </w:pPr>
            <w:r w:rsidRPr="004C1E61">
              <w:rPr>
                <w:rFonts w:cs="Arial"/>
                <w:sz w:val="20"/>
                <w:szCs w:val="20"/>
              </w:rPr>
              <w:t xml:space="preserve">The use of FADs which are known to attract non-target species is prohibited in the Australian fishery. </w:t>
            </w:r>
          </w:p>
          <w:p w14:paraId="28E465BE" w14:textId="77777777" w:rsidR="004C1E61" w:rsidRPr="004C1E61" w:rsidRDefault="004C1E61" w:rsidP="00D16DE2">
            <w:pPr>
              <w:spacing w:before="60" w:after="60" w:line="240" w:lineRule="auto"/>
              <w:rPr>
                <w:rFonts w:cs="Arial"/>
                <w:sz w:val="20"/>
                <w:szCs w:val="20"/>
              </w:rPr>
            </w:pPr>
            <w:r w:rsidRPr="004C1E61">
              <w:rPr>
                <w:rFonts w:cs="Arial"/>
                <w:sz w:val="20"/>
                <w:szCs w:val="20"/>
              </w:rPr>
              <w:t>Australia’s purse seine fishery targets free-schooling fish and is very selective. Fishers use real-time intelligence on the target species, such as size and composition of the schools and size of individual fish being pursed to minimise any non-target catch and discarding. Species other than skipjack tuna have historically made up much less than two per cent of the total catch (</w:t>
            </w:r>
            <w:hyperlink r:id="rId75" w:history="1">
              <w:r w:rsidRPr="004C1E61">
                <w:rPr>
                  <w:rStyle w:val="Hyperlink"/>
                  <w:rFonts w:cs="Arial"/>
                  <w:sz w:val="20"/>
                  <w:szCs w:val="20"/>
                </w:rPr>
                <w:t>AFMA 2010</w:t>
              </w:r>
            </w:hyperlink>
            <w:r w:rsidRPr="004C1E61">
              <w:rPr>
                <w:rFonts w:cs="Arial"/>
                <w:sz w:val="20"/>
                <w:szCs w:val="20"/>
              </w:rPr>
              <w:t>) and trip and season limits are applied through permits conditions to manage these catches.</w:t>
            </w:r>
          </w:p>
          <w:p w14:paraId="5D20024A" w14:textId="77777777" w:rsidR="004C1E61" w:rsidRPr="0062083D" w:rsidRDefault="004C1E61" w:rsidP="00D16DE2">
            <w:pPr>
              <w:spacing w:before="60" w:after="60" w:line="240" w:lineRule="auto"/>
              <w:rPr>
                <w:rFonts w:cs="Arial"/>
                <w:sz w:val="20"/>
                <w:szCs w:val="20"/>
              </w:rPr>
            </w:pPr>
            <w:r w:rsidRPr="004C1E61">
              <w:rPr>
                <w:rFonts w:cs="Arial"/>
                <w:sz w:val="20"/>
                <w:szCs w:val="20"/>
              </w:rPr>
              <w:t>There has been no fishing effort in Australian waters for several years so risk to byproduct species was not considered high in the level 3 ERA. The risk assessment may need to be reviewed if fishing recommences, but outcomes are not expected to change significantly.</w:t>
            </w:r>
          </w:p>
        </w:tc>
      </w:tr>
      <w:tr w:rsidR="004C1E61" w:rsidRPr="0062083D" w14:paraId="243E7111" w14:textId="77777777" w:rsidTr="009A3888">
        <w:trPr>
          <w:gridAfter w:val="1"/>
          <w:wAfter w:w="355" w:type="pct"/>
        </w:trPr>
        <w:tc>
          <w:tcPr>
            <w:tcW w:w="2500" w:type="pct"/>
          </w:tcPr>
          <w:p w14:paraId="3DEE0EB1" w14:textId="77777777" w:rsidR="004C1E61" w:rsidRPr="0062083D" w:rsidRDefault="004C1E61" w:rsidP="00D16DE2">
            <w:pPr>
              <w:autoSpaceDE w:val="0"/>
              <w:autoSpaceDN w:val="0"/>
              <w:adjustRightInd w:val="0"/>
              <w:spacing w:before="60" w:after="60" w:line="240" w:lineRule="auto"/>
              <w:rPr>
                <w:rFonts w:cs="Arial"/>
                <w:sz w:val="20"/>
                <w:szCs w:val="20"/>
              </w:rPr>
            </w:pPr>
            <w:r w:rsidRPr="0062083D">
              <w:rPr>
                <w:rFonts w:cs="Arial"/>
                <w:b/>
                <w:bCs/>
                <w:i/>
                <w:iCs/>
                <w:sz w:val="20"/>
                <w:szCs w:val="20"/>
              </w:rPr>
              <w:t xml:space="preserve">2.1.4 </w:t>
            </w:r>
            <w:r w:rsidRPr="0062083D">
              <w:rPr>
                <w:rFonts w:cs="Arial"/>
                <w:sz w:val="20"/>
                <w:szCs w:val="20"/>
              </w:rPr>
              <w:t xml:space="preserve">An indicator group of bycatch species is monitored. </w:t>
            </w:r>
          </w:p>
        </w:tc>
        <w:tc>
          <w:tcPr>
            <w:tcW w:w="2500" w:type="pct"/>
            <w:shd w:val="clear" w:color="auto" w:fill="auto"/>
          </w:tcPr>
          <w:p w14:paraId="4C39F553" w14:textId="53D05BBB" w:rsidR="004C1E61" w:rsidRPr="004C1E61" w:rsidRDefault="004C1E61" w:rsidP="00D16DE2">
            <w:pPr>
              <w:spacing w:before="60" w:after="60" w:line="240" w:lineRule="auto"/>
              <w:rPr>
                <w:rFonts w:cs="Arial"/>
                <w:sz w:val="20"/>
                <w:szCs w:val="20"/>
              </w:rPr>
            </w:pPr>
            <w:r w:rsidRPr="004C1E61">
              <w:rPr>
                <w:rFonts w:cs="Arial"/>
                <w:sz w:val="20"/>
                <w:szCs w:val="20"/>
              </w:rPr>
              <w:t>Not applicable.</w:t>
            </w:r>
          </w:p>
          <w:p w14:paraId="668555EE" w14:textId="77777777" w:rsidR="004C1E61" w:rsidRPr="004C1E61" w:rsidRDefault="004C1E61" w:rsidP="00D16DE2">
            <w:pPr>
              <w:spacing w:before="60" w:after="60" w:line="240" w:lineRule="auto"/>
              <w:rPr>
                <w:rFonts w:cs="Arial"/>
                <w:sz w:val="20"/>
                <w:szCs w:val="20"/>
              </w:rPr>
            </w:pPr>
            <w:r w:rsidRPr="004C1E61">
              <w:rPr>
                <w:rFonts w:cs="Arial"/>
                <w:sz w:val="20"/>
                <w:szCs w:val="20"/>
              </w:rPr>
              <w:t>No indicator species have been defined, but all bycatch is recorded in logbooks and periodically reviewed by AFMA.</w:t>
            </w:r>
          </w:p>
        </w:tc>
      </w:tr>
      <w:tr w:rsidR="004C1E61" w:rsidRPr="0062083D" w14:paraId="18712C86" w14:textId="77777777" w:rsidTr="009A3888">
        <w:trPr>
          <w:gridAfter w:val="1"/>
          <w:wAfter w:w="355" w:type="pct"/>
        </w:trPr>
        <w:tc>
          <w:tcPr>
            <w:tcW w:w="2500" w:type="pct"/>
          </w:tcPr>
          <w:p w14:paraId="0A845858" w14:textId="77777777" w:rsidR="004C1E61" w:rsidRPr="0062083D" w:rsidRDefault="004C1E61" w:rsidP="00D16DE2">
            <w:pPr>
              <w:autoSpaceDE w:val="0"/>
              <w:autoSpaceDN w:val="0"/>
              <w:adjustRightInd w:val="0"/>
              <w:spacing w:before="60" w:after="60" w:line="240" w:lineRule="auto"/>
              <w:rPr>
                <w:rFonts w:cs="Arial"/>
                <w:b/>
                <w:bCs/>
                <w:i/>
                <w:iCs/>
                <w:sz w:val="20"/>
                <w:szCs w:val="20"/>
              </w:rPr>
            </w:pPr>
            <w:r w:rsidRPr="0062083D">
              <w:rPr>
                <w:rFonts w:cs="Arial"/>
                <w:b/>
                <w:bCs/>
                <w:i/>
                <w:iCs/>
                <w:sz w:val="20"/>
                <w:szCs w:val="20"/>
              </w:rPr>
              <w:t xml:space="preserve">2.1.5 </w:t>
            </w:r>
            <w:r w:rsidRPr="0062083D">
              <w:rPr>
                <w:rFonts w:cs="Arial"/>
                <w:sz w:val="20"/>
                <w:szCs w:val="20"/>
              </w:rPr>
              <w:t>There are decision rules that trigger additional management measures when there are significant perturbations in the indicator species numbers</w:t>
            </w:r>
            <w:r w:rsidRPr="0062083D">
              <w:rPr>
                <w:rFonts w:cs="Arial"/>
                <w:i/>
                <w:iCs/>
                <w:sz w:val="20"/>
                <w:szCs w:val="20"/>
              </w:rPr>
              <w:t>.</w:t>
            </w:r>
          </w:p>
        </w:tc>
        <w:tc>
          <w:tcPr>
            <w:tcW w:w="2500" w:type="pct"/>
            <w:shd w:val="clear" w:color="auto" w:fill="auto"/>
          </w:tcPr>
          <w:p w14:paraId="0B91519B" w14:textId="68F2501A" w:rsidR="004C1E61" w:rsidRPr="004C1E61" w:rsidRDefault="004C1E61" w:rsidP="00D16DE2">
            <w:pPr>
              <w:spacing w:before="60" w:after="60" w:line="240" w:lineRule="auto"/>
              <w:rPr>
                <w:rFonts w:cs="Arial"/>
                <w:sz w:val="20"/>
                <w:szCs w:val="20"/>
              </w:rPr>
            </w:pPr>
            <w:r w:rsidRPr="004C1E61">
              <w:rPr>
                <w:rFonts w:cs="Arial"/>
                <w:sz w:val="20"/>
                <w:szCs w:val="20"/>
              </w:rPr>
              <w:t>Not applicable.</w:t>
            </w:r>
          </w:p>
          <w:p w14:paraId="60F45517" w14:textId="77777777" w:rsidR="004C1E61" w:rsidRPr="004C1E61" w:rsidRDefault="004C1E61" w:rsidP="00D16DE2">
            <w:pPr>
              <w:spacing w:before="60" w:after="60" w:line="240" w:lineRule="auto"/>
              <w:rPr>
                <w:rFonts w:cs="Arial"/>
                <w:sz w:val="20"/>
                <w:szCs w:val="20"/>
              </w:rPr>
            </w:pPr>
            <w:r w:rsidRPr="004C1E61">
              <w:rPr>
                <w:rFonts w:cs="Arial"/>
                <w:sz w:val="20"/>
                <w:szCs w:val="20"/>
              </w:rPr>
              <w:t>No indicator species have been defined, but all bycatch is recorded in logbooks and periodically reviewed by AFMA.</w:t>
            </w:r>
          </w:p>
        </w:tc>
      </w:tr>
      <w:tr w:rsidR="004C1E61" w:rsidRPr="0062083D" w14:paraId="02D850BE" w14:textId="77777777" w:rsidTr="009A3888">
        <w:trPr>
          <w:gridAfter w:val="1"/>
          <w:wAfter w:w="355" w:type="pct"/>
        </w:trPr>
        <w:tc>
          <w:tcPr>
            <w:tcW w:w="2500" w:type="pct"/>
          </w:tcPr>
          <w:p w14:paraId="48C5CA00" w14:textId="77777777" w:rsidR="004C1E61" w:rsidRPr="0062083D" w:rsidRDefault="004C1E61" w:rsidP="00D16DE2">
            <w:pPr>
              <w:autoSpaceDE w:val="0"/>
              <w:autoSpaceDN w:val="0"/>
              <w:adjustRightInd w:val="0"/>
              <w:spacing w:before="60" w:after="60" w:line="240" w:lineRule="auto"/>
              <w:rPr>
                <w:rFonts w:cs="Arial"/>
                <w:sz w:val="20"/>
                <w:szCs w:val="20"/>
              </w:rPr>
            </w:pPr>
            <w:r w:rsidRPr="0062083D">
              <w:rPr>
                <w:rFonts w:cs="Arial"/>
                <w:b/>
                <w:bCs/>
                <w:i/>
                <w:iCs/>
                <w:sz w:val="20"/>
                <w:szCs w:val="20"/>
              </w:rPr>
              <w:t xml:space="preserve">2.1.6 </w:t>
            </w:r>
            <w:r w:rsidRPr="0062083D">
              <w:rPr>
                <w:rFonts w:cs="Arial"/>
                <w:sz w:val="20"/>
                <w:szCs w:val="20"/>
              </w:rPr>
              <w:t>The management response, considering uncertainties in the assessment and precautionary management actions, has a high chance of achieving the objective.</w:t>
            </w:r>
          </w:p>
        </w:tc>
        <w:tc>
          <w:tcPr>
            <w:tcW w:w="2500" w:type="pct"/>
            <w:shd w:val="clear" w:color="auto" w:fill="92D050"/>
          </w:tcPr>
          <w:p w14:paraId="79B72A22" w14:textId="7878DE62" w:rsidR="004C1E61" w:rsidRPr="004C1E61" w:rsidRDefault="004C1E61" w:rsidP="00D16DE2">
            <w:pPr>
              <w:spacing w:before="60" w:after="60" w:line="240" w:lineRule="auto"/>
              <w:rPr>
                <w:rFonts w:cs="Arial"/>
                <w:sz w:val="20"/>
                <w:szCs w:val="20"/>
              </w:rPr>
            </w:pPr>
            <w:r w:rsidRPr="004C1E61">
              <w:rPr>
                <w:rFonts w:cs="Arial"/>
                <w:sz w:val="20"/>
                <w:szCs w:val="20"/>
              </w:rPr>
              <w:t>Noting the highly selective nature of the fishery, existing management strategies are appropriate.</w:t>
            </w:r>
          </w:p>
        </w:tc>
      </w:tr>
      <w:tr w:rsidR="00426E32" w:rsidRPr="0062083D" w14:paraId="34784CB1" w14:textId="77777777" w:rsidTr="009A3888">
        <w:trPr>
          <w:gridAfter w:val="1"/>
          <w:wAfter w:w="355" w:type="pct"/>
        </w:trPr>
        <w:tc>
          <w:tcPr>
            <w:tcW w:w="2500" w:type="pct"/>
            <w:gridSpan w:val="2"/>
            <w:shd w:val="clear" w:color="auto" w:fill="CCC0D9"/>
          </w:tcPr>
          <w:p w14:paraId="3F9E3C33" w14:textId="77777777" w:rsidR="00426E32" w:rsidRPr="0062083D" w:rsidRDefault="00426E32" w:rsidP="00D16DE2">
            <w:pPr>
              <w:spacing w:before="60" w:after="60" w:line="240" w:lineRule="auto"/>
              <w:rPr>
                <w:rFonts w:cs="Arial"/>
                <w:b/>
                <w:bCs/>
                <w:sz w:val="20"/>
                <w:szCs w:val="20"/>
              </w:rPr>
            </w:pPr>
            <w:r w:rsidRPr="0062083D">
              <w:rPr>
                <w:rFonts w:cs="Arial"/>
                <w:b/>
                <w:bCs/>
                <w:sz w:val="20"/>
                <w:szCs w:val="20"/>
              </w:rPr>
              <w:t xml:space="preserve">Objective 2 - </w:t>
            </w:r>
            <w:r w:rsidRPr="0062083D">
              <w:rPr>
                <w:rFonts w:cs="Arial"/>
                <w:sz w:val="20"/>
                <w:szCs w:val="20"/>
              </w:rPr>
              <w:t>The fishery is conducted in a manner that avoids mortality of, or injuries to, endangered, threatened or protected species and avoids or minimises impacts on threatened ecological communities.</w:t>
            </w:r>
          </w:p>
        </w:tc>
      </w:tr>
      <w:tr w:rsidR="00426E32" w:rsidRPr="0062083D" w14:paraId="0749A197" w14:textId="77777777" w:rsidTr="009A3888">
        <w:trPr>
          <w:gridAfter w:val="1"/>
          <w:wAfter w:w="355" w:type="pct"/>
        </w:trPr>
        <w:tc>
          <w:tcPr>
            <w:tcW w:w="2500" w:type="pct"/>
            <w:gridSpan w:val="2"/>
            <w:shd w:val="clear" w:color="auto" w:fill="E5DFEC"/>
          </w:tcPr>
          <w:p w14:paraId="0622FCD1" w14:textId="77777777" w:rsidR="00426E32" w:rsidRPr="0062083D" w:rsidRDefault="00426E32" w:rsidP="00D16DE2">
            <w:pPr>
              <w:spacing w:before="60" w:after="60" w:line="240" w:lineRule="auto"/>
              <w:rPr>
                <w:rFonts w:cs="Arial"/>
                <w:sz w:val="20"/>
                <w:szCs w:val="20"/>
              </w:rPr>
            </w:pPr>
            <w:r w:rsidRPr="0062083D">
              <w:rPr>
                <w:rFonts w:cs="Arial"/>
                <w:b/>
                <w:bCs/>
                <w:i/>
                <w:iCs/>
                <w:sz w:val="20"/>
                <w:szCs w:val="20"/>
              </w:rPr>
              <w:t xml:space="preserve">Information requirements </w:t>
            </w:r>
          </w:p>
        </w:tc>
      </w:tr>
      <w:tr w:rsidR="004C1E61" w:rsidRPr="0062083D" w14:paraId="2A2F0289" w14:textId="77777777" w:rsidTr="009A3888">
        <w:trPr>
          <w:gridAfter w:val="1"/>
          <w:wAfter w:w="355" w:type="pct"/>
        </w:trPr>
        <w:tc>
          <w:tcPr>
            <w:tcW w:w="2500" w:type="pct"/>
          </w:tcPr>
          <w:p w14:paraId="2EC8D228" w14:textId="77777777" w:rsidR="004C1E61" w:rsidRPr="0062083D" w:rsidRDefault="004C1E61" w:rsidP="00D16DE2">
            <w:pPr>
              <w:autoSpaceDE w:val="0"/>
              <w:autoSpaceDN w:val="0"/>
              <w:adjustRightInd w:val="0"/>
              <w:spacing w:before="60" w:after="60" w:line="240" w:lineRule="auto"/>
              <w:rPr>
                <w:rFonts w:cs="Arial"/>
                <w:b/>
                <w:i/>
                <w:sz w:val="20"/>
                <w:szCs w:val="20"/>
              </w:rPr>
            </w:pPr>
            <w:r w:rsidRPr="0062083D">
              <w:rPr>
                <w:rFonts w:cs="Arial"/>
                <w:b/>
                <w:bCs/>
                <w:i/>
                <w:iCs/>
                <w:sz w:val="20"/>
                <w:szCs w:val="20"/>
              </w:rPr>
              <w:t xml:space="preserve">2.2.1 </w:t>
            </w:r>
            <w:r w:rsidRPr="0062083D">
              <w:rPr>
                <w:rFonts w:cs="Arial"/>
                <w:sz w:val="20"/>
                <w:szCs w:val="20"/>
              </w:rPr>
              <w:t>Reliable information is collected on the interaction with endangered, threatened or protected species and threatened ecological communities.</w:t>
            </w:r>
          </w:p>
        </w:tc>
        <w:tc>
          <w:tcPr>
            <w:tcW w:w="2500" w:type="pct"/>
            <w:shd w:val="clear" w:color="auto" w:fill="92D050"/>
          </w:tcPr>
          <w:p w14:paraId="3489A927" w14:textId="5512C039" w:rsidR="004C1E61" w:rsidRPr="004C1E61" w:rsidRDefault="004C1E61" w:rsidP="00D16DE2">
            <w:pPr>
              <w:spacing w:before="60" w:after="60" w:line="240" w:lineRule="auto"/>
              <w:rPr>
                <w:rFonts w:cs="Arial"/>
                <w:sz w:val="20"/>
                <w:szCs w:val="20"/>
              </w:rPr>
            </w:pPr>
            <w:r w:rsidRPr="004C1E61">
              <w:rPr>
                <w:rFonts w:cs="Arial"/>
                <w:sz w:val="20"/>
                <w:szCs w:val="20"/>
              </w:rPr>
              <w:t>AFMA’s information collection system is robust and includes fishery dependent and independent research and monitoring.</w:t>
            </w:r>
          </w:p>
          <w:p w14:paraId="202B0CAB" w14:textId="78225276" w:rsidR="004C1E61" w:rsidRPr="004C1E61" w:rsidRDefault="004C1E61" w:rsidP="00D16DE2">
            <w:pPr>
              <w:spacing w:before="60" w:after="60" w:line="240" w:lineRule="auto"/>
              <w:rPr>
                <w:rFonts w:cs="Arial"/>
                <w:sz w:val="20"/>
                <w:szCs w:val="20"/>
              </w:rPr>
            </w:pPr>
            <w:r w:rsidRPr="004C1E61">
              <w:rPr>
                <w:rFonts w:cs="Arial"/>
                <w:sz w:val="20"/>
                <w:szCs w:val="20"/>
              </w:rPr>
              <w:t xml:space="preserve">All Australian fishing activity including any interactions with protected species, gear loss and other information must be recorded using </w:t>
            </w:r>
            <w:hyperlink r:id="rId76" w:history="1">
              <w:r w:rsidRPr="004C1E61">
                <w:rPr>
                  <w:rStyle w:val="Hyperlink"/>
                  <w:rFonts w:cs="Arial"/>
                  <w:sz w:val="20"/>
                  <w:szCs w:val="20"/>
                </w:rPr>
                <w:t>AFMA approved logbooks</w:t>
              </w:r>
            </w:hyperlink>
            <w:r w:rsidRPr="004C1E61">
              <w:rPr>
                <w:rFonts w:cs="Arial"/>
                <w:sz w:val="20"/>
                <w:szCs w:val="20"/>
              </w:rPr>
              <w:t xml:space="preserve">. All vessels must also operate vessel monitoring systems, and if requested, carry an AFMA observer or e-monitoring system. The ERM strategy requires at least five per cent observer </w:t>
            </w:r>
            <w:r w:rsidRPr="004C1E61">
              <w:rPr>
                <w:rFonts w:cs="Arial"/>
                <w:sz w:val="20"/>
                <w:szCs w:val="20"/>
              </w:rPr>
              <w:lastRenderedPageBreak/>
              <w:t>coverage of all fishing activity, which includes the first trip by each boat each season (</w:t>
            </w:r>
            <w:hyperlink r:id="rId77" w:history="1">
              <w:r w:rsidRPr="004C1E61">
                <w:rPr>
                  <w:rStyle w:val="Hyperlink"/>
                  <w:rFonts w:cs="Arial"/>
                  <w:sz w:val="20"/>
                  <w:szCs w:val="20"/>
                </w:rPr>
                <w:t>AFMA 2010</w:t>
              </w:r>
            </w:hyperlink>
            <w:r w:rsidRPr="004C1E61">
              <w:rPr>
                <w:rFonts w:cs="Arial"/>
                <w:sz w:val="20"/>
                <w:szCs w:val="20"/>
              </w:rPr>
              <w:t xml:space="preserve"> and pers. comm. 2016); however these minimum requirements are not currently specified in </w:t>
            </w:r>
            <w:hyperlink r:id="rId78" w:history="1">
              <w:r w:rsidRPr="004C1E61">
                <w:rPr>
                  <w:rStyle w:val="Hyperlink"/>
                  <w:rFonts w:cs="Arial"/>
                  <w:sz w:val="20"/>
                  <w:szCs w:val="20"/>
                </w:rPr>
                <w:t>permit conditions</w:t>
              </w:r>
            </w:hyperlink>
            <w:r w:rsidRPr="004C1E61">
              <w:rPr>
                <w:rFonts w:cs="Arial"/>
                <w:sz w:val="20"/>
                <w:szCs w:val="20"/>
              </w:rPr>
              <w:t>.</w:t>
            </w:r>
          </w:p>
          <w:p w14:paraId="2E91CB3F" w14:textId="77777777" w:rsidR="004C1E61" w:rsidRPr="004C1E61" w:rsidRDefault="004C1E61" w:rsidP="00D16DE2">
            <w:pPr>
              <w:spacing w:before="60" w:after="60" w:line="240" w:lineRule="auto"/>
              <w:rPr>
                <w:rFonts w:cs="Arial"/>
                <w:sz w:val="20"/>
                <w:szCs w:val="20"/>
              </w:rPr>
            </w:pPr>
            <w:r w:rsidRPr="004C1E61">
              <w:rPr>
                <w:rFonts w:cs="Arial"/>
                <w:sz w:val="20"/>
                <w:szCs w:val="20"/>
              </w:rPr>
              <w:t>Similar information collection programs exist in the broader WCPFC and IOTC areas of competence, but issues such as observer safety, data collection from artisanal fishing sectors, and the quality and timeliness of data may affect the reliability of some of this information (</w:t>
            </w:r>
            <w:hyperlink r:id="rId79" w:history="1">
              <w:r w:rsidRPr="004C1E61">
                <w:rPr>
                  <w:rStyle w:val="Hyperlink"/>
                  <w:rFonts w:cs="Arial"/>
                  <w:sz w:val="20"/>
                  <w:szCs w:val="20"/>
                </w:rPr>
                <w:t>WCPFC 2015</w:t>
              </w:r>
            </w:hyperlink>
            <w:r w:rsidRPr="004C1E61">
              <w:rPr>
                <w:rFonts w:cs="Arial"/>
                <w:sz w:val="20"/>
                <w:szCs w:val="20"/>
              </w:rPr>
              <w:t xml:space="preserve">, </w:t>
            </w:r>
            <w:hyperlink r:id="rId80" w:history="1">
              <w:r w:rsidRPr="004C1E61">
                <w:rPr>
                  <w:rStyle w:val="Hyperlink"/>
                  <w:rFonts w:cs="Arial"/>
                  <w:sz w:val="20"/>
                  <w:szCs w:val="20"/>
                </w:rPr>
                <w:t>IOTC 2015</w:t>
              </w:r>
            </w:hyperlink>
            <w:r w:rsidRPr="004C1E61">
              <w:rPr>
                <w:rFonts w:cs="Arial"/>
                <w:sz w:val="20"/>
                <w:szCs w:val="20"/>
              </w:rPr>
              <w:t>). It is unclear what impact these issues may have on the international management arrangements, however Australia’s arrangements are considered sufficiently robust for current Australian operations.</w:t>
            </w:r>
          </w:p>
        </w:tc>
      </w:tr>
      <w:tr w:rsidR="00426E32" w:rsidRPr="0062083D" w14:paraId="384FCC69" w14:textId="77777777" w:rsidTr="009A3888">
        <w:trPr>
          <w:gridAfter w:val="1"/>
          <w:wAfter w:w="355" w:type="pct"/>
        </w:trPr>
        <w:tc>
          <w:tcPr>
            <w:tcW w:w="2500" w:type="pct"/>
            <w:gridSpan w:val="2"/>
            <w:shd w:val="clear" w:color="auto" w:fill="E5DFEC"/>
          </w:tcPr>
          <w:p w14:paraId="688102A8" w14:textId="18B6EBED" w:rsidR="00426E32" w:rsidRPr="0062083D" w:rsidRDefault="00426E32" w:rsidP="00D16DE2">
            <w:pPr>
              <w:spacing w:before="60" w:after="60" w:line="240" w:lineRule="auto"/>
              <w:rPr>
                <w:rFonts w:cs="Arial"/>
                <w:b/>
                <w:bCs/>
                <w:i/>
                <w:iCs/>
                <w:sz w:val="20"/>
                <w:szCs w:val="20"/>
              </w:rPr>
            </w:pPr>
            <w:r w:rsidRPr="0062083D">
              <w:rPr>
                <w:rFonts w:cs="Arial"/>
                <w:b/>
                <w:bCs/>
                <w:i/>
                <w:iCs/>
                <w:sz w:val="20"/>
                <w:szCs w:val="20"/>
              </w:rPr>
              <w:lastRenderedPageBreak/>
              <w:t xml:space="preserve">Assessments </w:t>
            </w:r>
          </w:p>
        </w:tc>
      </w:tr>
      <w:tr w:rsidR="004C1E61" w:rsidRPr="0062083D" w14:paraId="59587589" w14:textId="77777777" w:rsidTr="009A3888">
        <w:trPr>
          <w:gridAfter w:val="1"/>
          <w:wAfter w:w="355" w:type="pct"/>
        </w:trPr>
        <w:tc>
          <w:tcPr>
            <w:tcW w:w="2500" w:type="pct"/>
          </w:tcPr>
          <w:p w14:paraId="6861A8C4" w14:textId="77777777" w:rsidR="004C1E61" w:rsidRPr="0062083D" w:rsidRDefault="004C1E61" w:rsidP="00D16DE2">
            <w:pPr>
              <w:autoSpaceDE w:val="0"/>
              <w:autoSpaceDN w:val="0"/>
              <w:adjustRightInd w:val="0"/>
              <w:spacing w:before="60" w:after="60" w:line="240" w:lineRule="auto"/>
              <w:rPr>
                <w:rFonts w:cs="Arial"/>
                <w:sz w:val="20"/>
                <w:szCs w:val="20"/>
              </w:rPr>
            </w:pPr>
            <w:r w:rsidRPr="0062083D">
              <w:rPr>
                <w:rFonts w:cs="Arial"/>
                <w:b/>
                <w:bCs/>
                <w:i/>
                <w:iCs/>
                <w:sz w:val="20"/>
                <w:szCs w:val="20"/>
              </w:rPr>
              <w:t xml:space="preserve">2.2.2 </w:t>
            </w:r>
            <w:r w:rsidRPr="0062083D">
              <w:rPr>
                <w:rFonts w:cs="Arial"/>
                <w:sz w:val="20"/>
                <w:szCs w:val="20"/>
              </w:rPr>
              <w:t xml:space="preserve">There is an assessment of the impact of the fishery on endangered, threatened or protected species. </w:t>
            </w:r>
          </w:p>
        </w:tc>
        <w:tc>
          <w:tcPr>
            <w:tcW w:w="2500" w:type="pct"/>
            <w:shd w:val="clear" w:color="auto" w:fill="92D050"/>
          </w:tcPr>
          <w:p w14:paraId="54EB870B" w14:textId="06DBE749" w:rsidR="004C1E61" w:rsidRPr="004C1E61" w:rsidRDefault="004C1E61" w:rsidP="00D16DE2">
            <w:pPr>
              <w:spacing w:before="60" w:after="60" w:line="240" w:lineRule="auto"/>
              <w:rPr>
                <w:rFonts w:cs="Arial"/>
                <w:sz w:val="20"/>
                <w:szCs w:val="20"/>
              </w:rPr>
            </w:pPr>
            <w:r w:rsidRPr="004C1E61">
              <w:rPr>
                <w:rFonts w:cs="Arial"/>
                <w:sz w:val="20"/>
                <w:szCs w:val="20"/>
              </w:rPr>
              <w:t>Risks assessed and impacts are considered negligible due to current lack of fishing activity.</w:t>
            </w:r>
          </w:p>
          <w:p w14:paraId="6AA8A5CF" w14:textId="77777777" w:rsidR="004C1E61" w:rsidRPr="004C1E61" w:rsidRDefault="004C1E61" w:rsidP="00D16DE2">
            <w:pPr>
              <w:spacing w:before="60" w:after="60" w:line="240" w:lineRule="auto"/>
              <w:rPr>
                <w:rFonts w:cs="Arial"/>
                <w:sz w:val="20"/>
                <w:szCs w:val="20"/>
              </w:rPr>
            </w:pPr>
            <w:r w:rsidRPr="004C1E61">
              <w:rPr>
                <w:rFonts w:cs="Arial"/>
                <w:sz w:val="20"/>
                <w:szCs w:val="20"/>
              </w:rPr>
              <w:t>Twenty-five species of marine mammals were identified as high risk in AFMA’s ERA (</w:t>
            </w:r>
            <w:hyperlink r:id="rId81" w:history="1">
              <w:r w:rsidRPr="004C1E61">
                <w:rPr>
                  <w:rStyle w:val="Hyperlink"/>
                  <w:rFonts w:cs="Arial"/>
                  <w:sz w:val="20"/>
                  <w:szCs w:val="20"/>
                </w:rPr>
                <w:t>AFMA 2009</w:t>
              </w:r>
            </w:hyperlink>
            <w:r w:rsidRPr="004C1E61">
              <w:rPr>
                <w:rFonts w:cs="Arial"/>
                <w:sz w:val="20"/>
                <w:szCs w:val="20"/>
              </w:rPr>
              <w:t>). AFMA’s ERM strategy requires AFMA to monitor future activity to detect and respond to any emerging issues.</w:t>
            </w:r>
          </w:p>
          <w:p w14:paraId="62EDD6DB" w14:textId="00852C64" w:rsidR="004C1E61" w:rsidRPr="004C1E61" w:rsidRDefault="004C1E61" w:rsidP="00D16DE2">
            <w:pPr>
              <w:spacing w:before="60" w:after="60" w:line="240" w:lineRule="auto"/>
              <w:rPr>
                <w:rFonts w:cs="Arial"/>
                <w:sz w:val="20"/>
                <w:szCs w:val="20"/>
              </w:rPr>
            </w:pPr>
            <w:r w:rsidRPr="004C1E61">
              <w:rPr>
                <w:rFonts w:cs="Arial"/>
                <w:sz w:val="20"/>
                <w:szCs w:val="20"/>
              </w:rPr>
              <w:t>AFMA has also committed to review its current ERA and ERM strategy during 2018 and will consider any new information at this time.</w:t>
            </w:r>
          </w:p>
        </w:tc>
      </w:tr>
      <w:tr w:rsidR="004C1E61" w:rsidRPr="0062083D" w14:paraId="20D288D3" w14:textId="77777777" w:rsidTr="009A3888">
        <w:trPr>
          <w:gridAfter w:val="1"/>
          <w:wAfter w:w="355" w:type="pct"/>
        </w:trPr>
        <w:tc>
          <w:tcPr>
            <w:tcW w:w="2500" w:type="pct"/>
          </w:tcPr>
          <w:p w14:paraId="31A1EAC7" w14:textId="77777777" w:rsidR="004C1E61" w:rsidRPr="0062083D" w:rsidRDefault="004C1E61" w:rsidP="00D16DE2">
            <w:pPr>
              <w:autoSpaceDE w:val="0"/>
              <w:autoSpaceDN w:val="0"/>
              <w:adjustRightInd w:val="0"/>
              <w:spacing w:before="60" w:after="60" w:line="240" w:lineRule="auto"/>
              <w:rPr>
                <w:rFonts w:cs="Arial"/>
                <w:sz w:val="20"/>
                <w:szCs w:val="20"/>
              </w:rPr>
            </w:pPr>
            <w:r w:rsidRPr="0062083D">
              <w:rPr>
                <w:rFonts w:cs="Arial"/>
                <w:b/>
                <w:bCs/>
                <w:i/>
                <w:iCs/>
                <w:sz w:val="20"/>
                <w:szCs w:val="20"/>
              </w:rPr>
              <w:t xml:space="preserve">2.2.3 </w:t>
            </w:r>
            <w:r w:rsidRPr="0062083D">
              <w:rPr>
                <w:rFonts w:cs="Arial"/>
                <w:sz w:val="20"/>
                <w:szCs w:val="20"/>
              </w:rPr>
              <w:t>There is an assessment of the impact of the fishery on threatened ecological communities.</w:t>
            </w:r>
          </w:p>
        </w:tc>
        <w:tc>
          <w:tcPr>
            <w:tcW w:w="2500" w:type="pct"/>
            <w:shd w:val="clear" w:color="auto" w:fill="auto"/>
          </w:tcPr>
          <w:p w14:paraId="5BA6C747" w14:textId="52A988B1" w:rsidR="004C1E61" w:rsidRPr="004C1E61" w:rsidRDefault="004C1E61" w:rsidP="00D16DE2">
            <w:pPr>
              <w:spacing w:before="60" w:after="60" w:line="240" w:lineRule="auto"/>
              <w:rPr>
                <w:rFonts w:cs="Arial"/>
                <w:sz w:val="20"/>
                <w:szCs w:val="20"/>
              </w:rPr>
            </w:pPr>
            <w:r w:rsidRPr="004C1E61">
              <w:rPr>
                <w:rFonts w:cs="Arial"/>
                <w:sz w:val="20"/>
                <w:szCs w:val="20"/>
              </w:rPr>
              <w:t>Not applicable.</w:t>
            </w:r>
          </w:p>
          <w:p w14:paraId="2837CC3B" w14:textId="77777777" w:rsidR="004C1E61" w:rsidRPr="004C1E61" w:rsidRDefault="004C1E61" w:rsidP="00D16DE2">
            <w:pPr>
              <w:spacing w:before="60" w:after="60" w:line="240" w:lineRule="auto"/>
              <w:rPr>
                <w:rFonts w:cs="Arial"/>
                <w:sz w:val="20"/>
                <w:szCs w:val="20"/>
              </w:rPr>
            </w:pPr>
            <w:r w:rsidRPr="004C1E61">
              <w:rPr>
                <w:rFonts w:cs="Arial"/>
                <w:sz w:val="20"/>
                <w:szCs w:val="20"/>
              </w:rPr>
              <w:t>While the fishery includes areas of the Giant Kelp Marine Forests of South East Australia ecological community (EC), fishing usually occurs within 30 metres of the surface, in waters 100 to 500 metres deep (</w:t>
            </w:r>
            <w:hyperlink r:id="rId82" w:history="1">
              <w:r w:rsidRPr="004C1E61">
                <w:rPr>
                  <w:rStyle w:val="Hyperlink"/>
                  <w:rFonts w:cs="Arial"/>
                  <w:sz w:val="20"/>
                  <w:szCs w:val="20"/>
                </w:rPr>
                <w:t>AFMA 2007</w:t>
              </w:r>
            </w:hyperlink>
            <w:r w:rsidRPr="004C1E61">
              <w:rPr>
                <w:rFonts w:cs="Arial"/>
                <w:sz w:val="20"/>
                <w:szCs w:val="20"/>
              </w:rPr>
              <w:t>). Fishing has also not historically been undertaken over Giant Kelp Marine Forests.</w:t>
            </w:r>
          </w:p>
          <w:p w14:paraId="7FA2BA50" w14:textId="77777777" w:rsidR="004C1E61" w:rsidRPr="004C1E61" w:rsidRDefault="004C1E61" w:rsidP="00D16DE2">
            <w:pPr>
              <w:spacing w:before="60" w:after="60" w:line="240" w:lineRule="auto"/>
              <w:rPr>
                <w:rFonts w:cs="Arial"/>
                <w:sz w:val="20"/>
                <w:szCs w:val="20"/>
              </w:rPr>
            </w:pPr>
            <w:r w:rsidRPr="004C1E61">
              <w:rPr>
                <w:rFonts w:cs="Arial"/>
                <w:sz w:val="20"/>
                <w:szCs w:val="20"/>
              </w:rPr>
              <w:t>Threats to this EC include climate change, sedimentation and removal of urchin predators through fishing. The fishery is unlikely to contribute significantly to any of these impacts.</w:t>
            </w:r>
          </w:p>
        </w:tc>
      </w:tr>
      <w:tr w:rsidR="00426E32" w:rsidRPr="0062083D" w14:paraId="3B038A8A" w14:textId="77777777" w:rsidTr="009A3888">
        <w:trPr>
          <w:gridAfter w:val="1"/>
          <w:wAfter w:w="355" w:type="pct"/>
        </w:trPr>
        <w:tc>
          <w:tcPr>
            <w:tcW w:w="2500" w:type="pct"/>
            <w:gridSpan w:val="2"/>
            <w:shd w:val="clear" w:color="auto" w:fill="E5DFEC"/>
          </w:tcPr>
          <w:p w14:paraId="47D7C092" w14:textId="77777777" w:rsidR="00426E32" w:rsidRPr="0062083D" w:rsidRDefault="00426E32" w:rsidP="00D16DE2">
            <w:pPr>
              <w:spacing w:before="60" w:after="60" w:line="240" w:lineRule="auto"/>
              <w:rPr>
                <w:rFonts w:cs="Arial"/>
                <w:b/>
                <w:bCs/>
                <w:i/>
                <w:iCs/>
                <w:sz w:val="20"/>
                <w:szCs w:val="20"/>
              </w:rPr>
            </w:pPr>
            <w:r w:rsidRPr="0062083D">
              <w:rPr>
                <w:rFonts w:cs="Arial"/>
                <w:b/>
                <w:bCs/>
                <w:i/>
                <w:iCs/>
                <w:sz w:val="20"/>
                <w:szCs w:val="20"/>
              </w:rPr>
              <w:t xml:space="preserve">Management responses </w:t>
            </w:r>
          </w:p>
        </w:tc>
      </w:tr>
      <w:tr w:rsidR="004C1E61" w:rsidRPr="0062083D" w14:paraId="596BF7F8" w14:textId="77777777" w:rsidTr="009A3888">
        <w:trPr>
          <w:gridAfter w:val="1"/>
          <w:wAfter w:w="355" w:type="pct"/>
        </w:trPr>
        <w:tc>
          <w:tcPr>
            <w:tcW w:w="2500" w:type="pct"/>
          </w:tcPr>
          <w:p w14:paraId="11E6A062" w14:textId="77777777" w:rsidR="004C1E61" w:rsidRPr="0062083D" w:rsidRDefault="004C1E61" w:rsidP="00D16DE2">
            <w:pPr>
              <w:autoSpaceDE w:val="0"/>
              <w:autoSpaceDN w:val="0"/>
              <w:adjustRightInd w:val="0"/>
              <w:spacing w:before="60" w:after="60" w:line="240" w:lineRule="auto"/>
              <w:rPr>
                <w:rFonts w:cs="Arial"/>
                <w:sz w:val="20"/>
                <w:szCs w:val="20"/>
              </w:rPr>
            </w:pPr>
            <w:r w:rsidRPr="0062083D">
              <w:rPr>
                <w:rFonts w:cs="Arial"/>
                <w:b/>
                <w:bCs/>
                <w:i/>
                <w:iCs/>
                <w:sz w:val="20"/>
                <w:szCs w:val="20"/>
              </w:rPr>
              <w:t xml:space="preserve">2.2.4 </w:t>
            </w:r>
            <w:r w:rsidRPr="0062083D">
              <w:rPr>
                <w:rFonts w:cs="Arial"/>
                <w:sz w:val="20"/>
                <w:szCs w:val="20"/>
              </w:rPr>
              <w:t xml:space="preserve">There are measures in place to avoid capture and/or mortality of endangered, threatened or protected species. </w:t>
            </w:r>
          </w:p>
        </w:tc>
        <w:tc>
          <w:tcPr>
            <w:tcW w:w="2500" w:type="pct"/>
            <w:shd w:val="clear" w:color="auto" w:fill="92D050"/>
          </w:tcPr>
          <w:p w14:paraId="4F3C92C0" w14:textId="28C95418" w:rsidR="004C1E61" w:rsidRPr="004C1E61" w:rsidRDefault="004C1E61" w:rsidP="00D16DE2">
            <w:pPr>
              <w:spacing w:before="60" w:after="60" w:line="240" w:lineRule="auto"/>
              <w:rPr>
                <w:rFonts w:cs="Arial"/>
                <w:sz w:val="20"/>
                <w:szCs w:val="20"/>
              </w:rPr>
            </w:pPr>
            <w:r w:rsidRPr="004C1E61">
              <w:rPr>
                <w:rFonts w:cs="Arial"/>
                <w:sz w:val="20"/>
                <w:szCs w:val="20"/>
              </w:rPr>
              <w:t>Existing arrangements are sufficient for the current lack of fishing activity.</w:t>
            </w:r>
          </w:p>
          <w:p w14:paraId="61D6B880" w14:textId="77777777" w:rsidR="004C1E61" w:rsidRPr="004C1E61" w:rsidRDefault="004C1E61" w:rsidP="00D16DE2">
            <w:pPr>
              <w:spacing w:before="60" w:after="60" w:line="240" w:lineRule="auto"/>
              <w:rPr>
                <w:rFonts w:cs="Arial"/>
                <w:sz w:val="20"/>
                <w:szCs w:val="20"/>
              </w:rPr>
            </w:pPr>
            <w:r w:rsidRPr="004C1E61">
              <w:rPr>
                <w:rFonts w:cs="Arial"/>
                <w:sz w:val="20"/>
                <w:szCs w:val="20"/>
              </w:rPr>
              <w:t>Although there are no specific measures in place to mitigate risk to the 25 high risk marine mammals identified in AFMA’s ERA (</w:t>
            </w:r>
            <w:hyperlink r:id="rId83" w:history="1">
              <w:r w:rsidRPr="004C1E61">
                <w:rPr>
                  <w:rStyle w:val="Hyperlink"/>
                  <w:rFonts w:cs="Arial"/>
                  <w:sz w:val="20"/>
                  <w:szCs w:val="20"/>
                </w:rPr>
                <w:t>AFMA 2010</w:t>
              </w:r>
            </w:hyperlink>
            <w:r w:rsidRPr="004C1E61">
              <w:rPr>
                <w:rFonts w:cs="Arial"/>
                <w:sz w:val="20"/>
                <w:szCs w:val="20"/>
              </w:rPr>
              <w:t>), there have been no interactions reported in logbook or observer records to date.</w:t>
            </w:r>
          </w:p>
          <w:p w14:paraId="0570F4CC" w14:textId="1F1485F1" w:rsidR="004C1E61" w:rsidRPr="004C1E61" w:rsidRDefault="004C1E61" w:rsidP="00D16DE2">
            <w:pPr>
              <w:spacing w:before="60" w:after="60" w:line="240" w:lineRule="auto"/>
              <w:rPr>
                <w:rFonts w:cs="Arial"/>
                <w:sz w:val="20"/>
                <w:szCs w:val="20"/>
              </w:rPr>
            </w:pPr>
            <w:r w:rsidRPr="004C1E61">
              <w:rPr>
                <w:rFonts w:cs="Arial"/>
                <w:sz w:val="20"/>
                <w:szCs w:val="20"/>
              </w:rPr>
              <w:t>AFMA’s ERM strategy requires AFMA to monitor fishing activity (minimum five per cent observer coverage, including the first trip by each boat each year), to detect and respond to any emerging issues. AFMA has also committed to review its current ERA and ERM strategy during 2018 and will consider any new information at this time.</w:t>
            </w:r>
          </w:p>
        </w:tc>
      </w:tr>
      <w:tr w:rsidR="004C1E61" w:rsidRPr="0062083D" w14:paraId="07E7BBD7" w14:textId="77777777" w:rsidTr="009A3888">
        <w:trPr>
          <w:gridAfter w:val="1"/>
          <w:wAfter w:w="355" w:type="pct"/>
        </w:trPr>
        <w:tc>
          <w:tcPr>
            <w:tcW w:w="2500" w:type="pct"/>
          </w:tcPr>
          <w:p w14:paraId="1E14D856" w14:textId="77777777" w:rsidR="004C1E61" w:rsidRPr="0062083D" w:rsidRDefault="004C1E61" w:rsidP="00D16DE2">
            <w:pPr>
              <w:autoSpaceDE w:val="0"/>
              <w:autoSpaceDN w:val="0"/>
              <w:adjustRightInd w:val="0"/>
              <w:spacing w:before="60" w:after="60" w:line="240" w:lineRule="auto"/>
              <w:rPr>
                <w:rFonts w:cs="Arial"/>
                <w:sz w:val="20"/>
                <w:szCs w:val="20"/>
              </w:rPr>
            </w:pPr>
            <w:r w:rsidRPr="0062083D">
              <w:rPr>
                <w:rFonts w:cs="Arial"/>
                <w:b/>
                <w:bCs/>
                <w:i/>
                <w:iCs/>
                <w:sz w:val="20"/>
                <w:szCs w:val="20"/>
              </w:rPr>
              <w:lastRenderedPageBreak/>
              <w:t xml:space="preserve">2.2.5 </w:t>
            </w:r>
            <w:r w:rsidRPr="0062083D">
              <w:rPr>
                <w:rFonts w:cs="Arial"/>
                <w:sz w:val="20"/>
                <w:szCs w:val="20"/>
              </w:rPr>
              <w:t xml:space="preserve">There are measures in place to avoid impact on threatened ecological communities. </w:t>
            </w:r>
          </w:p>
        </w:tc>
        <w:tc>
          <w:tcPr>
            <w:tcW w:w="2500" w:type="pct"/>
            <w:shd w:val="clear" w:color="auto" w:fill="auto"/>
          </w:tcPr>
          <w:p w14:paraId="0C738AFD" w14:textId="7E4B732B" w:rsidR="004C1E61" w:rsidRPr="004C1E61" w:rsidRDefault="004C1E61" w:rsidP="00D16DE2">
            <w:pPr>
              <w:spacing w:before="60" w:after="60" w:line="240" w:lineRule="auto"/>
              <w:rPr>
                <w:rFonts w:cs="Arial"/>
                <w:sz w:val="20"/>
                <w:szCs w:val="20"/>
              </w:rPr>
            </w:pPr>
            <w:r w:rsidRPr="004C1E61">
              <w:rPr>
                <w:rFonts w:cs="Arial"/>
                <w:sz w:val="20"/>
                <w:szCs w:val="20"/>
              </w:rPr>
              <w:t>Not applicable.</w:t>
            </w:r>
          </w:p>
          <w:p w14:paraId="47A7B56C" w14:textId="77777777" w:rsidR="004C1E61" w:rsidRPr="004C1E61" w:rsidRDefault="004C1E61" w:rsidP="00D16DE2">
            <w:pPr>
              <w:spacing w:before="60" w:after="60" w:line="240" w:lineRule="auto"/>
              <w:rPr>
                <w:rFonts w:cs="Arial"/>
                <w:sz w:val="20"/>
                <w:szCs w:val="20"/>
              </w:rPr>
            </w:pPr>
            <w:r w:rsidRPr="004C1E61">
              <w:rPr>
                <w:rFonts w:cs="Arial"/>
                <w:sz w:val="20"/>
                <w:szCs w:val="20"/>
              </w:rPr>
              <w:t>The fishery does not interact with any threatened ecological communities.</w:t>
            </w:r>
          </w:p>
        </w:tc>
      </w:tr>
      <w:tr w:rsidR="004C1E61" w:rsidRPr="0062083D" w14:paraId="6CCBA6B8" w14:textId="77777777" w:rsidTr="009A3888">
        <w:trPr>
          <w:gridAfter w:val="1"/>
          <w:wAfter w:w="355" w:type="pct"/>
        </w:trPr>
        <w:tc>
          <w:tcPr>
            <w:tcW w:w="2500" w:type="pct"/>
          </w:tcPr>
          <w:p w14:paraId="601DE525" w14:textId="77777777" w:rsidR="004C1E61" w:rsidRPr="0062083D" w:rsidRDefault="004C1E61" w:rsidP="00D16DE2">
            <w:pPr>
              <w:autoSpaceDE w:val="0"/>
              <w:autoSpaceDN w:val="0"/>
              <w:adjustRightInd w:val="0"/>
              <w:spacing w:before="60" w:after="60" w:line="240" w:lineRule="auto"/>
              <w:rPr>
                <w:rFonts w:cs="Arial"/>
                <w:sz w:val="20"/>
                <w:szCs w:val="20"/>
              </w:rPr>
            </w:pPr>
            <w:r w:rsidRPr="0062083D">
              <w:rPr>
                <w:rFonts w:cs="Arial"/>
                <w:b/>
                <w:bCs/>
                <w:i/>
                <w:iCs/>
                <w:sz w:val="20"/>
                <w:szCs w:val="20"/>
              </w:rPr>
              <w:t xml:space="preserve">2.2.6 </w:t>
            </w:r>
            <w:r w:rsidRPr="0062083D">
              <w:rPr>
                <w:rFonts w:cs="Arial"/>
                <w:sz w:val="20"/>
                <w:szCs w:val="20"/>
              </w:rPr>
              <w:t>The management response, considering uncertainties in the assessment and precautionary management actions, has a high chance of achieving the objective.</w:t>
            </w:r>
          </w:p>
        </w:tc>
        <w:tc>
          <w:tcPr>
            <w:tcW w:w="2500" w:type="pct"/>
            <w:shd w:val="clear" w:color="auto" w:fill="92D050"/>
          </w:tcPr>
          <w:p w14:paraId="5762141C" w14:textId="77777777" w:rsidR="004C1E61" w:rsidRPr="004C1E61" w:rsidRDefault="004C1E61" w:rsidP="00D16DE2">
            <w:pPr>
              <w:spacing w:before="60" w:after="60" w:line="240" w:lineRule="auto"/>
              <w:rPr>
                <w:rFonts w:cs="Arial"/>
                <w:sz w:val="20"/>
                <w:szCs w:val="20"/>
              </w:rPr>
            </w:pPr>
            <w:r w:rsidRPr="004C1E61">
              <w:rPr>
                <w:rFonts w:cs="Arial"/>
                <w:sz w:val="20"/>
                <w:szCs w:val="20"/>
              </w:rPr>
              <w:t>The management response has a high chance of achieving the objective, particularly while the fishery is inactive.</w:t>
            </w:r>
          </w:p>
          <w:p w14:paraId="68AA6AAF" w14:textId="77777777" w:rsidR="004C1E61" w:rsidRPr="004C1E61" w:rsidRDefault="004C1E61" w:rsidP="00D16DE2">
            <w:pPr>
              <w:spacing w:before="60" w:after="60" w:line="240" w:lineRule="auto"/>
              <w:rPr>
                <w:rFonts w:cs="Arial"/>
                <w:sz w:val="20"/>
                <w:szCs w:val="20"/>
              </w:rPr>
            </w:pPr>
            <w:r w:rsidRPr="004C1E61">
              <w:rPr>
                <w:rFonts w:cs="Arial"/>
                <w:sz w:val="20"/>
                <w:szCs w:val="20"/>
              </w:rPr>
              <w:t>However, risk assessments and management arrangements may need to be reviewed to ensure future sustainability if the fishery resumes activity.</w:t>
            </w:r>
          </w:p>
        </w:tc>
      </w:tr>
      <w:tr w:rsidR="00426E32" w:rsidRPr="0062083D" w14:paraId="1C9BABEC" w14:textId="77777777" w:rsidTr="009A3888">
        <w:trPr>
          <w:gridAfter w:val="1"/>
          <w:wAfter w:w="355" w:type="pct"/>
        </w:trPr>
        <w:tc>
          <w:tcPr>
            <w:tcW w:w="2500" w:type="pct"/>
            <w:gridSpan w:val="2"/>
            <w:shd w:val="clear" w:color="auto" w:fill="CCC0D9"/>
          </w:tcPr>
          <w:p w14:paraId="5BC7D74E" w14:textId="77777777" w:rsidR="00426E32" w:rsidRPr="0062083D" w:rsidRDefault="00426E32" w:rsidP="00D16DE2">
            <w:pPr>
              <w:spacing w:before="60" w:after="60" w:line="240" w:lineRule="auto"/>
              <w:rPr>
                <w:rFonts w:cs="Arial"/>
                <w:b/>
                <w:bCs/>
                <w:sz w:val="20"/>
                <w:szCs w:val="20"/>
              </w:rPr>
            </w:pPr>
            <w:r w:rsidRPr="0062083D">
              <w:rPr>
                <w:rFonts w:cs="Arial"/>
                <w:b/>
                <w:bCs/>
                <w:sz w:val="20"/>
                <w:szCs w:val="20"/>
              </w:rPr>
              <w:t xml:space="preserve">Objective 3 - </w:t>
            </w:r>
            <w:r w:rsidRPr="0062083D">
              <w:rPr>
                <w:rFonts w:cs="Arial"/>
                <w:sz w:val="20"/>
                <w:szCs w:val="20"/>
              </w:rPr>
              <w:t>The fishery is conducted, in a manner that minimises the impact of fishing operations on the ecosystem generally.</w:t>
            </w:r>
          </w:p>
        </w:tc>
      </w:tr>
      <w:tr w:rsidR="00426E32" w:rsidRPr="0062083D" w14:paraId="174FB05E" w14:textId="77777777" w:rsidTr="009A3888">
        <w:trPr>
          <w:gridAfter w:val="1"/>
          <w:wAfter w:w="355" w:type="pct"/>
        </w:trPr>
        <w:tc>
          <w:tcPr>
            <w:tcW w:w="2500" w:type="pct"/>
            <w:gridSpan w:val="2"/>
            <w:shd w:val="clear" w:color="auto" w:fill="E5DFEC"/>
          </w:tcPr>
          <w:p w14:paraId="1B1F3562" w14:textId="77777777" w:rsidR="00426E32" w:rsidRPr="0062083D" w:rsidRDefault="00426E32" w:rsidP="00D16DE2">
            <w:pPr>
              <w:spacing w:before="60" w:after="60" w:line="240" w:lineRule="auto"/>
              <w:rPr>
                <w:rFonts w:cs="Arial"/>
                <w:b/>
                <w:bCs/>
                <w:i/>
                <w:iCs/>
                <w:sz w:val="20"/>
                <w:szCs w:val="20"/>
              </w:rPr>
            </w:pPr>
            <w:r w:rsidRPr="0062083D">
              <w:rPr>
                <w:rFonts w:cs="Arial"/>
                <w:b/>
                <w:bCs/>
                <w:i/>
                <w:iCs/>
                <w:sz w:val="20"/>
                <w:szCs w:val="20"/>
              </w:rPr>
              <w:t xml:space="preserve">Information requirements </w:t>
            </w:r>
          </w:p>
        </w:tc>
      </w:tr>
      <w:tr w:rsidR="00D16DE2" w:rsidRPr="0062083D" w14:paraId="5C090BD8" w14:textId="77777777" w:rsidTr="009A3888">
        <w:trPr>
          <w:gridAfter w:val="1"/>
          <w:wAfter w:w="355" w:type="pct"/>
        </w:trPr>
        <w:tc>
          <w:tcPr>
            <w:tcW w:w="2500" w:type="pct"/>
          </w:tcPr>
          <w:p w14:paraId="672DCFBA"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b/>
                <w:bCs/>
                <w:iCs/>
                <w:sz w:val="20"/>
                <w:szCs w:val="20"/>
              </w:rPr>
              <w:t xml:space="preserve">2.3.1 </w:t>
            </w:r>
            <w:r w:rsidRPr="0062083D">
              <w:rPr>
                <w:rFonts w:cs="Arial"/>
                <w:sz w:val="20"/>
                <w:szCs w:val="20"/>
              </w:rPr>
              <w:t>Information appropriate for the analysis in 2.3.2 is collated and/or collected covering the fisheries impact on the ecosystem and environment generally.</w:t>
            </w:r>
          </w:p>
        </w:tc>
        <w:tc>
          <w:tcPr>
            <w:tcW w:w="2500" w:type="pct"/>
            <w:shd w:val="clear" w:color="auto" w:fill="92D050"/>
          </w:tcPr>
          <w:p w14:paraId="69B0682D" w14:textId="26028DDA" w:rsidR="00D16DE2" w:rsidRPr="00D16DE2" w:rsidRDefault="00D16DE2" w:rsidP="00D16DE2">
            <w:pPr>
              <w:spacing w:before="60" w:after="60" w:line="240" w:lineRule="auto"/>
              <w:rPr>
                <w:rFonts w:cs="Arial"/>
                <w:sz w:val="20"/>
                <w:szCs w:val="20"/>
              </w:rPr>
            </w:pPr>
            <w:r w:rsidRPr="00D16DE2">
              <w:rPr>
                <w:rFonts w:cs="Arial"/>
                <w:sz w:val="20"/>
                <w:szCs w:val="20"/>
              </w:rPr>
              <w:t>Data collection is not currently occurring in the Australian fishery as the domestic fishery is not active.</w:t>
            </w:r>
          </w:p>
          <w:p w14:paraId="2F996788" w14:textId="77777777" w:rsidR="00D16DE2" w:rsidRPr="00D16DE2" w:rsidRDefault="00D16DE2" w:rsidP="00D16DE2">
            <w:pPr>
              <w:spacing w:before="60" w:after="60" w:line="240" w:lineRule="auto"/>
              <w:rPr>
                <w:rFonts w:cs="Arial"/>
                <w:sz w:val="20"/>
                <w:szCs w:val="20"/>
              </w:rPr>
            </w:pPr>
            <w:r w:rsidRPr="00D16DE2">
              <w:rPr>
                <w:rFonts w:cs="Arial"/>
                <w:sz w:val="20"/>
                <w:szCs w:val="20"/>
              </w:rPr>
              <w:t xml:space="preserve">Internationally, data is collected and considered by the IOTC and WCPFC. </w:t>
            </w:r>
          </w:p>
          <w:p w14:paraId="2B259670" w14:textId="77777777" w:rsidR="00D16DE2" w:rsidRPr="00D16DE2" w:rsidRDefault="00D16DE2" w:rsidP="00D16DE2">
            <w:pPr>
              <w:spacing w:before="60" w:after="60" w:line="240" w:lineRule="auto"/>
              <w:rPr>
                <w:rFonts w:cs="Arial"/>
                <w:sz w:val="20"/>
                <w:szCs w:val="20"/>
              </w:rPr>
            </w:pPr>
            <w:r w:rsidRPr="00D16DE2">
              <w:rPr>
                <w:rFonts w:cs="Arial"/>
                <w:sz w:val="20"/>
                <w:szCs w:val="20"/>
              </w:rPr>
              <w:t>Data collection provisions, including requirements for logbook and catch disposal reporting, vessel monitoring systems, observer (and if requested, e-monitoring) are provided for in permit conditions, the ERM strategy and in legislation. These provisions are considered sufficient at this time.</w:t>
            </w:r>
          </w:p>
        </w:tc>
      </w:tr>
      <w:tr w:rsidR="00426E32" w:rsidRPr="0062083D" w14:paraId="59D1980C" w14:textId="77777777" w:rsidTr="009A3888">
        <w:trPr>
          <w:gridAfter w:val="1"/>
          <w:wAfter w:w="355" w:type="pct"/>
        </w:trPr>
        <w:tc>
          <w:tcPr>
            <w:tcW w:w="2500" w:type="pct"/>
            <w:gridSpan w:val="2"/>
            <w:shd w:val="clear" w:color="auto" w:fill="E5DFEC"/>
          </w:tcPr>
          <w:p w14:paraId="62185068" w14:textId="77777777" w:rsidR="00426E32" w:rsidRPr="0062083D" w:rsidRDefault="00426E32" w:rsidP="00D16DE2">
            <w:pPr>
              <w:spacing w:before="60" w:after="60" w:line="240" w:lineRule="auto"/>
              <w:rPr>
                <w:rFonts w:cs="Arial"/>
                <w:sz w:val="20"/>
                <w:szCs w:val="20"/>
              </w:rPr>
            </w:pPr>
            <w:r w:rsidRPr="0062083D">
              <w:rPr>
                <w:rFonts w:cs="Arial"/>
                <w:b/>
                <w:bCs/>
                <w:i/>
                <w:iCs/>
                <w:sz w:val="20"/>
                <w:szCs w:val="20"/>
              </w:rPr>
              <w:t>Assessment</w:t>
            </w:r>
          </w:p>
        </w:tc>
      </w:tr>
      <w:tr w:rsidR="00D16DE2" w:rsidRPr="0062083D" w14:paraId="78B2804D" w14:textId="77777777" w:rsidTr="009A3888">
        <w:trPr>
          <w:gridAfter w:val="1"/>
          <w:wAfter w:w="355" w:type="pct"/>
        </w:trPr>
        <w:tc>
          <w:tcPr>
            <w:tcW w:w="2500" w:type="pct"/>
          </w:tcPr>
          <w:p w14:paraId="58C2DE46"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b/>
                <w:bCs/>
                <w:sz w:val="20"/>
                <w:szCs w:val="20"/>
              </w:rPr>
              <w:t xml:space="preserve">2.3.2 </w:t>
            </w:r>
            <w:r w:rsidRPr="0062083D">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46D5FC12"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sz w:val="20"/>
                <w:szCs w:val="20"/>
              </w:rPr>
              <w:t>1. Impacts on ecological communities</w:t>
            </w:r>
          </w:p>
          <w:p w14:paraId="1A3413CF"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sz w:val="20"/>
                <w:szCs w:val="20"/>
              </w:rPr>
              <w:t>• Benthic communities</w:t>
            </w:r>
          </w:p>
          <w:p w14:paraId="5AE8BACC"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sz w:val="20"/>
                <w:szCs w:val="20"/>
              </w:rPr>
              <w:t>• Ecologically related, associated or dependent species</w:t>
            </w:r>
          </w:p>
          <w:p w14:paraId="2D5312B4"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sz w:val="20"/>
                <w:szCs w:val="20"/>
              </w:rPr>
              <w:t>• Water column communities</w:t>
            </w:r>
          </w:p>
          <w:p w14:paraId="67016120"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sz w:val="20"/>
                <w:szCs w:val="20"/>
              </w:rPr>
              <w:t>2. Impacts on food chains</w:t>
            </w:r>
          </w:p>
          <w:p w14:paraId="3AF7EB62"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sz w:val="20"/>
                <w:szCs w:val="20"/>
              </w:rPr>
              <w:t>• Structure</w:t>
            </w:r>
          </w:p>
          <w:p w14:paraId="540DD183"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sz w:val="20"/>
                <w:szCs w:val="20"/>
              </w:rPr>
              <w:t>• Productivity/flows</w:t>
            </w:r>
          </w:p>
          <w:p w14:paraId="312B704C"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sz w:val="20"/>
                <w:szCs w:val="20"/>
              </w:rPr>
              <w:t>3. Impacts on the physical environment</w:t>
            </w:r>
          </w:p>
          <w:p w14:paraId="6A7FE80D"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sz w:val="20"/>
                <w:szCs w:val="20"/>
              </w:rPr>
              <w:t>• Physical habitat</w:t>
            </w:r>
          </w:p>
          <w:p w14:paraId="47F62FC3"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sz w:val="20"/>
                <w:szCs w:val="20"/>
              </w:rPr>
              <w:t>• Water quality</w:t>
            </w:r>
          </w:p>
        </w:tc>
        <w:tc>
          <w:tcPr>
            <w:tcW w:w="2500" w:type="pct"/>
            <w:shd w:val="clear" w:color="auto" w:fill="92D050"/>
          </w:tcPr>
          <w:p w14:paraId="22926B35" w14:textId="0AFDEA85" w:rsidR="00D16DE2" w:rsidRPr="00D16DE2" w:rsidRDefault="00D16DE2" w:rsidP="00D16DE2">
            <w:pPr>
              <w:spacing w:before="60" w:after="60" w:line="240" w:lineRule="auto"/>
              <w:rPr>
                <w:rFonts w:cs="Arial"/>
                <w:sz w:val="20"/>
                <w:szCs w:val="20"/>
              </w:rPr>
            </w:pPr>
            <w:r w:rsidRPr="00D16DE2">
              <w:rPr>
                <w:rFonts w:cs="Arial"/>
                <w:sz w:val="20"/>
                <w:szCs w:val="20"/>
              </w:rPr>
              <w:t>Existing arrangements are sufficient for the current lack of fishing activity but may require review if fishing resumes.</w:t>
            </w:r>
          </w:p>
          <w:p w14:paraId="66279D5A" w14:textId="5BB128DA" w:rsidR="00D16DE2" w:rsidRPr="00D16DE2" w:rsidRDefault="00D16DE2" w:rsidP="00D16DE2">
            <w:pPr>
              <w:spacing w:before="60" w:after="60" w:line="240" w:lineRule="auto"/>
              <w:rPr>
                <w:rFonts w:cs="Arial"/>
                <w:sz w:val="20"/>
                <w:szCs w:val="20"/>
              </w:rPr>
            </w:pPr>
            <w:r w:rsidRPr="00D16DE2">
              <w:rPr>
                <w:rFonts w:cs="Arial"/>
                <w:sz w:val="20"/>
                <w:szCs w:val="20"/>
              </w:rPr>
              <w:t>The 2007 ERA found risks to habitats and ecological communities were low, but recommended ecological communities be further considered when assessment methods are more fully developed (</w:t>
            </w:r>
            <w:hyperlink r:id="rId84" w:history="1">
              <w:r w:rsidRPr="00D16DE2">
                <w:rPr>
                  <w:rStyle w:val="Hyperlink"/>
                  <w:rFonts w:cs="Arial"/>
                  <w:sz w:val="20"/>
                  <w:szCs w:val="20"/>
                </w:rPr>
                <w:t>AFMA 2007</w:t>
              </w:r>
            </w:hyperlink>
            <w:r w:rsidRPr="00D16DE2">
              <w:rPr>
                <w:rFonts w:cs="Arial"/>
                <w:sz w:val="20"/>
                <w:szCs w:val="20"/>
              </w:rPr>
              <w:t>). It is unlikely this will occur in AFMA’s proposed review of the ERAs and ERM strategy for the fishery in 2018, but there is negligible risk while the fishery remains inactive.</w:t>
            </w:r>
          </w:p>
          <w:p w14:paraId="18CC8261" w14:textId="77777777" w:rsidR="00D16DE2" w:rsidRPr="00D16DE2" w:rsidRDefault="00D16DE2" w:rsidP="00D16DE2">
            <w:pPr>
              <w:spacing w:before="60" w:after="60" w:line="240" w:lineRule="auto"/>
              <w:rPr>
                <w:rFonts w:cs="Arial"/>
                <w:sz w:val="20"/>
                <w:szCs w:val="20"/>
              </w:rPr>
            </w:pPr>
            <w:r w:rsidRPr="00D16DE2">
              <w:rPr>
                <w:rFonts w:cs="Arial"/>
                <w:sz w:val="20"/>
                <w:szCs w:val="20"/>
              </w:rPr>
              <w:t>AFMA’s logbook and observer programs are able to collect information on bycatch but are not designed to collect information on the broader ecosystem components identified in 2.3.2 for this fishery. It is unlikely that there will be any impact to benthic communities or physical habitats as fishing usually occurs within 30 metres of the surface, in waters 100 to 500 metres deep (</w:t>
            </w:r>
            <w:hyperlink r:id="rId85" w:history="1">
              <w:r w:rsidRPr="00D16DE2">
                <w:rPr>
                  <w:rStyle w:val="Hyperlink"/>
                  <w:rFonts w:cs="Arial"/>
                  <w:sz w:val="20"/>
                  <w:szCs w:val="20"/>
                </w:rPr>
                <w:t>AFMA 2007</w:t>
              </w:r>
            </w:hyperlink>
            <w:r w:rsidRPr="00D16DE2">
              <w:rPr>
                <w:rFonts w:cs="Arial"/>
                <w:sz w:val="20"/>
                <w:szCs w:val="20"/>
              </w:rPr>
              <w:t xml:space="preserve">). </w:t>
            </w:r>
          </w:p>
        </w:tc>
      </w:tr>
      <w:tr w:rsidR="00426E32" w:rsidRPr="0062083D" w14:paraId="2456CFB7" w14:textId="77777777" w:rsidTr="009A3888">
        <w:trPr>
          <w:gridAfter w:val="1"/>
          <w:wAfter w:w="355" w:type="pct"/>
        </w:trPr>
        <w:tc>
          <w:tcPr>
            <w:tcW w:w="2500" w:type="pct"/>
            <w:gridSpan w:val="2"/>
            <w:shd w:val="clear" w:color="auto" w:fill="E5DFEC"/>
          </w:tcPr>
          <w:p w14:paraId="72F10B99" w14:textId="77777777" w:rsidR="00426E32" w:rsidRPr="0062083D" w:rsidRDefault="00426E32" w:rsidP="00D16DE2">
            <w:pPr>
              <w:spacing w:before="60" w:after="60" w:line="240" w:lineRule="auto"/>
              <w:rPr>
                <w:rFonts w:cs="Arial"/>
                <w:b/>
                <w:bCs/>
                <w:i/>
                <w:iCs/>
                <w:sz w:val="20"/>
                <w:szCs w:val="20"/>
              </w:rPr>
            </w:pPr>
            <w:r w:rsidRPr="0062083D">
              <w:rPr>
                <w:rFonts w:cs="Arial"/>
                <w:b/>
                <w:bCs/>
                <w:i/>
                <w:iCs/>
                <w:sz w:val="20"/>
                <w:szCs w:val="20"/>
              </w:rPr>
              <w:t>Management responses</w:t>
            </w:r>
          </w:p>
        </w:tc>
      </w:tr>
      <w:tr w:rsidR="00D16DE2" w:rsidRPr="0062083D" w14:paraId="345CC89D" w14:textId="77777777" w:rsidTr="009A3888">
        <w:trPr>
          <w:gridAfter w:val="1"/>
          <w:wAfter w:w="355" w:type="pct"/>
        </w:trPr>
        <w:tc>
          <w:tcPr>
            <w:tcW w:w="2500" w:type="pct"/>
          </w:tcPr>
          <w:p w14:paraId="316B5EF2"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b/>
                <w:bCs/>
                <w:i/>
                <w:iCs/>
                <w:sz w:val="20"/>
                <w:szCs w:val="20"/>
              </w:rPr>
              <w:t xml:space="preserve">2.3.3 </w:t>
            </w:r>
            <w:r w:rsidRPr="0062083D">
              <w:rPr>
                <w:rFonts w:cs="Arial"/>
                <w:sz w:val="20"/>
                <w:szCs w:val="20"/>
              </w:rPr>
              <w:t>Management actions are in place to ensure significant damage to ecosystems does not arise from the impacts described in 2.3.1.</w:t>
            </w:r>
          </w:p>
        </w:tc>
        <w:tc>
          <w:tcPr>
            <w:tcW w:w="2500" w:type="pct"/>
            <w:shd w:val="clear" w:color="auto" w:fill="92D050"/>
          </w:tcPr>
          <w:p w14:paraId="1CFD16B4" w14:textId="687353C3" w:rsidR="00D16DE2" w:rsidRPr="00D16DE2" w:rsidRDefault="00D16DE2" w:rsidP="00D16DE2">
            <w:pPr>
              <w:spacing w:before="60" w:after="60" w:line="240" w:lineRule="auto"/>
              <w:rPr>
                <w:rFonts w:cs="Arial"/>
                <w:sz w:val="20"/>
                <w:szCs w:val="20"/>
              </w:rPr>
            </w:pPr>
            <w:r w:rsidRPr="00D16DE2">
              <w:rPr>
                <w:rFonts w:cs="Arial"/>
                <w:sz w:val="20"/>
                <w:szCs w:val="20"/>
              </w:rPr>
              <w:t>Existing arrangements are sufficient for the current lack of fishing activity but may require review if fishing resumes.</w:t>
            </w:r>
          </w:p>
        </w:tc>
      </w:tr>
      <w:tr w:rsidR="00D16DE2" w:rsidRPr="0062083D" w14:paraId="1DBBE7C8" w14:textId="77777777" w:rsidTr="009A3888">
        <w:trPr>
          <w:gridAfter w:val="1"/>
          <w:wAfter w:w="355" w:type="pct"/>
        </w:trPr>
        <w:tc>
          <w:tcPr>
            <w:tcW w:w="2500" w:type="pct"/>
          </w:tcPr>
          <w:p w14:paraId="668904FA"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b/>
                <w:bCs/>
                <w:i/>
                <w:iCs/>
                <w:sz w:val="20"/>
                <w:szCs w:val="20"/>
              </w:rPr>
              <w:t xml:space="preserve">2.3.4 </w:t>
            </w:r>
            <w:r w:rsidRPr="0062083D">
              <w:rPr>
                <w:rFonts w:cs="Arial"/>
                <w:sz w:val="20"/>
                <w:szCs w:val="20"/>
              </w:rPr>
              <w:t xml:space="preserve">There are decision rules that trigger further management responses when monitoring detects impacts on selected ecosystem indicators </w:t>
            </w:r>
            <w:r w:rsidRPr="0062083D">
              <w:rPr>
                <w:rFonts w:cs="Arial"/>
                <w:sz w:val="20"/>
                <w:szCs w:val="20"/>
              </w:rPr>
              <w:lastRenderedPageBreak/>
              <w:t>beyond a predetermined level, or where action is indicated by application of the precautionary approach.</w:t>
            </w:r>
          </w:p>
        </w:tc>
        <w:tc>
          <w:tcPr>
            <w:tcW w:w="2500" w:type="pct"/>
            <w:shd w:val="clear" w:color="auto" w:fill="92D050"/>
          </w:tcPr>
          <w:p w14:paraId="2C1AEE63" w14:textId="7566E60E" w:rsidR="00D16DE2" w:rsidRPr="00D16DE2" w:rsidRDefault="00D16DE2" w:rsidP="00D16DE2">
            <w:pPr>
              <w:spacing w:before="60" w:after="60" w:line="240" w:lineRule="auto"/>
              <w:rPr>
                <w:rFonts w:cs="Arial"/>
                <w:sz w:val="20"/>
                <w:szCs w:val="20"/>
              </w:rPr>
            </w:pPr>
            <w:r w:rsidRPr="00D16DE2">
              <w:rPr>
                <w:rFonts w:cs="Arial"/>
                <w:sz w:val="20"/>
                <w:szCs w:val="20"/>
              </w:rPr>
              <w:lastRenderedPageBreak/>
              <w:t>Existing arrangements are sufficient for the current lack of fishing activity but may require review if fishing resumes.</w:t>
            </w:r>
          </w:p>
          <w:p w14:paraId="2038153F" w14:textId="77777777" w:rsidR="00D16DE2" w:rsidRPr="00D16DE2" w:rsidRDefault="00D16DE2" w:rsidP="00D16DE2">
            <w:pPr>
              <w:spacing w:before="60" w:after="60" w:line="240" w:lineRule="auto"/>
              <w:rPr>
                <w:rFonts w:cs="Arial"/>
                <w:sz w:val="20"/>
                <w:szCs w:val="20"/>
              </w:rPr>
            </w:pPr>
            <w:r w:rsidRPr="00D16DE2">
              <w:rPr>
                <w:rFonts w:cs="Arial"/>
                <w:sz w:val="20"/>
                <w:szCs w:val="20"/>
              </w:rPr>
              <w:lastRenderedPageBreak/>
              <w:t>The harvest strategy includes decision rules and performance measures but these appear slow to respond to change.</w:t>
            </w:r>
          </w:p>
          <w:p w14:paraId="2293DE17" w14:textId="77777777" w:rsidR="00D16DE2" w:rsidRPr="00D16DE2" w:rsidRDefault="00D16DE2" w:rsidP="00D16DE2">
            <w:pPr>
              <w:spacing w:before="60" w:after="60" w:line="240" w:lineRule="auto"/>
              <w:rPr>
                <w:rFonts w:cs="Arial"/>
                <w:sz w:val="20"/>
                <w:szCs w:val="20"/>
              </w:rPr>
            </w:pPr>
            <w:r w:rsidRPr="00D16DE2">
              <w:rPr>
                <w:rFonts w:cs="Arial"/>
                <w:sz w:val="20"/>
                <w:szCs w:val="20"/>
              </w:rPr>
              <w:t>The ERM strategy prescribes a monitoring regime to detect and respond to emerging issues, but does not specify any triggers or potential responses.</w:t>
            </w:r>
          </w:p>
        </w:tc>
      </w:tr>
      <w:tr w:rsidR="00D16DE2" w:rsidRPr="0062083D" w14:paraId="1FABF9BC" w14:textId="77777777" w:rsidTr="009A3888">
        <w:trPr>
          <w:gridAfter w:val="1"/>
          <w:wAfter w:w="355" w:type="pct"/>
        </w:trPr>
        <w:tc>
          <w:tcPr>
            <w:tcW w:w="2500" w:type="pct"/>
          </w:tcPr>
          <w:p w14:paraId="4CB7ABD0" w14:textId="77777777" w:rsidR="00D16DE2" w:rsidRPr="0062083D" w:rsidRDefault="00D16DE2" w:rsidP="00D16DE2">
            <w:pPr>
              <w:autoSpaceDE w:val="0"/>
              <w:autoSpaceDN w:val="0"/>
              <w:adjustRightInd w:val="0"/>
              <w:spacing w:before="60" w:after="60" w:line="240" w:lineRule="auto"/>
              <w:rPr>
                <w:rFonts w:cs="Arial"/>
                <w:sz w:val="20"/>
                <w:szCs w:val="20"/>
              </w:rPr>
            </w:pPr>
            <w:r w:rsidRPr="0062083D">
              <w:rPr>
                <w:rFonts w:cs="Arial"/>
                <w:b/>
                <w:bCs/>
                <w:i/>
                <w:iCs/>
                <w:sz w:val="20"/>
                <w:szCs w:val="20"/>
              </w:rPr>
              <w:lastRenderedPageBreak/>
              <w:t>2.3.5</w:t>
            </w:r>
            <w:r w:rsidRPr="0062083D">
              <w:rPr>
                <w:rFonts w:cs="Arial"/>
                <w:sz w:val="20"/>
                <w:szCs w:val="20"/>
              </w:rPr>
              <w:t xml:space="preserve"> The management response, considering uncertainties in the assessment and precautionary management actions, has a high chance of achieving the objective.</w:t>
            </w:r>
          </w:p>
        </w:tc>
        <w:tc>
          <w:tcPr>
            <w:tcW w:w="2500" w:type="pct"/>
            <w:shd w:val="clear" w:color="auto" w:fill="92D050"/>
          </w:tcPr>
          <w:p w14:paraId="6AAD914C" w14:textId="6A1B1991" w:rsidR="00D16DE2" w:rsidRPr="00D16DE2" w:rsidRDefault="00D16DE2" w:rsidP="00D16DE2">
            <w:pPr>
              <w:spacing w:before="60" w:after="60" w:line="240" w:lineRule="auto"/>
              <w:rPr>
                <w:rFonts w:cs="Arial"/>
                <w:sz w:val="20"/>
                <w:szCs w:val="20"/>
              </w:rPr>
            </w:pPr>
            <w:r w:rsidRPr="00D16DE2">
              <w:rPr>
                <w:rFonts w:cs="Arial"/>
                <w:sz w:val="20"/>
                <w:szCs w:val="20"/>
              </w:rPr>
              <w:t>Existing arrangements are sufficient for the current lack of fishing activity but may require review if fishing resumes.</w:t>
            </w:r>
          </w:p>
        </w:tc>
      </w:tr>
    </w:tbl>
    <w:p w14:paraId="368B7297" w14:textId="2E57C663" w:rsidR="003779E4" w:rsidRDefault="003779E4" w:rsidP="0062083D">
      <w:pPr>
        <w:spacing w:before="60" w:after="60" w:line="240" w:lineRule="auto"/>
        <w:rPr>
          <w:rFonts w:cs="Arial"/>
          <w:sz w:val="20"/>
          <w:szCs w:val="20"/>
        </w:rPr>
      </w:pPr>
    </w:p>
    <w:p w14:paraId="23BD5808" w14:textId="77777777" w:rsidR="00D16DE2" w:rsidRPr="0062083D" w:rsidRDefault="00D16DE2" w:rsidP="0062083D">
      <w:pPr>
        <w:spacing w:before="60" w:after="60" w:line="240" w:lineRule="auto"/>
        <w:rPr>
          <w:rFonts w:cs="Arial"/>
          <w:sz w:val="20"/>
          <w:szCs w:val="20"/>
        </w:rPr>
      </w:pPr>
    </w:p>
    <w:p w14:paraId="250CD8DF" w14:textId="77777777" w:rsidR="0062083D" w:rsidRDefault="0062083D" w:rsidP="0062083D">
      <w:pPr>
        <w:pStyle w:val="Heading1"/>
        <w:spacing w:before="60" w:after="60" w:line="240" w:lineRule="auto"/>
        <w:rPr>
          <w:sz w:val="20"/>
          <w:szCs w:val="20"/>
        </w:rPr>
        <w:sectPr w:rsidR="0062083D" w:rsidSect="008C7AAA">
          <w:pgSz w:w="16838" w:h="11906" w:orient="landscape"/>
          <w:pgMar w:top="709" w:right="1361" w:bottom="709" w:left="1361" w:header="709" w:footer="54" w:gutter="0"/>
          <w:cols w:space="708"/>
          <w:docGrid w:linePitch="360"/>
        </w:sectPr>
      </w:pPr>
      <w:bookmarkStart w:id="13" w:name="_Toc514849745"/>
      <w:bookmarkStart w:id="14" w:name="_Toc514849475"/>
    </w:p>
    <w:p w14:paraId="1F73CE36" w14:textId="38977268" w:rsidR="0062083D" w:rsidRPr="0062083D" w:rsidRDefault="0062083D" w:rsidP="0062083D">
      <w:pPr>
        <w:pStyle w:val="Heading1"/>
        <w:spacing w:before="60" w:after="60" w:line="240" w:lineRule="auto"/>
        <w:rPr>
          <w:i/>
          <w:iCs/>
        </w:rPr>
      </w:pPr>
      <w:bookmarkStart w:id="15" w:name="_Toc522186626"/>
      <w:r w:rsidRPr="0062083D">
        <w:lastRenderedPageBreak/>
        <w:t>Section 3: Assessment of the Commonwealth Skipjack Tuna Fishery Against the Requirements of the EPBC Act</w:t>
      </w:r>
      <w:bookmarkEnd w:id="13"/>
      <w:bookmarkEnd w:id="15"/>
    </w:p>
    <w:bookmarkEnd w:id="14"/>
    <w:bookmarkEnd w:id="0"/>
    <w:p w14:paraId="69FB5358" w14:textId="77777777" w:rsidR="001219D8" w:rsidRDefault="001219D8" w:rsidP="0062083D">
      <w:pPr>
        <w:spacing w:before="60" w:after="60" w:line="240" w:lineRule="auto"/>
        <w:rPr>
          <w:rFonts w:cs="Arial"/>
          <w:sz w:val="20"/>
          <w:szCs w:val="20"/>
        </w:rPr>
      </w:pPr>
      <w:r w:rsidRPr="0062083D">
        <w:rPr>
          <w:rFonts w:cs="Arial"/>
          <w:b/>
          <w:sz w:val="20"/>
          <w:szCs w:val="20"/>
        </w:rPr>
        <w:t xml:space="preserve">Please Note </w:t>
      </w:r>
      <w:r w:rsidRPr="0062083D">
        <w:rPr>
          <w:rFonts w:cs="Arial"/>
          <w:sz w:val="20"/>
          <w:szCs w:val="20"/>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0ADB54F3" w14:textId="77777777" w:rsidR="009A3888" w:rsidRPr="0062083D" w:rsidRDefault="009A3888" w:rsidP="0062083D">
      <w:pPr>
        <w:spacing w:before="60" w:after="60" w:line="240" w:lineRule="auto"/>
        <w:rPr>
          <w:rFonts w:cs="Arial"/>
          <w:sz w:val="20"/>
          <w:szCs w:val="20"/>
        </w:rPr>
      </w:pPr>
    </w:p>
    <w:p w14:paraId="08419A34" w14:textId="77777777" w:rsidR="009A3888" w:rsidRPr="0062083D" w:rsidRDefault="009A3888" w:rsidP="009A3888">
      <w:pPr>
        <w:spacing w:before="60" w:after="60" w:line="240" w:lineRule="auto"/>
        <w:rPr>
          <w:rFonts w:cs="Arial"/>
          <w:b/>
        </w:rPr>
      </w:pPr>
      <w:r w:rsidRPr="0062083D">
        <w:rPr>
          <w:rFonts w:cs="Arial"/>
          <w:b/>
        </w:rPr>
        <w:t>Part 12</w:t>
      </w:r>
    </w:p>
    <w:tbl>
      <w:tblPr>
        <w:tblStyle w:val="TableGrid"/>
        <w:tblW w:w="5000" w:type="pct"/>
        <w:tblLook w:val="04A0" w:firstRow="1" w:lastRow="0" w:firstColumn="1" w:lastColumn="0" w:noHBand="0" w:noVBand="1"/>
      </w:tblPr>
      <w:tblGrid>
        <w:gridCol w:w="7053"/>
        <w:gridCol w:w="7053"/>
      </w:tblGrid>
      <w:tr w:rsidR="009A3888" w:rsidRPr="0062083D" w14:paraId="39D0F852" w14:textId="77777777" w:rsidTr="002D37D1">
        <w:trPr>
          <w:cnfStyle w:val="100000000000" w:firstRow="1" w:lastRow="0" w:firstColumn="0" w:lastColumn="0" w:oddVBand="0" w:evenVBand="0" w:oddHBand="0" w:evenHBand="0" w:firstRowFirstColumn="0" w:firstRowLastColumn="0" w:lastRowFirstColumn="0" w:lastRowLastColumn="0"/>
        </w:trPr>
        <w:tc>
          <w:tcPr>
            <w:tcW w:w="2500" w:type="pct"/>
          </w:tcPr>
          <w:p w14:paraId="57C56F3E" w14:textId="77777777" w:rsidR="009A3888" w:rsidRPr="0062083D" w:rsidRDefault="009A3888" w:rsidP="002D37D1">
            <w:pPr>
              <w:spacing w:before="60" w:after="60" w:line="240" w:lineRule="auto"/>
              <w:rPr>
                <w:rFonts w:cs="Arial"/>
                <w:b/>
                <w:sz w:val="20"/>
                <w:szCs w:val="20"/>
              </w:rPr>
            </w:pPr>
          </w:p>
        </w:tc>
        <w:tc>
          <w:tcPr>
            <w:tcW w:w="2500" w:type="pct"/>
            <w:shd w:val="clear" w:color="auto" w:fill="auto"/>
          </w:tcPr>
          <w:p w14:paraId="4C4979C2" w14:textId="77777777" w:rsidR="009A3888" w:rsidRPr="0062083D" w:rsidRDefault="009A3888" w:rsidP="002D37D1">
            <w:pPr>
              <w:spacing w:before="60" w:after="60" w:line="240" w:lineRule="auto"/>
              <w:rPr>
                <w:rFonts w:cs="Arial"/>
                <w:b/>
                <w:sz w:val="20"/>
                <w:szCs w:val="20"/>
              </w:rPr>
            </w:pPr>
            <w:r w:rsidRPr="0062083D">
              <w:rPr>
                <w:rFonts w:cs="Arial"/>
                <w:b/>
                <w:sz w:val="20"/>
                <w:szCs w:val="20"/>
              </w:rPr>
              <w:t>Comment</w:t>
            </w:r>
          </w:p>
        </w:tc>
      </w:tr>
      <w:tr w:rsidR="009A3888" w:rsidRPr="0062083D" w14:paraId="600E3EE7" w14:textId="77777777" w:rsidTr="002D37D1">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0D32A66" w14:textId="77777777" w:rsidR="009A3888" w:rsidRPr="0062083D" w:rsidRDefault="009A3888" w:rsidP="002D37D1">
            <w:pPr>
              <w:spacing w:before="60" w:after="60" w:line="240" w:lineRule="auto"/>
              <w:rPr>
                <w:rFonts w:cs="Arial"/>
                <w:sz w:val="20"/>
                <w:szCs w:val="20"/>
              </w:rPr>
            </w:pPr>
            <w:r w:rsidRPr="0062083D">
              <w:rPr>
                <w:rFonts w:cs="Arial"/>
                <w:b/>
                <w:sz w:val="20"/>
                <w:szCs w:val="20"/>
              </w:rPr>
              <w:t>Section 176 Bioregional Plans</w:t>
            </w:r>
          </w:p>
        </w:tc>
      </w:tr>
      <w:tr w:rsidR="009A3888" w:rsidRPr="0062083D" w14:paraId="3D424893" w14:textId="77777777" w:rsidTr="002D37D1">
        <w:trPr>
          <w:cnfStyle w:val="000000010000" w:firstRow="0" w:lastRow="0" w:firstColumn="0" w:lastColumn="0" w:oddVBand="0" w:evenVBand="0" w:oddHBand="0" w:evenHBand="1" w:firstRowFirstColumn="0" w:firstRowLastColumn="0" w:lastRowFirstColumn="0" w:lastRowLastColumn="0"/>
        </w:trPr>
        <w:tc>
          <w:tcPr>
            <w:tcW w:w="2500" w:type="pct"/>
          </w:tcPr>
          <w:p w14:paraId="1D90186F" w14:textId="77777777" w:rsidR="009A3888" w:rsidRPr="0062083D" w:rsidRDefault="009A3888" w:rsidP="002D37D1">
            <w:pPr>
              <w:spacing w:before="60" w:after="60" w:line="240" w:lineRule="auto"/>
              <w:rPr>
                <w:rFonts w:cs="Arial"/>
                <w:sz w:val="20"/>
                <w:szCs w:val="20"/>
              </w:rPr>
            </w:pPr>
            <w:r w:rsidRPr="0062083D">
              <w:rPr>
                <w:rFonts w:cs="Arial"/>
                <w:sz w:val="20"/>
                <w:szCs w:val="20"/>
              </w:rPr>
              <w:t>(5) Minister must have regard to relevant bioregional plans</w:t>
            </w:r>
          </w:p>
        </w:tc>
        <w:tc>
          <w:tcPr>
            <w:tcW w:w="2500" w:type="pct"/>
            <w:shd w:val="clear" w:color="auto" w:fill="92D050"/>
          </w:tcPr>
          <w:p w14:paraId="3C061F1C" w14:textId="77777777" w:rsidR="009A3888" w:rsidRPr="0062083D" w:rsidRDefault="009A3888" w:rsidP="002D37D1">
            <w:pPr>
              <w:spacing w:before="60" w:after="60" w:line="240" w:lineRule="auto"/>
              <w:rPr>
                <w:rFonts w:cs="Arial"/>
                <w:sz w:val="20"/>
                <w:szCs w:val="20"/>
              </w:rPr>
            </w:pPr>
            <w:r w:rsidRPr="0062083D">
              <w:rPr>
                <w:rFonts w:cs="Arial"/>
                <w:sz w:val="20"/>
                <w:szCs w:val="20"/>
              </w:rPr>
              <w:t>The fishery spans six marine bioregions. Ecological risks have been assessed and are managed in accordance with AFMA’s ecological risk management strategy.</w:t>
            </w:r>
          </w:p>
          <w:p w14:paraId="51E44545" w14:textId="77777777" w:rsidR="009A3888" w:rsidRPr="0062083D" w:rsidRDefault="009A3888" w:rsidP="002D37D1">
            <w:pPr>
              <w:spacing w:before="60" w:after="60" w:line="240" w:lineRule="auto"/>
              <w:rPr>
                <w:rFonts w:cs="Arial"/>
                <w:sz w:val="20"/>
                <w:szCs w:val="20"/>
              </w:rPr>
            </w:pPr>
            <w:r w:rsidRPr="0062083D">
              <w:rPr>
                <w:rFonts w:cs="Arial"/>
                <w:sz w:val="20"/>
                <w:szCs w:val="20"/>
              </w:rPr>
              <w:t>The fishery is not expected to compromise any of the values identified in the marine bioregional plans.</w:t>
            </w:r>
          </w:p>
        </w:tc>
      </w:tr>
    </w:tbl>
    <w:p w14:paraId="69FB5359" w14:textId="77777777" w:rsidR="00164E7C" w:rsidRPr="0062083D" w:rsidRDefault="00164E7C" w:rsidP="0062083D">
      <w:pPr>
        <w:spacing w:before="60" w:after="60" w:line="240" w:lineRule="auto"/>
        <w:rPr>
          <w:rFonts w:cs="Arial"/>
          <w:sz w:val="20"/>
          <w:szCs w:val="20"/>
        </w:rPr>
      </w:pPr>
    </w:p>
    <w:p w14:paraId="69FB535A" w14:textId="77777777" w:rsidR="001219D8" w:rsidRPr="0062083D" w:rsidRDefault="001219D8" w:rsidP="0062083D">
      <w:pPr>
        <w:spacing w:before="60" w:after="60" w:line="240" w:lineRule="auto"/>
        <w:rPr>
          <w:rFonts w:cs="Arial"/>
          <w:b/>
        </w:rPr>
      </w:pPr>
      <w:r w:rsidRPr="0062083D">
        <w:rPr>
          <w:rFonts w:cs="Arial"/>
          <w:b/>
        </w:rPr>
        <w:t>Part 13</w:t>
      </w:r>
    </w:p>
    <w:tbl>
      <w:tblPr>
        <w:tblStyle w:val="TableGrid"/>
        <w:tblW w:w="5000" w:type="pct"/>
        <w:tblLook w:val="04A0" w:firstRow="1" w:lastRow="0" w:firstColumn="1" w:lastColumn="0" w:noHBand="0" w:noVBand="1"/>
      </w:tblPr>
      <w:tblGrid>
        <w:gridCol w:w="7053"/>
        <w:gridCol w:w="7053"/>
      </w:tblGrid>
      <w:tr w:rsidR="009A3888" w:rsidRPr="0062083D" w14:paraId="69FB5360" w14:textId="77777777" w:rsidTr="009A3888">
        <w:trPr>
          <w:cnfStyle w:val="100000000000" w:firstRow="1" w:lastRow="0" w:firstColumn="0" w:lastColumn="0" w:oddVBand="0" w:evenVBand="0" w:oddHBand="0" w:evenHBand="0" w:firstRowFirstColumn="0" w:firstRowLastColumn="0" w:lastRowFirstColumn="0" w:lastRowLastColumn="0"/>
        </w:trPr>
        <w:tc>
          <w:tcPr>
            <w:tcW w:w="2500" w:type="pct"/>
          </w:tcPr>
          <w:p w14:paraId="69FB535B" w14:textId="77777777" w:rsidR="009A3888" w:rsidRPr="0062083D" w:rsidRDefault="009A3888" w:rsidP="00D16DE2">
            <w:pPr>
              <w:spacing w:before="60" w:after="60" w:line="240" w:lineRule="auto"/>
              <w:rPr>
                <w:rFonts w:cs="Arial"/>
                <w:b/>
                <w:sz w:val="20"/>
                <w:szCs w:val="20"/>
              </w:rPr>
            </w:pPr>
          </w:p>
        </w:tc>
        <w:tc>
          <w:tcPr>
            <w:tcW w:w="2500" w:type="pct"/>
            <w:shd w:val="clear" w:color="auto" w:fill="auto"/>
          </w:tcPr>
          <w:p w14:paraId="69FB535F" w14:textId="6572FBCF" w:rsidR="009A3888" w:rsidRPr="0062083D" w:rsidRDefault="009A3888" w:rsidP="00D16DE2">
            <w:pPr>
              <w:spacing w:before="60" w:after="60" w:line="240" w:lineRule="auto"/>
              <w:rPr>
                <w:rFonts w:cs="Arial"/>
                <w:b/>
                <w:sz w:val="20"/>
                <w:szCs w:val="20"/>
              </w:rPr>
            </w:pPr>
            <w:r w:rsidRPr="0062083D">
              <w:rPr>
                <w:rFonts w:cs="Arial"/>
                <w:b/>
                <w:sz w:val="20"/>
                <w:szCs w:val="20"/>
              </w:rPr>
              <w:t>Comment</w:t>
            </w:r>
          </w:p>
        </w:tc>
      </w:tr>
      <w:tr w:rsidR="006A72FA" w:rsidRPr="0062083D" w14:paraId="69FB5362" w14:textId="77777777" w:rsidTr="009A3888">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69FB5361" w14:textId="77777777" w:rsidR="006A72FA" w:rsidRPr="0062083D" w:rsidRDefault="0020445D" w:rsidP="00D16DE2">
            <w:pPr>
              <w:spacing w:before="60" w:after="60" w:line="240" w:lineRule="auto"/>
              <w:rPr>
                <w:rFonts w:cs="Arial"/>
                <w:b/>
                <w:sz w:val="20"/>
                <w:szCs w:val="20"/>
              </w:rPr>
            </w:pPr>
            <w:r w:rsidRPr="0062083D">
              <w:rPr>
                <w:rFonts w:cs="Arial"/>
                <w:b/>
                <w:sz w:val="20"/>
                <w:szCs w:val="20"/>
              </w:rPr>
              <w:t>Accreditable plan, regime or policy  (Division 1, Division 2, Division 3, Division 4</w:t>
            </w:r>
            <w:r w:rsidR="00B033A8" w:rsidRPr="0062083D">
              <w:rPr>
                <w:rFonts w:cs="Arial"/>
                <w:b/>
                <w:sz w:val="20"/>
                <w:szCs w:val="20"/>
              </w:rPr>
              <w:t>)</w:t>
            </w:r>
          </w:p>
        </w:tc>
      </w:tr>
      <w:tr w:rsidR="00D16DE2" w:rsidRPr="0062083D" w14:paraId="69FB5369" w14:textId="77777777" w:rsidTr="009A3888">
        <w:trPr>
          <w:cnfStyle w:val="000000010000" w:firstRow="0" w:lastRow="0" w:firstColumn="0" w:lastColumn="0" w:oddVBand="0" w:evenVBand="0" w:oddHBand="0" w:evenHBand="1" w:firstRowFirstColumn="0" w:firstRowLastColumn="0" w:lastRowFirstColumn="0" w:lastRowLastColumn="0"/>
        </w:trPr>
        <w:tc>
          <w:tcPr>
            <w:tcW w:w="2500" w:type="pct"/>
          </w:tcPr>
          <w:p w14:paraId="69FB5363" w14:textId="77777777" w:rsidR="00D16DE2" w:rsidRPr="0062083D" w:rsidRDefault="00D16DE2" w:rsidP="00D16DE2">
            <w:pPr>
              <w:spacing w:before="60" w:after="60" w:line="240" w:lineRule="auto"/>
              <w:rPr>
                <w:rFonts w:cs="Arial"/>
                <w:sz w:val="20"/>
                <w:szCs w:val="20"/>
              </w:rPr>
            </w:pPr>
            <w:r w:rsidRPr="0062083D">
              <w:rPr>
                <w:rFonts w:cs="Arial"/>
                <w:sz w:val="20"/>
                <w:szCs w:val="20"/>
              </w:rPr>
              <w:t>s. 208A  (1) (a-e) , s.222A (1) (a-e), s.245A (1) (a-e),  s.265 (1) (a-e)</w:t>
            </w:r>
          </w:p>
          <w:p w14:paraId="69FB5364" w14:textId="77777777" w:rsidR="00D16DE2" w:rsidRPr="0062083D" w:rsidRDefault="00D16DE2" w:rsidP="00D16DE2">
            <w:pPr>
              <w:spacing w:before="60" w:after="60" w:line="240" w:lineRule="auto"/>
              <w:rPr>
                <w:rFonts w:cs="Arial"/>
                <w:sz w:val="20"/>
                <w:szCs w:val="20"/>
              </w:rPr>
            </w:pPr>
            <w:r w:rsidRPr="0062083D">
              <w:rPr>
                <w:rFonts w:cs="Arial"/>
                <w:sz w:val="20"/>
                <w:szCs w:val="20"/>
              </w:rPr>
              <w:t xml:space="preserve">Does the fishery have an accreditable plan of management, regime or policy? </w:t>
            </w:r>
          </w:p>
        </w:tc>
        <w:tc>
          <w:tcPr>
            <w:tcW w:w="2500" w:type="pct"/>
            <w:shd w:val="clear" w:color="auto" w:fill="92D050"/>
          </w:tcPr>
          <w:p w14:paraId="69FB5368" w14:textId="3AC464F1" w:rsidR="00D16DE2" w:rsidRPr="00D16DE2" w:rsidRDefault="00D16DE2" w:rsidP="00D16DE2">
            <w:pPr>
              <w:spacing w:before="60" w:after="60" w:line="240" w:lineRule="auto"/>
              <w:rPr>
                <w:rFonts w:cs="Arial"/>
                <w:sz w:val="20"/>
                <w:szCs w:val="20"/>
              </w:rPr>
            </w:pPr>
            <w:r w:rsidRPr="00D16DE2">
              <w:rPr>
                <w:rFonts w:cs="Arial"/>
                <w:sz w:val="20"/>
                <w:szCs w:val="20"/>
              </w:rPr>
              <w:t>Yes.</w:t>
            </w:r>
            <w:r w:rsidRPr="00D16DE2">
              <w:rPr>
                <w:rFonts w:cs="Arial"/>
                <w:sz w:val="20"/>
                <w:szCs w:val="20"/>
              </w:rPr>
              <w:br/>
              <w:t xml:space="preserve">A management regime is in force under the </w:t>
            </w:r>
            <w:r w:rsidRPr="00D16DE2">
              <w:rPr>
                <w:rFonts w:cs="Arial"/>
                <w:i/>
                <w:sz w:val="20"/>
                <w:szCs w:val="20"/>
              </w:rPr>
              <w:t>Fisheries Management Act 1991</w:t>
            </w:r>
            <w:r w:rsidRPr="00D16DE2">
              <w:rPr>
                <w:rFonts w:cs="Arial"/>
                <w:sz w:val="20"/>
                <w:szCs w:val="20"/>
              </w:rPr>
              <w:t>.</w:t>
            </w:r>
          </w:p>
        </w:tc>
      </w:tr>
      <w:tr w:rsidR="001219D8" w:rsidRPr="0062083D" w14:paraId="69FB536B" w14:textId="77777777" w:rsidTr="009A3888">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69FB536A" w14:textId="77777777" w:rsidR="001219D8" w:rsidRPr="0062083D" w:rsidRDefault="001219D8" w:rsidP="00D16DE2">
            <w:pPr>
              <w:spacing w:before="60" w:after="60" w:line="240" w:lineRule="auto"/>
              <w:rPr>
                <w:rFonts w:cs="Arial"/>
                <w:sz w:val="20"/>
                <w:szCs w:val="20"/>
              </w:rPr>
            </w:pPr>
            <w:r w:rsidRPr="0062083D">
              <w:rPr>
                <w:rFonts w:cs="Arial"/>
                <w:b/>
                <w:sz w:val="20"/>
                <w:szCs w:val="20"/>
              </w:rPr>
              <w:t>Division 1 Listed threatened species, Section 208A Minister may accredit plans or regimes</w:t>
            </w:r>
          </w:p>
        </w:tc>
      </w:tr>
      <w:tr w:rsidR="00D16DE2" w:rsidRPr="0062083D" w14:paraId="69FB5371" w14:textId="77777777" w:rsidTr="009A3888">
        <w:trPr>
          <w:cnfStyle w:val="000000010000" w:firstRow="0" w:lastRow="0" w:firstColumn="0" w:lastColumn="0" w:oddVBand="0" w:evenVBand="0" w:oddHBand="0" w:evenHBand="1" w:firstRowFirstColumn="0" w:firstRowLastColumn="0" w:lastRowFirstColumn="0" w:lastRowLastColumn="0"/>
        </w:trPr>
        <w:tc>
          <w:tcPr>
            <w:tcW w:w="2500" w:type="pct"/>
          </w:tcPr>
          <w:p w14:paraId="69FB536C" w14:textId="77777777" w:rsidR="00D16DE2" w:rsidRPr="0062083D" w:rsidRDefault="00D16DE2" w:rsidP="00D16DE2">
            <w:pPr>
              <w:spacing w:before="60" w:after="60" w:line="240" w:lineRule="auto"/>
              <w:rPr>
                <w:rFonts w:cs="Arial"/>
                <w:sz w:val="20"/>
                <w:szCs w:val="20"/>
              </w:rPr>
            </w:pPr>
            <w:r w:rsidRPr="0062083D">
              <w:rPr>
                <w:rFonts w:cs="Arial"/>
                <w:sz w:val="20"/>
                <w:szCs w:val="20"/>
              </w:rPr>
              <w:t>(f)  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407E2F4B" w14:textId="1AC650A6" w:rsidR="00D16DE2" w:rsidRPr="00D16DE2" w:rsidRDefault="00D16DE2" w:rsidP="00D16DE2">
            <w:pPr>
              <w:spacing w:before="60" w:after="60" w:line="240" w:lineRule="auto"/>
              <w:rPr>
                <w:rFonts w:cs="Arial"/>
                <w:sz w:val="20"/>
                <w:szCs w:val="20"/>
              </w:rPr>
            </w:pPr>
            <w:r w:rsidRPr="00D16DE2">
              <w:rPr>
                <w:rFonts w:cs="Arial"/>
                <w:sz w:val="20"/>
                <w:szCs w:val="20"/>
              </w:rPr>
              <w:t>Yes.</w:t>
            </w:r>
            <w:r w:rsidRPr="00D16DE2">
              <w:rPr>
                <w:rFonts w:cs="Arial"/>
                <w:sz w:val="20"/>
                <w:szCs w:val="20"/>
              </w:rPr>
              <w:br/>
              <w:t>Fishers are required to take all reasonable steps to ensure that members of listed threatened species are not killed or injured as a result of the fishing.</w:t>
            </w:r>
          </w:p>
          <w:p w14:paraId="69FB5370" w14:textId="43E92D3B" w:rsidR="00D16DE2" w:rsidRPr="00D16DE2" w:rsidRDefault="00D16DE2" w:rsidP="00D16DE2">
            <w:pPr>
              <w:spacing w:before="60" w:after="60" w:line="240" w:lineRule="auto"/>
              <w:rPr>
                <w:rFonts w:cs="Arial"/>
                <w:sz w:val="20"/>
                <w:szCs w:val="20"/>
              </w:rPr>
            </w:pPr>
            <w:r w:rsidRPr="00D16DE2">
              <w:rPr>
                <w:rFonts w:cs="Arial"/>
                <w:sz w:val="20"/>
                <w:szCs w:val="20"/>
              </w:rPr>
              <w:t>There have been no recorded interactions with listed threatened species.</w:t>
            </w:r>
          </w:p>
        </w:tc>
      </w:tr>
      <w:tr w:rsidR="00D16DE2" w:rsidRPr="0062083D" w14:paraId="69FB5377" w14:textId="77777777" w:rsidTr="009A3888">
        <w:trPr>
          <w:cnfStyle w:val="000000100000" w:firstRow="0" w:lastRow="0" w:firstColumn="0" w:lastColumn="0" w:oddVBand="0" w:evenVBand="0" w:oddHBand="1" w:evenHBand="0" w:firstRowFirstColumn="0" w:firstRowLastColumn="0" w:lastRowFirstColumn="0" w:lastRowLastColumn="0"/>
        </w:trPr>
        <w:tc>
          <w:tcPr>
            <w:tcW w:w="2500" w:type="pct"/>
          </w:tcPr>
          <w:p w14:paraId="69FB5372" w14:textId="77777777" w:rsidR="00D16DE2" w:rsidRPr="0062083D" w:rsidRDefault="00D16DE2" w:rsidP="00D16DE2">
            <w:pPr>
              <w:spacing w:before="60" w:after="60" w:line="240" w:lineRule="auto"/>
              <w:rPr>
                <w:rFonts w:cs="Arial"/>
                <w:sz w:val="20"/>
                <w:szCs w:val="20"/>
              </w:rPr>
            </w:pPr>
            <w:r w:rsidRPr="0062083D">
              <w:rPr>
                <w:rFonts w:cs="Arial"/>
                <w:sz w:val="20"/>
                <w:szCs w:val="20"/>
              </w:rPr>
              <w:t>(g)  And, is the fishery likely to adversely affect the survival or recovery in nature of the species.</w:t>
            </w:r>
          </w:p>
        </w:tc>
        <w:tc>
          <w:tcPr>
            <w:tcW w:w="2500" w:type="pct"/>
            <w:shd w:val="clear" w:color="auto" w:fill="92D050"/>
          </w:tcPr>
          <w:p w14:paraId="69FB5376" w14:textId="3091DF55" w:rsidR="00D16DE2" w:rsidRPr="00D16DE2" w:rsidRDefault="00D16DE2" w:rsidP="00D16DE2">
            <w:pPr>
              <w:spacing w:before="60" w:after="60" w:line="240" w:lineRule="auto"/>
              <w:rPr>
                <w:rFonts w:cs="Arial"/>
                <w:sz w:val="20"/>
                <w:szCs w:val="20"/>
              </w:rPr>
            </w:pPr>
            <w:r w:rsidRPr="00D16DE2">
              <w:rPr>
                <w:rFonts w:cs="Arial"/>
                <w:sz w:val="20"/>
                <w:szCs w:val="20"/>
              </w:rPr>
              <w:t>No.</w:t>
            </w:r>
            <w:r w:rsidRPr="00D16DE2">
              <w:rPr>
                <w:rFonts w:cs="Arial"/>
                <w:sz w:val="20"/>
                <w:szCs w:val="20"/>
              </w:rPr>
              <w:br/>
              <w:t xml:space="preserve">The fishery is unlikely to adversely affect the survival or recovery in nature of listed </w:t>
            </w:r>
            <w:proofErr w:type="spellStart"/>
            <w:r w:rsidRPr="00D16DE2">
              <w:rPr>
                <w:rFonts w:cs="Arial"/>
                <w:sz w:val="20"/>
                <w:szCs w:val="20"/>
              </w:rPr>
              <w:t>threatended</w:t>
            </w:r>
            <w:proofErr w:type="spellEnd"/>
            <w:r w:rsidRPr="00D16DE2">
              <w:rPr>
                <w:rFonts w:cs="Arial"/>
                <w:sz w:val="20"/>
                <w:szCs w:val="20"/>
              </w:rPr>
              <w:t xml:space="preserve"> species based on the management arrangements in place and the lack of interactions to date.</w:t>
            </w:r>
          </w:p>
        </w:tc>
      </w:tr>
      <w:tr w:rsidR="00426E32" w:rsidRPr="0062083D" w14:paraId="24F4D844" w14:textId="77777777" w:rsidTr="009A3888">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490020BD" w14:textId="17D9027C" w:rsidR="00426E32" w:rsidRPr="0062083D" w:rsidRDefault="00426E32" w:rsidP="00D16DE2">
            <w:pPr>
              <w:spacing w:before="60" w:after="60" w:line="240" w:lineRule="auto"/>
              <w:rPr>
                <w:rFonts w:cs="Arial"/>
                <w:sz w:val="20"/>
                <w:szCs w:val="20"/>
              </w:rPr>
            </w:pPr>
            <w:r w:rsidRPr="0062083D">
              <w:rPr>
                <w:rFonts w:cs="Arial"/>
                <w:b/>
                <w:sz w:val="20"/>
                <w:szCs w:val="20"/>
              </w:rPr>
              <w:t>Division 2 Migratory species, Section 222A Minister may accredit plans or regimes</w:t>
            </w:r>
          </w:p>
        </w:tc>
      </w:tr>
      <w:tr w:rsidR="00D16DE2" w:rsidRPr="0062083D" w14:paraId="681CD8FE" w14:textId="77777777" w:rsidTr="009A3888">
        <w:trPr>
          <w:cnfStyle w:val="000000100000" w:firstRow="0" w:lastRow="0" w:firstColumn="0" w:lastColumn="0" w:oddVBand="0" w:evenVBand="0" w:oddHBand="1" w:evenHBand="0" w:firstRowFirstColumn="0" w:firstRowLastColumn="0" w:lastRowFirstColumn="0" w:lastRowLastColumn="0"/>
        </w:trPr>
        <w:tc>
          <w:tcPr>
            <w:tcW w:w="2500" w:type="pct"/>
          </w:tcPr>
          <w:p w14:paraId="601967DE" w14:textId="77777777" w:rsidR="00D16DE2" w:rsidRPr="0062083D" w:rsidRDefault="00D16DE2" w:rsidP="00D16DE2">
            <w:pPr>
              <w:spacing w:before="60" w:after="60" w:line="240" w:lineRule="auto"/>
              <w:rPr>
                <w:rFonts w:cs="Arial"/>
                <w:sz w:val="20"/>
                <w:szCs w:val="20"/>
              </w:rPr>
            </w:pPr>
            <w:r w:rsidRPr="0062083D">
              <w:rPr>
                <w:rFonts w:cs="Arial"/>
                <w:sz w:val="20"/>
                <w:szCs w:val="20"/>
              </w:rPr>
              <w:t>(f)  Will the plan, regime or policy require fishers to take all reasonable steps to ensure that members of listed migratory species are not killed or injured as a result of the fishing?</w:t>
            </w:r>
          </w:p>
        </w:tc>
        <w:tc>
          <w:tcPr>
            <w:tcW w:w="2500" w:type="pct"/>
            <w:shd w:val="clear" w:color="auto" w:fill="92D050"/>
          </w:tcPr>
          <w:p w14:paraId="1DA7B0F2" w14:textId="1BC46CB7" w:rsidR="00D16DE2" w:rsidRPr="00D16DE2" w:rsidRDefault="00D16DE2" w:rsidP="00D16DE2">
            <w:pPr>
              <w:spacing w:before="60" w:after="60" w:line="240" w:lineRule="auto"/>
              <w:rPr>
                <w:rFonts w:cs="Arial"/>
                <w:sz w:val="20"/>
                <w:szCs w:val="20"/>
              </w:rPr>
            </w:pPr>
            <w:r w:rsidRPr="00D16DE2">
              <w:rPr>
                <w:rFonts w:cs="Arial"/>
                <w:sz w:val="20"/>
                <w:szCs w:val="20"/>
              </w:rPr>
              <w:t>Yes.</w:t>
            </w:r>
            <w:r w:rsidRPr="00D16DE2">
              <w:rPr>
                <w:rFonts w:cs="Arial"/>
                <w:sz w:val="20"/>
                <w:szCs w:val="20"/>
              </w:rPr>
              <w:br/>
              <w:t>Fishers are required to take all reasonable steps to ensure that listed migratory species are not killed or injured as a result of the fishing.</w:t>
            </w:r>
          </w:p>
          <w:p w14:paraId="3FE24FD1" w14:textId="77777777" w:rsidR="00D16DE2" w:rsidRPr="0062083D" w:rsidRDefault="00D16DE2" w:rsidP="00D16DE2">
            <w:pPr>
              <w:spacing w:before="60" w:after="60" w:line="240" w:lineRule="auto"/>
              <w:rPr>
                <w:rFonts w:cs="Arial"/>
                <w:sz w:val="20"/>
                <w:szCs w:val="20"/>
              </w:rPr>
            </w:pPr>
            <w:r w:rsidRPr="00D16DE2">
              <w:rPr>
                <w:rFonts w:cs="Arial"/>
                <w:sz w:val="20"/>
                <w:szCs w:val="20"/>
              </w:rPr>
              <w:t>There have been no recorded interactions with listed migratory species.</w:t>
            </w:r>
          </w:p>
        </w:tc>
      </w:tr>
      <w:tr w:rsidR="00D16DE2" w:rsidRPr="0062083D" w14:paraId="323A3D7F" w14:textId="77777777" w:rsidTr="009A3888">
        <w:trPr>
          <w:cnfStyle w:val="000000010000" w:firstRow="0" w:lastRow="0" w:firstColumn="0" w:lastColumn="0" w:oddVBand="0" w:evenVBand="0" w:oddHBand="0" w:evenHBand="1" w:firstRowFirstColumn="0" w:firstRowLastColumn="0" w:lastRowFirstColumn="0" w:lastRowLastColumn="0"/>
        </w:trPr>
        <w:tc>
          <w:tcPr>
            <w:tcW w:w="2500" w:type="pct"/>
          </w:tcPr>
          <w:p w14:paraId="35BD80D6" w14:textId="77777777" w:rsidR="00D16DE2" w:rsidRPr="0062083D" w:rsidRDefault="00D16DE2" w:rsidP="00D16DE2">
            <w:pPr>
              <w:spacing w:before="60" w:after="60" w:line="240" w:lineRule="auto"/>
              <w:rPr>
                <w:rFonts w:cs="Arial"/>
                <w:sz w:val="20"/>
                <w:szCs w:val="20"/>
              </w:rPr>
            </w:pPr>
            <w:r w:rsidRPr="0062083D">
              <w:rPr>
                <w:rFonts w:cs="Arial"/>
                <w:sz w:val="20"/>
                <w:szCs w:val="20"/>
              </w:rPr>
              <w:lastRenderedPageBreak/>
              <w:t>(g)  And, is the fishery likely to adversely affect the conservation status of a listed migratory species or a population of that species?</w:t>
            </w:r>
          </w:p>
        </w:tc>
        <w:tc>
          <w:tcPr>
            <w:tcW w:w="2500" w:type="pct"/>
            <w:shd w:val="clear" w:color="auto" w:fill="92D050"/>
          </w:tcPr>
          <w:p w14:paraId="5A2400A9" w14:textId="07AD7A6C" w:rsidR="00D16DE2" w:rsidRPr="00D16DE2" w:rsidRDefault="00D16DE2" w:rsidP="00D16DE2">
            <w:pPr>
              <w:spacing w:before="60" w:after="60" w:line="240" w:lineRule="auto"/>
              <w:rPr>
                <w:rFonts w:cs="Arial"/>
                <w:sz w:val="20"/>
                <w:szCs w:val="20"/>
              </w:rPr>
            </w:pPr>
            <w:r w:rsidRPr="00D16DE2">
              <w:rPr>
                <w:rFonts w:cs="Arial"/>
                <w:sz w:val="20"/>
                <w:szCs w:val="20"/>
              </w:rPr>
              <w:t>No.</w:t>
            </w:r>
            <w:r w:rsidRPr="00D16DE2">
              <w:rPr>
                <w:rFonts w:cs="Arial"/>
                <w:sz w:val="20"/>
                <w:szCs w:val="20"/>
              </w:rPr>
              <w:br/>
              <w:t>The fishery is unlikely to adversely affect the conservation status of a listed migratory species or a population of that species based on the management arrangements in place and the lack of interactions to date.</w:t>
            </w:r>
          </w:p>
        </w:tc>
      </w:tr>
      <w:tr w:rsidR="00426E32" w:rsidRPr="0062083D" w14:paraId="1E5B1F42" w14:textId="77777777" w:rsidTr="009A3888">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7F55EC67" w14:textId="77777777" w:rsidR="00426E32" w:rsidRPr="0062083D" w:rsidRDefault="00426E32" w:rsidP="00D16DE2">
            <w:pPr>
              <w:spacing w:before="60" w:after="60" w:line="240" w:lineRule="auto"/>
              <w:rPr>
                <w:rFonts w:cs="Arial"/>
                <w:sz w:val="20"/>
                <w:szCs w:val="20"/>
              </w:rPr>
            </w:pPr>
            <w:r w:rsidRPr="0062083D">
              <w:rPr>
                <w:rFonts w:cs="Arial"/>
                <w:b/>
                <w:sz w:val="20"/>
                <w:szCs w:val="20"/>
              </w:rPr>
              <w:t>Division 3 Whales and other cetaceans, Section 245 Minister may accredit plans or regimes</w:t>
            </w:r>
          </w:p>
        </w:tc>
      </w:tr>
      <w:tr w:rsidR="00D16DE2" w:rsidRPr="0062083D" w14:paraId="5033271A" w14:textId="77777777" w:rsidTr="009A3888">
        <w:trPr>
          <w:cnfStyle w:val="000000010000" w:firstRow="0" w:lastRow="0" w:firstColumn="0" w:lastColumn="0" w:oddVBand="0" w:evenVBand="0" w:oddHBand="0" w:evenHBand="1" w:firstRowFirstColumn="0" w:firstRowLastColumn="0" w:lastRowFirstColumn="0" w:lastRowLastColumn="0"/>
        </w:trPr>
        <w:tc>
          <w:tcPr>
            <w:tcW w:w="2500" w:type="pct"/>
          </w:tcPr>
          <w:p w14:paraId="28CAF9ED" w14:textId="77777777" w:rsidR="00D16DE2" w:rsidRPr="0062083D" w:rsidRDefault="00D16DE2" w:rsidP="00D16DE2">
            <w:pPr>
              <w:spacing w:before="60" w:after="60" w:line="240" w:lineRule="auto"/>
              <w:rPr>
                <w:rFonts w:cs="Arial"/>
                <w:sz w:val="20"/>
                <w:szCs w:val="20"/>
              </w:rPr>
            </w:pPr>
            <w:r w:rsidRPr="0062083D">
              <w:rPr>
                <w:rFonts w:cs="Arial"/>
                <w:sz w:val="20"/>
                <w:szCs w:val="20"/>
              </w:rPr>
              <w:t>(f)  Will the plan, regime or policy require fishers to take all reasonable steps to ensure that cetaceans are not killed or injured as a result of the fishing?</w:t>
            </w:r>
          </w:p>
        </w:tc>
        <w:tc>
          <w:tcPr>
            <w:tcW w:w="2500" w:type="pct"/>
            <w:shd w:val="clear" w:color="auto" w:fill="92D050"/>
          </w:tcPr>
          <w:p w14:paraId="54B72144" w14:textId="6AE942F8" w:rsidR="00D16DE2" w:rsidRPr="00D16DE2" w:rsidRDefault="00D16DE2" w:rsidP="00D16DE2">
            <w:pPr>
              <w:spacing w:before="60" w:after="60" w:line="240" w:lineRule="auto"/>
              <w:rPr>
                <w:rFonts w:cs="Arial"/>
                <w:sz w:val="20"/>
                <w:szCs w:val="20"/>
              </w:rPr>
            </w:pPr>
            <w:r w:rsidRPr="00D16DE2">
              <w:rPr>
                <w:rFonts w:cs="Arial"/>
                <w:sz w:val="20"/>
                <w:szCs w:val="20"/>
              </w:rPr>
              <w:t>Yes.</w:t>
            </w:r>
            <w:r w:rsidRPr="00D16DE2">
              <w:rPr>
                <w:rFonts w:cs="Arial"/>
                <w:sz w:val="20"/>
                <w:szCs w:val="20"/>
              </w:rPr>
              <w:br/>
              <w:t>Fishers are required to take all reasonable steps to ensure that cetaceans are not killed or injured as a result of the fishing.</w:t>
            </w:r>
          </w:p>
          <w:p w14:paraId="5436AA61" w14:textId="10840E24" w:rsidR="00D16DE2" w:rsidRPr="00D16DE2" w:rsidRDefault="00D16DE2" w:rsidP="00D16DE2">
            <w:pPr>
              <w:spacing w:before="60" w:after="60" w:line="240" w:lineRule="auto"/>
              <w:rPr>
                <w:rFonts w:cs="Arial"/>
                <w:sz w:val="20"/>
                <w:szCs w:val="20"/>
              </w:rPr>
            </w:pPr>
            <w:r w:rsidRPr="00D16DE2">
              <w:rPr>
                <w:rFonts w:cs="Arial"/>
                <w:sz w:val="20"/>
                <w:szCs w:val="20"/>
              </w:rPr>
              <w:t>There have been no recorded interactions with cetaceans.</w:t>
            </w:r>
          </w:p>
        </w:tc>
      </w:tr>
      <w:tr w:rsidR="00D16DE2" w:rsidRPr="0062083D" w14:paraId="3D862B72" w14:textId="77777777" w:rsidTr="009A3888">
        <w:trPr>
          <w:cnfStyle w:val="000000100000" w:firstRow="0" w:lastRow="0" w:firstColumn="0" w:lastColumn="0" w:oddVBand="0" w:evenVBand="0" w:oddHBand="1" w:evenHBand="0" w:firstRowFirstColumn="0" w:firstRowLastColumn="0" w:lastRowFirstColumn="0" w:lastRowLastColumn="0"/>
        </w:trPr>
        <w:tc>
          <w:tcPr>
            <w:tcW w:w="2500" w:type="pct"/>
          </w:tcPr>
          <w:p w14:paraId="556FDE72" w14:textId="77777777" w:rsidR="00D16DE2" w:rsidRPr="0062083D" w:rsidRDefault="00D16DE2" w:rsidP="00D16DE2">
            <w:pPr>
              <w:spacing w:before="60" w:after="60" w:line="240" w:lineRule="auto"/>
              <w:rPr>
                <w:rFonts w:cs="Arial"/>
                <w:sz w:val="20"/>
                <w:szCs w:val="20"/>
              </w:rPr>
            </w:pPr>
            <w:r w:rsidRPr="0062083D">
              <w:rPr>
                <w:rFonts w:cs="Arial"/>
                <w:sz w:val="20"/>
                <w:szCs w:val="20"/>
              </w:rPr>
              <w:t>(g)  And is the fishery likely to adversely affect the conservation status of a species of cetacean or a population of that species?</w:t>
            </w:r>
          </w:p>
        </w:tc>
        <w:tc>
          <w:tcPr>
            <w:tcW w:w="2500" w:type="pct"/>
            <w:shd w:val="clear" w:color="auto" w:fill="92D050"/>
          </w:tcPr>
          <w:p w14:paraId="165106FF" w14:textId="50A7821D" w:rsidR="00D16DE2" w:rsidRPr="00D16DE2" w:rsidRDefault="00D16DE2" w:rsidP="00D16DE2">
            <w:pPr>
              <w:spacing w:before="60" w:after="60" w:line="240" w:lineRule="auto"/>
              <w:rPr>
                <w:rFonts w:cs="Arial"/>
                <w:sz w:val="20"/>
                <w:szCs w:val="20"/>
              </w:rPr>
            </w:pPr>
            <w:r w:rsidRPr="00D16DE2">
              <w:rPr>
                <w:rFonts w:cs="Arial"/>
                <w:sz w:val="20"/>
                <w:szCs w:val="20"/>
              </w:rPr>
              <w:t>No.</w:t>
            </w:r>
            <w:r w:rsidRPr="00D16DE2">
              <w:rPr>
                <w:rFonts w:cs="Arial"/>
                <w:sz w:val="20"/>
                <w:szCs w:val="20"/>
              </w:rPr>
              <w:br/>
              <w:t>The fishery is unlikely to adversely affect the conservation status of a cetacean or a population of that species based on the management arrangements in place and the lack of interactions to date.</w:t>
            </w:r>
          </w:p>
        </w:tc>
      </w:tr>
      <w:tr w:rsidR="00426E32" w:rsidRPr="0062083D" w14:paraId="55849C6F" w14:textId="77777777" w:rsidTr="009A3888">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5F3D80D7" w14:textId="77777777" w:rsidR="00426E32" w:rsidRPr="0062083D" w:rsidRDefault="00426E32" w:rsidP="00D16DE2">
            <w:pPr>
              <w:spacing w:before="60" w:after="60" w:line="240" w:lineRule="auto"/>
              <w:rPr>
                <w:rFonts w:cs="Arial"/>
                <w:sz w:val="20"/>
                <w:szCs w:val="20"/>
              </w:rPr>
            </w:pPr>
            <w:r w:rsidRPr="0062083D">
              <w:rPr>
                <w:rFonts w:cs="Arial"/>
                <w:b/>
                <w:sz w:val="20"/>
                <w:szCs w:val="20"/>
              </w:rPr>
              <w:t>Division 4 Listed marine species, Section 265 Minister may accredit plans or regimes</w:t>
            </w:r>
          </w:p>
        </w:tc>
      </w:tr>
      <w:tr w:rsidR="00D16DE2" w:rsidRPr="0062083D" w14:paraId="366CFE81" w14:textId="77777777" w:rsidTr="009A3888">
        <w:trPr>
          <w:cnfStyle w:val="000000100000" w:firstRow="0" w:lastRow="0" w:firstColumn="0" w:lastColumn="0" w:oddVBand="0" w:evenVBand="0" w:oddHBand="1" w:evenHBand="0" w:firstRowFirstColumn="0" w:firstRowLastColumn="0" w:lastRowFirstColumn="0" w:lastRowLastColumn="0"/>
        </w:trPr>
        <w:tc>
          <w:tcPr>
            <w:tcW w:w="2500" w:type="pct"/>
          </w:tcPr>
          <w:p w14:paraId="5B72307B" w14:textId="77777777" w:rsidR="00D16DE2" w:rsidRPr="0062083D" w:rsidRDefault="00D16DE2" w:rsidP="00D16DE2">
            <w:pPr>
              <w:spacing w:before="60" w:after="60" w:line="240" w:lineRule="auto"/>
              <w:rPr>
                <w:rFonts w:cs="Arial"/>
                <w:sz w:val="20"/>
                <w:szCs w:val="20"/>
              </w:rPr>
            </w:pPr>
            <w:r w:rsidRPr="0062083D">
              <w:rPr>
                <w:rFonts w:cs="Arial"/>
                <w:sz w:val="20"/>
                <w:szCs w:val="20"/>
              </w:rPr>
              <w:t>(f)  Will the plan, regime or policy require fishers to take all reasonable steps to ensure that members of listed marine species are not killed or injured as a result of the fishing?</w:t>
            </w:r>
          </w:p>
        </w:tc>
        <w:tc>
          <w:tcPr>
            <w:tcW w:w="2500" w:type="pct"/>
            <w:shd w:val="clear" w:color="auto" w:fill="92D050"/>
          </w:tcPr>
          <w:p w14:paraId="41A6BBD5" w14:textId="4A5B5D31" w:rsidR="00D16DE2" w:rsidRPr="00D16DE2" w:rsidRDefault="00D16DE2" w:rsidP="00D16DE2">
            <w:pPr>
              <w:spacing w:before="60" w:after="60" w:line="240" w:lineRule="auto"/>
              <w:rPr>
                <w:rFonts w:cs="Arial"/>
                <w:sz w:val="20"/>
                <w:szCs w:val="20"/>
              </w:rPr>
            </w:pPr>
            <w:r w:rsidRPr="00D16DE2">
              <w:rPr>
                <w:rFonts w:cs="Arial"/>
                <w:sz w:val="20"/>
                <w:szCs w:val="20"/>
              </w:rPr>
              <w:t>Yes.</w:t>
            </w:r>
            <w:r w:rsidRPr="00D16DE2">
              <w:rPr>
                <w:rFonts w:cs="Arial"/>
                <w:sz w:val="20"/>
                <w:szCs w:val="20"/>
              </w:rPr>
              <w:br/>
              <w:t>Fishers are required to take all reasonable steps to ensure that listed marine species are not killed or injured as a result of the fishing.</w:t>
            </w:r>
          </w:p>
          <w:p w14:paraId="20AD60F3" w14:textId="04875267" w:rsidR="00D16DE2" w:rsidRPr="00D16DE2" w:rsidRDefault="00D16DE2" w:rsidP="00D16DE2">
            <w:pPr>
              <w:spacing w:before="60" w:after="60" w:line="240" w:lineRule="auto"/>
              <w:rPr>
                <w:rFonts w:cs="Arial"/>
                <w:sz w:val="20"/>
                <w:szCs w:val="20"/>
              </w:rPr>
            </w:pPr>
            <w:r w:rsidRPr="00D16DE2">
              <w:rPr>
                <w:rFonts w:cs="Arial"/>
                <w:sz w:val="20"/>
                <w:szCs w:val="20"/>
              </w:rPr>
              <w:t>There have been no recorded interactions with listed marine species.</w:t>
            </w:r>
          </w:p>
        </w:tc>
      </w:tr>
      <w:tr w:rsidR="00D16DE2" w:rsidRPr="0062083D" w14:paraId="5745F56B" w14:textId="77777777" w:rsidTr="009A3888">
        <w:trPr>
          <w:cnfStyle w:val="000000010000" w:firstRow="0" w:lastRow="0" w:firstColumn="0" w:lastColumn="0" w:oddVBand="0" w:evenVBand="0" w:oddHBand="0" w:evenHBand="1" w:firstRowFirstColumn="0" w:firstRowLastColumn="0" w:lastRowFirstColumn="0" w:lastRowLastColumn="0"/>
        </w:trPr>
        <w:tc>
          <w:tcPr>
            <w:tcW w:w="2500" w:type="pct"/>
          </w:tcPr>
          <w:p w14:paraId="0E6C657F" w14:textId="77777777" w:rsidR="00D16DE2" w:rsidRPr="0062083D" w:rsidRDefault="00D16DE2" w:rsidP="00D16DE2">
            <w:pPr>
              <w:spacing w:before="60" w:after="60" w:line="240" w:lineRule="auto"/>
              <w:rPr>
                <w:rFonts w:cs="Arial"/>
                <w:sz w:val="20"/>
                <w:szCs w:val="20"/>
              </w:rPr>
            </w:pPr>
            <w:r w:rsidRPr="0062083D">
              <w:rPr>
                <w:rFonts w:cs="Arial"/>
                <w:sz w:val="20"/>
                <w:szCs w:val="20"/>
              </w:rPr>
              <w:t>(g)  And is the fishery likely to adversely affect the conservation status of a listed marine species or a population of that species?</w:t>
            </w:r>
          </w:p>
        </w:tc>
        <w:tc>
          <w:tcPr>
            <w:tcW w:w="2500" w:type="pct"/>
            <w:shd w:val="clear" w:color="auto" w:fill="92D050"/>
          </w:tcPr>
          <w:p w14:paraId="18CEF97D" w14:textId="64614AE6" w:rsidR="00D16DE2" w:rsidRPr="00D16DE2" w:rsidRDefault="00D16DE2" w:rsidP="00D16DE2">
            <w:pPr>
              <w:spacing w:before="60" w:after="60" w:line="240" w:lineRule="auto"/>
              <w:rPr>
                <w:rFonts w:cs="Arial"/>
                <w:sz w:val="20"/>
                <w:szCs w:val="20"/>
              </w:rPr>
            </w:pPr>
            <w:r w:rsidRPr="00D16DE2">
              <w:rPr>
                <w:rFonts w:cs="Arial"/>
                <w:sz w:val="20"/>
                <w:szCs w:val="20"/>
              </w:rPr>
              <w:t>No.</w:t>
            </w:r>
            <w:r w:rsidRPr="00D16DE2">
              <w:rPr>
                <w:rFonts w:cs="Arial"/>
                <w:sz w:val="20"/>
                <w:szCs w:val="20"/>
              </w:rPr>
              <w:br/>
              <w:t>The fishery is unlikely to adversely affect the conservation status of a listed marine species or a population of that species based on the management arrangements in place and the lack of interactions to date.</w:t>
            </w:r>
          </w:p>
        </w:tc>
      </w:tr>
      <w:tr w:rsidR="00426E32" w:rsidRPr="0062083D" w14:paraId="36ACDB85" w14:textId="77777777" w:rsidTr="009A3888">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31E4EEE0" w14:textId="5670DDE8" w:rsidR="00426E32" w:rsidRPr="0062083D" w:rsidRDefault="00426E32" w:rsidP="00D16DE2">
            <w:pPr>
              <w:spacing w:before="60" w:after="60" w:line="240" w:lineRule="auto"/>
              <w:rPr>
                <w:rFonts w:cs="Arial"/>
                <w:sz w:val="20"/>
                <w:szCs w:val="20"/>
              </w:rPr>
            </w:pPr>
            <w:r w:rsidRPr="0062083D">
              <w:rPr>
                <w:rFonts w:cs="Arial"/>
                <w:b/>
                <w:sz w:val="20"/>
                <w:szCs w:val="20"/>
              </w:rPr>
              <w:t>Section 303AA Conditions relating to accreditation of plans, regimes and policies</w:t>
            </w:r>
          </w:p>
        </w:tc>
      </w:tr>
      <w:tr w:rsidR="00D16DE2" w:rsidRPr="0062083D" w14:paraId="451BAAE1" w14:textId="77777777" w:rsidTr="009A3888">
        <w:trPr>
          <w:cnfStyle w:val="000000010000" w:firstRow="0" w:lastRow="0" w:firstColumn="0" w:lastColumn="0" w:oddVBand="0" w:evenVBand="0" w:oddHBand="0" w:evenHBand="1" w:firstRowFirstColumn="0" w:firstRowLastColumn="0" w:lastRowFirstColumn="0" w:lastRowLastColumn="0"/>
        </w:trPr>
        <w:tc>
          <w:tcPr>
            <w:tcW w:w="2500" w:type="pct"/>
          </w:tcPr>
          <w:p w14:paraId="206E567C" w14:textId="77777777" w:rsidR="00D16DE2" w:rsidRPr="0062083D" w:rsidRDefault="00D16DE2" w:rsidP="00D16DE2">
            <w:pPr>
              <w:spacing w:before="60" w:after="60" w:line="240" w:lineRule="auto"/>
              <w:rPr>
                <w:rFonts w:cs="Arial"/>
                <w:sz w:val="20"/>
                <w:szCs w:val="20"/>
              </w:rPr>
            </w:pPr>
            <w:r w:rsidRPr="0062083D">
              <w:rPr>
                <w:rFonts w:cs="Arial"/>
                <w:sz w:val="20"/>
                <w:szCs w:val="20"/>
              </w:rPr>
              <w:t>(1)  This section applies to an accreditation of a plan, regime or policy under section 208A, 222A, 245 or 265.</w:t>
            </w:r>
          </w:p>
        </w:tc>
        <w:tc>
          <w:tcPr>
            <w:tcW w:w="2500" w:type="pct"/>
            <w:shd w:val="clear" w:color="auto" w:fill="92D050"/>
          </w:tcPr>
          <w:p w14:paraId="7CD2FC08" w14:textId="444BDF75" w:rsidR="00D16DE2" w:rsidRPr="0062083D" w:rsidRDefault="00D16DE2" w:rsidP="00D16DE2">
            <w:pPr>
              <w:spacing w:before="60" w:after="60" w:line="240" w:lineRule="auto"/>
              <w:rPr>
                <w:rFonts w:cs="Arial"/>
                <w:sz w:val="20"/>
                <w:szCs w:val="20"/>
              </w:rPr>
            </w:pPr>
            <w:r w:rsidRPr="0062083D">
              <w:rPr>
                <w:rFonts w:cs="Arial"/>
                <w:sz w:val="20"/>
                <w:szCs w:val="20"/>
              </w:rPr>
              <w:t>Accreditation of the management regime for the Eastern and Western Skipjack Tuna fisheries is recommended, subject to the following condition.</w:t>
            </w:r>
          </w:p>
        </w:tc>
      </w:tr>
      <w:tr w:rsidR="00D16DE2" w:rsidRPr="0062083D" w14:paraId="7604DFCA" w14:textId="77777777" w:rsidTr="009A3888">
        <w:trPr>
          <w:cnfStyle w:val="000000100000" w:firstRow="0" w:lastRow="0" w:firstColumn="0" w:lastColumn="0" w:oddVBand="0" w:evenVBand="0" w:oddHBand="1" w:evenHBand="0" w:firstRowFirstColumn="0" w:firstRowLastColumn="0" w:lastRowFirstColumn="0" w:lastRowLastColumn="0"/>
        </w:trPr>
        <w:tc>
          <w:tcPr>
            <w:tcW w:w="2500" w:type="pct"/>
          </w:tcPr>
          <w:p w14:paraId="517749D6" w14:textId="77777777" w:rsidR="00D16DE2" w:rsidRPr="0062083D" w:rsidRDefault="00D16DE2" w:rsidP="00D16DE2">
            <w:pPr>
              <w:spacing w:before="60" w:after="60" w:line="240" w:lineRule="auto"/>
              <w:rPr>
                <w:rFonts w:cs="Arial"/>
                <w:sz w:val="20"/>
                <w:szCs w:val="20"/>
              </w:rPr>
            </w:pPr>
            <w:r w:rsidRPr="0062083D">
              <w:rPr>
                <w:rFonts w:cs="Arial"/>
                <w:sz w:val="20"/>
                <w:szCs w:val="20"/>
              </w:rPr>
              <w:t>(2)  The Minister may accredit a plan, regime or policy under that section even though he or she considers that the plan, regime or policy should be accredited only:</w:t>
            </w:r>
          </w:p>
          <w:p w14:paraId="6858773F" w14:textId="77777777" w:rsidR="00D16DE2" w:rsidRPr="0062083D" w:rsidRDefault="00D16DE2" w:rsidP="00D16DE2">
            <w:pPr>
              <w:numPr>
                <w:ilvl w:val="0"/>
                <w:numId w:val="25"/>
              </w:numPr>
              <w:tabs>
                <w:tab w:val="clear" w:pos="360"/>
              </w:tabs>
              <w:spacing w:before="60" w:after="60" w:line="240" w:lineRule="auto"/>
              <w:ind w:left="0" w:firstLine="0"/>
              <w:rPr>
                <w:rFonts w:cs="Arial"/>
                <w:sz w:val="20"/>
                <w:szCs w:val="20"/>
              </w:rPr>
            </w:pPr>
            <w:r w:rsidRPr="0062083D">
              <w:rPr>
                <w:rFonts w:cs="Arial"/>
                <w:sz w:val="20"/>
                <w:szCs w:val="20"/>
              </w:rPr>
              <w:t>during a particular period; or</w:t>
            </w:r>
          </w:p>
          <w:p w14:paraId="24E3AA4B" w14:textId="77777777" w:rsidR="00D16DE2" w:rsidRPr="0062083D" w:rsidRDefault="00D16DE2" w:rsidP="00D16DE2">
            <w:pPr>
              <w:numPr>
                <w:ilvl w:val="0"/>
                <w:numId w:val="25"/>
              </w:numPr>
              <w:tabs>
                <w:tab w:val="clear" w:pos="360"/>
              </w:tabs>
              <w:spacing w:before="60" w:after="60" w:line="240" w:lineRule="auto"/>
              <w:ind w:left="0" w:firstLine="0"/>
              <w:rPr>
                <w:rFonts w:cs="Arial"/>
                <w:sz w:val="20"/>
                <w:szCs w:val="20"/>
              </w:rPr>
            </w:pPr>
            <w:r w:rsidRPr="0062083D">
              <w:rPr>
                <w:rFonts w:cs="Arial"/>
                <w:sz w:val="20"/>
                <w:szCs w:val="20"/>
              </w:rPr>
              <w:t>while certain circumstances exist; or</w:t>
            </w:r>
          </w:p>
          <w:p w14:paraId="4D08C321" w14:textId="77777777" w:rsidR="00D16DE2" w:rsidRPr="0062083D" w:rsidRDefault="00D16DE2" w:rsidP="00D16DE2">
            <w:pPr>
              <w:numPr>
                <w:ilvl w:val="0"/>
                <w:numId w:val="25"/>
              </w:numPr>
              <w:tabs>
                <w:tab w:val="clear" w:pos="360"/>
              </w:tabs>
              <w:spacing w:before="60" w:after="60" w:line="240" w:lineRule="auto"/>
              <w:ind w:left="0" w:firstLine="0"/>
              <w:rPr>
                <w:rFonts w:cs="Arial"/>
                <w:sz w:val="20"/>
                <w:szCs w:val="20"/>
              </w:rPr>
            </w:pPr>
            <w:proofErr w:type="gramStart"/>
            <w:r w:rsidRPr="0062083D">
              <w:rPr>
                <w:rFonts w:cs="Arial"/>
                <w:sz w:val="20"/>
                <w:szCs w:val="20"/>
              </w:rPr>
              <w:t>while</w:t>
            </w:r>
            <w:proofErr w:type="gramEnd"/>
            <w:r w:rsidRPr="0062083D">
              <w:rPr>
                <w:rFonts w:cs="Arial"/>
                <w:sz w:val="20"/>
                <w:szCs w:val="20"/>
              </w:rPr>
              <w:t xml:space="preserve"> a certain condition is complied with.</w:t>
            </w:r>
          </w:p>
          <w:p w14:paraId="6432B88E" w14:textId="77777777" w:rsidR="00D16DE2" w:rsidRPr="0062083D" w:rsidRDefault="00D16DE2" w:rsidP="00D16DE2">
            <w:pPr>
              <w:spacing w:before="60" w:after="60" w:line="240" w:lineRule="auto"/>
              <w:rPr>
                <w:rFonts w:cs="Arial"/>
                <w:sz w:val="20"/>
                <w:szCs w:val="20"/>
              </w:rPr>
            </w:pPr>
            <w:r w:rsidRPr="0062083D">
              <w:rPr>
                <w:rFonts w:cs="Arial"/>
                <w:sz w:val="20"/>
                <w:szCs w:val="20"/>
              </w:rPr>
              <w:t>In such a case, the instrument of accreditation is to specify the period, circumstances or condition.</w:t>
            </w:r>
          </w:p>
        </w:tc>
        <w:tc>
          <w:tcPr>
            <w:tcW w:w="2500" w:type="pct"/>
            <w:shd w:val="clear" w:color="auto" w:fill="FF0000"/>
          </w:tcPr>
          <w:p w14:paraId="6B43AFAC" w14:textId="39E8C4C4" w:rsidR="00D16DE2" w:rsidRPr="00D16DE2" w:rsidRDefault="00D16DE2" w:rsidP="00D16DE2">
            <w:pPr>
              <w:spacing w:before="60" w:after="60" w:line="240" w:lineRule="auto"/>
              <w:rPr>
                <w:rFonts w:cs="Arial"/>
                <w:sz w:val="20"/>
                <w:szCs w:val="20"/>
              </w:rPr>
            </w:pPr>
            <w:r w:rsidRPr="00D16DE2">
              <w:rPr>
                <w:rFonts w:cs="Arial"/>
                <w:sz w:val="20"/>
                <w:szCs w:val="20"/>
              </w:rPr>
              <w:t>Accreditation is recommended, subject to the following condition:</w:t>
            </w:r>
          </w:p>
          <w:p w14:paraId="1EB738A5" w14:textId="6DE83219" w:rsidR="00D16DE2" w:rsidRPr="00D16DE2" w:rsidRDefault="00D16DE2" w:rsidP="00D16DE2">
            <w:pPr>
              <w:spacing w:before="60" w:after="60" w:line="240" w:lineRule="auto"/>
              <w:rPr>
                <w:rFonts w:cs="Arial"/>
                <w:sz w:val="20"/>
                <w:szCs w:val="20"/>
              </w:rPr>
            </w:pPr>
            <w:r w:rsidRPr="00D16DE2">
              <w:rPr>
                <w:rFonts w:cs="Arial"/>
                <w:sz w:val="20"/>
                <w:szCs w:val="20"/>
              </w:rPr>
              <w:t>AFMA to review its management regime within 12 months of a Level 2a trigger, as defined in the Skipjack Tuna Fishery Harvest Strategy, being reached. This review should include ecological risk assessment and risk management, harvest strategy and bycatch arrangements. Reassessment of the fishery under these new arrangements and the provisions of the EPBC Act will be considered at this time.</w:t>
            </w:r>
          </w:p>
        </w:tc>
      </w:tr>
      <w:tr w:rsidR="00D16DE2" w:rsidRPr="0062083D" w14:paraId="3AB5ADDD" w14:textId="77777777" w:rsidTr="009A3888">
        <w:trPr>
          <w:cnfStyle w:val="000000010000" w:firstRow="0" w:lastRow="0" w:firstColumn="0" w:lastColumn="0" w:oddVBand="0" w:evenVBand="0" w:oddHBand="0" w:evenHBand="1" w:firstRowFirstColumn="0" w:firstRowLastColumn="0" w:lastRowFirstColumn="0" w:lastRowLastColumn="0"/>
        </w:trPr>
        <w:tc>
          <w:tcPr>
            <w:tcW w:w="2500" w:type="pct"/>
          </w:tcPr>
          <w:p w14:paraId="340A3E05" w14:textId="77777777" w:rsidR="00D16DE2" w:rsidRPr="0062083D" w:rsidRDefault="00D16DE2" w:rsidP="00D16DE2">
            <w:pPr>
              <w:spacing w:before="60" w:after="60" w:line="240" w:lineRule="auto"/>
              <w:rPr>
                <w:rFonts w:cs="Arial"/>
                <w:sz w:val="20"/>
                <w:szCs w:val="20"/>
              </w:rPr>
            </w:pPr>
            <w:r w:rsidRPr="0062083D">
              <w:rPr>
                <w:rFonts w:cs="Arial"/>
                <w:sz w:val="20"/>
                <w:szCs w:val="20"/>
              </w:rPr>
              <w:t>(7)  The Minister must, in writing, revoke an accreditation if he or she is satisfied that a condition of the accreditation has been contravened.</w:t>
            </w:r>
          </w:p>
        </w:tc>
        <w:tc>
          <w:tcPr>
            <w:tcW w:w="2500" w:type="pct"/>
            <w:shd w:val="clear" w:color="auto" w:fill="FFC000"/>
          </w:tcPr>
          <w:p w14:paraId="311224CE" w14:textId="457E35B8" w:rsidR="00D16DE2" w:rsidRPr="00D16DE2" w:rsidRDefault="00D16DE2" w:rsidP="00D16DE2">
            <w:pPr>
              <w:spacing w:before="60" w:after="60" w:line="240" w:lineRule="auto"/>
              <w:rPr>
                <w:rFonts w:cs="Arial"/>
                <w:sz w:val="20"/>
                <w:szCs w:val="20"/>
              </w:rPr>
            </w:pPr>
            <w:r w:rsidRPr="00D16DE2">
              <w:rPr>
                <w:rFonts w:cs="Arial"/>
                <w:sz w:val="20"/>
                <w:szCs w:val="20"/>
              </w:rPr>
              <w:t>Not applicable.</w:t>
            </w:r>
          </w:p>
          <w:p w14:paraId="201AAEEE" w14:textId="77777777" w:rsidR="00D16DE2" w:rsidRPr="00D16DE2" w:rsidRDefault="00D16DE2" w:rsidP="00D16DE2">
            <w:pPr>
              <w:spacing w:before="60" w:after="60" w:line="240" w:lineRule="auto"/>
              <w:rPr>
                <w:rFonts w:cs="Arial"/>
                <w:sz w:val="20"/>
                <w:szCs w:val="20"/>
              </w:rPr>
            </w:pPr>
            <w:r w:rsidRPr="00D16DE2">
              <w:rPr>
                <w:rFonts w:cs="Arial"/>
                <w:sz w:val="20"/>
                <w:szCs w:val="20"/>
              </w:rPr>
              <w:t>No conditions on previous accreditation.</w:t>
            </w:r>
          </w:p>
        </w:tc>
      </w:tr>
    </w:tbl>
    <w:p w14:paraId="37CB08CC" w14:textId="66DBC31C" w:rsidR="003779E4" w:rsidRPr="0062083D" w:rsidRDefault="003779E4" w:rsidP="0062083D">
      <w:pPr>
        <w:spacing w:before="60" w:after="60" w:line="240" w:lineRule="auto"/>
        <w:rPr>
          <w:rFonts w:cs="Arial"/>
          <w:sz w:val="20"/>
          <w:szCs w:val="20"/>
        </w:rPr>
      </w:pPr>
    </w:p>
    <w:p w14:paraId="69FB53C1" w14:textId="77777777" w:rsidR="00F4533A" w:rsidRPr="0062083D" w:rsidRDefault="00F4533A" w:rsidP="0062083D">
      <w:pPr>
        <w:spacing w:before="60" w:after="60" w:line="240" w:lineRule="auto"/>
        <w:rPr>
          <w:rFonts w:cs="Arial"/>
          <w:b/>
        </w:rPr>
      </w:pPr>
      <w:r w:rsidRPr="0062083D">
        <w:rPr>
          <w:rFonts w:cs="Arial"/>
          <w:b/>
        </w:rPr>
        <w:t>Part 13A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6"/>
      </w:tblGrid>
      <w:tr w:rsidR="001D1EAF" w:rsidRPr="0062083D" w14:paraId="69FB53C3" w14:textId="77777777" w:rsidTr="00D16DE2">
        <w:tc>
          <w:tcPr>
            <w:tcW w:w="5000" w:type="pct"/>
          </w:tcPr>
          <w:p w14:paraId="69FB53C2" w14:textId="77777777" w:rsidR="001D1EAF" w:rsidRPr="0062083D" w:rsidRDefault="001D1EAF" w:rsidP="0062083D">
            <w:pPr>
              <w:spacing w:before="60" w:after="60" w:line="240" w:lineRule="auto"/>
              <w:rPr>
                <w:rFonts w:cs="Arial"/>
                <w:noProof/>
                <w:sz w:val="20"/>
                <w:szCs w:val="20"/>
              </w:rPr>
            </w:pPr>
            <w:r w:rsidRPr="0062083D">
              <w:rPr>
                <w:rFonts w:cs="Arial"/>
                <w:b/>
                <w:bCs/>
                <w:noProof/>
                <w:sz w:val="20"/>
                <w:szCs w:val="20"/>
              </w:rPr>
              <w:t>Section 303BA Objects of Part 13A</w:t>
            </w:r>
          </w:p>
        </w:tc>
      </w:tr>
      <w:tr w:rsidR="001D1EAF" w:rsidRPr="0062083D" w14:paraId="69FB53CC" w14:textId="77777777" w:rsidTr="00D16DE2">
        <w:tc>
          <w:tcPr>
            <w:tcW w:w="5000" w:type="pct"/>
          </w:tcPr>
          <w:p w14:paraId="69FB53C4" w14:textId="77777777" w:rsidR="001D1EAF" w:rsidRPr="0062083D" w:rsidRDefault="001D1EAF" w:rsidP="0062083D">
            <w:pPr>
              <w:numPr>
                <w:ilvl w:val="0"/>
                <w:numId w:val="29"/>
              </w:numPr>
              <w:tabs>
                <w:tab w:val="clear" w:pos="720"/>
                <w:tab w:val="num" w:pos="360"/>
              </w:tabs>
              <w:spacing w:before="60" w:after="60" w:line="240" w:lineRule="auto"/>
              <w:ind w:left="0" w:firstLine="0"/>
              <w:rPr>
                <w:rFonts w:cs="Arial"/>
                <w:noProof/>
                <w:sz w:val="20"/>
                <w:szCs w:val="20"/>
              </w:rPr>
            </w:pPr>
            <w:r w:rsidRPr="0062083D">
              <w:rPr>
                <w:rFonts w:cs="Arial"/>
                <w:noProof/>
                <w:sz w:val="20"/>
                <w:szCs w:val="20"/>
              </w:rPr>
              <w:t>The objects of this Part are as follows:</w:t>
            </w:r>
          </w:p>
          <w:p w14:paraId="69FB53C5" w14:textId="77777777" w:rsidR="001D1EAF" w:rsidRPr="0062083D" w:rsidRDefault="001D1EAF" w:rsidP="0062083D">
            <w:pPr>
              <w:numPr>
                <w:ilvl w:val="0"/>
                <w:numId w:val="30"/>
              </w:numPr>
              <w:tabs>
                <w:tab w:val="left" w:pos="360"/>
              </w:tabs>
              <w:spacing w:before="60" w:after="60" w:line="240" w:lineRule="auto"/>
              <w:ind w:left="0" w:firstLine="0"/>
              <w:rPr>
                <w:rFonts w:cs="Arial"/>
                <w:noProof/>
                <w:sz w:val="20"/>
                <w:szCs w:val="20"/>
              </w:rPr>
            </w:pPr>
            <w:r w:rsidRPr="0062083D">
              <w:rPr>
                <w:rFonts w:cs="Arial"/>
                <w:noProof/>
                <w:sz w:val="20"/>
                <w:szCs w:val="20"/>
              </w:rPr>
              <w:t>to ensure that Australia complies with its obligations under CITES and the Biodiversity Convention;</w:t>
            </w:r>
          </w:p>
          <w:p w14:paraId="69FB53C6" w14:textId="77777777" w:rsidR="001D1EAF" w:rsidRPr="0062083D" w:rsidRDefault="001D1EAF" w:rsidP="0062083D">
            <w:pPr>
              <w:numPr>
                <w:ilvl w:val="0"/>
                <w:numId w:val="30"/>
              </w:numPr>
              <w:tabs>
                <w:tab w:val="left" w:pos="360"/>
              </w:tabs>
              <w:spacing w:before="60" w:after="60" w:line="240" w:lineRule="auto"/>
              <w:ind w:left="0" w:firstLine="0"/>
              <w:rPr>
                <w:rFonts w:cs="Arial"/>
                <w:noProof/>
                <w:sz w:val="20"/>
                <w:szCs w:val="20"/>
              </w:rPr>
            </w:pPr>
            <w:r w:rsidRPr="0062083D">
              <w:rPr>
                <w:rFonts w:cs="Arial"/>
                <w:noProof/>
                <w:sz w:val="20"/>
                <w:szCs w:val="20"/>
              </w:rPr>
              <w:t>to protect wildlife that may be adversely affected by trade;</w:t>
            </w:r>
          </w:p>
          <w:p w14:paraId="69FB53C7" w14:textId="77777777" w:rsidR="001D1EAF" w:rsidRPr="0062083D" w:rsidRDefault="001D1EAF" w:rsidP="0062083D">
            <w:pPr>
              <w:numPr>
                <w:ilvl w:val="0"/>
                <w:numId w:val="30"/>
              </w:numPr>
              <w:tabs>
                <w:tab w:val="left" w:pos="360"/>
              </w:tabs>
              <w:spacing w:before="60" w:after="60" w:line="240" w:lineRule="auto"/>
              <w:ind w:left="0" w:firstLine="0"/>
              <w:rPr>
                <w:rFonts w:cs="Arial"/>
                <w:noProof/>
                <w:sz w:val="20"/>
                <w:szCs w:val="20"/>
              </w:rPr>
            </w:pPr>
            <w:r w:rsidRPr="0062083D">
              <w:rPr>
                <w:rFonts w:cs="Arial"/>
                <w:noProof/>
                <w:sz w:val="20"/>
                <w:szCs w:val="20"/>
              </w:rPr>
              <w:t>to promote the conservation of biodiversity in Australia and other countries;</w:t>
            </w:r>
          </w:p>
          <w:p w14:paraId="69FB53C8" w14:textId="77777777" w:rsidR="001D1EAF" w:rsidRPr="0062083D" w:rsidRDefault="001D1EAF" w:rsidP="0062083D">
            <w:pPr>
              <w:numPr>
                <w:ilvl w:val="0"/>
                <w:numId w:val="30"/>
              </w:numPr>
              <w:tabs>
                <w:tab w:val="left" w:pos="360"/>
              </w:tabs>
              <w:spacing w:before="60" w:after="60" w:line="240" w:lineRule="auto"/>
              <w:ind w:left="0" w:firstLine="0"/>
              <w:rPr>
                <w:rFonts w:cs="Arial"/>
                <w:noProof/>
                <w:sz w:val="20"/>
                <w:szCs w:val="20"/>
              </w:rPr>
            </w:pPr>
            <w:r w:rsidRPr="0062083D">
              <w:rPr>
                <w:rFonts w:cs="Arial"/>
                <w:noProof/>
                <w:sz w:val="20"/>
                <w:szCs w:val="20"/>
              </w:rPr>
              <w:t>to ensure that any commercial utilisation of Australian native wildlife for the purposes of export is managed in an ecologically sustainable way;</w:t>
            </w:r>
          </w:p>
          <w:p w14:paraId="69FB53C9" w14:textId="77777777" w:rsidR="001D1EAF" w:rsidRPr="0062083D" w:rsidRDefault="001D1EAF" w:rsidP="0062083D">
            <w:pPr>
              <w:numPr>
                <w:ilvl w:val="0"/>
                <w:numId w:val="30"/>
              </w:numPr>
              <w:tabs>
                <w:tab w:val="left" w:pos="360"/>
              </w:tabs>
              <w:spacing w:before="60" w:after="60" w:line="240" w:lineRule="auto"/>
              <w:ind w:left="0" w:firstLine="0"/>
              <w:rPr>
                <w:rFonts w:cs="Arial"/>
                <w:noProof/>
                <w:sz w:val="20"/>
                <w:szCs w:val="20"/>
              </w:rPr>
            </w:pPr>
            <w:r w:rsidRPr="0062083D">
              <w:rPr>
                <w:rFonts w:cs="Arial"/>
                <w:noProof/>
                <w:sz w:val="20"/>
                <w:szCs w:val="20"/>
              </w:rPr>
              <w:t>to promote the humane treatment of wildlife;</w:t>
            </w:r>
          </w:p>
          <w:p w14:paraId="69FB53CA" w14:textId="77777777" w:rsidR="001D1EAF" w:rsidRPr="0062083D" w:rsidRDefault="001D1EAF" w:rsidP="0062083D">
            <w:pPr>
              <w:numPr>
                <w:ilvl w:val="0"/>
                <w:numId w:val="30"/>
              </w:numPr>
              <w:tabs>
                <w:tab w:val="left" w:pos="360"/>
              </w:tabs>
              <w:spacing w:before="60" w:after="60" w:line="240" w:lineRule="auto"/>
              <w:ind w:left="0" w:firstLine="0"/>
              <w:rPr>
                <w:rFonts w:cs="Arial"/>
                <w:noProof/>
                <w:sz w:val="20"/>
                <w:szCs w:val="20"/>
              </w:rPr>
            </w:pPr>
            <w:r w:rsidRPr="0062083D">
              <w:rPr>
                <w:rFonts w:cs="Arial"/>
                <w:noProof/>
                <w:sz w:val="20"/>
                <w:szCs w:val="20"/>
              </w:rPr>
              <w:t>to ensure ethical conduct during any research associated with the utilisation of wildlife; and</w:t>
            </w:r>
          </w:p>
          <w:p w14:paraId="69FB53CB" w14:textId="77777777" w:rsidR="001D1EAF" w:rsidRPr="0062083D" w:rsidRDefault="001D1EAF" w:rsidP="0062083D">
            <w:pPr>
              <w:numPr>
                <w:ilvl w:val="0"/>
                <w:numId w:val="31"/>
              </w:numPr>
              <w:tabs>
                <w:tab w:val="left" w:pos="360"/>
              </w:tabs>
              <w:spacing w:before="60" w:after="60" w:line="240" w:lineRule="auto"/>
              <w:ind w:left="0" w:firstLine="0"/>
              <w:rPr>
                <w:rFonts w:cs="Arial"/>
                <w:noProof/>
                <w:sz w:val="20"/>
                <w:szCs w:val="20"/>
              </w:rPr>
            </w:pPr>
            <w:r w:rsidRPr="0062083D">
              <w:rPr>
                <w:rFonts w:cs="Arial"/>
                <w:noProof/>
                <w:sz w:val="20"/>
                <w:szCs w:val="20"/>
              </w:rPr>
              <w:t>to ensure the precautionary principle is taken into account in making decisions relating to the utilisation of wildlife.</w:t>
            </w:r>
          </w:p>
        </w:tc>
      </w:tr>
    </w:tbl>
    <w:tbl>
      <w:tblPr>
        <w:tblStyle w:val="TableGrid"/>
        <w:tblW w:w="5000" w:type="pct"/>
        <w:tblLook w:val="04A0" w:firstRow="1" w:lastRow="0" w:firstColumn="1" w:lastColumn="0" w:noHBand="0" w:noVBand="1"/>
      </w:tblPr>
      <w:tblGrid>
        <w:gridCol w:w="7053"/>
        <w:gridCol w:w="7053"/>
      </w:tblGrid>
      <w:tr w:rsidR="009A3888" w:rsidRPr="0062083D" w14:paraId="69FB53D2" w14:textId="77777777" w:rsidTr="009A3888">
        <w:trPr>
          <w:cnfStyle w:val="100000000000" w:firstRow="1" w:lastRow="0" w:firstColumn="0" w:lastColumn="0" w:oddVBand="0" w:evenVBand="0" w:oddHBand="0" w:evenHBand="0" w:firstRowFirstColumn="0" w:firstRowLastColumn="0" w:lastRowFirstColumn="0" w:lastRowLastColumn="0"/>
        </w:trPr>
        <w:tc>
          <w:tcPr>
            <w:tcW w:w="2500" w:type="pct"/>
          </w:tcPr>
          <w:p w14:paraId="69FB53CD" w14:textId="77777777" w:rsidR="009A3888" w:rsidRPr="0062083D" w:rsidRDefault="009A3888" w:rsidP="00D16DE2">
            <w:pPr>
              <w:spacing w:before="60" w:after="60" w:line="240" w:lineRule="auto"/>
              <w:rPr>
                <w:rFonts w:cs="Arial"/>
                <w:b/>
                <w:sz w:val="20"/>
                <w:szCs w:val="20"/>
              </w:rPr>
            </w:pPr>
          </w:p>
        </w:tc>
        <w:tc>
          <w:tcPr>
            <w:tcW w:w="2500" w:type="pct"/>
            <w:shd w:val="clear" w:color="auto" w:fill="auto"/>
          </w:tcPr>
          <w:p w14:paraId="69FB53D1" w14:textId="0AFB6843" w:rsidR="009A3888" w:rsidRPr="0062083D" w:rsidRDefault="009A3888" w:rsidP="00D16DE2">
            <w:pPr>
              <w:spacing w:before="60" w:after="60" w:line="240" w:lineRule="auto"/>
              <w:rPr>
                <w:rFonts w:cs="Arial"/>
                <w:b/>
                <w:sz w:val="20"/>
                <w:szCs w:val="20"/>
              </w:rPr>
            </w:pPr>
            <w:r w:rsidRPr="0062083D">
              <w:rPr>
                <w:rFonts w:cs="Arial"/>
                <w:b/>
                <w:sz w:val="20"/>
                <w:szCs w:val="20"/>
              </w:rPr>
              <w:t>Comment</w:t>
            </w:r>
          </w:p>
        </w:tc>
      </w:tr>
      <w:tr w:rsidR="00F14829" w:rsidRPr="0062083D" w14:paraId="69FB53D4" w14:textId="77777777" w:rsidTr="009A3888">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69FB53D3" w14:textId="77777777" w:rsidR="00F14829" w:rsidRPr="0062083D" w:rsidRDefault="00F14829" w:rsidP="00D16DE2">
            <w:pPr>
              <w:spacing w:before="60" w:after="60" w:line="240" w:lineRule="auto"/>
              <w:rPr>
                <w:rFonts w:cs="Arial"/>
                <w:sz w:val="20"/>
                <w:szCs w:val="20"/>
              </w:rPr>
            </w:pPr>
            <w:r w:rsidRPr="0062083D">
              <w:rPr>
                <w:rFonts w:cs="Arial"/>
                <w:b/>
                <w:sz w:val="20"/>
                <w:szCs w:val="20"/>
              </w:rPr>
              <w:t>Section 303DC Minister may amend list (non CITES species)</w:t>
            </w:r>
          </w:p>
        </w:tc>
      </w:tr>
      <w:tr w:rsidR="00D16DE2" w:rsidRPr="0062083D" w14:paraId="69FB53DF" w14:textId="77777777" w:rsidTr="009A3888">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6C87EED3" w14:textId="77777777" w:rsidR="00D16DE2" w:rsidRPr="0062083D" w:rsidRDefault="00D16DE2" w:rsidP="00D16DE2">
            <w:pPr>
              <w:pStyle w:val="subsection"/>
              <w:spacing w:before="60" w:beforeAutospacing="0" w:after="60" w:afterAutospacing="0"/>
              <w:rPr>
                <w:rFonts w:ascii="Arial" w:hAnsi="Arial" w:cs="Arial"/>
                <w:color w:val="000000"/>
                <w:sz w:val="20"/>
                <w:szCs w:val="20"/>
              </w:rPr>
            </w:pPr>
            <w:r w:rsidRPr="0062083D">
              <w:rPr>
                <w:rFonts w:ascii="Arial" w:hAnsi="Arial" w:cs="Arial"/>
                <w:color w:val="000000"/>
                <w:sz w:val="20"/>
                <w:szCs w:val="20"/>
              </w:rPr>
              <w:t>(1) The Minister may amend the LENS by:</w:t>
            </w:r>
          </w:p>
          <w:p w14:paraId="35E209B1" w14:textId="77777777" w:rsidR="00D16DE2" w:rsidRPr="0062083D" w:rsidRDefault="00D16DE2" w:rsidP="00D16DE2">
            <w:pPr>
              <w:pStyle w:val="paragraph"/>
              <w:spacing w:before="60" w:beforeAutospacing="0" w:after="60" w:afterAutospacing="0"/>
              <w:rPr>
                <w:rFonts w:ascii="Arial" w:hAnsi="Arial" w:cs="Arial"/>
                <w:color w:val="000000"/>
                <w:sz w:val="20"/>
                <w:szCs w:val="20"/>
              </w:rPr>
            </w:pPr>
            <w:r w:rsidRPr="0062083D">
              <w:rPr>
                <w:rFonts w:ascii="Arial" w:hAnsi="Arial" w:cs="Arial"/>
                <w:color w:val="000000"/>
                <w:sz w:val="20"/>
                <w:szCs w:val="20"/>
              </w:rPr>
              <w:t>     (a)  doing any of the following:</w:t>
            </w:r>
          </w:p>
          <w:p w14:paraId="3B9A9AA7" w14:textId="77777777" w:rsidR="00D16DE2" w:rsidRPr="0062083D" w:rsidRDefault="00D16DE2" w:rsidP="00D16DE2">
            <w:pPr>
              <w:pStyle w:val="paragraph"/>
              <w:spacing w:before="60" w:beforeAutospacing="0" w:after="60" w:afterAutospacing="0"/>
              <w:rPr>
                <w:rFonts w:ascii="Arial" w:hAnsi="Arial" w:cs="Arial"/>
                <w:color w:val="000000"/>
                <w:sz w:val="20"/>
                <w:szCs w:val="20"/>
              </w:rPr>
            </w:pPr>
            <w:r w:rsidRPr="0062083D">
              <w:rPr>
                <w:rFonts w:ascii="Arial" w:hAnsi="Arial" w:cs="Arial"/>
                <w:color w:val="000000"/>
                <w:sz w:val="20"/>
                <w:szCs w:val="20"/>
              </w:rPr>
              <w:t>(</w:t>
            </w:r>
            <w:proofErr w:type="spellStart"/>
            <w:r w:rsidRPr="0062083D">
              <w:rPr>
                <w:rFonts w:ascii="Arial" w:hAnsi="Arial" w:cs="Arial"/>
                <w:color w:val="000000"/>
                <w:sz w:val="20"/>
                <w:szCs w:val="20"/>
              </w:rPr>
              <w:t>i</w:t>
            </w:r>
            <w:proofErr w:type="spellEnd"/>
            <w:r w:rsidRPr="0062083D">
              <w:rPr>
                <w:rFonts w:ascii="Arial" w:hAnsi="Arial" w:cs="Arial"/>
                <w:color w:val="000000"/>
                <w:sz w:val="20"/>
                <w:szCs w:val="20"/>
              </w:rPr>
              <w:t xml:space="preserve">)  including items in the list; </w:t>
            </w:r>
          </w:p>
          <w:p w14:paraId="352BB9DB" w14:textId="77777777" w:rsidR="00D16DE2" w:rsidRPr="0062083D" w:rsidRDefault="00D16DE2" w:rsidP="00D16DE2">
            <w:pPr>
              <w:pStyle w:val="paragraph"/>
              <w:spacing w:before="60" w:beforeAutospacing="0" w:after="60" w:afterAutospacing="0"/>
              <w:rPr>
                <w:rFonts w:ascii="Arial" w:hAnsi="Arial" w:cs="Arial"/>
                <w:color w:val="000000"/>
                <w:sz w:val="20"/>
                <w:szCs w:val="20"/>
              </w:rPr>
            </w:pPr>
            <w:r w:rsidRPr="0062083D">
              <w:rPr>
                <w:rFonts w:ascii="Arial" w:hAnsi="Arial" w:cs="Arial"/>
                <w:color w:val="000000"/>
                <w:sz w:val="20"/>
                <w:szCs w:val="20"/>
              </w:rPr>
              <w:t>(ii) deleting items from</w:t>
            </w:r>
            <w:r w:rsidRPr="0062083D">
              <w:rPr>
                <w:rStyle w:val="apple-converted-space"/>
                <w:rFonts w:ascii="Arial" w:hAnsi="Arial" w:cs="Arial"/>
                <w:i/>
                <w:iCs/>
                <w:color w:val="000000"/>
                <w:sz w:val="20"/>
                <w:szCs w:val="20"/>
              </w:rPr>
              <w:t> </w:t>
            </w:r>
            <w:r w:rsidRPr="0062083D">
              <w:rPr>
                <w:rFonts w:ascii="Arial" w:hAnsi="Arial" w:cs="Arial"/>
                <w:color w:val="000000"/>
                <w:sz w:val="20"/>
                <w:szCs w:val="20"/>
              </w:rPr>
              <w:t>the</w:t>
            </w:r>
            <w:r w:rsidRPr="0062083D">
              <w:rPr>
                <w:rStyle w:val="apple-converted-space"/>
                <w:rFonts w:ascii="Arial" w:hAnsi="Arial" w:cs="Arial"/>
                <w:i/>
                <w:iCs/>
                <w:color w:val="000000"/>
                <w:sz w:val="20"/>
                <w:szCs w:val="20"/>
              </w:rPr>
              <w:t> </w:t>
            </w:r>
            <w:r w:rsidRPr="0062083D">
              <w:rPr>
                <w:rFonts w:ascii="Arial" w:hAnsi="Arial" w:cs="Arial"/>
                <w:color w:val="000000"/>
                <w:sz w:val="20"/>
                <w:szCs w:val="20"/>
              </w:rPr>
              <w:t>list;</w:t>
            </w:r>
          </w:p>
          <w:p w14:paraId="6985E172" w14:textId="77777777" w:rsidR="00D16DE2" w:rsidRPr="0062083D" w:rsidRDefault="00D16DE2" w:rsidP="00D16DE2">
            <w:pPr>
              <w:pStyle w:val="paragraph"/>
              <w:spacing w:before="60" w:beforeAutospacing="0" w:after="60" w:afterAutospacing="0"/>
              <w:rPr>
                <w:rFonts w:ascii="Arial" w:hAnsi="Arial" w:cs="Arial"/>
                <w:color w:val="000000"/>
                <w:sz w:val="20"/>
                <w:szCs w:val="20"/>
              </w:rPr>
            </w:pPr>
            <w:r w:rsidRPr="0062083D">
              <w:rPr>
                <w:rFonts w:ascii="Arial" w:hAnsi="Arial" w:cs="Arial"/>
                <w:color w:val="000000"/>
                <w:sz w:val="20"/>
                <w:szCs w:val="20"/>
              </w:rPr>
              <w:t>(iii) imposing a condition or restriction to which the inclusion of a specimen in the list is subject;</w:t>
            </w:r>
          </w:p>
          <w:p w14:paraId="69FB53DE" w14:textId="6758B06E" w:rsidR="00D16DE2" w:rsidRPr="0062083D" w:rsidRDefault="00D16DE2" w:rsidP="00D16DE2">
            <w:pPr>
              <w:spacing w:before="60" w:after="60" w:line="240" w:lineRule="auto"/>
              <w:rPr>
                <w:rFonts w:cs="Arial"/>
                <w:sz w:val="20"/>
                <w:szCs w:val="20"/>
              </w:rPr>
            </w:pPr>
            <w:r w:rsidRPr="0062083D">
              <w:rPr>
                <w:rFonts w:cs="Arial"/>
                <w:color w:val="000000"/>
                <w:sz w:val="20"/>
                <w:szCs w:val="20"/>
              </w:rPr>
              <w:t>(iv) varying or revoking a condition or restriction to which the inclusion of a specimen in the list is subject</w:t>
            </w:r>
          </w:p>
        </w:tc>
      </w:tr>
      <w:tr w:rsidR="00D16DE2" w:rsidRPr="0062083D" w14:paraId="69FB53E6" w14:textId="77777777" w:rsidTr="009A3888">
        <w:trPr>
          <w:cnfStyle w:val="000000100000" w:firstRow="0" w:lastRow="0" w:firstColumn="0" w:lastColumn="0" w:oddVBand="0" w:evenVBand="0" w:oddHBand="1" w:evenHBand="0" w:firstRowFirstColumn="0" w:firstRowLastColumn="0" w:lastRowFirstColumn="0" w:lastRowLastColumn="0"/>
        </w:trPr>
        <w:tc>
          <w:tcPr>
            <w:tcW w:w="2500" w:type="pct"/>
          </w:tcPr>
          <w:p w14:paraId="69FB53E0" w14:textId="77777777" w:rsidR="00D16DE2" w:rsidRPr="0062083D" w:rsidRDefault="00D16DE2" w:rsidP="00D16DE2">
            <w:pPr>
              <w:spacing w:before="60" w:after="60" w:line="240" w:lineRule="auto"/>
              <w:rPr>
                <w:rFonts w:cs="Arial"/>
                <w:sz w:val="20"/>
                <w:szCs w:val="20"/>
              </w:rPr>
            </w:pPr>
            <w:r w:rsidRPr="0062083D">
              <w:rPr>
                <w:rFonts w:cs="Arial"/>
                <w:sz w:val="20"/>
                <w:szCs w:val="20"/>
              </w:rPr>
              <w:t xml:space="preserve">(1A) In deciding to amend LENS, Minister must rely primarily on outcomes of Part 10, </w:t>
            </w:r>
            <w:proofErr w:type="spellStart"/>
            <w:r w:rsidRPr="0062083D">
              <w:rPr>
                <w:rFonts w:cs="Arial"/>
                <w:sz w:val="20"/>
                <w:szCs w:val="20"/>
              </w:rPr>
              <w:t>Div</w:t>
            </w:r>
            <w:proofErr w:type="spellEnd"/>
            <w:r w:rsidRPr="0062083D">
              <w:rPr>
                <w:rFonts w:cs="Arial"/>
                <w:sz w:val="20"/>
                <w:szCs w:val="20"/>
              </w:rPr>
              <w:t xml:space="preserve"> 1 0r 2 assessment</w:t>
            </w:r>
          </w:p>
        </w:tc>
        <w:tc>
          <w:tcPr>
            <w:tcW w:w="2500" w:type="pct"/>
            <w:shd w:val="clear" w:color="auto" w:fill="92D050"/>
          </w:tcPr>
          <w:p w14:paraId="69FB53E5" w14:textId="27D1C190" w:rsidR="00D16DE2" w:rsidRPr="0062083D" w:rsidRDefault="00D16DE2" w:rsidP="00D16DE2">
            <w:pPr>
              <w:spacing w:before="60" w:after="60" w:line="240" w:lineRule="auto"/>
              <w:rPr>
                <w:rFonts w:cs="Arial"/>
                <w:sz w:val="20"/>
                <w:szCs w:val="20"/>
              </w:rPr>
            </w:pPr>
            <w:r w:rsidRPr="0062083D">
              <w:rPr>
                <w:rFonts w:cs="Arial"/>
                <w:sz w:val="20"/>
                <w:szCs w:val="20"/>
              </w:rPr>
              <w:t xml:space="preserve">The fishery was assessed under Part 10 and </w:t>
            </w:r>
            <w:hyperlink r:id="rId86" w:history="1">
              <w:r w:rsidR="009A3888">
                <w:rPr>
                  <w:rStyle w:val="Hyperlink"/>
                  <w:rFonts w:cs="Arial"/>
                  <w:sz w:val="20"/>
                  <w:szCs w:val="20"/>
                </w:rPr>
                <w:t>accredited pursuant to section </w:t>
              </w:r>
              <w:r w:rsidRPr="0062083D">
                <w:rPr>
                  <w:rStyle w:val="Hyperlink"/>
                  <w:rFonts w:cs="Arial"/>
                  <w:sz w:val="20"/>
                  <w:szCs w:val="20"/>
                </w:rPr>
                <w:t>33</w:t>
              </w:r>
            </w:hyperlink>
            <w:r w:rsidRPr="0062083D">
              <w:rPr>
                <w:rFonts w:cs="Arial"/>
                <w:sz w:val="20"/>
                <w:szCs w:val="20"/>
              </w:rPr>
              <w:t xml:space="preserve"> of the EPBC Act on 30 November 2005. It is not considered to have an unacceptable or unsustainable impact on the environment.</w:t>
            </w:r>
          </w:p>
        </w:tc>
      </w:tr>
      <w:tr w:rsidR="00D16DE2" w:rsidRPr="0062083D" w14:paraId="69FB53EC" w14:textId="77777777" w:rsidTr="009A3888">
        <w:trPr>
          <w:cnfStyle w:val="000000010000" w:firstRow="0" w:lastRow="0" w:firstColumn="0" w:lastColumn="0" w:oddVBand="0" w:evenVBand="0" w:oddHBand="0" w:evenHBand="1" w:firstRowFirstColumn="0" w:firstRowLastColumn="0" w:lastRowFirstColumn="0" w:lastRowLastColumn="0"/>
        </w:trPr>
        <w:tc>
          <w:tcPr>
            <w:tcW w:w="2500" w:type="pct"/>
          </w:tcPr>
          <w:p w14:paraId="69FB53E7" w14:textId="77777777" w:rsidR="00D16DE2" w:rsidRPr="0062083D" w:rsidRDefault="00D16DE2" w:rsidP="00D16DE2">
            <w:pPr>
              <w:spacing w:before="60" w:after="60" w:line="240" w:lineRule="auto"/>
              <w:rPr>
                <w:rFonts w:cs="Arial"/>
                <w:sz w:val="20"/>
                <w:szCs w:val="20"/>
              </w:rPr>
            </w:pPr>
            <w:r w:rsidRPr="0062083D">
              <w:rPr>
                <w:rFonts w:cs="Arial"/>
                <w:sz w:val="20"/>
                <w:szCs w:val="20"/>
              </w:rPr>
              <w:t>(1C) The above does not limit matters that may be considered when deciding to amend LENS.</w:t>
            </w:r>
          </w:p>
        </w:tc>
        <w:tc>
          <w:tcPr>
            <w:tcW w:w="2500" w:type="pct"/>
            <w:shd w:val="clear" w:color="auto" w:fill="92D050"/>
          </w:tcPr>
          <w:p w14:paraId="69FB53EB" w14:textId="0AA119E7" w:rsidR="00D16DE2" w:rsidRPr="0062083D" w:rsidRDefault="00D16DE2" w:rsidP="00D16DE2">
            <w:pPr>
              <w:spacing w:before="60" w:after="60" w:line="240" w:lineRule="auto"/>
              <w:rPr>
                <w:rFonts w:cs="Arial"/>
                <w:sz w:val="20"/>
                <w:szCs w:val="20"/>
              </w:rPr>
            </w:pPr>
            <w:r w:rsidRPr="0062083D">
              <w:rPr>
                <w:rFonts w:cs="Arial"/>
                <w:sz w:val="20"/>
                <w:szCs w:val="20"/>
              </w:rPr>
              <w:t>The fishery is managed consistent with the Objects of Part 13A of the EPBC Act.</w:t>
            </w:r>
          </w:p>
        </w:tc>
      </w:tr>
      <w:tr w:rsidR="00D16DE2" w:rsidRPr="0062083D" w14:paraId="69FB53F5" w14:textId="77777777" w:rsidTr="009A3888">
        <w:trPr>
          <w:cnfStyle w:val="000000100000" w:firstRow="0" w:lastRow="0" w:firstColumn="0" w:lastColumn="0" w:oddVBand="0" w:evenVBand="0" w:oddHBand="1" w:evenHBand="0" w:firstRowFirstColumn="0" w:firstRowLastColumn="0" w:lastRowFirstColumn="0" w:lastRowLastColumn="0"/>
        </w:trPr>
        <w:tc>
          <w:tcPr>
            <w:tcW w:w="2500" w:type="pct"/>
          </w:tcPr>
          <w:p w14:paraId="69FB53ED" w14:textId="77777777" w:rsidR="00D16DE2" w:rsidRPr="0062083D" w:rsidRDefault="00D16DE2" w:rsidP="00D16DE2">
            <w:pPr>
              <w:spacing w:before="60" w:after="60" w:line="240" w:lineRule="auto"/>
              <w:rPr>
                <w:rFonts w:cs="Arial"/>
                <w:sz w:val="20"/>
                <w:szCs w:val="20"/>
              </w:rPr>
            </w:pPr>
            <w:r w:rsidRPr="0062083D">
              <w:rPr>
                <w:rFonts w:cs="Arial"/>
                <w:sz w:val="20"/>
                <w:szCs w:val="20"/>
              </w:rPr>
              <w:t>(3) Before amending LENS, Minister must consult:</w:t>
            </w:r>
          </w:p>
          <w:p w14:paraId="69FB53EE" w14:textId="77777777" w:rsidR="00D16DE2" w:rsidRPr="0062083D" w:rsidRDefault="00D16DE2" w:rsidP="00D16DE2">
            <w:pPr>
              <w:numPr>
                <w:ilvl w:val="0"/>
                <w:numId w:val="12"/>
              </w:numPr>
              <w:spacing w:before="60" w:after="60" w:line="240" w:lineRule="auto"/>
              <w:ind w:left="0" w:firstLine="0"/>
              <w:rPr>
                <w:rFonts w:cs="Arial"/>
                <w:sz w:val="20"/>
                <w:szCs w:val="20"/>
              </w:rPr>
            </w:pPr>
            <w:r w:rsidRPr="0062083D">
              <w:rPr>
                <w:rFonts w:cs="Arial"/>
                <w:sz w:val="20"/>
                <w:szCs w:val="20"/>
              </w:rPr>
              <w:t>other Minister or Ministers as appropriate; and</w:t>
            </w:r>
          </w:p>
          <w:p w14:paraId="69FB53EF" w14:textId="77777777" w:rsidR="00D16DE2" w:rsidRPr="0062083D" w:rsidRDefault="00D16DE2" w:rsidP="00D16DE2">
            <w:pPr>
              <w:numPr>
                <w:ilvl w:val="0"/>
                <w:numId w:val="12"/>
              </w:numPr>
              <w:spacing w:before="60" w:after="60" w:line="240" w:lineRule="auto"/>
              <w:ind w:left="0" w:firstLine="0"/>
              <w:rPr>
                <w:rFonts w:cs="Arial"/>
                <w:sz w:val="20"/>
                <w:szCs w:val="20"/>
              </w:rPr>
            </w:pPr>
            <w:r w:rsidRPr="0062083D">
              <w:rPr>
                <w:rFonts w:cs="Arial"/>
                <w:sz w:val="20"/>
                <w:szCs w:val="20"/>
              </w:rPr>
              <w:t>other Minister or Ministers of each State and self-governing Territory as appropriate; and</w:t>
            </w:r>
          </w:p>
          <w:p w14:paraId="69FB53F0" w14:textId="77777777" w:rsidR="00D16DE2" w:rsidRPr="0062083D" w:rsidRDefault="00D16DE2" w:rsidP="00D16DE2">
            <w:pPr>
              <w:numPr>
                <w:ilvl w:val="0"/>
                <w:numId w:val="12"/>
              </w:numPr>
              <w:spacing w:before="60" w:after="60" w:line="240" w:lineRule="auto"/>
              <w:ind w:left="0" w:firstLine="0"/>
              <w:rPr>
                <w:rFonts w:cs="Arial"/>
                <w:sz w:val="20"/>
                <w:szCs w:val="20"/>
              </w:rPr>
            </w:pPr>
            <w:proofErr w:type="gramStart"/>
            <w:r w:rsidRPr="0062083D">
              <w:rPr>
                <w:rFonts w:cs="Arial"/>
                <w:sz w:val="20"/>
                <w:szCs w:val="20"/>
              </w:rPr>
              <w:t>other</w:t>
            </w:r>
            <w:proofErr w:type="gramEnd"/>
            <w:r w:rsidRPr="0062083D">
              <w:rPr>
                <w:rFonts w:cs="Arial"/>
                <w:sz w:val="20"/>
                <w:szCs w:val="20"/>
              </w:rPr>
              <w:t xml:space="preserve"> persons and organisations as appropriate.</w:t>
            </w:r>
          </w:p>
        </w:tc>
        <w:tc>
          <w:tcPr>
            <w:tcW w:w="2500" w:type="pct"/>
            <w:shd w:val="clear" w:color="auto" w:fill="FFC000"/>
          </w:tcPr>
          <w:p w14:paraId="69FB53F4" w14:textId="33E20A9D" w:rsidR="00D16DE2" w:rsidRPr="0062083D" w:rsidRDefault="00D16DE2" w:rsidP="00D16DE2">
            <w:pPr>
              <w:spacing w:before="60" w:after="60" w:line="240" w:lineRule="auto"/>
              <w:rPr>
                <w:rFonts w:cs="Arial"/>
                <w:sz w:val="20"/>
                <w:szCs w:val="20"/>
              </w:rPr>
            </w:pPr>
            <w:r w:rsidRPr="0062083D">
              <w:rPr>
                <w:rFonts w:cs="Arial"/>
                <w:sz w:val="20"/>
                <w:szCs w:val="20"/>
              </w:rPr>
              <w:t>General consultation with Commonwealth Fisheries Minister occurred in October 2014 (MS14-002367)</w:t>
            </w:r>
          </w:p>
        </w:tc>
      </w:tr>
    </w:tbl>
    <w:p w14:paraId="69FB53F6" w14:textId="77777777" w:rsidR="00D14D44" w:rsidRDefault="00D14D44" w:rsidP="0062083D">
      <w:pPr>
        <w:spacing w:before="60" w:after="60" w:line="240" w:lineRule="auto"/>
        <w:rPr>
          <w:rFonts w:cs="Arial"/>
          <w:sz w:val="20"/>
          <w:szCs w:val="20"/>
        </w:rPr>
      </w:pPr>
    </w:p>
    <w:p w14:paraId="5EA839DE" w14:textId="2A5726A1" w:rsidR="009A3888" w:rsidRDefault="009A3888" w:rsidP="0062083D">
      <w:pPr>
        <w:spacing w:before="60" w:after="60" w:line="240" w:lineRule="auto"/>
        <w:rPr>
          <w:rFonts w:cs="Arial"/>
          <w:sz w:val="20"/>
          <w:szCs w:val="20"/>
        </w:rPr>
      </w:pPr>
    </w:p>
    <w:p w14:paraId="43799508" w14:textId="77777777" w:rsidR="009A3888" w:rsidRDefault="009A3888" w:rsidP="0062083D">
      <w:pPr>
        <w:spacing w:before="60" w:after="60" w:line="240" w:lineRule="auto"/>
        <w:rPr>
          <w:rFonts w:cs="Arial"/>
          <w:sz w:val="20"/>
          <w:szCs w:val="20"/>
        </w:rPr>
      </w:pPr>
    </w:p>
    <w:p w14:paraId="4E9E5451" w14:textId="77777777" w:rsidR="009A3888" w:rsidRPr="0062083D" w:rsidRDefault="009A3888" w:rsidP="0062083D">
      <w:pPr>
        <w:spacing w:before="60" w:after="60" w:line="240" w:lineRule="auto"/>
        <w:rPr>
          <w:rFonts w:cs="Arial"/>
          <w:sz w:val="20"/>
          <w:szCs w:val="20"/>
        </w:rPr>
      </w:pPr>
    </w:p>
    <w:p w14:paraId="69FB5408" w14:textId="77777777" w:rsidR="00D14D44" w:rsidRPr="0062083D" w:rsidRDefault="00D14D44" w:rsidP="0062083D">
      <w:pPr>
        <w:spacing w:before="60" w:after="60" w:line="240" w:lineRule="auto"/>
        <w:rPr>
          <w:rFonts w:cs="Arial"/>
          <w:b/>
        </w:rPr>
      </w:pPr>
      <w:r w:rsidRPr="0062083D">
        <w:rPr>
          <w:rFonts w:cs="Arial"/>
          <w:b/>
        </w:rPr>
        <w:lastRenderedPageBreak/>
        <w:t>Part 16</w:t>
      </w:r>
    </w:p>
    <w:tbl>
      <w:tblPr>
        <w:tblStyle w:val="TableGrid"/>
        <w:tblW w:w="5000" w:type="pct"/>
        <w:tblLook w:val="04A0" w:firstRow="1" w:lastRow="0" w:firstColumn="1" w:lastColumn="0" w:noHBand="0" w:noVBand="1"/>
      </w:tblPr>
      <w:tblGrid>
        <w:gridCol w:w="7053"/>
        <w:gridCol w:w="7053"/>
      </w:tblGrid>
      <w:tr w:rsidR="009A3888" w:rsidRPr="0062083D" w14:paraId="69FB540E" w14:textId="77777777" w:rsidTr="009A3888">
        <w:trPr>
          <w:cnfStyle w:val="100000000000" w:firstRow="1" w:lastRow="0" w:firstColumn="0" w:lastColumn="0" w:oddVBand="0" w:evenVBand="0" w:oddHBand="0" w:evenHBand="0" w:firstRowFirstColumn="0" w:firstRowLastColumn="0" w:lastRowFirstColumn="0" w:lastRowLastColumn="0"/>
        </w:trPr>
        <w:tc>
          <w:tcPr>
            <w:tcW w:w="2500" w:type="pct"/>
          </w:tcPr>
          <w:p w14:paraId="69FB5409" w14:textId="77777777" w:rsidR="009A3888" w:rsidRPr="0062083D" w:rsidRDefault="009A3888" w:rsidP="00D16DE2">
            <w:pPr>
              <w:spacing w:before="60" w:after="60" w:line="240" w:lineRule="auto"/>
              <w:rPr>
                <w:rFonts w:cs="Arial"/>
                <w:b/>
                <w:sz w:val="20"/>
                <w:szCs w:val="20"/>
              </w:rPr>
            </w:pPr>
          </w:p>
        </w:tc>
        <w:tc>
          <w:tcPr>
            <w:tcW w:w="2500" w:type="pct"/>
            <w:shd w:val="clear" w:color="auto" w:fill="auto"/>
          </w:tcPr>
          <w:p w14:paraId="69FB540D" w14:textId="155F2ADC" w:rsidR="009A3888" w:rsidRPr="0062083D" w:rsidRDefault="009A3888" w:rsidP="00D16DE2">
            <w:pPr>
              <w:spacing w:before="60" w:after="60" w:line="240" w:lineRule="auto"/>
              <w:rPr>
                <w:rFonts w:cs="Arial"/>
                <w:b/>
                <w:sz w:val="20"/>
                <w:szCs w:val="20"/>
              </w:rPr>
            </w:pPr>
            <w:r w:rsidRPr="0062083D">
              <w:rPr>
                <w:rFonts w:cs="Arial"/>
                <w:b/>
                <w:sz w:val="20"/>
                <w:szCs w:val="20"/>
              </w:rPr>
              <w:t>Comment</w:t>
            </w:r>
          </w:p>
        </w:tc>
      </w:tr>
      <w:tr w:rsidR="00D14D44" w:rsidRPr="0062083D" w14:paraId="69FB5410" w14:textId="77777777" w:rsidTr="009A3888">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69FB540F" w14:textId="77777777" w:rsidR="00D14D44" w:rsidRPr="0062083D" w:rsidRDefault="00D14D44" w:rsidP="00D16DE2">
            <w:pPr>
              <w:spacing w:before="60" w:after="60" w:line="240" w:lineRule="auto"/>
              <w:rPr>
                <w:rFonts w:cs="Arial"/>
                <w:sz w:val="20"/>
                <w:szCs w:val="20"/>
              </w:rPr>
            </w:pPr>
            <w:r w:rsidRPr="0062083D">
              <w:rPr>
                <w:rFonts w:cs="Arial"/>
                <w:b/>
                <w:sz w:val="20"/>
                <w:szCs w:val="20"/>
              </w:rPr>
              <w:t>Section 391 Minister must consider precautionary principle in making decisions</w:t>
            </w:r>
          </w:p>
        </w:tc>
      </w:tr>
      <w:tr w:rsidR="00D16DE2" w:rsidRPr="0062083D" w14:paraId="69FB5416" w14:textId="77777777" w:rsidTr="009A3888">
        <w:trPr>
          <w:cnfStyle w:val="000000010000" w:firstRow="0" w:lastRow="0" w:firstColumn="0" w:lastColumn="0" w:oddVBand="0" w:evenVBand="0" w:oddHBand="0" w:evenHBand="1" w:firstRowFirstColumn="0" w:firstRowLastColumn="0" w:lastRowFirstColumn="0" w:lastRowLastColumn="0"/>
        </w:trPr>
        <w:tc>
          <w:tcPr>
            <w:tcW w:w="2500" w:type="pct"/>
          </w:tcPr>
          <w:p w14:paraId="67ED6D59" w14:textId="77777777" w:rsidR="00D16DE2" w:rsidRPr="0062083D" w:rsidRDefault="00D16DE2" w:rsidP="00D16DE2">
            <w:pPr>
              <w:spacing w:before="60" w:after="60" w:line="240" w:lineRule="auto"/>
              <w:rPr>
                <w:rFonts w:cs="Arial"/>
                <w:sz w:val="20"/>
                <w:szCs w:val="20"/>
              </w:rPr>
            </w:pPr>
            <w:r w:rsidRPr="0062083D">
              <w:rPr>
                <w:rFonts w:cs="Arial"/>
                <w:sz w:val="20"/>
                <w:szCs w:val="20"/>
              </w:rPr>
              <w:t>(1) Minister must take account of precautionary principle</w:t>
            </w:r>
          </w:p>
          <w:p w14:paraId="69FB5411" w14:textId="1A88D516" w:rsidR="00D16DE2" w:rsidRPr="0062083D" w:rsidRDefault="00D16DE2" w:rsidP="00D16DE2">
            <w:pPr>
              <w:spacing w:before="60" w:after="60" w:line="240" w:lineRule="auto"/>
              <w:rPr>
                <w:rFonts w:cs="Arial"/>
                <w:sz w:val="20"/>
                <w:szCs w:val="20"/>
              </w:rPr>
            </w:pPr>
            <w:r w:rsidRPr="0062083D">
              <w:rPr>
                <w:rFonts w:cs="Arial"/>
                <w:sz w:val="20"/>
                <w:szCs w:val="20"/>
              </w:rPr>
              <w:t xml:space="preserve">(2) The </w:t>
            </w:r>
            <w:r w:rsidRPr="0062083D">
              <w:rPr>
                <w:rFonts w:cs="Arial"/>
                <w:color w:val="000000"/>
                <w:sz w:val="20"/>
                <w:szCs w:val="20"/>
              </w:rPr>
              <w:t>precautionary principle is that lack of full scientific certainty should not be used as a reason for postponing a measure to prevent degradation of the environment where there are threats of serious or irreversible environmental</w:t>
            </w:r>
            <w:r w:rsidRPr="0062083D">
              <w:rPr>
                <w:rFonts w:cs="Arial"/>
                <w:sz w:val="20"/>
                <w:szCs w:val="20"/>
              </w:rPr>
              <w:t xml:space="preserve"> damage.</w:t>
            </w:r>
          </w:p>
        </w:tc>
        <w:tc>
          <w:tcPr>
            <w:tcW w:w="2500" w:type="pct"/>
            <w:shd w:val="clear" w:color="auto" w:fill="FFC000"/>
          </w:tcPr>
          <w:p w14:paraId="69FB5415" w14:textId="14F8574E" w:rsidR="00D16DE2" w:rsidRPr="0062083D" w:rsidRDefault="00D16DE2" w:rsidP="00D16DE2">
            <w:pPr>
              <w:spacing w:before="60" w:after="60" w:line="240" w:lineRule="auto"/>
              <w:rPr>
                <w:rFonts w:cs="Arial"/>
                <w:b/>
                <w:sz w:val="20"/>
                <w:szCs w:val="20"/>
              </w:rPr>
            </w:pPr>
            <w:r w:rsidRPr="0062083D">
              <w:rPr>
                <w:rFonts w:cs="Arial"/>
                <w:sz w:val="20"/>
                <w:szCs w:val="20"/>
              </w:rPr>
              <w:t>Precautionary catch triggers and catch limits are in place but may not be able to respond in a timely way or to constrain catch if the fishery recommences and expands to its capacity.</w:t>
            </w:r>
          </w:p>
        </w:tc>
      </w:tr>
    </w:tbl>
    <w:p w14:paraId="69FB541D" w14:textId="77777777" w:rsidR="00D14D44" w:rsidRPr="0062083D" w:rsidRDefault="00D14D44" w:rsidP="0062083D">
      <w:pPr>
        <w:spacing w:before="60" w:after="60" w:line="240" w:lineRule="auto"/>
        <w:rPr>
          <w:rFonts w:cs="Arial"/>
          <w:b/>
          <w:sz w:val="20"/>
          <w:szCs w:val="20"/>
        </w:rPr>
      </w:pPr>
    </w:p>
    <w:sectPr w:rsidR="00D14D44" w:rsidRPr="0062083D" w:rsidSect="008C7AAA">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B5420" w14:textId="77777777" w:rsidR="008C7AAA" w:rsidRDefault="008C7AAA" w:rsidP="00A60185">
      <w:pPr>
        <w:spacing w:after="0" w:line="240" w:lineRule="auto"/>
      </w:pPr>
      <w:r>
        <w:separator/>
      </w:r>
    </w:p>
  </w:endnote>
  <w:endnote w:type="continuationSeparator" w:id="0">
    <w:p w14:paraId="69FB5421" w14:textId="77777777" w:rsidR="008C7AAA" w:rsidRDefault="008C7AAA"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B2B5B" w14:textId="77777777" w:rsidR="00A95BFF" w:rsidRDefault="00A95B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26735"/>
      <w:docPartObj>
        <w:docPartGallery w:val="Page Numbers (Bottom of Page)"/>
        <w:docPartUnique/>
      </w:docPartObj>
    </w:sdtPr>
    <w:sdtEndPr/>
    <w:sdtContent>
      <w:p w14:paraId="69FB5424" w14:textId="77777777" w:rsidR="008C7AAA" w:rsidRDefault="008C7AAA">
        <w:pPr>
          <w:pStyle w:val="Footer"/>
          <w:jc w:val="center"/>
        </w:pPr>
        <w:r>
          <w:fldChar w:fldCharType="begin"/>
        </w:r>
        <w:r>
          <w:instrText xml:space="preserve"> PAGE   \* MERGEFORMAT </w:instrText>
        </w:r>
        <w:r>
          <w:fldChar w:fldCharType="separate"/>
        </w:r>
        <w:r w:rsidR="00A95BFF">
          <w:rPr>
            <w:noProof/>
          </w:rPr>
          <w:t>21</w:t>
        </w:r>
        <w:r>
          <w:rPr>
            <w:noProof/>
          </w:rPr>
          <w:fldChar w:fldCharType="end"/>
        </w:r>
      </w:p>
    </w:sdtContent>
  </w:sdt>
  <w:p w14:paraId="69FB5425" w14:textId="77777777" w:rsidR="008C7AAA" w:rsidRDefault="008C7AAA">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2B677" w14:textId="77777777" w:rsidR="00A95BFF" w:rsidRDefault="00A95B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FB541E" w14:textId="77777777" w:rsidR="008C7AAA" w:rsidRDefault="008C7AAA" w:rsidP="00A60185">
      <w:pPr>
        <w:spacing w:after="0" w:line="240" w:lineRule="auto"/>
      </w:pPr>
      <w:r>
        <w:separator/>
      </w:r>
    </w:p>
  </w:footnote>
  <w:footnote w:type="continuationSeparator" w:id="0">
    <w:p w14:paraId="69FB541F" w14:textId="77777777" w:rsidR="008C7AAA" w:rsidRDefault="008C7AAA"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B5422" w14:textId="77777777" w:rsidR="008C7AAA" w:rsidRDefault="008C7AAA" w:rsidP="00E45765">
    <w:pPr>
      <w:pStyle w:val="Classification"/>
    </w:pPr>
    <w:r>
      <w:fldChar w:fldCharType="begin"/>
    </w:r>
    <w:r>
      <w:instrText xml:space="preserve"> DOCPROPERTY SecurityClassification \* MERGEFORMAT </w:instrText>
    </w:r>
    <w:r>
      <w:fldChar w:fldCharType="separate"/>
    </w:r>
    <w:r w:rsidR="002E6494">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B5423" w14:textId="77777777" w:rsidR="008C7AAA" w:rsidRDefault="008C7AAA" w:rsidP="00911A6D">
    <w:pPr>
      <w:pStyle w:val="Header"/>
    </w:pPr>
    <w:r>
      <w:t>Skipjack Tuna Fishery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39697" w14:textId="77777777" w:rsidR="00A95BFF" w:rsidRDefault="00A95B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F26706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F0B6F89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F745BC2"/>
    <w:multiLevelType w:val="multilevel"/>
    <w:tmpl w:val="E5E89F92"/>
    <w:numStyleLink w:val="BulletList"/>
  </w:abstractNum>
  <w:abstractNum w:abstractNumId="11"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5456429"/>
    <w:multiLevelType w:val="multilevel"/>
    <w:tmpl w:val="E898CC72"/>
    <w:numStyleLink w:val="KeyPoints"/>
  </w:abstractNum>
  <w:abstractNum w:abstractNumId="28"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2"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3"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2"/>
  </w:num>
  <w:num w:numId="2">
    <w:abstractNumId w:val="2"/>
  </w:num>
  <w:num w:numId="3">
    <w:abstractNumId w:val="18"/>
  </w:num>
  <w:num w:numId="4">
    <w:abstractNumId w:val="0"/>
  </w:num>
  <w:num w:numId="5">
    <w:abstractNumId w:val="17"/>
  </w:num>
  <w:num w:numId="6">
    <w:abstractNumId w:val="27"/>
  </w:num>
  <w:num w:numId="7">
    <w:abstractNumId w:val="10"/>
  </w:num>
  <w:num w:numId="8">
    <w:abstractNumId w:val="5"/>
  </w:num>
  <w:num w:numId="9">
    <w:abstractNumId w:val="20"/>
  </w:num>
  <w:num w:numId="10">
    <w:abstractNumId w:val="29"/>
  </w:num>
  <w:num w:numId="11">
    <w:abstractNumId w:val="23"/>
  </w:num>
  <w:num w:numId="12">
    <w:abstractNumId w:val="6"/>
  </w:num>
  <w:num w:numId="13">
    <w:abstractNumId w:val="14"/>
  </w:num>
  <w:num w:numId="14">
    <w:abstractNumId w:val="30"/>
  </w:num>
  <w:num w:numId="15">
    <w:abstractNumId w:val="24"/>
  </w:num>
  <w:num w:numId="16">
    <w:abstractNumId w:val="3"/>
  </w:num>
  <w:num w:numId="17">
    <w:abstractNumId w:val="15"/>
  </w:num>
  <w:num w:numId="18">
    <w:abstractNumId w:val="11"/>
  </w:num>
  <w:num w:numId="19">
    <w:abstractNumId w:val="22"/>
  </w:num>
  <w:num w:numId="20">
    <w:abstractNumId w:val="13"/>
  </w:num>
  <w:num w:numId="21">
    <w:abstractNumId w:val="9"/>
  </w:num>
  <w:num w:numId="22">
    <w:abstractNumId w:val="12"/>
  </w:num>
  <w:num w:numId="23">
    <w:abstractNumId w:val="21"/>
  </w:num>
  <w:num w:numId="24">
    <w:abstractNumId w:val="26"/>
  </w:num>
  <w:num w:numId="25">
    <w:abstractNumId w:val="19"/>
  </w:num>
  <w:num w:numId="26">
    <w:abstractNumId w:val="7"/>
  </w:num>
  <w:num w:numId="27">
    <w:abstractNumId w:val="8"/>
  </w:num>
  <w:num w:numId="28">
    <w:abstractNumId w:val="25"/>
  </w:num>
  <w:num w:numId="29">
    <w:abstractNumId w:val="31"/>
  </w:num>
  <w:num w:numId="30">
    <w:abstractNumId w:val="33"/>
  </w:num>
  <w:num w:numId="31">
    <w:abstractNumId w:val="28"/>
  </w:num>
  <w:num w:numId="32">
    <w:abstractNumId w:val="0"/>
    <w:lvlOverride w:ilvl="0">
      <w:startOverride w:val="1"/>
    </w:lvlOverride>
  </w:num>
  <w:num w:numId="33">
    <w:abstractNumId w:val="4"/>
  </w:num>
  <w:num w:numId="34">
    <w:abstractNumId w:val="16"/>
  </w:num>
  <w:num w:numId="35">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2844"/>
    <w:rsid w:val="00003281"/>
    <w:rsid w:val="00004AEE"/>
    <w:rsid w:val="0000526C"/>
    <w:rsid w:val="00005CAA"/>
    <w:rsid w:val="0000761A"/>
    <w:rsid w:val="00010210"/>
    <w:rsid w:val="00011456"/>
    <w:rsid w:val="00012ADD"/>
    <w:rsid w:val="00012B21"/>
    <w:rsid w:val="00012B7C"/>
    <w:rsid w:val="00012D66"/>
    <w:rsid w:val="000131CC"/>
    <w:rsid w:val="00015ADA"/>
    <w:rsid w:val="0001732F"/>
    <w:rsid w:val="00020C99"/>
    <w:rsid w:val="000265E7"/>
    <w:rsid w:val="0002707B"/>
    <w:rsid w:val="000273BA"/>
    <w:rsid w:val="00040E07"/>
    <w:rsid w:val="00043B7B"/>
    <w:rsid w:val="00044311"/>
    <w:rsid w:val="00046D51"/>
    <w:rsid w:val="0005148E"/>
    <w:rsid w:val="0005508C"/>
    <w:rsid w:val="00056272"/>
    <w:rsid w:val="00060173"/>
    <w:rsid w:val="000631A0"/>
    <w:rsid w:val="00065576"/>
    <w:rsid w:val="00072823"/>
    <w:rsid w:val="00072C5A"/>
    <w:rsid w:val="000755C2"/>
    <w:rsid w:val="000759E5"/>
    <w:rsid w:val="00080C93"/>
    <w:rsid w:val="00080CF6"/>
    <w:rsid w:val="00081D89"/>
    <w:rsid w:val="00084AC6"/>
    <w:rsid w:val="00085F51"/>
    <w:rsid w:val="000865C4"/>
    <w:rsid w:val="00091608"/>
    <w:rsid w:val="000918B2"/>
    <w:rsid w:val="00091A7F"/>
    <w:rsid w:val="0009221B"/>
    <w:rsid w:val="000931DB"/>
    <w:rsid w:val="0009333C"/>
    <w:rsid w:val="0009670A"/>
    <w:rsid w:val="00096A37"/>
    <w:rsid w:val="0009704F"/>
    <w:rsid w:val="000A0F11"/>
    <w:rsid w:val="000A125A"/>
    <w:rsid w:val="000A57CD"/>
    <w:rsid w:val="000A7147"/>
    <w:rsid w:val="000B0CA5"/>
    <w:rsid w:val="000B128F"/>
    <w:rsid w:val="000B1655"/>
    <w:rsid w:val="000B2634"/>
    <w:rsid w:val="000B3758"/>
    <w:rsid w:val="000B3BD8"/>
    <w:rsid w:val="000B7681"/>
    <w:rsid w:val="000B7B42"/>
    <w:rsid w:val="000C02B7"/>
    <w:rsid w:val="000C2B15"/>
    <w:rsid w:val="000C32A9"/>
    <w:rsid w:val="000C5100"/>
    <w:rsid w:val="000C5342"/>
    <w:rsid w:val="000C5E80"/>
    <w:rsid w:val="000C6D16"/>
    <w:rsid w:val="000C706A"/>
    <w:rsid w:val="000D2887"/>
    <w:rsid w:val="000D2DE7"/>
    <w:rsid w:val="000D6798"/>
    <w:rsid w:val="000D6D63"/>
    <w:rsid w:val="000E0081"/>
    <w:rsid w:val="000E049C"/>
    <w:rsid w:val="000E07CF"/>
    <w:rsid w:val="000E0D62"/>
    <w:rsid w:val="000E14AB"/>
    <w:rsid w:val="000E31C1"/>
    <w:rsid w:val="000E549D"/>
    <w:rsid w:val="000E66F6"/>
    <w:rsid w:val="000E78E4"/>
    <w:rsid w:val="000F2CF2"/>
    <w:rsid w:val="000F36AA"/>
    <w:rsid w:val="001006F5"/>
    <w:rsid w:val="00100BEF"/>
    <w:rsid w:val="00102CE5"/>
    <w:rsid w:val="00106AA0"/>
    <w:rsid w:val="00110597"/>
    <w:rsid w:val="00111326"/>
    <w:rsid w:val="00111BFD"/>
    <w:rsid w:val="001137AD"/>
    <w:rsid w:val="00114518"/>
    <w:rsid w:val="00114705"/>
    <w:rsid w:val="0011498E"/>
    <w:rsid w:val="00114A64"/>
    <w:rsid w:val="0011560F"/>
    <w:rsid w:val="001167CB"/>
    <w:rsid w:val="00117A45"/>
    <w:rsid w:val="001219D8"/>
    <w:rsid w:val="00122497"/>
    <w:rsid w:val="001224AE"/>
    <w:rsid w:val="0012265F"/>
    <w:rsid w:val="0012266F"/>
    <w:rsid w:val="00124D1B"/>
    <w:rsid w:val="00125D2F"/>
    <w:rsid w:val="001276FE"/>
    <w:rsid w:val="001337D4"/>
    <w:rsid w:val="00134C7B"/>
    <w:rsid w:val="00136A76"/>
    <w:rsid w:val="00147C12"/>
    <w:rsid w:val="00151762"/>
    <w:rsid w:val="001527A1"/>
    <w:rsid w:val="001530DC"/>
    <w:rsid w:val="00154989"/>
    <w:rsid w:val="00154E10"/>
    <w:rsid w:val="00155A9F"/>
    <w:rsid w:val="0015650B"/>
    <w:rsid w:val="00157D8B"/>
    <w:rsid w:val="00160262"/>
    <w:rsid w:val="001608EA"/>
    <w:rsid w:val="00162FBC"/>
    <w:rsid w:val="00164155"/>
    <w:rsid w:val="00164E7C"/>
    <w:rsid w:val="00166207"/>
    <w:rsid w:val="00166278"/>
    <w:rsid w:val="00166886"/>
    <w:rsid w:val="0016780A"/>
    <w:rsid w:val="001704F6"/>
    <w:rsid w:val="001713FA"/>
    <w:rsid w:val="001725D1"/>
    <w:rsid w:val="001736C7"/>
    <w:rsid w:val="00173EBF"/>
    <w:rsid w:val="00175ED3"/>
    <w:rsid w:val="00180BC1"/>
    <w:rsid w:val="00180D1E"/>
    <w:rsid w:val="00181123"/>
    <w:rsid w:val="001822EA"/>
    <w:rsid w:val="001837D2"/>
    <w:rsid w:val="001842A2"/>
    <w:rsid w:val="001843CC"/>
    <w:rsid w:val="001868CC"/>
    <w:rsid w:val="0018716C"/>
    <w:rsid w:val="00187BD6"/>
    <w:rsid w:val="00187FA8"/>
    <w:rsid w:val="00192F5E"/>
    <w:rsid w:val="001955CD"/>
    <w:rsid w:val="00197772"/>
    <w:rsid w:val="001A2AA5"/>
    <w:rsid w:val="001A38C5"/>
    <w:rsid w:val="001A51C8"/>
    <w:rsid w:val="001A552A"/>
    <w:rsid w:val="001A5A16"/>
    <w:rsid w:val="001B223B"/>
    <w:rsid w:val="001B3FC2"/>
    <w:rsid w:val="001B4CA8"/>
    <w:rsid w:val="001B5B1B"/>
    <w:rsid w:val="001B5EA1"/>
    <w:rsid w:val="001B5EDC"/>
    <w:rsid w:val="001B7162"/>
    <w:rsid w:val="001B72B7"/>
    <w:rsid w:val="001C4F3D"/>
    <w:rsid w:val="001D0CDC"/>
    <w:rsid w:val="001D1D82"/>
    <w:rsid w:val="001D1EAF"/>
    <w:rsid w:val="001D64DD"/>
    <w:rsid w:val="001D7467"/>
    <w:rsid w:val="001E1182"/>
    <w:rsid w:val="001E2B71"/>
    <w:rsid w:val="001E2F96"/>
    <w:rsid w:val="001E4A1E"/>
    <w:rsid w:val="001E61AA"/>
    <w:rsid w:val="001F1137"/>
    <w:rsid w:val="001F37A0"/>
    <w:rsid w:val="001F3EB0"/>
    <w:rsid w:val="001F58B0"/>
    <w:rsid w:val="00200297"/>
    <w:rsid w:val="00202C90"/>
    <w:rsid w:val="002036E8"/>
    <w:rsid w:val="0020445D"/>
    <w:rsid w:val="00206AF8"/>
    <w:rsid w:val="00207379"/>
    <w:rsid w:val="00212AB5"/>
    <w:rsid w:val="0021390D"/>
    <w:rsid w:val="00213928"/>
    <w:rsid w:val="00213DE8"/>
    <w:rsid w:val="00216118"/>
    <w:rsid w:val="00217C1A"/>
    <w:rsid w:val="002204F7"/>
    <w:rsid w:val="002209AB"/>
    <w:rsid w:val="00224154"/>
    <w:rsid w:val="002251E3"/>
    <w:rsid w:val="00225CB3"/>
    <w:rsid w:val="00227A95"/>
    <w:rsid w:val="002316BD"/>
    <w:rsid w:val="002374A3"/>
    <w:rsid w:val="00244036"/>
    <w:rsid w:val="002473FC"/>
    <w:rsid w:val="00247569"/>
    <w:rsid w:val="00251A1C"/>
    <w:rsid w:val="00251F2A"/>
    <w:rsid w:val="00252E3C"/>
    <w:rsid w:val="00254AF2"/>
    <w:rsid w:val="0025523C"/>
    <w:rsid w:val="00260DB1"/>
    <w:rsid w:val="00262198"/>
    <w:rsid w:val="00262B37"/>
    <w:rsid w:val="002741F2"/>
    <w:rsid w:val="002742FF"/>
    <w:rsid w:val="00285F1B"/>
    <w:rsid w:val="00286900"/>
    <w:rsid w:val="00291213"/>
    <w:rsid w:val="00292B81"/>
    <w:rsid w:val="002937D3"/>
    <w:rsid w:val="0029710B"/>
    <w:rsid w:val="0029751A"/>
    <w:rsid w:val="00297B45"/>
    <w:rsid w:val="002A3CB1"/>
    <w:rsid w:val="002A4318"/>
    <w:rsid w:val="002B18AE"/>
    <w:rsid w:val="002C0E14"/>
    <w:rsid w:val="002C1C93"/>
    <w:rsid w:val="002C2A61"/>
    <w:rsid w:val="002C3426"/>
    <w:rsid w:val="002C5066"/>
    <w:rsid w:val="002C5813"/>
    <w:rsid w:val="002C67B7"/>
    <w:rsid w:val="002D0E18"/>
    <w:rsid w:val="002D454F"/>
    <w:rsid w:val="002D4AAC"/>
    <w:rsid w:val="002D594F"/>
    <w:rsid w:val="002E3040"/>
    <w:rsid w:val="002E3434"/>
    <w:rsid w:val="002E6494"/>
    <w:rsid w:val="002F045A"/>
    <w:rsid w:val="002F09A7"/>
    <w:rsid w:val="002F0B87"/>
    <w:rsid w:val="002F5A54"/>
    <w:rsid w:val="002F66D2"/>
    <w:rsid w:val="0030039D"/>
    <w:rsid w:val="0030326F"/>
    <w:rsid w:val="0030602A"/>
    <w:rsid w:val="003062BD"/>
    <w:rsid w:val="00310701"/>
    <w:rsid w:val="0031170A"/>
    <w:rsid w:val="00312E11"/>
    <w:rsid w:val="00315980"/>
    <w:rsid w:val="00316F7F"/>
    <w:rsid w:val="00320FE4"/>
    <w:rsid w:val="0032127F"/>
    <w:rsid w:val="003218E8"/>
    <w:rsid w:val="00325E34"/>
    <w:rsid w:val="0032720B"/>
    <w:rsid w:val="003303B8"/>
    <w:rsid w:val="00330DCE"/>
    <w:rsid w:val="0033172C"/>
    <w:rsid w:val="00331E11"/>
    <w:rsid w:val="00334761"/>
    <w:rsid w:val="00335AB8"/>
    <w:rsid w:val="00337EBC"/>
    <w:rsid w:val="003407E0"/>
    <w:rsid w:val="00341DCD"/>
    <w:rsid w:val="0034563E"/>
    <w:rsid w:val="00347CA0"/>
    <w:rsid w:val="00350DF0"/>
    <w:rsid w:val="003518D6"/>
    <w:rsid w:val="003539A7"/>
    <w:rsid w:val="0035460C"/>
    <w:rsid w:val="0035489B"/>
    <w:rsid w:val="003556BD"/>
    <w:rsid w:val="0036273C"/>
    <w:rsid w:val="00365147"/>
    <w:rsid w:val="0036547C"/>
    <w:rsid w:val="00365F93"/>
    <w:rsid w:val="00367E46"/>
    <w:rsid w:val="0037016E"/>
    <w:rsid w:val="00370174"/>
    <w:rsid w:val="00372214"/>
    <w:rsid w:val="0037229B"/>
    <w:rsid w:val="00372908"/>
    <w:rsid w:val="00375F07"/>
    <w:rsid w:val="003779E4"/>
    <w:rsid w:val="003809E1"/>
    <w:rsid w:val="00383020"/>
    <w:rsid w:val="00384725"/>
    <w:rsid w:val="0039325D"/>
    <w:rsid w:val="00394D65"/>
    <w:rsid w:val="00394D7E"/>
    <w:rsid w:val="00395F92"/>
    <w:rsid w:val="003975FD"/>
    <w:rsid w:val="003A23E0"/>
    <w:rsid w:val="003A2EE1"/>
    <w:rsid w:val="003A38A3"/>
    <w:rsid w:val="003A535D"/>
    <w:rsid w:val="003A7054"/>
    <w:rsid w:val="003B057D"/>
    <w:rsid w:val="003B60CC"/>
    <w:rsid w:val="003C0328"/>
    <w:rsid w:val="003C044A"/>
    <w:rsid w:val="003C1A83"/>
    <w:rsid w:val="003C1B25"/>
    <w:rsid w:val="003C2443"/>
    <w:rsid w:val="003C5057"/>
    <w:rsid w:val="003C5DA3"/>
    <w:rsid w:val="003C6C40"/>
    <w:rsid w:val="003D08A3"/>
    <w:rsid w:val="003D33A2"/>
    <w:rsid w:val="003D4BCD"/>
    <w:rsid w:val="003D6C2B"/>
    <w:rsid w:val="003E01D8"/>
    <w:rsid w:val="003E0CB6"/>
    <w:rsid w:val="003E2100"/>
    <w:rsid w:val="003E29CE"/>
    <w:rsid w:val="003E4571"/>
    <w:rsid w:val="003E5C6D"/>
    <w:rsid w:val="003F4412"/>
    <w:rsid w:val="003F5351"/>
    <w:rsid w:val="003F65EE"/>
    <w:rsid w:val="003F6F5B"/>
    <w:rsid w:val="004022EF"/>
    <w:rsid w:val="0040342D"/>
    <w:rsid w:val="004062D0"/>
    <w:rsid w:val="00406968"/>
    <w:rsid w:val="004116FE"/>
    <w:rsid w:val="0041192D"/>
    <w:rsid w:val="00413EE1"/>
    <w:rsid w:val="004144FD"/>
    <w:rsid w:val="00420192"/>
    <w:rsid w:val="0042128E"/>
    <w:rsid w:val="004266EF"/>
    <w:rsid w:val="00426E32"/>
    <w:rsid w:val="00432B60"/>
    <w:rsid w:val="00440033"/>
    <w:rsid w:val="00440698"/>
    <w:rsid w:val="004423C3"/>
    <w:rsid w:val="00446EEE"/>
    <w:rsid w:val="00452189"/>
    <w:rsid w:val="004540E2"/>
    <w:rsid w:val="00454454"/>
    <w:rsid w:val="00455EFC"/>
    <w:rsid w:val="00456047"/>
    <w:rsid w:val="0045660B"/>
    <w:rsid w:val="00456F67"/>
    <w:rsid w:val="0046047A"/>
    <w:rsid w:val="004615AC"/>
    <w:rsid w:val="00467924"/>
    <w:rsid w:val="004712A5"/>
    <w:rsid w:val="0047266F"/>
    <w:rsid w:val="00473C0F"/>
    <w:rsid w:val="004741C8"/>
    <w:rsid w:val="00476D6B"/>
    <w:rsid w:val="00480449"/>
    <w:rsid w:val="00482702"/>
    <w:rsid w:val="00486D4D"/>
    <w:rsid w:val="00491090"/>
    <w:rsid w:val="00492C16"/>
    <w:rsid w:val="00495F4B"/>
    <w:rsid w:val="004A0678"/>
    <w:rsid w:val="004A19AE"/>
    <w:rsid w:val="004A48A3"/>
    <w:rsid w:val="004B0D92"/>
    <w:rsid w:val="004B0EC0"/>
    <w:rsid w:val="004B10FA"/>
    <w:rsid w:val="004B23E4"/>
    <w:rsid w:val="004B2541"/>
    <w:rsid w:val="004B66F1"/>
    <w:rsid w:val="004C0A74"/>
    <w:rsid w:val="004C1E61"/>
    <w:rsid w:val="004C259E"/>
    <w:rsid w:val="004C3EA0"/>
    <w:rsid w:val="004C40C4"/>
    <w:rsid w:val="004C42AF"/>
    <w:rsid w:val="004C4525"/>
    <w:rsid w:val="004C5B5C"/>
    <w:rsid w:val="004D2EE3"/>
    <w:rsid w:val="004D3295"/>
    <w:rsid w:val="004D52E1"/>
    <w:rsid w:val="004D7B56"/>
    <w:rsid w:val="004E3C75"/>
    <w:rsid w:val="004E7333"/>
    <w:rsid w:val="004F0D66"/>
    <w:rsid w:val="004F3719"/>
    <w:rsid w:val="004F382B"/>
    <w:rsid w:val="004F5266"/>
    <w:rsid w:val="004F7169"/>
    <w:rsid w:val="00500D66"/>
    <w:rsid w:val="00501C06"/>
    <w:rsid w:val="005022B0"/>
    <w:rsid w:val="005037E3"/>
    <w:rsid w:val="00505209"/>
    <w:rsid w:val="005063FE"/>
    <w:rsid w:val="00506D17"/>
    <w:rsid w:val="00510C5B"/>
    <w:rsid w:val="0051106F"/>
    <w:rsid w:val="005114B1"/>
    <w:rsid w:val="00514C8E"/>
    <w:rsid w:val="00515A3D"/>
    <w:rsid w:val="00515C22"/>
    <w:rsid w:val="0052237D"/>
    <w:rsid w:val="00531DBF"/>
    <w:rsid w:val="005376B6"/>
    <w:rsid w:val="00537A50"/>
    <w:rsid w:val="00540196"/>
    <w:rsid w:val="00541269"/>
    <w:rsid w:val="005440F6"/>
    <w:rsid w:val="00545759"/>
    <w:rsid w:val="00545BE0"/>
    <w:rsid w:val="00545EBF"/>
    <w:rsid w:val="00546930"/>
    <w:rsid w:val="00552773"/>
    <w:rsid w:val="0055394E"/>
    <w:rsid w:val="00554626"/>
    <w:rsid w:val="00554C6A"/>
    <w:rsid w:val="00554CBE"/>
    <w:rsid w:val="00557384"/>
    <w:rsid w:val="00560560"/>
    <w:rsid w:val="00561B36"/>
    <w:rsid w:val="00562E85"/>
    <w:rsid w:val="0056332F"/>
    <w:rsid w:val="00564761"/>
    <w:rsid w:val="00570448"/>
    <w:rsid w:val="005719B3"/>
    <w:rsid w:val="0057295E"/>
    <w:rsid w:val="00580519"/>
    <w:rsid w:val="00581C39"/>
    <w:rsid w:val="005903A2"/>
    <w:rsid w:val="005903B6"/>
    <w:rsid w:val="005924F5"/>
    <w:rsid w:val="00592F00"/>
    <w:rsid w:val="005936BB"/>
    <w:rsid w:val="00596A7E"/>
    <w:rsid w:val="005A0247"/>
    <w:rsid w:val="005A126E"/>
    <w:rsid w:val="005A452F"/>
    <w:rsid w:val="005A66B5"/>
    <w:rsid w:val="005A680D"/>
    <w:rsid w:val="005A7008"/>
    <w:rsid w:val="005B140D"/>
    <w:rsid w:val="005B2DF5"/>
    <w:rsid w:val="005B506B"/>
    <w:rsid w:val="005B5270"/>
    <w:rsid w:val="005C1FEA"/>
    <w:rsid w:val="005C1FEC"/>
    <w:rsid w:val="005C3495"/>
    <w:rsid w:val="005D37C2"/>
    <w:rsid w:val="005D7253"/>
    <w:rsid w:val="005E3DFC"/>
    <w:rsid w:val="005E40C1"/>
    <w:rsid w:val="005E5942"/>
    <w:rsid w:val="005E60AF"/>
    <w:rsid w:val="005F1086"/>
    <w:rsid w:val="005F1DEA"/>
    <w:rsid w:val="005F4D7A"/>
    <w:rsid w:val="005F4D8A"/>
    <w:rsid w:val="005F66B1"/>
    <w:rsid w:val="005F6A46"/>
    <w:rsid w:val="005F76DA"/>
    <w:rsid w:val="00600847"/>
    <w:rsid w:val="006053A5"/>
    <w:rsid w:val="00607FC9"/>
    <w:rsid w:val="00610D5A"/>
    <w:rsid w:val="00611323"/>
    <w:rsid w:val="006137B1"/>
    <w:rsid w:val="00615075"/>
    <w:rsid w:val="0062083D"/>
    <w:rsid w:val="00622FE1"/>
    <w:rsid w:val="006233F1"/>
    <w:rsid w:val="00624977"/>
    <w:rsid w:val="0062521C"/>
    <w:rsid w:val="00625455"/>
    <w:rsid w:val="0062597A"/>
    <w:rsid w:val="00630A2B"/>
    <w:rsid w:val="00630DFC"/>
    <w:rsid w:val="00632DC7"/>
    <w:rsid w:val="006357FB"/>
    <w:rsid w:val="00636360"/>
    <w:rsid w:val="006406FC"/>
    <w:rsid w:val="00640E57"/>
    <w:rsid w:val="00642DC0"/>
    <w:rsid w:val="00644B98"/>
    <w:rsid w:val="00645C89"/>
    <w:rsid w:val="00646122"/>
    <w:rsid w:val="006475FE"/>
    <w:rsid w:val="0064796B"/>
    <w:rsid w:val="0065247A"/>
    <w:rsid w:val="0065374C"/>
    <w:rsid w:val="00653E16"/>
    <w:rsid w:val="00657220"/>
    <w:rsid w:val="00657362"/>
    <w:rsid w:val="0066104B"/>
    <w:rsid w:val="00662339"/>
    <w:rsid w:val="00663AB6"/>
    <w:rsid w:val="00663B82"/>
    <w:rsid w:val="00664225"/>
    <w:rsid w:val="00664725"/>
    <w:rsid w:val="00665405"/>
    <w:rsid w:val="006655EE"/>
    <w:rsid w:val="00665923"/>
    <w:rsid w:val="00667C10"/>
    <w:rsid w:val="00667EF4"/>
    <w:rsid w:val="0067066D"/>
    <w:rsid w:val="00670D99"/>
    <w:rsid w:val="00673E95"/>
    <w:rsid w:val="00676FCA"/>
    <w:rsid w:val="00677177"/>
    <w:rsid w:val="00677C3D"/>
    <w:rsid w:val="00680529"/>
    <w:rsid w:val="00682809"/>
    <w:rsid w:val="006833C4"/>
    <w:rsid w:val="0068612E"/>
    <w:rsid w:val="00687C92"/>
    <w:rsid w:val="006903D0"/>
    <w:rsid w:val="00692F41"/>
    <w:rsid w:val="006936BB"/>
    <w:rsid w:val="00694F6A"/>
    <w:rsid w:val="0069534E"/>
    <w:rsid w:val="0069669C"/>
    <w:rsid w:val="006A1200"/>
    <w:rsid w:val="006A32D6"/>
    <w:rsid w:val="006A4F4E"/>
    <w:rsid w:val="006A6C23"/>
    <w:rsid w:val="006A72FA"/>
    <w:rsid w:val="006B14DB"/>
    <w:rsid w:val="006B1BAC"/>
    <w:rsid w:val="006B21C4"/>
    <w:rsid w:val="006B44C8"/>
    <w:rsid w:val="006B6044"/>
    <w:rsid w:val="006C0BF9"/>
    <w:rsid w:val="006C4A1A"/>
    <w:rsid w:val="006C5792"/>
    <w:rsid w:val="006D0393"/>
    <w:rsid w:val="006D1A83"/>
    <w:rsid w:val="006D6415"/>
    <w:rsid w:val="006D7043"/>
    <w:rsid w:val="006E04B2"/>
    <w:rsid w:val="006E1CFE"/>
    <w:rsid w:val="006E2DF0"/>
    <w:rsid w:val="006E4A1C"/>
    <w:rsid w:val="006E5B68"/>
    <w:rsid w:val="006F10C4"/>
    <w:rsid w:val="006F2B4D"/>
    <w:rsid w:val="006F40E9"/>
    <w:rsid w:val="006F5603"/>
    <w:rsid w:val="006F7B87"/>
    <w:rsid w:val="00701400"/>
    <w:rsid w:val="00702D58"/>
    <w:rsid w:val="007035BF"/>
    <w:rsid w:val="007037CF"/>
    <w:rsid w:val="00706C3A"/>
    <w:rsid w:val="0071020F"/>
    <w:rsid w:val="00710668"/>
    <w:rsid w:val="00713E16"/>
    <w:rsid w:val="00714D9E"/>
    <w:rsid w:val="00715AB1"/>
    <w:rsid w:val="007167C0"/>
    <w:rsid w:val="00720481"/>
    <w:rsid w:val="0072474B"/>
    <w:rsid w:val="00726BE1"/>
    <w:rsid w:val="00726F2B"/>
    <w:rsid w:val="007270E0"/>
    <w:rsid w:val="007306EE"/>
    <w:rsid w:val="00733193"/>
    <w:rsid w:val="007340D8"/>
    <w:rsid w:val="007344B8"/>
    <w:rsid w:val="00737426"/>
    <w:rsid w:val="00737D3B"/>
    <w:rsid w:val="007430E0"/>
    <w:rsid w:val="00743213"/>
    <w:rsid w:val="007441A9"/>
    <w:rsid w:val="00744DDA"/>
    <w:rsid w:val="00744F5E"/>
    <w:rsid w:val="00745E03"/>
    <w:rsid w:val="007561F5"/>
    <w:rsid w:val="0075732A"/>
    <w:rsid w:val="007600F8"/>
    <w:rsid w:val="00760262"/>
    <w:rsid w:val="0076310C"/>
    <w:rsid w:val="007669F9"/>
    <w:rsid w:val="007673C3"/>
    <w:rsid w:val="0076744F"/>
    <w:rsid w:val="00767BCE"/>
    <w:rsid w:val="00767EFC"/>
    <w:rsid w:val="007707DE"/>
    <w:rsid w:val="007707E9"/>
    <w:rsid w:val="00770B5D"/>
    <w:rsid w:val="007716AF"/>
    <w:rsid w:val="007752F1"/>
    <w:rsid w:val="00775B58"/>
    <w:rsid w:val="00776768"/>
    <w:rsid w:val="007777A6"/>
    <w:rsid w:val="007777C4"/>
    <w:rsid w:val="00780B38"/>
    <w:rsid w:val="0078133A"/>
    <w:rsid w:val="0078187A"/>
    <w:rsid w:val="00784284"/>
    <w:rsid w:val="00791235"/>
    <w:rsid w:val="00794ED8"/>
    <w:rsid w:val="007A2573"/>
    <w:rsid w:val="007A34C5"/>
    <w:rsid w:val="007A4476"/>
    <w:rsid w:val="007B106C"/>
    <w:rsid w:val="007B1A4E"/>
    <w:rsid w:val="007B3D05"/>
    <w:rsid w:val="007B5503"/>
    <w:rsid w:val="007B63C6"/>
    <w:rsid w:val="007C179C"/>
    <w:rsid w:val="007C21E3"/>
    <w:rsid w:val="007C3FD1"/>
    <w:rsid w:val="007C4465"/>
    <w:rsid w:val="007C6386"/>
    <w:rsid w:val="007C649B"/>
    <w:rsid w:val="007C6BB3"/>
    <w:rsid w:val="007C6D7C"/>
    <w:rsid w:val="007D14B4"/>
    <w:rsid w:val="007D3AD7"/>
    <w:rsid w:val="007D6C70"/>
    <w:rsid w:val="007E09FD"/>
    <w:rsid w:val="007E0B9A"/>
    <w:rsid w:val="007E24F6"/>
    <w:rsid w:val="007E4F8C"/>
    <w:rsid w:val="007E6086"/>
    <w:rsid w:val="007E6306"/>
    <w:rsid w:val="007F4EA1"/>
    <w:rsid w:val="007F5F78"/>
    <w:rsid w:val="00800F64"/>
    <w:rsid w:val="00801050"/>
    <w:rsid w:val="00802F0B"/>
    <w:rsid w:val="00803690"/>
    <w:rsid w:val="00806D6F"/>
    <w:rsid w:val="00810A67"/>
    <w:rsid w:val="00810CFF"/>
    <w:rsid w:val="00813B8F"/>
    <w:rsid w:val="00820384"/>
    <w:rsid w:val="0082270A"/>
    <w:rsid w:val="0082579E"/>
    <w:rsid w:val="00827640"/>
    <w:rsid w:val="008327FE"/>
    <w:rsid w:val="00833CF7"/>
    <w:rsid w:val="00834CDE"/>
    <w:rsid w:val="00840636"/>
    <w:rsid w:val="00842464"/>
    <w:rsid w:val="0084431D"/>
    <w:rsid w:val="00845601"/>
    <w:rsid w:val="00845B52"/>
    <w:rsid w:val="00847437"/>
    <w:rsid w:val="00852523"/>
    <w:rsid w:val="00854BF0"/>
    <w:rsid w:val="00855C5C"/>
    <w:rsid w:val="008663C7"/>
    <w:rsid w:val="008679B5"/>
    <w:rsid w:val="00872577"/>
    <w:rsid w:val="008726C5"/>
    <w:rsid w:val="0087297E"/>
    <w:rsid w:val="00875C98"/>
    <w:rsid w:val="008761FB"/>
    <w:rsid w:val="00877A34"/>
    <w:rsid w:val="00883C9F"/>
    <w:rsid w:val="00884E19"/>
    <w:rsid w:val="0089064C"/>
    <w:rsid w:val="00892D56"/>
    <w:rsid w:val="00894730"/>
    <w:rsid w:val="00896FDC"/>
    <w:rsid w:val="008A0759"/>
    <w:rsid w:val="008A3C96"/>
    <w:rsid w:val="008A4C57"/>
    <w:rsid w:val="008A5CE7"/>
    <w:rsid w:val="008A66A6"/>
    <w:rsid w:val="008B3E49"/>
    <w:rsid w:val="008B4019"/>
    <w:rsid w:val="008B43FE"/>
    <w:rsid w:val="008B65C9"/>
    <w:rsid w:val="008B7349"/>
    <w:rsid w:val="008C2D4A"/>
    <w:rsid w:val="008C7AAA"/>
    <w:rsid w:val="008D3900"/>
    <w:rsid w:val="008D3A3C"/>
    <w:rsid w:val="008D3B45"/>
    <w:rsid w:val="008D50F4"/>
    <w:rsid w:val="008D5FED"/>
    <w:rsid w:val="008D67A1"/>
    <w:rsid w:val="008D688B"/>
    <w:rsid w:val="008D6E1D"/>
    <w:rsid w:val="008E3774"/>
    <w:rsid w:val="008E680F"/>
    <w:rsid w:val="008F14CC"/>
    <w:rsid w:val="008F1556"/>
    <w:rsid w:val="008F1B53"/>
    <w:rsid w:val="008F39B4"/>
    <w:rsid w:val="008F4162"/>
    <w:rsid w:val="008F6ABF"/>
    <w:rsid w:val="00901015"/>
    <w:rsid w:val="00903E02"/>
    <w:rsid w:val="00905260"/>
    <w:rsid w:val="009066F6"/>
    <w:rsid w:val="00906FA8"/>
    <w:rsid w:val="0091119B"/>
    <w:rsid w:val="00911A6D"/>
    <w:rsid w:val="00912709"/>
    <w:rsid w:val="00912B54"/>
    <w:rsid w:val="00913175"/>
    <w:rsid w:val="00916EDB"/>
    <w:rsid w:val="00917338"/>
    <w:rsid w:val="00920197"/>
    <w:rsid w:val="00920861"/>
    <w:rsid w:val="0092257E"/>
    <w:rsid w:val="00922B13"/>
    <w:rsid w:val="009242EF"/>
    <w:rsid w:val="00924565"/>
    <w:rsid w:val="0092535E"/>
    <w:rsid w:val="00931B30"/>
    <w:rsid w:val="00932291"/>
    <w:rsid w:val="00932861"/>
    <w:rsid w:val="00933289"/>
    <w:rsid w:val="0093408E"/>
    <w:rsid w:val="0093458F"/>
    <w:rsid w:val="00935722"/>
    <w:rsid w:val="00935C32"/>
    <w:rsid w:val="009362DC"/>
    <w:rsid w:val="009427C7"/>
    <w:rsid w:val="009441ED"/>
    <w:rsid w:val="009449B4"/>
    <w:rsid w:val="009476AB"/>
    <w:rsid w:val="0095090D"/>
    <w:rsid w:val="00952DDF"/>
    <w:rsid w:val="00955EA3"/>
    <w:rsid w:val="0096074F"/>
    <w:rsid w:val="009610A3"/>
    <w:rsid w:val="00961FAF"/>
    <w:rsid w:val="00963B6A"/>
    <w:rsid w:val="0097049D"/>
    <w:rsid w:val="00970950"/>
    <w:rsid w:val="0097109F"/>
    <w:rsid w:val="00977BF3"/>
    <w:rsid w:val="009812D4"/>
    <w:rsid w:val="00981A84"/>
    <w:rsid w:val="00984F9D"/>
    <w:rsid w:val="00987F6F"/>
    <w:rsid w:val="00990CA9"/>
    <w:rsid w:val="00990CB5"/>
    <w:rsid w:val="0099149B"/>
    <w:rsid w:val="009920D8"/>
    <w:rsid w:val="009952F5"/>
    <w:rsid w:val="00996702"/>
    <w:rsid w:val="009A2060"/>
    <w:rsid w:val="009A3888"/>
    <w:rsid w:val="009A691B"/>
    <w:rsid w:val="009B18E1"/>
    <w:rsid w:val="009B324F"/>
    <w:rsid w:val="009B38BE"/>
    <w:rsid w:val="009B3E48"/>
    <w:rsid w:val="009B62E0"/>
    <w:rsid w:val="009B6C1C"/>
    <w:rsid w:val="009C39A4"/>
    <w:rsid w:val="009C3D0F"/>
    <w:rsid w:val="009C584A"/>
    <w:rsid w:val="009C5D1E"/>
    <w:rsid w:val="009D33D8"/>
    <w:rsid w:val="009D4842"/>
    <w:rsid w:val="009D709A"/>
    <w:rsid w:val="009E1B19"/>
    <w:rsid w:val="009F28D8"/>
    <w:rsid w:val="009F2ED2"/>
    <w:rsid w:val="009F35E2"/>
    <w:rsid w:val="009F49AF"/>
    <w:rsid w:val="009F65F9"/>
    <w:rsid w:val="009F68BA"/>
    <w:rsid w:val="009F6C9C"/>
    <w:rsid w:val="009F6FBA"/>
    <w:rsid w:val="00A00543"/>
    <w:rsid w:val="00A0330E"/>
    <w:rsid w:val="00A05471"/>
    <w:rsid w:val="00A06277"/>
    <w:rsid w:val="00A079DC"/>
    <w:rsid w:val="00A10A07"/>
    <w:rsid w:val="00A111C2"/>
    <w:rsid w:val="00A15361"/>
    <w:rsid w:val="00A1540F"/>
    <w:rsid w:val="00A16EA7"/>
    <w:rsid w:val="00A24692"/>
    <w:rsid w:val="00A30EC4"/>
    <w:rsid w:val="00A338E7"/>
    <w:rsid w:val="00A35CAA"/>
    <w:rsid w:val="00A36E7F"/>
    <w:rsid w:val="00A41E65"/>
    <w:rsid w:val="00A425B2"/>
    <w:rsid w:val="00A4279D"/>
    <w:rsid w:val="00A43613"/>
    <w:rsid w:val="00A43E0A"/>
    <w:rsid w:val="00A4514C"/>
    <w:rsid w:val="00A45F68"/>
    <w:rsid w:val="00A46BF3"/>
    <w:rsid w:val="00A50A81"/>
    <w:rsid w:val="00A51E63"/>
    <w:rsid w:val="00A530C7"/>
    <w:rsid w:val="00A54034"/>
    <w:rsid w:val="00A542AE"/>
    <w:rsid w:val="00A54C19"/>
    <w:rsid w:val="00A55F5B"/>
    <w:rsid w:val="00A568A9"/>
    <w:rsid w:val="00A60185"/>
    <w:rsid w:val="00A6060A"/>
    <w:rsid w:val="00A62A84"/>
    <w:rsid w:val="00A630F0"/>
    <w:rsid w:val="00A661EA"/>
    <w:rsid w:val="00A77983"/>
    <w:rsid w:val="00A800EA"/>
    <w:rsid w:val="00A80ED8"/>
    <w:rsid w:val="00A82FA1"/>
    <w:rsid w:val="00A830E5"/>
    <w:rsid w:val="00A833D5"/>
    <w:rsid w:val="00A8638B"/>
    <w:rsid w:val="00A87135"/>
    <w:rsid w:val="00A90B96"/>
    <w:rsid w:val="00A91677"/>
    <w:rsid w:val="00A93280"/>
    <w:rsid w:val="00A951EA"/>
    <w:rsid w:val="00A95BFF"/>
    <w:rsid w:val="00A963EB"/>
    <w:rsid w:val="00A970BB"/>
    <w:rsid w:val="00A97322"/>
    <w:rsid w:val="00AA2548"/>
    <w:rsid w:val="00AA27F9"/>
    <w:rsid w:val="00AA3DF4"/>
    <w:rsid w:val="00AA58C4"/>
    <w:rsid w:val="00AA6BB6"/>
    <w:rsid w:val="00AA7003"/>
    <w:rsid w:val="00AB11C8"/>
    <w:rsid w:val="00AB1A12"/>
    <w:rsid w:val="00AB1A61"/>
    <w:rsid w:val="00AB4423"/>
    <w:rsid w:val="00AB747A"/>
    <w:rsid w:val="00AC0090"/>
    <w:rsid w:val="00AC0548"/>
    <w:rsid w:val="00AC08A8"/>
    <w:rsid w:val="00AC1143"/>
    <w:rsid w:val="00AC32BB"/>
    <w:rsid w:val="00AC467B"/>
    <w:rsid w:val="00AC601D"/>
    <w:rsid w:val="00AD2C3A"/>
    <w:rsid w:val="00AD56C8"/>
    <w:rsid w:val="00AD58F2"/>
    <w:rsid w:val="00AE2EA8"/>
    <w:rsid w:val="00AE5AA6"/>
    <w:rsid w:val="00AF0602"/>
    <w:rsid w:val="00AF1219"/>
    <w:rsid w:val="00AF20D7"/>
    <w:rsid w:val="00AF48BA"/>
    <w:rsid w:val="00B033A8"/>
    <w:rsid w:val="00B03BA9"/>
    <w:rsid w:val="00B0447D"/>
    <w:rsid w:val="00B0512A"/>
    <w:rsid w:val="00B0529F"/>
    <w:rsid w:val="00B0570F"/>
    <w:rsid w:val="00B10292"/>
    <w:rsid w:val="00B1418B"/>
    <w:rsid w:val="00B149BA"/>
    <w:rsid w:val="00B149D0"/>
    <w:rsid w:val="00B16E10"/>
    <w:rsid w:val="00B17655"/>
    <w:rsid w:val="00B17AD1"/>
    <w:rsid w:val="00B21195"/>
    <w:rsid w:val="00B22406"/>
    <w:rsid w:val="00B24B22"/>
    <w:rsid w:val="00B25310"/>
    <w:rsid w:val="00B32F8F"/>
    <w:rsid w:val="00B3492A"/>
    <w:rsid w:val="00B359A7"/>
    <w:rsid w:val="00B379C9"/>
    <w:rsid w:val="00B37DB3"/>
    <w:rsid w:val="00B42108"/>
    <w:rsid w:val="00B4342D"/>
    <w:rsid w:val="00B44595"/>
    <w:rsid w:val="00B523AE"/>
    <w:rsid w:val="00B54A95"/>
    <w:rsid w:val="00B54DE9"/>
    <w:rsid w:val="00B553EC"/>
    <w:rsid w:val="00B55E3F"/>
    <w:rsid w:val="00B6012C"/>
    <w:rsid w:val="00B63C1E"/>
    <w:rsid w:val="00B659CE"/>
    <w:rsid w:val="00B93DD0"/>
    <w:rsid w:val="00B94729"/>
    <w:rsid w:val="00B95E85"/>
    <w:rsid w:val="00B96296"/>
    <w:rsid w:val="00B97732"/>
    <w:rsid w:val="00BA1D36"/>
    <w:rsid w:val="00BA57D9"/>
    <w:rsid w:val="00BA65A8"/>
    <w:rsid w:val="00BA6D19"/>
    <w:rsid w:val="00BA7461"/>
    <w:rsid w:val="00BA7A53"/>
    <w:rsid w:val="00BA7DA9"/>
    <w:rsid w:val="00BB0B60"/>
    <w:rsid w:val="00BC4215"/>
    <w:rsid w:val="00BC6392"/>
    <w:rsid w:val="00BD1A6F"/>
    <w:rsid w:val="00BD2E31"/>
    <w:rsid w:val="00BD7A8C"/>
    <w:rsid w:val="00BE051B"/>
    <w:rsid w:val="00BE0881"/>
    <w:rsid w:val="00BE0F48"/>
    <w:rsid w:val="00BE5906"/>
    <w:rsid w:val="00BE6D3C"/>
    <w:rsid w:val="00BE7852"/>
    <w:rsid w:val="00BF15D4"/>
    <w:rsid w:val="00BF3763"/>
    <w:rsid w:val="00BF7CEE"/>
    <w:rsid w:val="00C03880"/>
    <w:rsid w:val="00C05173"/>
    <w:rsid w:val="00C05B94"/>
    <w:rsid w:val="00C05BA9"/>
    <w:rsid w:val="00C06EEC"/>
    <w:rsid w:val="00C135CF"/>
    <w:rsid w:val="00C13E7C"/>
    <w:rsid w:val="00C20087"/>
    <w:rsid w:val="00C2374D"/>
    <w:rsid w:val="00C25954"/>
    <w:rsid w:val="00C2683F"/>
    <w:rsid w:val="00C3184D"/>
    <w:rsid w:val="00C41EC1"/>
    <w:rsid w:val="00C4366F"/>
    <w:rsid w:val="00C46756"/>
    <w:rsid w:val="00C46BA7"/>
    <w:rsid w:val="00C4714E"/>
    <w:rsid w:val="00C479A8"/>
    <w:rsid w:val="00C50AC2"/>
    <w:rsid w:val="00C51832"/>
    <w:rsid w:val="00C51CCA"/>
    <w:rsid w:val="00C535C6"/>
    <w:rsid w:val="00C54D0F"/>
    <w:rsid w:val="00C5504F"/>
    <w:rsid w:val="00C5507A"/>
    <w:rsid w:val="00C57B55"/>
    <w:rsid w:val="00C62F51"/>
    <w:rsid w:val="00C63020"/>
    <w:rsid w:val="00C63376"/>
    <w:rsid w:val="00C64A3D"/>
    <w:rsid w:val="00C66F00"/>
    <w:rsid w:val="00C722FB"/>
    <w:rsid w:val="00C74F97"/>
    <w:rsid w:val="00C8276E"/>
    <w:rsid w:val="00C8428C"/>
    <w:rsid w:val="00C842AC"/>
    <w:rsid w:val="00C85F04"/>
    <w:rsid w:val="00C86CCB"/>
    <w:rsid w:val="00C93575"/>
    <w:rsid w:val="00C9429C"/>
    <w:rsid w:val="00C946CC"/>
    <w:rsid w:val="00C96688"/>
    <w:rsid w:val="00C97F6D"/>
    <w:rsid w:val="00CA0723"/>
    <w:rsid w:val="00CA1972"/>
    <w:rsid w:val="00CB1690"/>
    <w:rsid w:val="00CB57EA"/>
    <w:rsid w:val="00CC0E44"/>
    <w:rsid w:val="00CC1B41"/>
    <w:rsid w:val="00CC2879"/>
    <w:rsid w:val="00CC3067"/>
    <w:rsid w:val="00CC399B"/>
    <w:rsid w:val="00CC4365"/>
    <w:rsid w:val="00CD11B0"/>
    <w:rsid w:val="00CD2D9F"/>
    <w:rsid w:val="00CE1DA1"/>
    <w:rsid w:val="00CE2164"/>
    <w:rsid w:val="00CE3433"/>
    <w:rsid w:val="00CE5C2A"/>
    <w:rsid w:val="00CE6B07"/>
    <w:rsid w:val="00CE71C2"/>
    <w:rsid w:val="00CE7E35"/>
    <w:rsid w:val="00CF34E9"/>
    <w:rsid w:val="00CF42D5"/>
    <w:rsid w:val="00CF4EDA"/>
    <w:rsid w:val="00CF6A50"/>
    <w:rsid w:val="00CF7B39"/>
    <w:rsid w:val="00D00C8A"/>
    <w:rsid w:val="00D021CB"/>
    <w:rsid w:val="00D0627C"/>
    <w:rsid w:val="00D06C81"/>
    <w:rsid w:val="00D10F1A"/>
    <w:rsid w:val="00D116F8"/>
    <w:rsid w:val="00D14D44"/>
    <w:rsid w:val="00D15D3F"/>
    <w:rsid w:val="00D16C5F"/>
    <w:rsid w:val="00D16DE2"/>
    <w:rsid w:val="00D17596"/>
    <w:rsid w:val="00D17F66"/>
    <w:rsid w:val="00D21D54"/>
    <w:rsid w:val="00D22640"/>
    <w:rsid w:val="00D2475A"/>
    <w:rsid w:val="00D256DF"/>
    <w:rsid w:val="00D25C56"/>
    <w:rsid w:val="00D26D3A"/>
    <w:rsid w:val="00D26E00"/>
    <w:rsid w:val="00D3004E"/>
    <w:rsid w:val="00D42604"/>
    <w:rsid w:val="00D45EE3"/>
    <w:rsid w:val="00D47BD6"/>
    <w:rsid w:val="00D50618"/>
    <w:rsid w:val="00D509E9"/>
    <w:rsid w:val="00D53B1C"/>
    <w:rsid w:val="00D605A4"/>
    <w:rsid w:val="00D606A7"/>
    <w:rsid w:val="00D63CF9"/>
    <w:rsid w:val="00D73056"/>
    <w:rsid w:val="00D74FD5"/>
    <w:rsid w:val="00D81E19"/>
    <w:rsid w:val="00D82A98"/>
    <w:rsid w:val="00D8650E"/>
    <w:rsid w:val="00D867A3"/>
    <w:rsid w:val="00D90E81"/>
    <w:rsid w:val="00D93830"/>
    <w:rsid w:val="00D93DDF"/>
    <w:rsid w:val="00D9507F"/>
    <w:rsid w:val="00DA0258"/>
    <w:rsid w:val="00DA18B1"/>
    <w:rsid w:val="00DA1B12"/>
    <w:rsid w:val="00DA54C9"/>
    <w:rsid w:val="00DA57E6"/>
    <w:rsid w:val="00DA6739"/>
    <w:rsid w:val="00DA6CAE"/>
    <w:rsid w:val="00DA6E66"/>
    <w:rsid w:val="00DB1A9E"/>
    <w:rsid w:val="00DB31D6"/>
    <w:rsid w:val="00DB4005"/>
    <w:rsid w:val="00DB7BDD"/>
    <w:rsid w:val="00DC1229"/>
    <w:rsid w:val="00DC34EB"/>
    <w:rsid w:val="00DC6D74"/>
    <w:rsid w:val="00DC6D9E"/>
    <w:rsid w:val="00DD0FF3"/>
    <w:rsid w:val="00DD6D60"/>
    <w:rsid w:val="00DD7A6B"/>
    <w:rsid w:val="00DF10F3"/>
    <w:rsid w:val="00DF1A3B"/>
    <w:rsid w:val="00DF1E5B"/>
    <w:rsid w:val="00DF2275"/>
    <w:rsid w:val="00DF2B4E"/>
    <w:rsid w:val="00DF3F5E"/>
    <w:rsid w:val="00DF5653"/>
    <w:rsid w:val="00DF5905"/>
    <w:rsid w:val="00DF75A2"/>
    <w:rsid w:val="00E0046F"/>
    <w:rsid w:val="00E01274"/>
    <w:rsid w:val="00E03596"/>
    <w:rsid w:val="00E03D6A"/>
    <w:rsid w:val="00E04CE7"/>
    <w:rsid w:val="00E0596E"/>
    <w:rsid w:val="00E06F66"/>
    <w:rsid w:val="00E07AB7"/>
    <w:rsid w:val="00E07F9A"/>
    <w:rsid w:val="00E1117E"/>
    <w:rsid w:val="00E17523"/>
    <w:rsid w:val="00E27311"/>
    <w:rsid w:val="00E27C8A"/>
    <w:rsid w:val="00E308F8"/>
    <w:rsid w:val="00E356E5"/>
    <w:rsid w:val="00E36F81"/>
    <w:rsid w:val="00E3799B"/>
    <w:rsid w:val="00E42BEB"/>
    <w:rsid w:val="00E44462"/>
    <w:rsid w:val="00E45765"/>
    <w:rsid w:val="00E47040"/>
    <w:rsid w:val="00E5098C"/>
    <w:rsid w:val="00E51B15"/>
    <w:rsid w:val="00E52B1B"/>
    <w:rsid w:val="00E555F8"/>
    <w:rsid w:val="00E55684"/>
    <w:rsid w:val="00E55AB5"/>
    <w:rsid w:val="00E56DA4"/>
    <w:rsid w:val="00E60213"/>
    <w:rsid w:val="00E61434"/>
    <w:rsid w:val="00E6193C"/>
    <w:rsid w:val="00E63505"/>
    <w:rsid w:val="00E64A8E"/>
    <w:rsid w:val="00E661B2"/>
    <w:rsid w:val="00E672A0"/>
    <w:rsid w:val="00E72BA8"/>
    <w:rsid w:val="00E730EC"/>
    <w:rsid w:val="00E74D29"/>
    <w:rsid w:val="00E82267"/>
    <w:rsid w:val="00E82A98"/>
    <w:rsid w:val="00E83C74"/>
    <w:rsid w:val="00E83CEE"/>
    <w:rsid w:val="00E852A3"/>
    <w:rsid w:val="00E8763B"/>
    <w:rsid w:val="00E90AFE"/>
    <w:rsid w:val="00E91F18"/>
    <w:rsid w:val="00E9226D"/>
    <w:rsid w:val="00E92DBC"/>
    <w:rsid w:val="00E94F05"/>
    <w:rsid w:val="00EA15F5"/>
    <w:rsid w:val="00EA3F45"/>
    <w:rsid w:val="00EA416C"/>
    <w:rsid w:val="00EA48C9"/>
    <w:rsid w:val="00EA5941"/>
    <w:rsid w:val="00EA78AB"/>
    <w:rsid w:val="00EB023A"/>
    <w:rsid w:val="00EB237C"/>
    <w:rsid w:val="00EB2380"/>
    <w:rsid w:val="00EB277D"/>
    <w:rsid w:val="00EB4372"/>
    <w:rsid w:val="00EB5555"/>
    <w:rsid w:val="00EB5D8B"/>
    <w:rsid w:val="00EB5FC1"/>
    <w:rsid w:val="00EB60CE"/>
    <w:rsid w:val="00EB7375"/>
    <w:rsid w:val="00EB7D53"/>
    <w:rsid w:val="00EC393E"/>
    <w:rsid w:val="00ED1949"/>
    <w:rsid w:val="00ED4870"/>
    <w:rsid w:val="00EE3146"/>
    <w:rsid w:val="00EE58B0"/>
    <w:rsid w:val="00EF12A4"/>
    <w:rsid w:val="00EF31B4"/>
    <w:rsid w:val="00EF3620"/>
    <w:rsid w:val="00EF3ABC"/>
    <w:rsid w:val="00EF4161"/>
    <w:rsid w:val="00EF47E9"/>
    <w:rsid w:val="00EF50BB"/>
    <w:rsid w:val="00EF53FF"/>
    <w:rsid w:val="00F00192"/>
    <w:rsid w:val="00F01DF6"/>
    <w:rsid w:val="00F01E38"/>
    <w:rsid w:val="00F0340D"/>
    <w:rsid w:val="00F05418"/>
    <w:rsid w:val="00F0549C"/>
    <w:rsid w:val="00F059A6"/>
    <w:rsid w:val="00F05F3A"/>
    <w:rsid w:val="00F13438"/>
    <w:rsid w:val="00F14829"/>
    <w:rsid w:val="00F163AD"/>
    <w:rsid w:val="00F23756"/>
    <w:rsid w:val="00F23B84"/>
    <w:rsid w:val="00F2523A"/>
    <w:rsid w:val="00F25FFA"/>
    <w:rsid w:val="00F26C25"/>
    <w:rsid w:val="00F27446"/>
    <w:rsid w:val="00F310D2"/>
    <w:rsid w:val="00F316FB"/>
    <w:rsid w:val="00F35470"/>
    <w:rsid w:val="00F363F1"/>
    <w:rsid w:val="00F364F1"/>
    <w:rsid w:val="00F36C81"/>
    <w:rsid w:val="00F36F3D"/>
    <w:rsid w:val="00F37F3B"/>
    <w:rsid w:val="00F40DBE"/>
    <w:rsid w:val="00F415B5"/>
    <w:rsid w:val="00F4533A"/>
    <w:rsid w:val="00F477BD"/>
    <w:rsid w:val="00F53491"/>
    <w:rsid w:val="00F627A7"/>
    <w:rsid w:val="00F62968"/>
    <w:rsid w:val="00F64860"/>
    <w:rsid w:val="00F64D6E"/>
    <w:rsid w:val="00F65A1C"/>
    <w:rsid w:val="00F66F50"/>
    <w:rsid w:val="00F71DE7"/>
    <w:rsid w:val="00F728DD"/>
    <w:rsid w:val="00F72B46"/>
    <w:rsid w:val="00F72D12"/>
    <w:rsid w:val="00F74590"/>
    <w:rsid w:val="00F7765A"/>
    <w:rsid w:val="00F82A54"/>
    <w:rsid w:val="00F82FF8"/>
    <w:rsid w:val="00F8330D"/>
    <w:rsid w:val="00F84305"/>
    <w:rsid w:val="00F8485C"/>
    <w:rsid w:val="00F87149"/>
    <w:rsid w:val="00F87FFE"/>
    <w:rsid w:val="00F954C9"/>
    <w:rsid w:val="00F95D43"/>
    <w:rsid w:val="00F9641E"/>
    <w:rsid w:val="00F96FBA"/>
    <w:rsid w:val="00FA4CF0"/>
    <w:rsid w:val="00FA5A4D"/>
    <w:rsid w:val="00FA5E16"/>
    <w:rsid w:val="00FA5E45"/>
    <w:rsid w:val="00FA61AA"/>
    <w:rsid w:val="00FA64B8"/>
    <w:rsid w:val="00FA69A4"/>
    <w:rsid w:val="00FB1279"/>
    <w:rsid w:val="00FB148C"/>
    <w:rsid w:val="00FB1495"/>
    <w:rsid w:val="00FB39A1"/>
    <w:rsid w:val="00FB3F1F"/>
    <w:rsid w:val="00FB471D"/>
    <w:rsid w:val="00FB4B9E"/>
    <w:rsid w:val="00FB7214"/>
    <w:rsid w:val="00FB76E2"/>
    <w:rsid w:val="00FC228F"/>
    <w:rsid w:val="00FC5BC1"/>
    <w:rsid w:val="00FC5EA9"/>
    <w:rsid w:val="00FD0DAD"/>
    <w:rsid w:val="00FD0FB2"/>
    <w:rsid w:val="00FD1694"/>
    <w:rsid w:val="00FD468A"/>
    <w:rsid w:val="00FD52B5"/>
    <w:rsid w:val="00FD533C"/>
    <w:rsid w:val="00FD5731"/>
    <w:rsid w:val="00FD6D6E"/>
    <w:rsid w:val="00FD7636"/>
    <w:rsid w:val="00FD76A3"/>
    <w:rsid w:val="00FD7FF0"/>
    <w:rsid w:val="00FE121C"/>
    <w:rsid w:val="00FE2F77"/>
    <w:rsid w:val="00FE3229"/>
    <w:rsid w:val="00FE74C3"/>
    <w:rsid w:val="00FF0094"/>
    <w:rsid w:val="00FF215C"/>
    <w:rsid w:val="00FF31D9"/>
    <w:rsid w:val="00FF389A"/>
    <w:rsid w:val="00FF3A31"/>
    <w:rsid w:val="00FF47A9"/>
    <w:rsid w:val="00FF48F1"/>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B5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C7AAA"/>
    <w:pPr>
      <w:pBdr>
        <w:bottom w:val="single" w:sz="4" w:space="1" w:color="808080" w:themeColor="background1" w:themeShade="80"/>
      </w:pBdr>
      <w:tabs>
        <w:tab w:val="center" w:pos="4513"/>
        <w:tab w:val="right" w:pos="9026"/>
      </w:tabs>
      <w:spacing w:after="120" w:line="240" w:lineRule="auto"/>
      <w:jc w:val="right"/>
    </w:pPr>
    <w:rPr>
      <w:color w:val="808080" w:themeColor="background1" w:themeShade="80"/>
      <w:sz w:val="16"/>
    </w:rPr>
  </w:style>
  <w:style w:type="character" w:customStyle="1" w:styleId="HeaderChar">
    <w:name w:val="Header Char"/>
    <w:basedOn w:val="DefaultParagraphFont"/>
    <w:link w:val="Header"/>
    <w:rsid w:val="008C7AAA"/>
    <w:rPr>
      <w:color w:val="808080" w:themeColor="background1" w:themeShade="80"/>
      <w:sz w:val="16"/>
      <w:szCs w:val="22"/>
      <w:lang w:eastAsia="en-US"/>
    </w:rPr>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9C584A"/>
    <w:rPr>
      <w:color w:val="800080" w:themeColor="followedHyperlink"/>
      <w:u w:val="single"/>
    </w:rPr>
  </w:style>
  <w:style w:type="paragraph" w:styleId="Revision">
    <w:name w:val="Revision"/>
    <w:hidden/>
    <w:uiPriority w:val="99"/>
    <w:semiHidden/>
    <w:rsid w:val="0031170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88263674">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data.daff.gov.au/data/warehouse/9aam/fsrXXd9abm_/fsr15d9abm_20151030/23_FishStatus2015SkipjackTuna_1.0.0.pdf" TargetMode="External"/><Relationship Id="rId26" Type="http://schemas.openxmlformats.org/officeDocument/2006/relationships/hyperlink" Target="http://www.afma.gov.au/fisheries-services/logbooks-and-catch-disposal/" TargetMode="External"/><Relationship Id="rId39" Type="http://schemas.openxmlformats.org/officeDocument/2006/relationships/hyperlink" Target="http://www.afma.gov.au/fisheries/skipjack-tuna-fishery/" TargetMode="External"/><Relationship Id="rId21" Type="http://schemas.openxmlformats.org/officeDocument/2006/relationships/hyperlink" Target="http://www.afma.gov.au/wp-content/uploads/2014/11/Harvest-Strategy-SJTF-August-2011.doc" TargetMode="External"/><Relationship Id="rId34" Type="http://schemas.openxmlformats.org/officeDocument/2006/relationships/hyperlink" Target="http://www.iotc.org" TargetMode="External"/><Relationship Id="rId42" Type="http://schemas.openxmlformats.org/officeDocument/2006/relationships/hyperlink" Target="http://www.afma.gov.au/wp-content/uploads/2014/11/Harvest-Strategy-SJTF-August-2011.doc" TargetMode="External"/><Relationship Id="rId47" Type="http://schemas.openxmlformats.org/officeDocument/2006/relationships/hyperlink" Target="http://www.afma.gov.au/wp-content/uploads/2010/06/erm_skipjack.pdf" TargetMode="External"/><Relationship Id="rId50" Type="http://schemas.openxmlformats.org/officeDocument/2006/relationships/hyperlink" Target="http://www.afma.gov.au/about/corporate-publications/" TargetMode="External"/><Relationship Id="rId55" Type="http://schemas.openxmlformats.org/officeDocument/2006/relationships/hyperlink" Target="http://www.iotc.org/sites/default/files/documents/2016/01/IOTC-2015-SC18-RE_-_FINAL_DO_NOT_MODIFY.pdf" TargetMode="External"/><Relationship Id="rId63" Type="http://schemas.openxmlformats.org/officeDocument/2006/relationships/hyperlink" Target="https://www.wcpfc.int/system/files/WCPFC12%20Summary%20Report_final1_revised.pdf" TargetMode="External"/><Relationship Id="rId68" Type="http://schemas.openxmlformats.org/officeDocument/2006/relationships/hyperlink" Target="http://www.afma.gov.au/fisheries-services/concession-holders-conditions/" TargetMode="External"/><Relationship Id="rId76" Type="http://schemas.openxmlformats.org/officeDocument/2006/relationships/hyperlink" Target="http://www.afma.gov.au/fisheries-services/logbooks-and-catch-disposal/" TargetMode="External"/><Relationship Id="rId84" Type="http://schemas.openxmlformats.org/officeDocument/2006/relationships/hyperlink" Target="http://www.afma.gov.au/wp-content/uploads/2010/06/era_skipjack.pdf" TargetMode="External"/><Relationship Id="rId7" Type="http://schemas.openxmlformats.org/officeDocument/2006/relationships/endnotes" Target="endnotes.xml"/><Relationship Id="rId71" Type="http://schemas.openxmlformats.org/officeDocument/2006/relationships/hyperlink" Target="http://www.iotc.org/sites/default/files/documents/2016/01/IOTC-2015-SC18-RE_-_FINAL_DO_NOT_MODIFY.pdf" TargetMode="External"/><Relationship Id="rId2" Type="http://schemas.openxmlformats.org/officeDocument/2006/relationships/numbering" Target="numbering.xml"/><Relationship Id="rId16" Type="http://schemas.openxmlformats.org/officeDocument/2006/relationships/hyperlink" Target="http://www.environment.gov.au/marine/fisheries/commonwealth/shpjack-tuna" TargetMode="External"/><Relationship Id="rId29" Type="http://schemas.openxmlformats.org/officeDocument/2006/relationships/hyperlink" Target="https://www.legislation.gov.au/Details/F2005C00123" TargetMode="External"/><Relationship Id="rId11" Type="http://schemas.openxmlformats.org/officeDocument/2006/relationships/header" Target="header2.xml"/><Relationship Id="rId24" Type="http://schemas.openxmlformats.org/officeDocument/2006/relationships/hyperlink" Target="http://www.iotc.org/sites/default/files/documents/2016/01/IOTC-2015-SC18-RE_-_FINAL_DO_NOT_MODIFY.pdf" TargetMode="External"/><Relationship Id="rId32" Type="http://schemas.openxmlformats.org/officeDocument/2006/relationships/hyperlink" Target="http://www.afma.gov.au/wp-content/uploads/2014/11/Sustainability-Assessment-for-Fishing-Effect-SPF-April-2009.pdf" TargetMode="External"/><Relationship Id="rId37" Type="http://schemas.openxmlformats.org/officeDocument/2006/relationships/hyperlink" Target="http://www.afma.gov.au/fisheries-services/concession-holders-conditions/" TargetMode="External"/><Relationship Id="rId40" Type="http://schemas.openxmlformats.org/officeDocument/2006/relationships/hyperlink" Target="http://www.afma.gov.au/wp-content/uploads/2014/11/Harvest-Strategy-SJTF-August-2011.doc" TargetMode="External"/><Relationship Id="rId45" Type="http://schemas.openxmlformats.org/officeDocument/2006/relationships/hyperlink" Target="http://www.afma.gov.au/wp-content/uploads/2010/06/erm_skipjack.pdf" TargetMode="External"/><Relationship Id="rId53" Type="http://schemas.openxmlformats.org/officeDocument/2006/relationships/hyperlink" Target="http://www.afma.gov.au/fisheries-services/concession-holders-conditions/" TargetMode="External"/><Relationship Id="rId58" Type="http://schemas.openxmlformats.org/officeDocument/2006/relationships/hyperlink" Target="https://spccfpstore1.blob.core.windows.net/digitallibrary-docs/files/6c/6ca202a572ab257bc71a09ef639b6d9f.pdf?sv=2015-04-05&amp;sr=b&amp;sig=GWU%2BIH6HNMtCXfixq32yP%2FbEeN%2BaZ7hM8IpSP1KZtl4%3D&amp;se=2016-08-27T01%3A59%3A18Z&amp;sp=r&amp;rscc=public%2C%20max-age%3D864000%2C%252" TargetMode="External"/><Relationship Id="rId66" Type="http://schemas.openxmlformats.org/officeDocument/2006/relationships/hyperlink" Target="https://www.legislation.gov.au/Details/F2016C00639" TargetMode="External"/><Relationship Id="rId74" Type="http://schemas.openxmlformats.org/officeDocument/2006/relationships/hyperlink" Target="http://data.daff.gov.au/data/warehouse/9aam/fsrXXd9abm_/fsr15d9abm_20151030/23_FishStatus2015SkipjackTuna_1.0.0.pdf" TargetMode="External"/><Relationship Id="rId79" Type="http://schemas.openxmlformats.org/officeDocument/2006/relationships/hyperlink" Target="https://www.wcpfc.int/system/files/WCPFC12%20Summary%20Report_final1_revised.pdf"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spc.int/Oceanfish/en/publications/doc_download/1433-tuna-fisheries-assessment-report-no-15" TargetMode="External"/><Relationship Id="rId82" Type="http://schemas.openxmlformats.org/officeDocument/2006/relationships/hyperlink" Target="http://www.afma.gov.au/wp-content/uploads/2010/06/era_skipjack.pdf" TargetMode="External"/><Relationship Id="rId19" Type="http://schemas.openxmlformats.org/officeDocument/2006/relationships/hyperlink" Target="http://www.afma.gov.au/fisheries/skipjack-tuna-fishery/"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afma.gov.au/fisheries-services/concession-holders-conditions/" TargetMode="External"/><Relationship Id="rId27" Type="http://schemas.openxmlformats.org/officeDocument/2006/relationships/hyperlink" Target="http://www.afma.gov.au/about/corporate-publications/" TargetMode="External"/><Relationship Id="rId30" Type="http://schemas.openxmlformats.org/officeDocument/2006/relationships/hyperlink" Target="http://www.afma.gov.au/wp-content/uploads/2010/06/era_skipjack.pdf" TargetMode="External"/><Relationship Id="rId35" Type="http://schemas.openxmlformats.org/officeDocument/2006/relationships/hyperlink" Target="http://www.wcpfc.int" TargetMode="External"/><Relationship Id="rId43" Type="http://schemas.openxmlformats.org/officeDocument/2006/relationships/hyperlink" Target="http://data.daff.gov.au/data/warehouse/9aam/fsrXXd9abm_/fsr15d9abm_20151030/23_FishStatus2015SkipjackTuna_1.0.0.pdf" TargetMode="External"/><Relationship Id="rId48" Type="http://schemas.openxmlformats.org/officeDocument/2006/relationships/hyperlink" Target="http://www.afma.gov.au/wp-content/uploads/2010/06/erm_skipjack.pdf" TargetMode="External"/><Relationship Id="rId56" Type="http://schemas.openxmlformats.org/officeDocument/2006/relationships/hyperlink" Target="http://data.daff.gov.au/data/warehouse/9aam/fsrXXd9abm_/fsr15d9abm_20151030/23_FishStatus2015SkipjackTuna_1.0.0.pdf" TargetMode="External"/><Relationship Id="rId64" Type="http://schemas.openxmlformats.org/officeDocument/2006/relationships/hyperlink" Target="http://www.afma.gov.au/wp-content/uploads/2010/06/erm_skipjack.pdf" TargetMode="External"/><Relationship Id="rId69" Type="http://schemas.openxmlformats.org/officeDocument/2006/relationships/hyperlink" Target="http://www.afma.gov.au/wp-content/uploads/2010/06/erm_skipjack.pdf" TargetMode="External"/><Relationship Id="rId77" Type="http://schemas.openxmlformats.org/officeDocument/2006/relationships/hyperlink" Target="http://www.afma.gov.au/wp-content/uploads/2010/06/erm_skipjack.pdf" TargetMode="External"/><Relationship Id="rId8" Type="http://schemas.openxmlformats.org/officeDocument/2006/relationships/image" Target="media/image1.jpeg"/><Relationship Id="rId51" Type="http://schemas.openxmlformats.org/officeDocument/2006/relationships/hyperlink" Target="http://www.afma.gov.au/fisheries-services/logbooks-and-catch-disposal/" TargetMode="External"/><Relationship Id="rId72" Type="http://schemas.openxmlformats.org/officeDocument/2006/relationships/hyperlink" Target="http://www.afma.gov.au/wp-content/uploads/2010/06/erm_skipjack.pdf" TargetMode="External"/><Relationship Id="rId80" Type="http://schemas.openxmlformats.org/officeDocument/2006/relationships/hyperlink" Target="http://www.iotc.org/sites/default/files/documents/2016/01/IOTC-2015-SC18-RE_-_FINAL_DO_NOT_MODIFY.pdf" TargetMode="External"/><Relationship Id="rId85" Type="http://schemas.openxmlformats.org/officeDocument/2006/relationships/hyperlink" Target="http://www.afma.gov.au/wp-content/uploads/2010/06/era_skipjack.pdf"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afma.gov.au/sustainability-environment/protected-species-management/protected-species-interaction-reports/" TargetMode="External"/><Relationship Id="rId25" Type="http://schemas.openxmlformats.org/officeDocument/2006/relationships/hyperlink" Target="http://iotc.org/science/status-summary-species-tuna-and-tuna-species-under-iotc-mandate-well-other-species-impacted-iotc" TargetMode="External"/><Relationship Id="rId33" Type="http://schemas.openxmlformats.org/officeDocument/2006/relationships/hyperlink" Target="http://www.afma.gov.au/wp-content/uploads/2010/06/erm_skipjack.pdf" TargetMode="External"/><Relationship Id="rId38" Type="http://schemas.openxmlformats.org/officeDocument/2006/relationships/hyperlink" Target="http://www.afma.gov.au/wp-content/uploads/2014/08/Skipjack-management-arrangements-booklet-2015.pdf" TargetMode="External"/><Relationship Id="rId46" Type="http://schemas.openxmlformats.org/officeDocument/2006/relationships/hyperlink" Target="http://www.afma.gov.au/wp-content/uploads/2010/06/erm_skipjack.pdf" TargetMode="External"/><Relationship Id="rId59" Type="http://schemas.openxmlformats.org/officeDocument/2006/relationships/hyperlink" Target="https://www.wcpfc.int/meetings/10th-regular-session-scientific-committee" TargetMode="External"/><Relationship Id="rId67" Type="http://schemas.openxmlformats.org/officeDocument/2006/relationships/hyperlink" Target="http://www.afma.gov.au/fisheries-services/logbooks-and-catch-disposal/" TargetMode="External"/><Relationship Id="rId20" Type="http://schemas.openxmlformats.org/officeDocument/2006/relationships/hyperlink" Target="http://www.afma.gov.au/wp-content/uploads/2014/08/Skipjack-management-arrangements-booklet-2015.pdf" TargetMode="External"/><Relationship Id="rId41" Type="http://schemas.openxmlformats.org/officeDocument/2006/relationships/hyperlink" Target="http://www.afma.gov.au/wp-content/uploads/2014/08/Skipjack-management-arrangements-booklet-2015.pdf" TargetMode="External"/><Relationship Id="rId54" Type="http://schemas.openxmlformats.org/officeDocument/2006/relationships/hyperlink" Target="https://www.wcpfc.int/system/files/WCPFC12%20Summary%20Report_final1_revised.pdf" TargetMode="External"/><Relationship Id="rId62" Type="http://schemas.openxmlformats.org/officeDocument/2006/relationships/hyperlink" Target="http://iotc.org/science/status-summary-species-tuna-and-tuna-species-under-iotc-mandate-well-other-species-impacted-iotc" TargetMode="External"/><Relationship Id="rId70" Type="http://schemas.openxmlformats.org/officeDocument/2006/relationships/hyperlink" Target="https://www.wcpfc.int/system/files/WCPFC12%20Summary%20Report_final1_revised.pdf" TargetMode="External"/><Relationship Id="rId75" Type="http://schemas.openxmlformats.org/officeDocument/2006/relationships/hyperlink" Target="http://www.afma.gov.au/wp-content/uploads/2010/06/erm_skipjack.pdf" TargetMode="External"/><Relationship Id="rId83" Type="http://schemas.openxmlformats.org/officeDocument/2006/relationships/hyperlink" Target="http://www.afma.gov.au/wp-content/uploads/2010/06/erm_skipjack.pdf"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spc.int/oceanfish/en/publications/doc_download/1433-tuna-fisheries-assessment-report-no-15" TargetMode="External"/><Relationship Id="rId28" Type="http://schemas.openxmlformats.org/officeDocument/2006/relationships/hyperlink" Target="https://www.legislation.gov.au/Details/C2016C00795" TargetMode="External"/><Relationship Id="rId36" Type="http://schemas.openxmlformats.org/officeDocument/2006/relationships/hyperlink" Target="http://www.afma.gov.au/wp-content/uploads/2014/11/Harvest-Strategy-SJTF-August-2011.doc" TargetMode="External"/><Relationship Id="rId49" Type="http://schemas.openxmlformats.org/officeDocument/2006/relationships/hyperlink" Target="http://data.daff.gov.au/data/warehouse/9aam/fsrXXd9abm_/fsr15d9abm_20151030/23_FishStatus2015SkipjackTuna_1.0.0.pdf" TargetMode="External"/><Relationship Id="rId57" Type="http://schemas.openxmlformats.org/officeDocument/2006/relationships/hyperlink" Target="http://aww.iotc.org/sites/default/files/documents/science/species_summaries/english/Skipjack%20tuna%20Executive%20Summary.pdf" TargetMode="External"/><Relationship Id="rId10" Type="http://schemas.openxmlformats.org/officeDocument/2006/relationships/header" Target="header1.xml"/><Relationship Id="rId31" Type="http://schemas.openxmlformats.org/officeDocument/2006/relationships/hyperlink" Target="http://www.afma.gov.au/wp-content/uploads/2010/06/rrr_skipjack.pdf" TargetMode="External"/><Relationship Id="rId44" Type="http://schemas.openxmlformats.org/officeDocument/2006/relationships/hyperlink" Target="http://www.afma.gov.au/wp-content/uploads/2010/06/rrr_skipjack.pdf" TargetMode="External"/><Relationship Id="rId52" Type="http://schemas.openxmlformats.org/officeDocument/2006/relationships/hyperlink" Target="http://www.afma.gov.au/wp-content/uploads/2010/06/erm_skipjack.pdf" TargetMode="External"/><Relationship Id="rId60" Type="http://schemas.openxmlformats.org/officeDocument/2006/relationships/hyperlink" Target="https://www.wcpfc.int/meetings/11th-regular-session-scientific-committee" TargetMode="External"/><Relationship Id="rId65" Type="http://schemas.openxmlformats.org/officeDocument/2006/relationships/hyperlink" Target="https://www.legislation.gov.au/Details/F2016C00636" TargetMode="External"/><Relationship Id="rId73" Type="http://schemas.openxmlformats.org/officeDocument/2006/relationships/hyperlink" Target="http://www.afma.gov.au/wp-content/uploads/2010/06/erm_skipjack.pdf" TargetMode="External"/><Relationship Id="rId78" Type="http://schemas.openxmlformats.org/officeDocument/2006/relationships/hyperlink" Target="http://www.afma.gov.au/fisheries-services/concession-holders-conditions/" TargetMode="External"/><Relationship Id="rId81" Type="http://schemas.openxmlformats.org/officeDocument/2006/relationships/hyperlink" Target="http://www.afma.gov.au/wp-content/uploads/2010/06/rrr_skipjack.pdf" TargetMode="External"/><Relationship Id="rId86" Type="http://schemas.openxmlformats.org/officeDocument/2006/relationships/hyperlink" Target="http://www.environment.gov.au/node/169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CC0A6D-0117-492B-A440-9BFA1529B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AE877859.dotm</Template>
  <TotalTime>0</TotalTime>
  <Pages>23</Pages>
  <Words>8857</Words>
  <Characters>50489</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Commonwealth Skipjack Tuna Fishery</dc:title>
  <dc:creator/>
  <cp:lastModifiedBy/>
  <cp:revision>1</cp:revision>
  <dcterms:created xsi:type="dcterms:W3CDTF">2018-08-17T01:54:00Z</dcterms:created>
  <dcterms:modified xsi:type="dcterms:W3CDTF">2018-08-17T01:54:00Z</dcterms:modified>
</cp:coreProperties>
</file>