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7263EA">
      <w:pPr>
        <w:spacing w:after="120"/>
        <w:jc w:val="center"/>
        <w:rPr>
          <w:snapToGrid w:val="0"/>
        </w:rPr>
      </w:pPr>
      <w:r w:rsidRPr="007263EA">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B35E98">
        <w:rPr>
          <w:szCs w:val="22"/>
        </w:rPr>
        <w:t xml:space="preserve">I, </w:t>
      </w:r>
      <w:r w:rsidR="00390BAD" w:rsidRPr="00B35E98">
        <w:rPr>
          <w:szCs w:val="22"/>
        </w:rPr>
        <w:t>GEOFF RICHARDSON</w:t>
      </w:r>
      <w:r w:rsidRPr="00B35E98">
        <w:rPr>
          <w:color w:val="000000"/>
          <w:szCs w:val="22"/>
        </w:rPr>
        <w:t xml:space="preserve">, </w:t>
      </w:r>
      <w:r w:rsidRPr="00B35E98">
        <w:rPr>
          <w:snapToGrid w:val="0"/>
          <w:color w:val="000000"/>
          <w:szCs w:val="22"/>
        </w:rPr>
        <w:t>Assistant</w:t>
      </w:r>
      <w:r w:rsidRPr="00B35E98">
        <w:rPr>
          <w:snapToGrid w:val="0"/>
          <w:szCs w:val="22"/>
        </w:rPr>
        <w:t xml:space="preserve"> Secretary, Marine Biodiversity </w:t>
      </w:r>
      <w:r w:rsidR="007A3126" w:rsidRPr="00B35E98">
        <w:rPr>
          <w:snapToGrid w:val="0"/>
          <w:szCs w:val="22"/>
        </w:rPr>
        <w:t>and Biosecurity</w:t>
      </w:r>
      <w:r w:rsidRPr="00B35E98">
        <w:rPr>
          <w:snapToGrid w:val="0"/>
          <w:szCs w:val="22"/>
        </w:rPr>
        <w:t xml:space="preserve"> Branch</w:t>
      </w:r>
      <w:r w:rsidRPr="00B35E98">
        <w:rPr>
          <w:szCs w:val="22"/>
        </w:rPr>
        <w:t>, as Delegate of the Minister for</w:t>
      </w:r>
      <w:r w:rsidRPr="00FB1480">
        <w:rPr>
          <w:szCs w:val="22"/>
        </w:rPr>
        <w:t xml:space="preserve"> Sustainability, Env</w:t>
      </w:r>
      <w:r w:rsidR="00075416">
        <w:rPr>
          <w:szCs w:val="22"/>
        </w:rPr>
        <w:t>ironment, Water, Population and </w:t>
      </w:r>
      <w:r w:rsidRPr="00FB1480">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proofErr w:type="gramStart"/>
      <w:r w:rsidR="00C77716">
        <w:rPr>
          <w:szCs w:val="22"/>
        </w:rPr>
        <w:t>revoke</w:t>
      </w:r>
      <w:proofErr w:type="gramEnd"/>
      <w:r w:rsidR="00C77716">
        <w:rPr>
          <w:szCs w:val="22"/>
        </w:rPr>
        <w:t xml:space="preserv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085C6D">
        <w:rPr>
          <w:rFonts w:cs="Arial"/>
        </w:rPr>
        <w:t>Victorian Abalone Fishery</w:t>
      </w:r>
      <w:r w:rsidR="00FB1480" w:rsidRPr="007C176F">
        <w:rPr>
          <w:szCs w:val="22"/>
        </w:rPr>
        <w:t xml:space="preserve"> dated </w:t>
      </w:r>
      <w:r w:rsidR="007C176F" w:rsidRPr="007C176F">
        <w:rPr>
          <w:szCs w:val="22"/>
        </w:rPr>
        <w:t>2</w:t>
      </w:r>
      <w:r w:rsidR="00085C6D">
        <w:rPr>
          <w:szCs w:val="22"/>
        </w:rPr>
        <w:t>5</w:t>
      </w:r>
      <w:r w:rsidR="00FB1480" w:rsidRPr="007C176F">
        <w:rPr>
          <w:szCs w:val="22"/>
        </w:rPr>
        <w:t xml:space="preserve"> J</w:t>
      </w:r>
      <w:r w:rsidR="007C176F" w:rsidRPr="007C176F">
        <w:rPr>
          <w:szCs w:val="22"/>
        </w:rPr>
        <w:t>une</w:t>
      </w:r>
      <w:r w:rsidR="00FB1480" w:rsidRPr="007C176F">
        <w:rPr>
          <w:szCs w:val="22"/>
        </w:rPr>
        <w:t xml:space="preserve"> 20</w:t>
      </w:r>
      <w:r w:rsidR="007C176F" w:rsidRPr="007C176F">
        <w:rPr>
          <w:szCs w:val="22"/>
        </w:rPr>
        <w:t>09</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w:t>
      </w:r>
      <w:r w:rsidR="00FB1480" w:rsidRPr="00B35E98">
        <w:rPr>
          <w:szCs w:val="22"/>
        </w:rPr>
        <w:t xml:space="preserve">management regime </w:t>
      </w:r>
      <w:r w:rsidR="00FB1480" w:rsidRPr="00B35E98">
        <w:rPr>
          <w:snapToGrid w:val="0"/>
          <w:szCs w:val="22"/>
        </w:rPr>
        <w:t>for the</w:t>
      </w:r>
      <w:r w:rsidR="00085C6D" w:rsidRPr="00B35E98">
        <w:rPr>
          <w:snapToGrid w:val="0"/>
          <w:szCs w:val="22"/>
        </w:rPr>
        <w:t xml:space="preserve"> </w:t>
      </w:r>
      <w:r w:rsidR="00085C6D" w:rsidRPr="00B35E98">
        <w:rPr>
          <w:rFonts w:cs="Arial"/>
        </w:rPr>
        <w:t>Victorian Abalone Fishery</w:t>
      </w:r>
      <w:r w:rsidR="00FB1480" w:rsidRPr="00B35E98">
        <w:rPr>
          <w:szCs w:val="22"/>
        </w:rPr>
        <w:t xml:space="preserve">, in force under the </w:t>
      </w:r>
      <w:r w:rsidR="00B35E98" w:rsidRPr="00B35E98">
        <w:rPr>
          <w:rFonts w:cs="Arial"/>
        </w:rPr>
        <w:t>Victorian </w:t>
      </w:r>
      <w:r w:rsidR="009F0448" w:rsidRPr="00B35E98">
        <w:rPr>
          <w:i/>
          <w:iCs/>
        </w:rPr>
        <w:t>Fisheries Act </w:t>
      </w:r>
      <w:r w:rsidR="00C96D05" w:rsidRPr="00B35E98">
        <w:rPr>
          <w:i/>
          <w:iCs/>
        </w:rPr>
        <w:t>1995</w:t>
      </w:r>
      <w:r w:rsidR="00FB1480" w:rsidRPr="00B35E98">
        <w:rPr>
          <w:szCs w:val="22"/>
        </w:rPr>
        <w:t xml:space="preserve"> and the</w:t>
      </w:r>
      <w:r w:rsidR="00FB1480" w:rsidRPr="00B35E98">
        <w:rPr>
          <w:i/>
          <w:szCs w:val="22"/>
        </w:rPr>
        <w:t xml:space="preserve"> </w:t>
      </w:r>
      <w:r w:rsidR="00B35E98" w:rsidRPr="00B35E98">
        <w:rPr>
          <w:rFonts w:cs="Arial"/>
        </w:rPr>
        <w:t xml:space="preserve">Victorian </w:t>
      </w:r>
      <w:r w:rsidR="00B35E98" w:rsidRPr="00B6309C">
        <w:rPr>
          <w:rFonts w:cs="Arial"/>
        </w:rPr>
        <w:t>Fisheries Regulations 2009</w:t>
      </w:r>
      <w:r w:rsidR="00FB1480" w:rsidRPr="00B35E98">
        <w:rPr>
          <w:iCs/>
          <w:szCs w:val="22"/>
        </w:rPr>
        <w:t>,</w:t>
      </w:r>
      <w:r w:rsidR="00FB1480" w:rsidRPr="00B35E98">
        <w:rPr>
          <w:rStyle w:val="Emphasis"/>
          <w:szCs w:val="22"/>
        </w:rPr>
        <w:t xml:space="preserve"> </w:t>
      </w:r>
      <w:r w:rsidR="00FB1480" w:rsidRPr="00B35E98">
        <w:rPr>
          <w:rStyle w:val="Emphasis"/>
          <w:i w:val="0"/>
          <w:szCs w:val="22"/>
        </w:rPr>
        <w:t>r</w:t>
      </w:r>
      <w:r w:rsidR="00FB1480" w:rsidRPr="00B35E98">
        <w:rPr>
          <w:szCs w:val="22"/>
        </w:rPr>
        <w:t>equires</w:t>
      </w:r>
      <w:r w:rsidR="00FB1480" w:rsidRPr="00FB1480">
        <w:rPr>
          <w:szCs w:val="22"/>
        </w:rPr>
        <w:t xml:space="preserve">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C41B05">
        <w:rPr>
          <w:szCs w:val="22"/>
        </w:rPr>
        <w:t xml:space="preserve">accredit the management regime </w:t>
      </w:r>
      <w:r w:rsidRPr="00C41B05">
        <w:rPr>
          <w:snapToGrid w:val="0"/>
          <w:szCs w:val="22"/>
        </w:rPr>
        <w:t>for</w:t>
      </w:r>
      <w:r w:rsidRPr="009F0448">
        <w:rPr>
          <w:snapToGrid w:val="0"/>
          <w:szCs w:val="22"/>
        </w:rPr>
        <w:t xml:space="preserve"> the </w:t>
      </w:r>
      <w:r w:rsidR="00C41B05" w:rsidRPr="00B35E98">
        <w:rPr>
          <w:rFonts w:cs="Arial"/>
        </w:rPr>
        <w:t>Victorian Abalone Fishery</w:t>
      </w:r>
      <w:r w:rsidR="00C4202F" w:rsidRPr="00FB1480">
        <w:rPr>
          <w:szCs w:val="22"/>
        </w:rPr>
        <w:t xml:space="preserve"> </w:t>
      </w:r>
      <w:r w:rsidRPr="00FB1480">
        <w:rPr>
          <w:szCs w:val="22"/>
        </w:rPr>
        <w:t xml:space="preserve">in force under the </w:t>
      </w:r>
      <w:r w:rsidR="00C41B05" w:rsidRPr="00B35E98">
        <w:rPr>
          <w:rFonts w:cs="Arial"/>
        </w:rPr>
        <w:t>Victorian </w:t>
      </w:r>
      <w:r w:rsidR="00C41B05" w:rsidRPr="00B35E98">
        <w:rPr>
          <w:i/>
          <w:iCs/>
        </w:rPr>
        <w:t>Fisheries Act 1995</w:t>
      </w:r>
      <w:r w:rsidR="00C41B05" w:rsidRPr="00B35E98">
        <w:rPr>
          <w:szCs w:val="22"/>
        </w:rPr>
        <w:t xml:space="preserve"> and the</w:t>
      </w:r>
      <w:r w:rsidR="00C41B05" w:rsidRPr="00B35E98">
        <w:rPr>
          <w:i/>
          <w:szCs w:val="22"/>
        </w:rPr>
        <w:t xml:space="preserve"> </w:t>
      </w:r>
      <w:r w:rsidR="00C41B05" w:rsidRPr="00B35E98">
        <w:rPr>
          <w:rFonts w:cs="Arial"/>
        </w:rPr>
        <w:t xml:space="preserve">Victorian </w:t>
      </w:r>
      <w:r w:rsidR="00C41B05" w:rsidRPr="00B6309C">
        <w:rPr>
          <w:rFonts w:cs="Arial"/>
        </w:rPr>
        <w:t>Fisheries Regulations 2009</w:t>
      </w:r>
      <w:r w:rsidR="00C41B05">
        <w:rPr>
          <w:rFonts w:cs="Arial"/>
          <w:i/>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5E68D9">
      <w:pPr>
        <w:ind w:left="360" w:right="237"/>
        <w:rPr>
          <w:szCs w:val="22"/>
        </w:rPr>
      </w:pP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354D4F">
        <w:rPr>
          <w:iCs/>
          <w:szCs w:val="22"/>
        </w:rPr>
        <w:t xml:space="preserve">19th day of June </w:t>
      </w:r>
      <w:r w:rsidR="00C64506">
        <w:rPr>
          <w:iCs/>
          <w:szCs w:val="22"/>
        </w:rPr>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354D4F" w:rsidP="00F755FB">
      <w:pPr>
        <w:ind w:left="360" w:right="237"/>
        <w:jc w:val="center"/>
        <w:rPr>
          <w:szCs w:val="22"/>
        </w:rPr>
      </w:pPr>
      <w:r w:rsidRPr="00FB1480">
        <w:rPr>
          <w:szCs w:val="22"/>
        </w:rPr>
        <w:t>……….……..</w:t>
      </w:r>
      <w:r>
        <w:rPr>
          <w:szCs w:val="22"/>
        </w:rPr>
        <w:t>Geoff Richardson</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C41B05">
        <w:rPr>
          <w:rFonts w:ascii="Times New Roman" w:hAnsi="Times New Roman" w:cs="Times New Roman"/>
          <w:snapToGrid w:val="0"/>
          <w:szCs w:val="22"/>
          <w:lang w:val="en-AU"/>
        </w:rPr>
        <w:t xml:space="preserve">Delegate of the </w:t>
      </w:r>
      <w:r w:rsidRPr="00C41B05">
        <w:rPr>
          <w:rFonts w:ascii="Times New Roman" w:hAnsi="Times New Roman" w:cs="Times New Roman"/>
          <w:szCs w:val="22"/>
        </w:rPr>
        <w:t>Minister</w:t>
      </w:r>
      <w:r w:rsidRPr="00FB1480">
        <w:rPr>
          <w:rFonts w:ascii="Times New Roman" w:hAnsi="Times New Roman" w:cs="Times New Roman"/>
          <w:szCs w:val="22"/>
        </w:rPr>
        <w:t xml:space="preserve"> for Sustainability, Environment, Water, Population and Communities</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E98" w:rsidRDefault="00B35E98">
      <w:r>
        <w:separator/>
      </w:r>
    </w:p>
  </w:endnote>
  <w:endnote w:type="continuationSeparator" w:id="0">
    <w:p w:rsidR="00B35E98" w:rsidRDefault="00B35E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E98" w:rsidRDefault="00B35E98">
      <w:r>
        <w:separator/>
      </w:r>
    </w:p>
  </w:footnote>
  <w:footnote w:type="continuationSeparator" w:id="0">
    <w:p w:rsidR="00B35E98" w:rsidRDefault="00B35E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E98" w:rsidRDefault="00B35E98">
    <w:pPr>
      <w:pStyle w:val="Header"/>
      <w:jc w:val="right"/>
      <w:rPr>
        <w:sz w:val="20"/>
      </w:rPr>
    </w:pPr>
    <w:r>
      <w:rPr>
        <w:b/>
        <w:sz w:val="20"/>
      </w:rPr>
      <w:t>Unique Identifying Number:</w:t>
    </w:r>
  </w:p>
  <w:p w:rsidR="00B35E98" w:rsidRDefault="00B35E98">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91FF8"/>
    <w:rsid w:val="00022807"/>
    <w:rsid w:val="00075416"/>
    <w:rsid w:val="00085C6D"/>
    <w:rsid w:val="000928E7"/>
    <w:rsid w:val="00131745"/>
    <w:rsid w:val="00141DC4"/>
    <w:rsid w:val="001572F9"/>
    <w:rsid w:val="00157A07"/>
    <w:rsid w:val="001758EB"/>
    <w:rsid w:val="00300E20"/>
    <w:rsid w:val="00313CDC"/>
    <w:rsid w:val="00330C65"/>
    <w:rsid w:val="00354D4F"/>
    <w:rsid w:val="003732DA"/>
    <w:rsid w:val="00390BAD"/>
    <w:rsid w:val="003A3E63"/>
    <w:rsid w:val="003D37AA"/>
    <w:rsid w:val="003F0B0A"/>
    <w:rsid w:val="00406255"/>
    <w:rsid w:val="00433409"/>
    <w:rsid w:val="004A2909"/>
    <w:rsid w:val="004C0D63"/>
    <w:rsid w:val="004E4888"/>
    <w:rsid w:val="005E68D9"/>
    <w:rsid w:val="007263EA"/>
    <w:rsid w:val="007A3126"/>
    <w:rsid w:val="007C176F"/>
    <w:rsid w:val="007C5DB1"/>
    <w:rsid w:val="0080484A"/>
    <w:rsid w:val="00807FA4"/>
    <w:rsid w:val="00863B42"/>
    <w:rsid w:val="00941B39"/>
    <w:rsid w:val="009F0448"/>
    <w:rsid w:val="00A157AF"/>
    <w:rsid w:val="00A22CBB"/>
    <w:rsid w:val="00A34121"/>
    <w:rsid w:val="00B134B6"/>
    <w:rsid w:val="00B35E98"/>
    <w:rsid w:val="00B6309C"/>
    <w:rsid w:val="00BA5A3E"/>
    <w:rsid w:val="00BE4C00"/>
    <w:rsid w:val="00C41B05"/>
    <w:rsid w:val="00C4202F"/>
    <w:rsid w:val="00C64506"/>
    <w:rsid w:val="00C77716"/>
    <w:rsid w:val="00C91B0F"/>
    <w:rsid w:val="00C91FF8"/>
    <w:rsid w:val="00C96D05"/>
    <w:rsid w:val="00CC100A"/>
    <w:rsid w:val="00D0634F"/>
    <w:rsid w:val="00DA4775"/>
    <w:rsid w:val="00DA5695"/>
    <w:rsid w:val="00DF543C"/>
    <w:rsid w:val="00DF5794"/>
    <w:rsid w:val="00E321E1"/>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29912-1289-4D59-B5EE-E8275F59A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150</TotalTime>
  <Pages>1</Pages>
  <Words>286</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a12990</cp:lastModifiedBy>
  <cp:revision>4</cp:revision>
  <cp:lastPrinted>2012-01-11T03:31:00Z</cp:lastPrinted>
  <dcterms:created xsi:type="dcterms:W3CDTF">2013-06-11T01:09:00Z</dcterms:created>
  <dcterms:modified xsi:type="dcterms:W3CDTF">2013-06-20T01:49:00Z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