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8261F" w14:textId="77777777" w:rsidR="00C4703C" w:rsidRDefault="00AD2DFD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7EE6407B" wp14:editId="6244A225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FB68AC" w14:textId="77777777"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14:paraId="48EB8086" w14:textId="77777777" w:rsidR="00C4703C" w:rsidRDefault="00C4703C">
      <w:pPr>
        <w:jc w:val="center"/>
        <w:rPr>
          <w:snapToGrid w:val="0"/>
        </w:rPr>
      </w:pPr>
    </w:p>
    <w:p w14:paraId="0DAE8035" w14:textId="77777777" w:rsidR="00C4703C" w:rsidRPr="009758E1" w:rsidRDefault="00C4703C">
      <w:pPr>
        <w:pStyle w:val="Heading1"/>
        <w:jc w:val="center"/>
        <w:rPr>
          <w:b/>
          <w:i/>
          <w:iCs/>
        </w:rPr>
      </w:pPr>
      <w:r w:rsidRPr="009758E1">
        <w:rPr>
          <w:b/>
          <w:i/>
          <w:iCs/>
        </w:rPr>
        <w:t>Environment Protection and Biodiversity Conservation Act 1999</w:t>
      </w:r>
    </w:p>
    <w:p w14:paraId="7A791777" w14:textId="77777777" w:rsidR="00C4703C" w:rsidRDefault="00C4703C">
      <w:pPr>
        <w:jc w:val="center"/>
        <w:rPr>
          <w:snapToGrid w:val="0"/>
        </w:rPr>
      </w:pPr>
    </w:p>
    <w:p w14:paraId="12862280" w14:textId="77777777" w:rsidR="00C4703C" w:rsidRPr="009758E1" w:rsidRDefault="00C4703C">
      <w:pPr>
        <w:jc w:val="center"/>
        <w:rPr>
          <w:b/>
          <w:snapToGrid w:val="0"/>
          <w:sz w:val="22"/>
          <w:szCs w:val="22"/>
        </w:rPr>
      </w:pPr>
      <w:bookmarkStart w:id="0" w:name="_GoBack"/>
      <w:r w:rsidRPr="009758E1">
        <w:rPr>
          <w:b/>
          <w:snapToGrid w:val="0"/>
          <w:sz w:val="22"/>
          <w:szCs w:val="22"/>
        </w:rPr>
        <w:t xml:space="preserve">Instrument </w:t>
      </w:r>
      <w:r w:rsidR="007755D3" w:rsidRPr="009758E1">
        <w:rPr>
          <w:b/>
          <w:snapToGrid w:val="0"/>
          <w:sz w:val="22"/>
          <w:szCs w:val="22"/>
        </w:rPr>
        <w:t>i</w:t>
      </w:r>
      <w:r w:rsidRPr="009758E1">
        <w:rPr>
          <w:b/>
          <w:snapToGrid w:val="0"/>
          <w:sz w:val="22"/>
          <w:szCs w:val="22"/>
        </w:rPr>
        <w:t xml:space="preserve">mposing </w:t>
      </w:r>
      <w:r w:rsidR="007755D3" w:rsidRPr="009758E1">
        <w:rPr>
          <w:b/>
          <w:snapToGrid w:val="0"/>
          <w:sz w:val="22"/>
          <w:szCs w:val="22"/>
        </w:rPr>
        <w:t>c</w:t>
      </w:r>
      <w:r w:rsidRPr="009758E1">
        <w:rPr>
          <w:b/>
          <w:snapToGrid w:val="0"/>
          <w:sz w:val="22"/>
          <w:szCs w:val="22"/>
        </w:rPr>
        <w:t>o</w:t>
      </w:r>
      <w:r w:rsidRPr="00A75E93">
        <w:rPr>
          <w:b/>
          <w:snapToGrid w:val="0"/>
          <w:sz w:val="22"/>
          <w:szCs w:val="22"/>
        </w:rPr>
        <w:t xml:space="preserve">nditions on </w:t>
      </w:r>
      <w:r w:rsidR="007755D3" w:rsidRPr="00A75E93">
        <w:rPr>
          <w:b/>
          <w:snapToGrid w:val="0"/>
          <w:sz w:val="22"/>
          <w:szCs w:val="22"/>
        </w:rPr>
        <w:t>a</w:t>
      </w:r>
      <w:r w:rsidRPr="00A75E93">
        <w:rPr>
          <w:b/>
          <w:snapToGrid w:val="0"/>
          <w:sz w:val="22"/>
          <w:szCs w:val="22"/>
        </w:rPr>
        <w:t xml:space="preserve">ccreditation of </w:t>
      </w:r>
      <w:r w:rsidR="007755D3" w:rsidRPr="00A75E93">
        <w:rPr>
          <w:b/>
          <w:snapToGrid w:val="0"/>
          <w:sz w:val="22"/>
          <w:szCs w:val="22"/>
        </w:rPr>
        <w:t>p</w:t>
      </w:r>
      <w:r w:rsidRPr="00A75E93">
        <w:rPr>
          <w:b/>
          <w:snapToGrid w:val="0"/>
          <w:sz w:val="22"/>
          <w:szCs w:val="22"/>
        </w:rPr>
        <w:t xml:space="preserve">lans, </w:t>
      </w:r>
      <w:r w:rsidR="007755D3" w:rsidRPr="00A75E93">
        <w:rPr>
          <w:b/>
          <w:snapToGrid w:val="0"/>
          <w:sz w:val="22"/>
          <w:szCs w:val="22"/>
        </w:rPr>
        <w:t>re</w:t>
      </w:r>
      <w:r w:rsidRPr="00A75E93">
        <w:rPr>
          <w:b/>
          <w:snapToGrid w:val="0"/>
          <w:sz w:val="22"/>
          <w:szCs w:val="22"/>
        </w:rPr>
        <w:t xml:space="preserve">gimes and </w:t>
      </w:r>
      <w:r w:rsidR="007755D3" w:rsidRPr="00A75E93">
        <w:rPr>
          <w:b/>
          <w:snapToGrid w:val="0"/>
          <w:sz w:val="22"/>
          <w:szCs w:val="22"/>
        </w:rPr>
        <w:t>p</w:t>
      </w:r>
      <w:r w:rsidRPr="00A75E93">
        <w:rPr>
          <w:b/>
          <w:snapToGrid w:val="0"/>
          <w:sz w:val="22"/>
          <w:szCs w:val="22"/>
        </w:rPr>
        <w:t>olicies</w:t>
      </w:r>
      <w:r w:rsidR="00BB3155" w:rsidRPr="00A75E93">
        <w:rPr>
          <w:b/>
          <w:snapToGrid w:val="0"/>
          <w:sz w:val="22"/>
          <w:szCs w:val="22"/>
        </w:rPr>
        <w:t xml:space="preserve"> – </w:t>
      </w:r>
      <w:r w:rsidR="00817597" w:rsidRPr="00A75E93">
        <w:rPr>
          <w:b/>
          <w:snapToGrid w:val="0"/>
          <w:sz w:val="22"/>
          <w:szCs w:val="22"/>
        </w:rPr>
        <w:t xml:space="preserve">South Australian Marine </w:t>
      </w:r>
      <w:proofErr w:type="spellStart"/>
      <w:r w:rsidR="00817597" w:rsidRPr="00A75E93">
        <w:rPr>
          <w:b/>
          <w:snapToGrid w:val="0"/>
          <w:sz w:val="22"/>
          <w:szCs w:val="22"/>
        </w:rPr>
        <w:t>Scalefish</w:t>
      </w:r>
      <w:proofErr w:type="spellEnd"/>
      <w:r w:rsidR="00817597" w:rsidRPr="00A75E93">
        <w:rPr>
          <w:b/>
          <w:snapToGrid w:val="0"/>
          <w:sz w:val="22"/>
          <w:szCs w:val="22"/>
        </w:rPr>
        <w:t xml:space="preserve"> Fishery</w:t>
      </w:r>
      <w:r w:rsidR="00BB3155" w:rsidRPr="00A75E93">
        <w:rPr>
          <w:b/>
          <w:snapToGrid w:val="0"/>
          <w:sz w:val="22"/>
          <w:szCs w:val="22"/>
        </w:rPr>
        <w:t xml:space="preserve">, </w:t>
      </w:r>
      <w:r w:rsidR="00817597" w:rsidRPr="00A75E93">
        <w:rPr>
          <w:b/>
          <w:snapToGrid w:val="0"/>
          <w:sz w:val="22"/>
          <w:szCs w:val="22"/>
        </w:rPr>
        <w:t>September 2019</w:t>
      </w:r>
      <w:bookmarkEnd w:id="0"/>
    </w:p>
    <w:p w14:paraId="3EE63C20" w14:textId="77777777" w:rsidR="00C4703C" w:rsidRPr="009758E1" w:rsidRDefault="00C4703C">
      <w:pPr>
        <w:ind w:left="360" w:right="675"/>
        <w:rPr>
          <w:snapToGrid w:val="0"/>
          <w:sz w:val="22"/>
          <w:szCs w:val="22"/>
        </w:rPr>
      </w:pPr>
    </w:p>
    <w:p w14:paraId="219D773C" w14:textId="77777777" w:rsidR="007755D3" w:rsidRPr="009758E1" w:rsidRDefault="007755D3">
      <w:pPr>
        <w:ind w:left="360" w:right="675"/>
        <w:rPr>
          <w:snapToGrid w:val="0"/>
          <w:sz w:val="22"/>
          <w:szCs w:val="22"/>
        </w:rPr>
      </w:pPr>
    </w:p>
    <w:p w14:paraId="30F409F2" w14:textId="23155C37" w:rsidR="00C4703C" w:rsidRPr="009758E1" w:rsidRDefault="00C4703C">
      <w:pPr>
        <w:ind w:right="26"/>
        <w:rPr>
          <w:sz w:val="22"/>
          <w:szCs w:val="22"/>
        </w:rPr>
      </w:pPr>
      <w:r w:rsidRPr="00A75E93">
        <w:rPr>
          <w:sz w:val="22"/>
          <w:szCs w:val="22"/>
        </w:rPr>
        <w:t>I</w:t>
      </w:r>
      <w:r w:rsidRPr="005A7B18">
        <w:rPr>
          <w:sz w:val="22"/>
          <w:szCs w:val="22"/>
        </w:rPr>
        <w:t xml:space="preserve">, </w:t>
      </w:r>
      <w:r w:rsidR="00814B3F" w:rsidRPr="005A7B18">
        <w:rPr>
          <w:sz w:val="22"/>
          <w:szCs w:val="22"/>
        </w:rPr>
        <w:t>JOHN GIBBS</w:t>
      </w:r>
      <w:r w:rsidR="00CF7E2C" w:rsidRPr="005A7B18">
        <w:rPr>
          <w:sz w:val="22"/>
          <w:szCs w:val="22"/>
        </w:rPr>
        <w:t>, A</w:t>
      </w:r>
      <w:r w:rsidR="00CF7E2C" w:rsidRPr="00A75E93">
        <w:rPr>
          <w:sz w:val="22"/>
          <w:szCs w:val="22"/>
        </w:rPr>
        <w:t>ssistant Secreta</w:t>
      </w:r>
      <w:r w:rsidR="00CF7E2C" w:rsidRPr="00FE3881">
        <w:rPr>
          <w:sz w:val="22"/>
          <w:szCs w:val="22"/>
        </w:rPr>
        <w:t xml:space="preserve">ry, </w:t>
      </w:r>
      <w:r w:rsidR="00FE3881" w:rsidRPr="00FE3881">
        <w:rPr>
          <w:sz w:val="22"/>
          <w:szCs w:val="22"/>
        </w:rPr>
        <w:t>Wildlife Trade</w:t>
      </w:r>
      <w:r w:rsidR="00CF7E2C" w:rsidRPr="00FE3881">
        <w:rPr>
          <w:sz w:val="22"/>
          <w:szCs w:val="22"/>
        </w:rPr>
        <w:t xml:space="preserve">, as Delegate of the Minister </w:t>
      </w:r>
      <w:r w:rsidRPr="00FE3881">
        <w:rPr>
          <w:sz w:val="22"/>
          <w:szCs w:val="22"/>
        </w:rPr>
        <w:t xml:space="preserve">for </w:t>
      </w:r>
      <w:r w:rsidR="00C73966" w:rsidRPr="00FE3881">
        <w:rPr>
          <w:sz w:val="22"/>
          <w:szCs w:val="22"/>
        </w:rPr>
        <w:t xml:space="preserve">the </w:t>
      </w:r>
      <w:r w:rsidRPr="00FE3881">
        <w:rPr>
          <w:sz w:val="22"/>
          <w:szCs w:val="22"/>
        </w:rPr>
        <w:t>Environment,</w:t>
      </w:r>
      <w:r w:rsidR="00C73966" w:rsidRPr="00FE3881">
        <w:rPr>
          <w:sz w:val="22"/>
          <w:szCs w:val="22"/>
        </w:rPr>
        <w:t xml:space="preserve"> </w:t>
      </w:r>
      <w:r w:rsidRPr="00FE3881">
        <w:rPr>
          <w:sz w:val="22"/>
          <w:szCs w:val="22"/>
        </w:rPr>
        <w:t>pursuant to subsection 303AA(5)</w:t>
      </w:r>
      <w:r w:rsidR="00036BCA" w:rsidRPr="00FE3881">
        <w:rPr>
          <w:sz w:val="22"/>
          <w:szCs w:val="22"/>
        </w:rPr>
        <w:t xml:space="preserve"> of the </w:t>
      </w:r>
      <w:r w:rsidR="00036BCA" w:rsidRPr="00FE3881">
        <w:rPr>
          <w:i/>
          <w:sz w:val="22"/>
          <w:szCs w:val="22"/>
        </w:rPr>
        <w:t>Env</w:t>
      </w:r>
      <w:r w:rsidR="00036BCA" w:rsidRPr="00A75E93">
        <w:rPr>
          <w:i/>
          <w:sz w:val="22"/>
          <w:szCs w:val="22"/>
        </w:rPr>
        <w:t>ironment Protection and Biodiversity Conservation Act 1999</w:t>
      </w:r>
      <w:r w:rsidRPr="00A75E93">
        <w:rPr>
          <w:sz w:val="22"/>
          <w:szCs w:val="22"/>
        </w:rPr>
        <w:t xml:space="preserve">, hereby </w:t>
      </w:r>
      <w:r w:rsidR="00036BCA" w:rsidRPr="00A75E93">
        <w:rPr>
          <w:sz w:val="22"/>
          <w:szCs w:val="22"/>
        </w:rPr>
        <w:t>vary</w:t>
      </w:r>
      <w:r w:rsidRPr="00A75E93">
        <w:rPr>
          <w:sz w:val="22"/>
          <w:szCs w:val="22"/>
        </w:rPr>
        <w:t xml:space="preserve"> the accreditation of the management regime for the </w:t>
      </w:r>
      <w:r w:rsidR="007F23A2" w:rsidRPr="00A75E93">
        <w:rPr>
          <w:sz w:val="22"/>
          <w:szCs w:val="22"/>
        </w:rPr>
        <w:t xml:space="preserve">South Australian Marine </w:t>
      </w:r>
      <w:proofErr w:type="spellStart"/>
      <w:r w:rsidR="007F23A2" w:rsidRPr="00A75E93">
        <w:rPr>
          <w:sz w:val="22"/>
          <w:szCs w:val="22"/>
        </w:rPr>
        <w:t>Scalefi</w:t>
      </w:r>
      <w:r w:rsidR="007F23A2" w:rsidRPr="00001565">
        <w:rPr>
          <w:sz w:val="22"/>
          <w:szCs w:val="22"/>
        </w:rPr>
        <w:t>sh</w:t>
      </w:r>
      <w:proofErr w:type="spellEnd"/>
      <w:r w:rsidR="007F23A2" w:rsidRPr="00001565">
        <w:rPr>
          <w:sz w:val="22"/>
          <w:szCs w:val="22"/>
        </w:rPr>
        <w:t xml:space="preserve"> </w:t>
      </w:r>
      <w:r w:rsidR="00FB3A9F" w:rsidRPr="00001565">
        <w:rPr>
          <w:sz w:val="22"/>
          <w:szCs w:val="22"/>
        </w:rPr>
        <w:t>Fis</w:t>
      </w:r>
      <w:r w:rsidR="00FB3A9F">
        <w:rPr>
          <w:sz w:val="22"/>
          <w:szCs w:val="22"/>
        </w:rPr>
        <w:t>hery</w:t>
      </w:r>
      <w:r w:rsidR="00FB3A9F" w:rsidRPr="009758E1">
        <w:rPr>
          <w:color w:val="FF0000"/>
          <w:sz w:val="22"/>
          <w:szCs w:val="22"/>
        </w:rPr>
        <w:t xml:space="preserve"> </w:t>
      </w:r>
      <w:r w:rsidRPr="009758E1">
        <w:rPr>
          <w:sz w:val="22"/>
          <w:szCs w:val="22"/>
        </w:rPr>
        <w:t>(accredited p</w:t>
      </w:r>
      <w:r w:rsidR="00C73966" w:rsidRPr="009758E1">
        <w:rPr>
          <w:sz w:val="22"/>
          <w:szCs w:val="22"/>
        </w:rPr>
        <w:t>ursuant to an instrument dat</w:t>
      </w:r>
      <w:r w:rsidR="00C73966" w:rsidRPr="00BA67DA">
        <w:rPr>
          <w:sz w:val="22"/>
          <w:szCs w:val="22"/>
        </w:rPr>
        <w:t xml:space="preserve">ed </w:t>
      </w:r>
      <w:r w:rsidR="00001565" w:rsidRPr="00BA67DA">
        <w:rPr>
          <w:sz w:val="22"/>
          <w:szCs w:val="22"/>
          <w:lang w:val="en-AU"/>
        </w:rPr>
        <w:t>18</w:t>
      </w:r>
      <w:r w:rsidR="00F04595" w:rsidRPr="00BA67DA">
        <w:rPr>
          <w:sz w:val="22"/>
          <w:szCs w:val="22"/>
          <w:lang w:val="en-AU"/>
        </w:rPr>
        <w:t>/</w:t>
      </w:r>
      <w:r w:rsidR="00001565" w:rsidRPr="00BA67DA">
        <w:rPr>
          <w:sz w:val="22"/>
          <w:szCs w:val="22"/>
          <w:lang w:val="en-AU"/>
        </w:rPr>
        <w:t>12</w:t>
      </w:r>
      <w:r w:rsidR="00F04595" w:rsidRPr="00BA67DA">
        <w:rPr>
          <w:sz w:val="22"/>
          <w:szCs w:val="22"/>
          <w:lang w:val="en-AU"/>
        </w:rPr>
        <w:t>/</w:t>
      </w:r>
      <w:r w:rsidR="00001565" w:rsidRPr="00BA67DA">
        <w:rPr>
          <w:sz w:val="22"/>
          <w:szCs w:val="22"/>
          <w:lang w:val="en-AU"/>
        </w:rPr>
        <w:t>20</w:t>
      </w:r>
      <w:r w:rsidR="00001565">
        <w:rPr>
          <w:sz w:val="22"/>
          <w:szCs w:val="22"/>
          <w:lang w:val="en-AU"/>
        </w:rPr>
        <w:t>18</w:t>
      </w:r>
      <w:r w:rsidR="00583529">
        <w:rPr>
          <w:sz w:val="22"/>
          <w:szCs w:val="22"/>
          <w:lang w:val="en-AU"/>
        </w:rPr>
        <w:t>)</w:t>
      </w:r>
      <w:r w:rsidRPr="009758E1">
        <w:rPr>
          <w:sz w:val="22"/>
          <w:szCs w:val="22"/>
        </w:rPr>
        <w:t xml:space="preserve"> b</w:t>
      </w:r>
      <w:r w:rsidRPr="00BA67DA">
        <w:rPr>
          <w:sz w:val="22"/>
          <w:szCs w:val="22"/>
        </w:rPr>
        <w:t xml:space="preserve">y </w:t>
      </w:r>
      <w:r w:rsidR="00036BCA" w:rsidRPr="00BA67DA">
        <w:rPr>
          <w:sz w:val="22"/>
          <w:szCs w:val="22"/>
        </w:rPr>
        <w:t>varying t</w:t>
      </w:r>
      <w:r w:rsidR="00036BCA" w:rsidRPr="009758E1">
        <w:rPr>
          <w:sz w:val="22"/>
          <w:szCs w:val="22"/>
        </w:rPr>
        <w:t>he condition</w:t>
      </w:r>
      <w:r w:rsidR="0006318A" w:rsidRPr="009758E1">
        <w:rPr>
          <w:sz w:val="22"/>
          <w:szCs w:val="22"/>
        </w:rPr>
        <w:t>s</w:t>
      </w:r>
      <w:r w:rsidR="00036BCA" w:rsidRPr="009758E1">
        <w:rPr>
          <w:sz w:val="22"/>
          <w:szCs w:val="22"/>
        </w:rPr>
        <w:t xml:space="preserve"> to</w:t>
      </w:r>
      <w:r w:rsidRPr="009758E1">
        <w:rPr>
          <w:sz w:val="22"/>
          <w:szCs w:val="22"/>
        </w:rPr>
        <w:t xml:space="preserve"> which the accreditation of the management regime for the</w:t>
      </w:r>
      <w:r w:rsidRPr="00621C94">
        <w:rPr>
          <w:sz w:val="22"/>
          <w:szCs w:val="22"/>
        </w:rPr>
        <w:t xml:space="preserve"> </w:t>
      </w:r>
      <w:r w:rsidR="00621C94" w:rsidRPr="00621C94">
        <w:rPr>
          <w:sz w:val="22"/>
          <w:szCs w:val="22"/>
        </w:rPr>
        <w:t xml:space="preserve">South Australian Marine </w:t>
      </w:r>
      <w:proofErr w:type="spellStart"/>
      <w:r w:rsidR="00621C94" w:rsidRPr="00621C94">
        <w:rPr>
          <w:sz w:val="22"/>
          <w:szCs w:val="22"/>
        </w:rPr>
        <w:t>Scalefish</w:t>
      </w:r>
      <w:proofErr w:type="spellEnd"/>
      <w:r w:rsidR="00621C94" w:rsidRPr="00621C94">
        <w:rPr>
          <w:sz w:val="22"/>
          <w:szCs w:val="22"/>
        </w:rPr>
        <w:t xml:space="preserve"> Fishery</w:t>
      </w:r>
      <w:r w:rsidR="009758E1" w:rsidRPr="00621C94">
        <w:rPr>
          <w:sz w:val="22"/>
          <w:szCs w:val="22"/>
        </w:rPr>
        <w:t xml:space="preserve"> </w:t>
      </w:r>
      <w:r w:rsidR="00036BCA" w:rsidRPr="00621C94">
        <w:rPr>
          <w:sz w:val="22"/>
          <w:szCs w:val="22"/>
        </w:rPr>
        <w:t xml:space="preserve">is </w:t>
      </w:r>
      <w:r w:rsidRPr="00621C94">
        <w:rPr>
          <w:sz w:val="22"/>
          <w:szCs w:val="22"/>
        </w:rPr>
        <w:t>s</w:t>
      </w:r>
      <w:r w:rsidRPr="009758E1">
        <w:rPr>
          <w:sz w:val="22"/>
          <w:szCs w:val="22"/>
        </w:rPr>
        <w:t>ubject</w:t>
      </w:r>
      <w:r w:rsidR="00583529">
        <w:rPr>
          <w:sz w:val="22"/>
          <w:szCs w:val="22"/>
        </w:rPr>
        <w:t>,</w:t>
      </w:r>
      <w:r w:rsidR="00036BCA" w:rsidRPr="009758E1">
        <w:rPr>
          <w:sz w:val="22"/>
          <w:szCs w:val="22"/>
        </w:rPr>
        <w:t xml:space="preserve"> by replacing the condition</w:t>
      </w:r>
      <w:r w:rsidR="0006318A" w:rsidRPr="009758E1">
        <w:rPr>
          <w:sz w:val="22"/>
          <w:szCs w:val="22"/>
        </w:rPr>
        <w:t>s</w:t>
      </w:r>
      <w:r w:rsidR="00036BCA" w:rsidRPr="009758E1">
        <w:rPr>
          <w:sz w:val="22"/>
          <w:szCs w:val="22"/>
        </w:rPr>
        <w:t xml:space="preserve"> with the following condition</w:t>
      </w:r>
      <w:r w:rsidRPr="009758E1">
        <w:rPr>
          <w:sz w:val="22"/>
          <w:szCs w:val="22"/>
        </w:rPr>
        <w:t>:</w:t>
      </w:r>
    </w:p>
    <w:p w14:paraId="1D2E57E4" w14:textId="77777777" w:rsidR="00C4703C" w:rsidRPr="009758E1" w:rsidRDefault="00C4703C">
      <w:pPr>
        <w:ind w:right="26"/>
        <w:rPr>
          <w:sz w:val="22"/>
          <w:szCs w:val="22"/>
        </w:rPr>
      </w:pPr>
    </w:p>
    <w:p w14:paraId="2AE7E14E" w14:textId="77777777" w:rsidR="00054F1F" w:rsidRPr="00001565" w:rsidRDefault="00054F1F" w:rsidP="00054F1F">
      <w:pPr>
        <w:tabs>
          <w:tab w:val="left" w:pos="360"/>
        </w:tabs>
        <w:spacing w:before="60" w:after="60" w:line="276" w:lineRule="auto"/>
        <w:rPr>
          <w:sz w:val="22"/>
          <w:szCs w:val="22"/>
          <w:lang w:val="en-AU" w:eastAsia="en-AU"/>
        </w:rPr>
      </w:pPr>
      <w:r w:rsidRPr="00001565">
        <w:rPr>
          <w:sz w:val="22"/>
          <w:szCs w:val="22"/>
        </w:rPr>
        <w:t>PIRSA to continue:</w:t>
      </w:r>
    </w:p>
    <w:p w14:paraId="5716ACFC" w14:textId="56589B14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a)  maintaining management measures, directed toward reducing and managing the </w:t>
      </w:r>
    </w:p>
    <w:p w14:paraId="75D89B98" w14:textId="00A6BAC9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     impact of fishing activity on Australian Sea Lions</w:t>
      </w:r>
    </w:p>
    <w:p w14:paraId="17585B22" w14:textId="77777777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</w:p>
    <w:p w14:paraId="21366775" w14:textId="77777777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b)  monitoring and reviewing, the adequacy of its Australian Sea Lion interaction  </w:t>
      </w:r>
    </w:p>
    <w:p w14:paraId="5CC63F2F" w14:textId="5E2C9971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     mitigation management measures, in consultation with relevant stakeholders</w:t>
      </w:r>
    </w:p>
    <w:p w14:paraId="70076814" w14:textId="77777777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</w:p>
    <w:p w14:paraId="1C2692F9" w14:textId="77777777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c)  to include effort reports within the annual reports, outlining effort using large </w:t>
      </w:r>
    </w:p>
    <w:p w14:paraId="108E7C58" w14:textId="77777777" w:rsidR="00054F1F" w:rsidRPr="00001565" w:rsidRDefault="00054F1F" w:rsidP="00054F1F">
      <w:pPr>
        <w:tabs>
          <w:tab w:val="left" w:pos="360"/>
        </w:tabs>
        <w:spacing w:line="276" w:lineRule="auto"/>
        <w:ind w:left="57"/>
        <w:rPr>
          <w:sz w:val="22"/>
          <w:szCs w:val="22"/>
        </w:rPr>
      </w:pPr>
      <w:r w:rsidRPr="00001565">
        <w:rPr>
          <w:sz w:val="22"/>
          <w:szCs w:val="22"/>
        </w:rPr>
        <w:t xml:space="preserve">    mesh nets, particularly in ‘high risk blocks’ of the fishery, where those records are </w:t>
      </w:r>
    </w:p>
    <w:p w14:paraId="7B459942" w14:textId="7DA8FC67" w:rsidR="00765DB7" w:rsidRPr="007F23A2" w:rsidRDefault="00054F1F" w:rsidP="00054F1F">
      <w:pPr>
        <w:tabs>
          <w:tab w:val="left" w:pos="360"/>
        </w:tabs>
        <w:spacing w:line="276" w:lineRule="auto"/>
        <w:ind w:left="57"/>
      </w:pPr>
      <w:r w:rsidRPr="00001565">
        <w:rPr>
          <w:sz w:val="22"/>
          <w:szCs w:val="22"/>
        </w:rPr>
        <w:t xml:space="preserve">    not confidential under the</w:t>
      </w:r>
      <w:r w:rsidRPr="00001565">
        <w:rPr>
          <w:i/>
          <w:sz w:val="22"/>
          <w:szCs w:val="22"/>
        </w:rPr>
        <w:t xml:space="preserve"> Fisheries Management Act 2007.</w:t>
      </w:r>
      <w:r w:rsidRPr="00054F1F">
        <w:rPr>
          <w:highlight w:val="yellow"/>
        </w:rPr>
        <w:t xml:space="preserve"> </w:t>
      </w:r>
    </w:p>
    <w:p w14:paraId="381583F8" w14:textId="77777777" w:rsidR="00C4703C" w:rsidRPr="009758E1" w:rsidRDefault="00C4703C">
      <w:pPr>
        <w:ind w:left="360" w:right="-334"/>
        <w:rPr>
          <w:snapToGrid w:val="0"/>
          <w:sz w:val="22"/>
          <w:szCs w:val="22"/>
        </w:rPr>
      </w:pPr>
    </w:p>
    <w:p w14:paraId="2C7498D6" w14:textId="77777777" w:rsidR="00036BCA" w:rsidRPr="009758E1" w:rsidRDefault="00036BCA">
      <w:pPr>
        <w:ind w:left="360" w:right="-334"/>
        <w:rPr>
          <w:snapToGrid w:val="0"/>
          <w:sz w:val="22"/>
          <w:szCs w:val="22"/>
        </w:rPr>
      </w:pPr>
    </w:p>
    <w:p w14:paraId="1018181F" w14:textId="77777777" w:rsidR="00036BCA" w:rsidRPr="009758E1" w:rsidRDefault="00036BCA">
      <w:pPr>
        <w:ind w:left="360" w:right="-334"/>
        <w:rPr>
          <w:snapToGrid w:val="0"/>
          <w:sz w:val="22"/>
          <w:szCs w:val="22"/>
        </w:rPr>
      </w:pPr>
    </w:p>
    <w:p w14:paraId="07621097" w14:textId="77777777" w:rsidR="00036BCA" w:rsidRPr="009758E1" w:rsidRDefault="00036BCA">
      <w:pPr>
        <w:ind w:left="360" w:right="-334"/>
        <w:rPr>
          <w:snapToGrid w:val="0"/>
          <w:sz w:val="22"/>
          <w:szCs w:val="22"/>
        </w:rPr>
      </w:pPr>
    </w:p>
    <w:p w14:paraId="58233497" w14:textId="77777777" w:rsidR="00C4703C" w:rsidRPr="009758E1" w:rsidRDefault="00C4703C">
      <w:pPr>
        <w:ind w:left="-360" w:right="-334" w:hanging="360"/>
        <w:rPr>
          <w:sz w:val="22"/>
          <w:szCs w:val="22"/>
        </w:rPr>
      </w:pPr>
    </w:p>
    <w:p w14:paraId="59A5667C" w14:textId="592F6A6B" w:rsidR="00AF01AD" w:rsidRPr="009758E1" w:rsidRDefault="00C73966" w:rsidP="00AF01AD">
      <w:pPr>
        <w:pStyle w:val="Heading1"/>
        <w:ind w:left="360" w:right="675"/>
        <w:jc w:val="center"/>
        <w:rPr>
          <w:sz w:val="22"/>
          <w:szCs w:val="22"/>
        </w:rPr>
      </w:pPr>
      <w:r w:rsidRPr="009758E1">
        <w:rPr>
          <w:iCs/>
          <w:sz w:val="22"/>
          <w:szCs w:val="22"/>
        </w:rPr>
        <w:t>Dated this</w:t>
      </w:r>
      <w:r w:rsidR="008A1E60" w:rsidRPr="009758E1">
        <w:rPr>
          <w:iCs/>
          <w:sz w:val="22"/>
          <w:szCs w:val="22"/>
        </w:rPr>
        <w:t xml:space="preserve"> </w:t>
      </w:r>
      <w:r w:rsidR="00251EF5">
        <w:rPr>
          <w:iCs/>
          <w:sz w:val="22"/>
          <w:szCs w:val="22"/>
        </w:rPr>
        <w:t>10</w:t>
      </w:r>
      <w:r w:rsidR="00251EF5" w:rsidRPr="00251EF5">
        <w:rPr>
          <w:iCs/>
          <w:sz w:val="22"/>
          <w:szCs w:val="22"/>
          <w:vertAlign w:val="superscript"/>
        </w:rPr>
        <w:t>th</w:t>
      </w:r>
      <w:r w:rsidR="00251EF5">
        <w:rPr>
          <w:iCs/>
          <w:sz w:val="22"/>
          <w:szCs w:val="22"/>
        </w:rPr>
        <w:t xml:space="preserve"> </w:t>
      </w:r>
      <w:r w:rsidR="005C1C8E" w:rsidRPr="009758E1">
        <w:rPr>
          <w:iCs/>
          <w:sz w:val="22"/>
          <w:szCs w:val="22"/>
        </w:rPr>
        <w:t xml:space="preserve">day of </w:t>
      </w:r>
      <w:r w:rsidR="00251EF5">
        <w:rPr>
          <w:iCs/>
          <w:sz w:val="22"/>
          <w:szCs w:val="22"/>
        </w:rPr>
        <w:t xml:space="preserve">September </w:t>
      </w:r>
      <w:r w:rsidR="00AC6866">
        <w:rPr>
          <w:iCs/>
          <w:sz w:val="22"/>
          <w:szCs w:val="22"/>
        </w:rPr>
        <w:t>2019</w:t>
      </w:r>
    </w:p>
    <w:p w14:paraId="395996E3" w14:textId="77777777" w:rsidR="00C73966" w:rsidRPr="009758E1" w:rsidRDefault="00C73966" w:rsidP="00C73966">
      <w:pPr>
        <w:ind w:left="360" w:right="675"/>
        <w:rPr>
          <w:sz w:val="22"/>
          <w:szCs w:val="22"/>
        </w:rPr>
      </w:pPr>
    </w:p>
    <w:p w14:paraId="3CFE5543" w14:textId="77777777" w:rsidR="00C73966" w:rsidRPr="009758E1" w:rsidRDefault="00C73966" w:rsidP="00C73966">
      <w:pPr>
        <w:ind w:left="360" w:right="675"/>
        <w:rPr>
          <w:sz w:val="22"/>
          <w:szCs w:val="22"/>
        </w:rPr>
      </w:pPr>
    </w:p>
    <w:p w14:paraId="0419BA2B" w14:textId="77777777" w:rsidR="00C73966" w:rsidRPr="009758E1" w:rsidRDefault="00C73966" w:rsidP="00C73966">
      <w:pPr>
        <w:ind w:left="360" w:right="675"/>
        <w:rPr>
          <w:sz w:val="22"/>
          <w:szCs w:val="22"/>
        </w:rPr>
      </w:pPr>
    </w:p>
    <w:p w14:paraId="6A07BA64" w14:textId="77777777" w:rsidR="00C73966" w:rsidRPr="009758E1" w:rsidRDefault="00C73966" w:rsidP="00C73966">
      <w:pPr>
        <w:ind w:left="360" w:right="675"/>
        <w:rPr>
          <w:sz w:val="22"/>
          <w:szCs w:val="22"/>
        </w:rPr>
      </w:pPr>
    </w:p>
    <w:p w14:paraId="54D1F7B1" w14:textId="3E077860" w:rsidR="00C73966" w:rsidRPr="009758E1" w:rsidRDefault="00915FF7" w:rsidP="00915FF7">
      <w:pPr>
        <w:ind w:left="360" w:right="675"/>
        <w:jc w:val="center"/>
        <w:rPr>
          <w:sz w:val="22"/>
          <w:szCs w:val="22"/>
        </w:rPr>
      </w:pPr>
      <w:r>
        <w:rPr>
          <w:sz w:val="22"/>
          <w:szCs w:val="22"/>
        </w:rPr>
        <w:t>John Gibbs</w:t>
      </w:r>
    </w:p>
    <w:p w14:paraId="16182003" w14:textId="4ED3C299" w:rsidR="00C73966" w:rsidRPr="009758E1" w:rsidRDefault="00071E78" w:rsidP="00C73966">
      <w:pPr>
        <w:ind w:left="360" w:right="67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….</w:t>
      </w:r>
      <w:r w:rsidR="00C73966" w:rsidRPr="009758E1">
        <w:rPr>
          <w:sz w:val="22"/>
          <w:szCs w:val="22"/>
        </w:rPr>
        <w:t>.</w:t>
      </w:r>
      <w:r w:rsidR="00AF01AD" w:rsidRPr="009758E1">
        <w:rPr>
          <w:sz w:val="22"/>
          <w:szCs w:val="22"/>
        </w:rPr>
        <w:t>....................................</w:t>
      </w:r>
      <w:r w:rsidR="005C1C8E" w:rsidRPr="009758E1">
        <w:rPr>
          <w:sz w:val="22"/>
          <w:szCs w:val="22"/>
        </w:rPr>
        <w:t>….</w:t>
      </w:r>
      <w:r w:rsidR="00C73966" w:rsidRPr="009758E1">
        <w:rPr>
          <w:sz w:val="22"/>
          <w:szCs w:val="22"/>
        </w:rPr>
        <w:t>..…</w:t>
      </w:r>
      <w:r>
        <w:rPr>
          <w:sz w:val="22"/>
          <w:szCs w:val="22"/>
        </w:rPr>
        <w:t>……………..</w:t>
      </w:r>
    </w:p>
    <w:p w14:paraId="3690DD58" w14:textId="77777777" w:rsidR="00C73966" w:rsidRPr="00AC6866" w:rsidRDefault="00AF01AD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  <w:r w:rsidRPr="00AC6866">
        <w:rPr>
          <w:rFonts w:ascii="Times New Roman" w:hAnsi="Times New Roman" w:cs="Times New Roman"/>
          <w:sz w:val="22"/>
          <w:szCs w:val="22"/>
        </w:rPr>
        <w:t>Delegate of the</w:t>
      </w:r>
      <w:r w:rsidR="00BA458F" w:rsidRPr="00AC6866">
        <w:rPr>
          <w:rFonts w:ascii="Times New Roman" w:hAnsi="Times New Roman" w:cs="Times New Roman"/>
          <w:sz w:val="22"/>
          <w:szCs w:val="22"/>
        </w:rPr>
        <w:t xml:space="preserve"> </w:t>
      </w:r>
      <w:r w:rsidR="00C73966" w:rsidRPr="00AC6866">
        <w:rPr>
          <w:rFonts w:ascii="Times New Roman" w:hAnsi="Times New Roman" w:cs="Times New Roman"/>
          <w:sz w:val="22"/>
          <w:szCs w:val="22"/>
        </w:rPr>
        <w:t>Minister for the Environment</w:t>
      </w:r>
      <w:r w:rsidR="0006318A" w:rsidRPr="00AC686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E885308" w14:textId="77777777" w:rsidR="00C4703C" w:rsidRPr="009758E1" w:rsidRDefault="00C4703C" w:rsidP="00C73966">
      <w:pPr>
        <w:pStyle w:val="Heading1"/>
        <w:ind w:left="360" w:right="675"/>
        <w:jc w:val="center"/>
        <w:rPr>
          <w:snapToGrid w:val="0"/>
          <w:sz w:val="22"/>
          <w:szCs w:val="22"/>
        </w:rPr>
      </w:pPr>
    </w:p>
    <w:sectPr w:rsidR="00C4703C" w:rsidRPr="009758E1" w:rsidSect="00937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51C89" w14:textId="77777777" w:rsidR="00817597" w:rsidRDefault="00817597">
      <w:r>
        <w:separator/>
      </w:r>
    </w:p>
  </w:endnote>
  <w:endnote w:type="continuationSeparator" w:id="0">
    <w:p w14:paraId="3B39F661" w14:textId="77777777" w:rsidR="00817597" w:rsidRDefault="0081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2F3C4" w14:textId="77777777" w:rsidR="00552533" w:rsidRDefault="005525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4054F" w14:textId="77777777" w:rsidR="00552533" w:rsidRDefault="005525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7ECCA" w14:textId="77777777" w:rsidR="00552533" w:rsidRDefault="005525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35208" w14:textId="77777777" w:rsidR="00817597" w:rsidRDefault="00817597">
      <w:r>
        <w:separator/>
      </w:r>
    </w:p>
  </w:footnote>
  <w:footnote w:type="continuationSeparator" w:id="0">
    <w:p w14:paraId="00284D3C" w14:textId="77777777" w:rsidR="00817597" w:rsidRDefault="00817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F9064" w14:textId="77777777" w:rsidR="00552533" w:rsidRDefault="005525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37C15" w14:textId="77777777" w:rsidR="00552533" w:rsidRDefault="005525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3B4DD" w14:textId="77777777" w:rsidR="0006318A" w:rsidRDefault="0006318A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2FEE687D" w14:textId="77777777" w:rsidR="0006318A" w:rsidRDefault="0006318A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5EF2DF0"/>
    <w:multiLevelType w:val="hybridMultilevel"/>
    <w:tmpl w:val="6BE487FA"/>
    <w:lvl w:ilvl="0" w:tplc="0C090017">
      <w:start w:val="1"/>
      <w:numFmt w:val="lowerLetter"/>
      <w:lvlText w:val="%1)"/>
      <w:lvlJc w:val="left"/>
      <w:pPr>
        <w:ind w:left="76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FC6A73"/>
    <w:multiLevelType w:val="hybridMultilevel"/>
    <w:tmpl w:val="2BB6402A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97"/>
    <w:rsid w:val="00001565"/>
    <w:rsid w:val="00036BCA"/>
    <w:rsid w:val="00054F1F"/>
    <w:rsid w:val="0006318A"/>
    <w:rsid w:val="00071E78"/>
    <w:rsid w:val="000C234B"/>
    <w:rsid w:val="00142556"/>
    <w:rsid w:val="001B033E"/>
    <w:rsid w:val="001E396F"/>
    <w:rsid w:val="00251EF5"/>
    <w:rsid w:val="00267309"/>
    <w:rsid w:val="002E0392"/>
    <w:rsid w:val="00320F39"/>
    <w:rsid w:val="003356E3"/>
    <w:rsid w:val="00445BFE"/>
    <w:rsid w:val="00552533"/>
    <w:rsid w:val="00583529"/>
    <w:rsid w:val="005A7B18"/>
    <w:rsid w:val="005C1C8E"/>
    <w:rsid w:val="005E1C1A"/>
    <w:rsid w:val="005E2A63"/>
    <w:rsid w:val="00621C94"/>
    <w:rsid w:val="006C2588"/>
    <w:rsid w:val="006F4DA9"/>
    <w:rsid w:val="0074048A"/>
    <w:rsid w:val="00765DB7"/>
    <w:rsid w:val="007755D3"/>
    <w:rsid w:val="007A68A8"/>
    <w:rsid w:val="007D578C"/>
    <w:rsid w:val="007F23A2"/>
    <w:rsid w:val="00814B3F"/>
    <w:rsid w:val="00817597"/>
    <w:rsid w:val="00834C2F"/>
    <w:rsid w:val="008A1E60"/>
    <w:rsid w:val="008E663C"/>
    <w:rsid w:val="00915FF7"/>
    <w:rsid w:val="00937A6D"/>
    <w:rsid w:val="009758E1"/>
    <w:rsid w:val="00A75E93"/>
    <w:rsid w:val="00AC6866"/>
    <w:rsid w:val="00AD2DFD"/>
    <w:rsid w:val="00AF01AD"/>
    <w:rsid w:val="00AF6A9F"/>
    <w:rsid w:val="00BA458F"/>
    <w:rsid w:val="00BA67DA"/>
    <w:rsid w:val="00BB3155"/>
    <w:rsid w:val="00BC020E"/>
    <w:rsid w:val="00C4703C"/>
    <w:rsid w:val="00C536AF"/>
    <w:rsid w:val="00C65A2F"/>
    <w:rsid w:val="00C73966"/>
    <w:rsid w:val="00CA7456"/>
    <w:rsid w:val="00CF7E2C"/>
    <w:rsid w:val="00D26A42"/>
    <w:rsid w:val="00D42457"/>
    <w:rsid w:val="00D55832"/>
    <w:rsid w:val="00D903AF"/>
    <w:rsid w:val="00E14039"/>
    <w:rsid w:val="00F04595"/>
    <w:rsid w:val="00F05B35"/>
    <w:rsid w:val="00FB3A9F"/>
    <w:rsid w:val="00FE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02A934B6"/>
  <w15:docId w15:val="{5EE7702B-F3D1-4A8B-B90A-70D08974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6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7A6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7A6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37A6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7A6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7A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7A6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7A6D"/>
    <w:rPr>
      <w:i/>
      <w:iCs/>
    </w:rPr>
  </w:style>
  <w:style w:type="paragraph" w:styleId="BalloonText">
    <w:name w:val="Balloon Text"/>
    <w:basedOn w:val="Normal"/>
    <w:semiHidden/>
    <w:rsid w:val="00937A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7A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7A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7A6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65DB7"/>
    <w:pPr>
      <w:numPr>
        <w:numId w:val="10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CF7E2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4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F6FD7F34.dotm</Template>
  <TotalTime>0</TotalTime>
  <Pages>1</Pages>
  <Words>199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Instrument imposing conditions on accreditation of plans, regimes and policies – South Australian Marine Scalefish Fishery, September 2019</vt:lpstr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 imposing conditions on accreditation of plans, regimes and policies – South Australian Marine Scalefish Fishery, September 2019</dc:title>
  <dc:creator>Commonwealth of Australia</dc:creator>
  <cp:lastModifiedBy>Nguyen, Lien</cp:lastModifiedBy>
  <cp:revision>2</cp:revision>
  <dcterms:created xsi:type="dcterms:W3CDTF">2019-09-11T04:35:00Z</dcterms:created>
  <dcterms:modified xsi:type="dcterms:W3CDTF">2019-09-11T04:36:00Z</dcterms:modified>
</cp:coreProperties>
</file>