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332A" w14:textId="4BD2202F" w:rsidR="00B6012C" w:rsidRPr="00FD022E" w:rsidRDefault="00B6012C" w:rsidP="007F171B">
      <w:pPr>
        <w:widowControl w:val="0"/>
        <w:tabs>
          <w:tab w:val="left" w:pos="6700"/>
        </w:tabs>
        <w:spacing w:line="276" w:lineRule="auto"/>
        <w:rPr>
          <w:rFonts w:cs="Arial"/>
          <w:sz w:val="48"/>
        </w:rPr>
      </w:pPr>
    </w:p>
    <w:p w14:paraId="33C7C20A" w14:textId="77777777" w:rsidR="00B6012C" w:rsidRPr="00FD022E" w:rsidRDefault="00B6012C" w:rsidP="007F171B">
      <w:pPr>
        <w:widowControl w:val="0"/>
        <w:tabs>
          <w:tab w:val="left" w:pos="6700"/>
        </w:tabs>
        <w:spacing w:line="276" w:lineRule="auto"/>
        <w:jc w:val="center"/>
        <w:rPr>
          <w:rFonts w:cs="Arial"/>
          <w:sz w:val="40"/>
          <w:szCs w:val="40"/>
        </w:rPr>
      </w:pPr>
    </w:p>
    <w:p w14:paraId="116BB68D" w14:textId="77777777" w:rsidR="00B6012C" w:rsidRPr="003C3DE3" w:rsidRDefault="00B6012C" w:rsidP="0048397D">
      <w:pPr>
        <w:widowControl w:val="0"/>
        <w:tabs>
          <w:tab w:val="left" w:pos="6700"/>
        </w:tabs>
        <w:spacing w:line="276" w:lineRule="auto"/>
        <w:jc w:val="center"/>
        <w:rPr>
          <w:rFonts w:cs="Arial"/>
          <w:b/>
          <w:color w:val="17365D" w:themeColor="text2" w:themeShade="BF"/>
          <w:sz w:val="40"/>
          <w:szCs w:val="40"/>
        </w:rPr>
      </w:pPr>
    </w:p>
    <w:p w14:paraId="7CB94214" w14:textId="6B16EE31" w:rsidR="00B6012C" w:rsidRPr="003C3DE3" w:rsidRDefault="00B6012C" w:rsidP="0048397D">
      <w:pPr>
        <w:pStyle w:val="Heading4"/>
        <w:spacing w:before="0" w:after="200" w:line="276" w:lineRule="auto"/>
        <w:jc w:val="center"/>
        <w:rPr>
          <w:b/>
          <w:i w:val="0"/>
          <w:color w:val="17365D" w:themeColor="text2" w:themeShade="BF"/>
          <w:sz w:val="44"/>
          <w:szCs w:val="44"/>
        </w:rPr>
      </w:pPr>
      <w:r w:rsidRPr="003C3DE3">
        <w:rPr>
          <w:b/>
          <w:i w:val="0"/>
          <w:color w:val="17365D" w:themeColor="text2" w:themeShade="BF"/>
          <w:sz w:val="44"/>
          <w:szCs w:val="44"/>
        </w:rPr>
        <w:t>Assessment of the</w:t>
      </w:r>
      <w:r w:rsidR="003C3DE3" w:rsidRPr="003C3DE3">
        <w:rPr>
          <w:b/>
          <w:i w:val="0"/>
          <w:color w:val="17365D" w:themeColor="text2" w:themeShade="BF"/>
          <w:sz w:val="44"/>
          <w:szCs w:val="44"/>
        </w:rPr>
        <w:t xml:space="preserve"> </w:t>
      </w:r>
      <w:r w:rsidR="00D232A5" w:rsidRPr="003C3DE3">
        <w:rPr>
          <w:b/>
          <w:i w:val="0"/>
          <w:color w:val="17365D" w:themeColor="text2" w:themeShade="BF"/>
          <w:sz w:val="44"/>
          <w:szCs w:val="44"/>
        </w:rPr>
        <w:t>Queensland Commercial Trawl (Fin Fish) Fishery</w:t>
      </w:r>
    </w:p>
    <w:p w14:paraId="2C4ACA4A" w14:textId="2A40683C" w:rsidR="00D232A5" w:rsidRPr="003C3DE3" w:rsidRDefault="00D232A5" w:rsidP="0048397D">
      <w:pPr>
        <w:pStyle w:val="Heading4"/>
        <w:spacing w:before="0" w:after="200" w:line="276" w:lineRule="auto"/>
        <w:jc w:val="center"/>
        <w:rPr>
          <w:sz w:val="28"/>
          <w:szCs w:val="28"/>
        </w:rPr>
      </w:pPr>
      <w:r w:rsidRPr="003C3DE3">
        <w:rPr>
          <w:sz w:val="28"/>
          <w:szCs w:val="28"/>
        </w:rPr>
        <w:t>(formerly Queensland Fin Fish (Stout Whiting) Trawl Fishery)</w:t>
      </w:r>
    </w:p>
    <w:p w14:paraId="535E58FC" w14:textId="77777777" w:rsidR="00381C3D" w:rsidRPr="00FD022E" w:rsidRDefault="00381C3D" w:rsidP="0048397D">
      <w:pPr>
        <w:tabs>
          <w:tab w:val="left" w:pos="6700"/>
        </w:tabs>
        <w:spacing w:line="276" w:lineRule="auto"/>
        <w:jc w:val="center"/>
        <w:outlineLvl w:val="5"/>
        <w:rPr>
          <w:rFonts w:cs="Arial"/>
          <w:b/>
        </w:rPr>
      </w:pPr>
    </w:p>
    <w:p w14:paraId="1497D3BD" w14:textId="2AE536CE" w:rsidR="00B6012C" w:rsidRPr="003C3DE3" w:rsidRDefault="00A127EE" w:rsidP="0048397D">
      <w:pPr>
        <w:pStyle w:val="Heading7"/>
        <w:keepNext w:val="0"/>
        <w:autoSpaceDE/>
        <w:autoSpaceDN/>
        <w:spacing w:after="120" w:line="276" w:lineRule="auto"/>
        <w:rPr>
          <w:rFonts w:ascii="Arial" w:hAnsi="Arial" w:cs="Arial"/>
          <w:sz w:val="28"/>
          <w:szCs w:val="36"/>
          <w:lang w:val="en-AU"/>
        </w:rPr>
      </w:pPr>
      <w:r>
        <w:rPr>
          <w:rFonts w:ascii="Arial" w:hAnsi="Arial" w:cs="Arial"/>
          <w:sz w:val="28"/>
          <w:szCs w:val="36"/>
          <w:lang w:val="en-AU"/>
        </w:rPr>
        <w:t>August</w:t>
      </w:r>
      <w:r w:rsidR="00E04D5B" w:rsidRPr="003C3DE3">
        <w:rPr>
          <w:rFonts w:ascii="Arial" w:hAnsi="Arial" w:cs="Arial"/>
          <w:sz w:val="28"/>
          <w:szCs w:val="36"/>
          <w:lang w:val="en-AU"/>
        </w:rPr>
        <w:t xml:space="preserve"> </w:t>
      </w:r>
      <w:r w:rsidR="00D232A5" w:rsidRPr="003C3DE3">
        <w:rPr>
          <w:rFonts w:ascii="Arial" w:hAnsi="Arial" w:cs="Arial"/>
          <w:sz w:val="28"/>
          <w:szCs w:val="36"/>
          <w:lang w:val="en-AU"/>
        </w:rPr>
        <w:t>2020</w:t>
      </w:r>
    </w:p>
    <w:p w14:paraId="2040416A" w14:textId="77777777" w:rsidR="00B6012C" w:rsidRPr="00FD022E" w:rsidRDefault="00B6012C" w:rsidP="007F171B">
      <w:pPr>
        <w:spacing w:line="276" w:lineRule="auto"/>
        <w:rPr>
          <w:rFonts w:cs="Arial"/>
        </w:rPr>
      </w:pPr>
    </w:p>
    <w:p w14:paraId="54B4FEE2" w14:textId="77777777" w:rsidR="00574DD7" w:rsidRPr="00FD022E" w:rsidRDefault="00574DD7" w:rsidP="007F171B">
      <w:pPr>
        <w:spacing w:line="276" w:lineRule="auto"/>
        <w:rPr>
          <w:rFonts w:cs="Arial"/>
        </w:rPr>
        <w:sectPr w:rsidR="00574DD7" w:rsidRPr="00FD022E" w:rsidSect="001955CD">
          <w:footerReference w:type="default" r:id="rId10"/>
          <w:headerReference w:type="first" r:id="rId11"/>
          <w:footerReference w:type="first" r:id="rId12"/>
          <w:pgSz w:w="11906" w:h="16838"/>
          <w:pgMar w:top="1418" w:right="1276" w:bottom="567" w:left="1418" w:header="425" w:footer="425" w:gutter="0"/>
          <w:pgNumType w:start="1"/>
          <w:cols w:space="708"/>
          <w:titlePg/>
          <w:docGrid w:linePitch="360"/>
        </w:sectPr>
      </w:pPr>
    </w:p>
    <w:p w14:paraId="5C1A4B42" w14:textId="5916A496" w:rsidR="00B6012C" w:rsidRPr="00FD022E" w:rsidRDefault="00B6012C" w:rsidP="007F171B">
      <w:pPr>
        <w:spacing w:line="276" w:lineRule="auto"/>
        <w:rPr>
          <w:rFonts w:cs="Arial"/>
          <w:sz w:val="20"/>
          <w:szCs w:val="20"/>
        </w:rPr>
      </w:pPr>
    </w:p>
    <w:p w14:paraId="1AB4BB3C" w14:textId="4FFE5C06" w:rsidR="00134108" w:rsidRPr="00FD022E" w:rsidRDefault="00134108" w:rsidP="007F171B">
      <w:pPr>
        <w:spacing w:line="276" w:lineRule="auto"/>
        <w:rPr>
          <w:rStyle w:val="Hyperlink"/>
          <w:rFonts w:eastAsia="Times New Roman" w:cs="Arial"/>
          <w:noProof/>
          <w:color w:val="auto"/>
          <w:sz w:val="20"/>
          <w:szCs w:val="20"/>
          <w:lang w:eastAsia="en-AU"/>
        </w:rPr>
      </w:pPr>
    </w:p>
    <w:p w14:paraId="02B38320" w14:textId="77777777" w:rsidR="00134108" w:rsidRPr="00FD022E" w:rsidRDefault="00134108" w:rsidP="007F171B">
      <w:pPr>
        <w:spacing w:line="276" w:lineRule="auto"/>
        <w:rPr>
          <w:rStyle w:val="Hyperlink"/>
          <w:rFonts w:eastAsia="Times New Roman" w:cs="Arial"/>
          <w:noProof/>
          <w:color w:val="auto"/>
          <w:sz w:val="20"/>
          <w:szCs w:val="20"/>
          <w:lang w:eastAsia="en-AU"/>
        </w:rPr>
      </w:pPr>
    </w:p>
    <w:p w14:paraId="2C148F52" w14:textId="77777777" w:rsidR="00134108" w:rsidRPr="00FD022E" w:rsidRDefault="00134108" w:rsidP="007F171B">
      <w:pPr>
        <w:spacing w:line="276" w:lineRule="auto"/>
        <w:rPr>
          <w:rStyle w:val="Hyperlink"/>
          <w:rFonts w:eastAsia="Times New Roman" w:cs="Arial"/>
          <w:noProof/>
          <w:color w:val="auto"/>
          <w:sz w:val="20"/>
          <w:szCs w:val="20"/>
          <w:lang w:eastAsia="en-AU"/>
        </w:rPr>
      </w:pPr>
    </w:p>
    <w:p w14:paraId="796DA257" w14:textId="77777777" w:rsidR="00134108" w:rsidRPr="00FD022E" w:rsidRDefault="00134108" w:rsidP="007F171B">
      <w:pPr>
        <w:spacing w:line="276" w:lineRule="auto"/>
        <w:rPr>
          <w:rStyle w:val="Hyperlink"/>
          <w:rFonts w:eastAsia="Times New Roman" w:cs="Arial"/>
          <w:noProof/>
          <w:color w:val="auto"/>
          <w:sz w:val="20"/>
          <w:szCs w:val="20"/>
          <w:lang w:eastAsia="en-AU"/>
        </w:rPr>
      </w:pPr>
    </w:p>
    <w:p w14:paraId="55A75FF0" w14:textId="5A9C8879" w:rsidR="00381C3D" w:rsidRPr="00FD022E" w:rsidRDefault="00381C3D" w:rsidP="007F171B">
      <w:pPr>
        <w:spacing w:line="276" w:lineRule="auto"/>
        <w:rPr>
          <w:rStyle w:val="Hyperlink"/>
          <w:rFonts w:eastAsia="Times New Roman" w:cs="Arial"/>
          <w:noProof/>
          <w:color w:val="auto"/>
          <w:sz w:val="20"/>
          <w:szCs w:val="20"/>
          <w:lang w:eastAsia="en-AU"/>
        </w:rPr>
      </w:pPr>
    </w:p>
    <w:p w14:paraId="6E33F720" w14:textId="77777777" w:rsidR="00381C3D" w:rsidRPr="00FD022E" w:rsidRDefault="00381C3D" w:rsidP="007F171B">
      <w:pPr>
        <w:spacing w:line="276" w:lineRule="auto"/>
        <w:rPr>
          <w:rStyle w:val="Hyperlink"/>
          <w:rFonts w:eastAsia="Times New Roman" w:cs="Arial"/>
          <w:noProof/>
          <w:color w:val="auto"/>
          <w:sz w:val="20"/>
          <w:szCs w:val="20"/>
          <w:lang w:eastAsia="en-AU"/>
        </w:rPr>
      </w:pPr>
    </w:p>
    <w:p w14:paraId="4DFC8019" w14:textId="77777777" w:rsidR="00381C3D" w:rsidRPr="00FD022E" w:rsidRDefault="00381C3D" w:rsidP="007F171B">
      <w:pPr>
        <w:spacing w:line="276" w:lineRule="auto"/>
        <w:rPr>
          <w:rStyle w:val="Hyperlink"/>
          <w:rFonts w:eastAsia="Times New Roman" w:cs="Arial"/>
          <w:noProof/>
          <w:color w:val="auto"/>
          <w:sz w:val="20"/>
          <w:szCs w:val="20"/>
          <w:lang w:eastAsia="en-AU"/>
        </w:rPr>
      </w:pPr>
    </w:p>
    <w:p w14:paraId="27F68273" w14:textId="77777777" w:rsidR="00381C3D" w:rsidRPr="00FD022E" w:rsidRDefault="00381C3D" w:rsidP="007F171B">
      <w:pPr>
        <w:spacing w:line="276" w:lineRule="auto"/>
        <w:rPr>
          <w:rStyle w:val="Hyperlink"/>
          <w:rFonts w:eastAsia="Times New Roman" w:cs="Arial"/>
          <w:noProof/>
          <w:color w:val="auto"/>
          <w:sz w:val="20"/>
          <w:szCs w:val="20"/>
          <w:lang w:eastAsia="en-AU"/>
        </w:rPr>
      </w:pPr>
    </w:p>
    <w:p w14:paraId="6B5E3DAC" w14:textId="77777777" w:rsidR="00381C3D" w:rsidRPr="00FD022E" w:rsidRDefault="00381C3D" w:rsidP="007F171B">
      <w:pPr>
        <w:spacing w:line="276" w:lineRule="auto"/>
        <w:rPr>
          <w:rStyle w:val="Hyperlink"/>
          <w:rFonts w:eastAsia="Times New Roman" w:cs="Arial"/>
          <w:noProof/>
          <w:color w:val="auto"/>
          <w:sz w:val="20"/>
          <w:szCs w:val="20"/>
          <w:lang w:eastAsia="en-AU"/>
        </w:rPr>
      </w:pPr>
    </w:p>
    <w:p w14:paraId="0BDF2950" w14:textId="77777777" w:rsidR="00381C3D" w:rsidRPr="00FD022E" w:rsidRDefault="00381C3D" w:rsidP="007F171B">
      <w:pPr>
        <w:spacing w:line="276" w:lineRule="auto"/>
        <w:rPr>
          <w:rStyle w:val="Hyperlink"/>
          <w:rFonts w:eastAsia="Times New Roman" w:cs="Arial"/>
          <w:noProof/>
          <w:color w:val="auto"/>
          <w:sz w:val="20"/>
          <w:szCs w:val="20"/>
          <w:lang w:eastAsia="en-AU"/>
        </w:rPr>
      </w:pPr>
    </w:p>
    <w:p w14:paraId="3278EA5D" w14:textId="77777777" w:rsidR="00381C3D" w:rsidRPr="00FD022E" w:rsidRDefault="00381C3D" w:rsidP="007F171B">
      <w:pPr>
        <w:spacing w:line="276" w:lineRule="auto"/>
        <w:rPr>
          <w:rStyle w:val="Hyperlink"/>
          <w:rFonts w:eastAsia="Times New Roman" w:cs="Arial"/>
          <w:noProof/>
          <w:color w:val="auto"/>
          <w:sz w:val="20"/>
          <w:szCs w:val="20"/>
          <w:lang w:eastAsia="en-AU"/>
        </w:rPr>
      </w:pPr>
    </w:p>
    <w:p w14:paraId="53DF490F" w14:textId="77777777" w:rsidR="00381C3D" w:rsidRPr="00FD022E" w:rsidRDefault="00381C3D" w:rsidP="007F171B">
      <w:pPr>
        <w:spacing w:line="276" w:lineRule="auto"/>
        <w:rPr>
          <w:rStyle w:val="Hyperlink"/>
          <w:rFonts w:eastAsia="Times New Roman" w:cs="Arial"/>
          <w:noProof/>
          <w:color w:val="auto"/>
          <w:sz w:val="20"/>
          <w:szCs w:val="20"/>
          <w:lang w:eastAsia="en-AU"/>
        </w:rPr>
      </w:pPr>
    </w:p>
    <w:p w14:paraId="53A8FDD9" w14:textId="77777777" w:rsidR="00381C3D" w:rsidRPr="00FD022E" w:rsidRDefault="00381C3D" w:rsidP="007F171B">
      <w:pPr>
        <w:spacing w:line="276" w:lineRule="auto"/>
        <w:rPr>
          <w:rStyle w:val="Hyperlink"/>
          <w:rFonts w:eastAsia="Times New Roman" w:cs="Arial"/>
          <w:noProof/>
          <w:color w:val="auto"/>
          <w:sz w:val="20"/>
          <w:szCs w:val="20"/>
          <w:lang w:eastAsia="en-AU"/>
        </w:rPr>
      </w:pPr>
    </w:p>
    <w:p w14:paraId="626ADEFF" w14:textId="77777777" w:rsidR="00381C3D" w:rsidRPr="00FD022E" w:rsidRDefault="00381C3D" w:rsidP="007F171B">
      <w:pPr>
        <w:spacing w:line="276" w:lineRule="auto"/>
        <w:rPr>
          <w:rStyle w:val="Hyperlink"/>
          <w:rFonts w:eastAsia="Times New Roman" w:cs="Arial"/>
          <w:noProof/>
          <w:color w:val="auto"/>
          <w:sz w:val="20"/>
          <w:szCs w:val="20"/>
          <w:lang w:eastAsia="en-AU"/>
        </w:rPr>
      </w:pPr>
    </w:p>
    <w:p w14:paraId="4C68D5AF" w14:textId="77777777" w:rsidR="00381C3D" w:rsidRPr="00FD022E" w:rsidRDefault="00381C3D" w:rsidP="007F171B">
      <w:pPr>
        <w:spacing w:line="276" w:lineRule="auto"/>
        <w:rPr>
          <w:rStyle w:val="Hyperlink"/>
          <w:rFonts w:eastAsia="Times New Roman" w:cs="Arial"/>
          <w:noProof/>
          <w:color w:val="auto"/>
          <w:sz w:val="20"/>
          <w:szCs w:val="20"/>
          <w:lang w:eastAsia="en-AU"/>
        </w:rPr>
      </w:pPr>
    </w:p>
    <w:p w14:paraId="4AF0A397" w14:textId="77777777" w:rsidR="00134108" w:rsidRPr="00FD022E" w:rsidRDefault="00134108" w:rsidP="007F171B">
      <w:pPr>
        <w:spacing w:line="276" w:lineRule="auto"/>
        <w:rPr>
          <w:rStyle w:val="Hyperlink"/>
          <w:rFonts w:eastAsia="Times New Roman" w:cs="Arial"/>
          <w:noProof/>
          <w:color w:val="auto"/>
          <w:sz w:val="20"/>
          <w:szCs w:val="20"/>
          <w:lang w:eastAsia="en-AU"/>
        </w:rPr>
      </w:pPr>
    </w:p>
    <w:p w14:paraId="38149A8D" w14:textId="77777777" w:rsidR="00134108" w:rsidRPr="00FD022E" w:rsidRDefault="00134108" w:rsidP="007F171B">
      <w:pPr>
        <w:spacing w:line="276" w:lineRule="auto"/>
        <w:rPr>
          <w:rStyle w:val="Hyperlink"/>
          <w:rFonts w:eastAsia="Times New Roman" w:cs="Arial"/>
          <w:noProof/>
          <w:color w:val="auto"/>
          <w:sz w:val="20"/>
          <w:szCs w:val="20"/>
          <w:lang w:eastAsia="en-AU"/>
        </w:rPr>
      </w:pPr>
    </w:p>
    <w:p w14:paraId="14434FC4" w14:textId="77777777" w:rsidR="00056E19" w:rsidRPr="00FD022E" w:rsidRDefault="00056E19" w:rsidP="007F171B">
      <w:pPr>
        <w:tabs>
          <w:tab w:val="right" w:leader="dot" w:pos="8302"/>
        </w:tabs>
        <w:spacing w:line="276" w:lineRule="auto"/>
        <w:rPr>
          <w:rFonts w:cs="Arial"/>
          <w:noProof/>
          <w:webHidden/>
          <w:sz w:val="20"/>
          <w:szCs w:val="20"/>
        </w:rPr>
      </w:pPr>
    </w:p>
    <w:p w14:paraId="0640B96F" w14:textId="4B8E758E" w:rsidR="00C743A7" w:rsidRPr="00FD022E" w:rsidRDefault="00C743A7" w:rsidP="007F171B">
      <w:pPr>
        <w:spacing w:line="276" w:lineRule="auto"/>
        <w:rPr>
          <w:rFonts w:cs="Arial"/>
          <w:sz w:val="20"/>
          <w:szCs w:val="20"/>
        </w:rPr>
      </w:pPr>
    </w:p>
    <w:p w14:paraId="7C167C8F" w14:textId="1E15B93E" w:rsidR="00C743A7" w:rsidRPr="00FD022E" w:rsidRDefault="00C743A7" w:rsidP="007F171B">
      <w:pPr>
        <w:pStyle w:val="NormalWeb"/>
        <w:spacing w:before="120" w:beforeAutospacing="0" w:after="120" w:afterAutospacing="0" w:line="276" w:lineRule="auto"/>
        <w:rPr>
          <w:rFonts w:ascii="Arial" w:hAnsi="Arial" w:cs="Arial"/>
          <w:sz w:val="16"/>
          <w:szCs w:val="16"/>
        </w:rPr>
      </w:pPr>
      <w:r w:rsidRPr="00FD022E">
        <w:rPr>
          <w:rFonts w:ascii="Arial" w:hAnsi="Arial" w:cs="Arial"/>
          <w:sz w:val="16"/>
          <w:szCs w:val="16"/>
        </w:rPr>
        <w:t xml:space="preserve">© Copyright Commonwealth of Australia, </w:t>
      </w:r>
      <w:r w:rsidR="00D232A5" w:rsidRPr="00FD022E">
        <w:rPr>
          <w:rFonts w:ascii="Arial" w:hAnsi="Arial" w:cs="Arial"/>
          <w:sz w:val="16"/>
          <w:szCs w:val="16"/>
        </w:rPr>
        <w:t>2020</w:t>
      </w:r>
      <w:r w:rsidRPr="00FD022E">
        <w:rPr>
          <w:rFonts w:ascii="Arial" w:hAnsi="Arial" w:cs="Arial"/>
          <w:sz w:val="16"/>
          <w:szCs w:val="16"/>
        </w:rPr>
        <w:t>.</w:t>
      </w:r>
    </w:p>
    <w:p w14:paraId="05B584B8" w14:textId="77777777" w:rsidR="00C743A7" w:rsidRPr="00FD022E" w:rsidRDefault="00C743A7" w:rsidP="007F171B">
      <w:pPr>
        <w:pStyle w:val="NormalWeb"/>
        <w:spacing w:before="120" w:beforeAutospacing="0" w:after="120" w:afterAutospacing="0" w:line="276" w:lineRule="auto"/>
        <w:rPr>
          <w:rFonts w:ascii="Arial" w:hAnsi="Arial" w:cs="Arial"/>
          <w:i/>
          <w:sz w:val="16"/>
          <w:szCs w:val="16"/>
        </w:rPr>
      </w:pPr>
      <w:r w:rsidRPr="00FD022E">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3"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1C6A3846" w:rsidR="00C743A7" w:rsidRPr="00FD022E" w:rsidRDefault="00C743A7" w:rsidP="007F171B">
      <w:pPr>
        <w:pStyle w:val="NormalWeb"/>
        <w:spacing w:before="120" w:beforeAutospacing="0" w:after="120" w:afterAutospacing="0" w:line="276" w:lineRule="auto"/>
        <w:rPr>
          <w:rFonts w:ascii="Arial" w:hAnsi="Arial" w:cs="Arial"/>
          <w:sz w:val="16"/>
          <w:szCs w:val="16"/>
        </w:rPr>
      </w:pPr>
      <w:r w:rsidRPr="00FD022E">
        <w:rPr>
          <w:rFonts w:ascii="Arial" w:hAnsi="Arial" w:cs="Arial"/>
          <w:i/>
          <w:sz w:val="16"/>
          <w:szCs w:val="16"/>
        </w:rPr>
        <w:t xml:space="preserve">Assessment of the </w:t>
      </w:r>
      <w:r w:rsidR="00D232A5" w:rsidRPr="00FD022E">
        <w:rPr>
          <w:rFonts w:ascii="Arial" w:hAnsi="Arial" w:cs="Arial"/>
          <w:i/>
          <w:sz w:val="16"/>
          <w:szCs w:val="16"/>
        </w:rPr>
        <w:t>Queensland Commercial Trawl (Fin Fish) Fishery</w:t>
      </w:r>
      <w:r w:rsidRPr="00FD022E">
        <w:rPr>
          <w:rFonts w:ascii="Arial" w:hAnsi="Arial" w:cs="Arial"/>
          <w:i/>
          <w:sz w:val="16"/>
          <w:szCs w:val="16"/>
        </w:rPr>
        <w:t xml:space="preserve"> </w:t>
      </w:r>
      <w:r w:rsidR="00A127EE">
        <w:rPr>
          <w:rFonts w:ascii="Arial" w:hAnsi="Arial" w:cs="Arial"/>
          <w:i/>
          <w:sz w:val="16"/>
          <w:szCs w:val="16"/>
        </w:rPr>
        <w:t>August</w:t>
      </w:r>
      <w:r w:rsidR="00E04D5B" w:rsidRPr="00FD022E">
        <w:rPr>
          <w:rFonts w:ascii="Arial" w:hAnsi="Arial" w:cs="Arial"/>
          <w:i/>
          <w:sz w:val="16"/>
          <w:szCs w:val="16"/>
        </w:rPr>
        <w:t xml:space="preserve"> </w:t>
      </w:r>
      <w:r w:rsidR="00D232A5" w:rsidRPr="00FD022E">
        <w:rPr>
          <w:rFonts w:ascii="Arial" w:hAnsi="Arial" w:cs="Arial"/>
          <w:i/>
          <w:sz w:val="16"/>
          <w:szCs w:val="16"/>
        </w:rPr>
        <w:t>2020</w:t>
      </w:r>
      <w:r w:rsidR="00056E19" w:rsidRPr="00FD022E">
        <w:rPr>
          <w:rFonts w:ascii="Arial" w:hAnsi="Arial" w:cs="Arial"/>
          <w:i/>
          <w:sz w:val="16"/>
          <w:szCs w:val="16"/>
        </w:rPr>
        <w:t xml:space="preserve"> </w:t>
      </w:r>
      <w:r w:rsidRPr="00FD022E">
        <w:rPr>
          <w:rFonts w:ascii="Arial" w:hAnsi="Arial" w:cs="Arial"/>
          <w:sz w:val="16"/>
          <w:szCs w:val="16"/>
        </w:rPr>
        <w:t xml:space="preserve">is licensed by the Commonwealth of Australia for use under a Creative Commons By Attribution 3.0 Australia </w:t>
      </w:r>
      <w:proofErr w:type="spellStart"/>
      <w:r w:rsidRPr="00FD022E">
        <w:rPr>
          <w:rFonts w:ascii="Arial" w:hAnsi="Arial" w:cs="Arial"/>
          <w:sz w:val="16"/>
          <w:szCs w:val="16"/>
        </w:rPr>
        <w:t>licence</w:t>
      </w:r>
      <w:proofErr w:type="spellEnd"/>
      <w:r w:rsidRPr="00FD022E">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FD022E">
        <w:rPr>
          <w:rFonts w:ascii="Arial" w:hAnsi="Arial" w:cs="Arial"/>
          <w:sz w:val="16"/>
          <w:szCs w:val="16"/>
        </w:rPr>
        <w:t>licence</w:t>
      </w:r>
      <w:proofErr w:type="spellEnd"/>
      <w:r w:rsidRPr="00FD022E">
        <w:rPr>
          <w:rFonts w:ascii="Arial" w:hAnsi="Arial" w:cs="Arial"/>
          <w:sz w:val="16"/>
          <w:szCs w:val="16"/>
        </w:rPr>
        <w:t xml:space="preserve"> conditions see: http://creativecommons.org/licenses/by/3.0/au/.</w:t>
      </w:r>
    </w:p>
    <w:p w14:paraId="6F619313" w14:textId="271C8338" w:rsidR="00C743A7" w:rsidRPr="00FD022E" w:rsidRDefault="00C743A7" w:rsidP="007F171B">
      <w:pPr>
        <w:pStyle w:val="NormalWeb"/>
        <w:spacing w:before="120" w:beforeAutospacing="0" w:after="120" w:afterAutospacing="0" w:line="276" w:lineRule="auto"/>
        <w:rPr>
          <w:rFonts w:ascii="Arial" w:hAnsi="Arial" w:cs="Arial"/>
          <w:sz w:val="16"/>
          <w:szCs w:val="16"/>
        </w:rPr>
      </w:pPr>
      <w:r w:rsidRPr="00FD022E">
        <w:rPr>
          <w:rFonts w:ascii="Arial" w:hAnsi="Arial" w:cs="Arial"/>
          <w:sz w:val="16"/>
          <w:szCs w:val="16"/>
        </w:rPr>
        <w:t>This report should be attributed as ‘</w:t>
      </w:r>
      <w:r w:rsidRPr="00FD022E">
        <w:rPr>
          <w:rFonts w:ascii="Arial" w:hAnsi="Arial" w:cs="Arial"/>
          <w:i/>
          <w:sz w:val="16"/>
          <w:szCs w:val="16"/>
        </w:rPr>
        <w:t xml:space="preserve">Assessment of the </w:t>
      </w:r>
      <w:r w:rsidR="00D232A5" w:rsidRPr="00FD022E">
        <w:rPr>
          <w:rFonts w:ascii="Arial" w:hAnsi="Arial" w:cs="Arial"/>
          <w:i/>
          <w:sz w:val="16"/>
          <w:szCs w:val="16"/>
        </w:rPr>
        <w:t>Queensland Commercial Trawl (Fin Fish) Fishery</w:t>
      </w:r>
      <w:r w:rsidRPr="00FD022E">
        <w:rPr>
          <w:rFonts w:ascii="Arial" w:hAnsi="Arial" w:cs="Arial"/>
          <w:i/>
          <w:sz w:val="16"/>
          <w:szCs w:val="16"/>
        </w:rPr>
        <w:t xml:space="preserve"> </w:t>
      </w:r>
      <w:r w:rsidR="00A127EE">
        <w:rPr>
          <w:rFonts w:ascii="Arial" w:hAnsi="Arial" w:cs="Arial"/>
          <w:i/>
          <w:sz w:val="16"/>
          <w:szCs w:val="16"/>
        </w:rPr>
        <w:t>August</w:t>
      </w:r>
      <w:r w:rsidR="00E04D5B" w:rsidRPr="00FD022E">
        <w:rPr>
          <w:rFonts w:ascii="Arial" w:hAnsi="Arial" w:cs="Arial"/>
          <w:i/>
          <w:sz w:val="16"/>
          <w:szCs w:val="16"/>
        </w:rPr>
        <w:t xml:space="preserve"> </w:t>
      </w:r>
      <w:r w:rsidR="00D232A5" w:rsidRPr="00FD022E">
        <w:rPr>
          <w:rFonts w:ascii="Arial" w:hAnsi="Arial" w:cs="Arial"/>
          <w:i/>
          <w:sz w:val="16"/>
          <w:szCs w:val="16"/>
        </w:rPr>
        <w:t>2020</w:t>
      </w:r>
      <w:r w:rsidRPr="00FD022E">
        <w:rPr>
          <w:rFonts w:ascii="Arial" w:hAnsi="Arial" w:cs="Arial"/>
          <w:sz w:val="16"/>
          <w:szCs w:val="16"/>
        </w:rPr>
        <w:t xml:space="preserve">, Commonwealth of Australia </w:t>
      </w:r>
      <w:r w:rsidR="00D232A5" w:rsidRPr="00FD022E">
        <w:rPr>
          <w:rFonts w:ascii="Arial" w:hAnsi="Arial" w:cs="Arial"/>
          <w:sz w:val="16"/>
          <w:szCs w:val="16"/>
        </w:rPr>
        <w:t>2020</w:t>
      </w:r>
      <w:r w:rsidR="004649FA" w:rsidRPr="00FD022E">
        <w:rPr>
          <w:rFonts w:ascii="Arial" w:hAnsi="Arial" w:cs="Arial"/>
          <w:sz w:val="16"/>
          <w:szCs w:val="16"/>
        </w:rPr>
        <w:t>’</w:t>
      </w:r>
      <w:r w:rsidRPr="00FD022E">
        <w:rPr>
          <w:rFonts w:ascii="Arial" w:hAnsi="Arial" w:cs="Arial"/>
          <w:sz w:val="16"/>
          <w:szCs w:val="16"/>
        </w:rPr>
        <w:t>.</w:t>
      </w:r>
    </w:p>
    <w:p w14:paraId="0D5442F5" w14:textId="5306C88B" w:rsidR="00C743A7" w:rsidRPr="00FD022E" w:rsidRDefault="00C743A7" w:rsidP="007F171B">
      <w:pPr>
        <w:pStyle w:val="NormalWeb"/>
        <w:spacing w:before="120" w:beforeAutospacing="0" w:after="120" w:afterAutospacing="0" w:line="276" w:lineRule="auto"/>
        <w:rPr>
          <w:rFonts w:ascii="Arial" w:hAnsi="Arial" w:cs="Arial"/>
          <w:sz w:val="20"/>
          <w:szCs w:val="20"/>
          <w:lang w:val="en-AU"/>
        </w:rPr>
      </w:pPr>
    </w:p>
    <w:p w14:paraId="749958A3" w14:textId="77777777" w:rsidR="00C743A7" w:rsidRPr="00FD022E" w:rsidRDefault="00C743A7" w:rsidP="007F171B">
      <w:pPr>
        <w:spacing w:line="276" w:lineRule="auto"/>
        <w:rPr>
          <w:rFonts w:cs="Arial"/>
          <w:b/>
          <w:sz w:val="16"/>
          <w:szCs w:val="16"/>
        </w:rPr>
      </w:pPr>
      <w:r w:rsidRPr="00FD022E">
        <w:rPr>
          <w:rFonts w:cs="Arial"/>
          <w:b/>
          <w:sz w:val="16"/>
          <w:szCs w:val="16"/>
        </w:rPr>
        <w:t>Disclaimer</w:t>
      </w:r>
    </w:p>
    <w:p w14:paraId="39EA68CA" w14:textId="065EDAFA" w:rsidR="00C743A7" w:rsidRPr="00FD022E" w:rsidRDefault="00C743A7" w:rsidP="007F171B">
      <w:pPr>
        <w:pStyle w:val="NormalWeb"/>
        <w:spacing w:before="120" w:beforeAutospacing="0" w:after="120" w:afterAutospacing="0" w:line="276" w:lineRule="auto"/>
        <w:rPr>
          <w:rFonts w:ascii="Arial" w:hAnsi="Arial" w:cs="Arial"/>
          <w:sz w:val="16"/>
          <w:szCs w:val="16"/>
          <w:lang w:val="en-AU"/>
        </w:rPr>
      </w:pPr>
      <w:r w:rsidRPr="00FD022E">
        <w:rPr>
          <w:rFonts w:ascii="Arial" w:hAnsi="Arial" w:cs="Arial"/>
          <w:sz w:val="16"/>
          <w:szCs w:val="16"/>
          <w:lang w:val="en-AU"/>
        </w:rPr>
        <w:t xml:space="preserve">This document is an assessment carried out by the </w:t>
      </w:r>
      <w:r w:rsidR="001D7069" w:rsidRPr="00FD022E">
        <w:rPr>
          <w:rFonts w:ascii="Arial" w:hAnsi="Arial" w:cs="Arial"/>
          <w:sz w:val="16"/>
          <w:szCs w:val="16"/>
          <w:lang w:val="en-AU"/>
        </w:rPr>
        <w:t xml:space="preserve">Department of Agriculture, </w:t>
      </w:r>
      <w:proofErr w:type="gramStart"/>
      <w:r w:rsidR="001D7069" w:rsidRPr="00FD022E">
        <w:rPr>
          <w:rFonts w:ascii="Arial" w:hAnsi="Arial" w:cs="Arial"/>
          <w:sz w:val="16"/>
          <w:szCs w:val="16"/>
          <w:lang w:val="en-AU"/>
        </w:rPr>
        <w:t>Water</w:t>
      </w:r>
      <w:proofErr w:type="gramEnd"/>
      <w:r w:rsidR="001D7069" w:rsidRPr="00FD022E">
        <w:rPr>
          <w:rFonts w:ascii="Arial" w:hAnsi="Arial" w:cs="Arial"/>
          <w:sz w:val="16"/>
          <w:szCs w:val="16"/>
          <w:lang w:val="en-AU"/>
        </w:rPr>
        <w:t xml:space="preserve"> and the Environment</w:t>
      </w:r>
      <w:r w:rsidRPr="00FD022E">
        <w:rPr>
          <w:rFonts w:ascii="Arial" w:hAnsi="Arial" w:cs="Arial"/>
          <w:sz w:val="16"/>
          <w:szCs w:val="16"/>
          <w:lang w:val="en-AU"/>
        </w:rPr>
        <w:t xml:space="preserve"> of a commercial fishery against the Australian Government </w:t>
      </w:r>
      <w:r w:rsidRPr="00FD022E">
        <w:rPr>
          <w:rFonts w:ascii="Arial" w:hAnsi="Arial" w:cs="Arial"/>
          <w:i/>
          <w:iCs/>
          <w:sz w:val="16"/>
          <w:szCs w:val="16"/>
          <w:lang w:val="en-AU"/>
        </w:rPr>
        <w:t>Guidelines for the Ecologically Sustainable Management of Fisheries – 2nd Edition</w:t>
      </w:r>
      <w:r w:rsidRPr="00FD022E">
        <w:rPr>
          <w:rFonts w:ascii="Arial" w:hAnsi="Arial" w:cs="Arial"/>
          <w:sz w:val="16"/>
          <w:szCs w:val="16"/>
          <w:lang w:val="en-AU"/>
        </w:rPr>
        <w:t xml:space="preserve">. It forms part of the advice provided to the Minister for the Environment on the fishery in relation to decisions under Parts 13 and 13A of the </w:t>
      </w:r>
      <w:r w:rsidRPr="00FD022E">
        <w:rPr>
          <w:rFonts w:ascii="Arial" w:hAnsi="Arial" w:cs="Arial"/>
          <w:i/>
          <w:iCs/>
          <w:sz w:val="16"/>
          <w:szCs w:val="16"/>
          <w:lang w:val="en-AU"/>
        </w:rPr>
        <w:t>Environment Protection and Biodiversity Conservation Act 1999</w:t>
      </w:r>
      <w:r w:rsidRPr="00FD022E">
        <w:rPr>
          <w:rFonts w:ascii="Arial" w:hAnsi="Arial" w:cs="Arial"/>
          <w:sz w:val="16"/>
          <w:szCs w:val="16"/>
          <w:lang w:val="en-AU"/>
        </w:rPr>
        <w:t>. The views expressed do not necessarily reflect those of the Minister for the Environment or the Australian Government.</w:t>
      </w:r>
    </w:p>
    <w:p w14:paraId="70C2E5B8" w14:textId="77777777" w:rsidR="00C743A7" w:rsidRPr="00FD022E" w:rsidRDefault="00C743A7" w:rsidP="007F171B">
      <w:pPr>
        <w:spacing w:line="276" w:lineRule="auto"/>
        <w:rPr>
          <w:rFonts w:cs="Arial"/>
          <w:color w:val="000000"/>
          <w:sz w:val="16"/>
          <w:szCs w:val="16"/>
        </w:rPr>
      </w:pPr>
      <w:r w:rsidRPr="00FD022E">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D022E" w:rsidRDefault="00574DD7" w:rsidP="007F171B">
      <w:pPr>
        <w:spacing w:line="276" w:lineRule="auto"/>
        <w:rPr>
          <w:rFonts w:cs="Arial"/>
          <w:sz w:val="16"/>
          <w:szCs w:val="16"/>
        </w:rPr>
      </w:pPr>
    </w:p>
    <w:p w14:paraId="7FF3C9F6" w14:textId="68EA5F38" w:rsidR="00C743A7" w:rsidRPr="00FD022E" w:rsidRDefault="00C743A7" w:rsidP="007F171B">
      <w:pPr>
        <w:pStyle w:val="Heading1"/>
        <w:spacing w:after="0"/>
        <w:rPr>
          <w:rFonts w:ascii="Arial" w:hAnsi="Arial"/>
        </w:rPr>
      </w:pPr>
    </w:p>
    <w:p w14:paraId="4546424F" w14:textId="77777777" w:rsidR="00134108" w:rsidRPr="00FD022E" w:rsidRDefault="00134108" w:rsidP="007F171B">
      <w:pPr>
        <w:spacing w:line="276" w:lineRule="auto"/>
        <w:rPr>
          <w:rFonts w:cs="Arial"/>
          <w:b/>
        </w:rPr>
        <w:sectPr w:rsidR="00134108" w:rsidRPr="00FD022E" w:rsidSect="001955CD">
          <w:headerReference w:type="first" r:id="rId14"/>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2"/>
          <w:szCs w:val="22"/>
          <w:lang w:val="en-AU"/>
        </w:rPr>
        <w:id w:val="992149566"/>
        <w:docPartObj>
          <w:docPartGallery w:val="Table of Contents"/>
          <w:docPartUnique/>
        </w:docPartObj>
      </w:sdtPr>
      <w:sdtEndPr>
        <w:rPr>
          <w:noProof/>
        </w:rPr>
      </w:sdtEndPr>
      <w:sdtContent>
        <w:p w14:paraId="0DCB5FF7" w14:textId="5A26B87E" w:rsidR="00134108" w:rsidRPr="009E2BFB" w:rsidRDefault="00134108" w:rsidP="009E2BFB">
          <w:pPr>
            <w:pStyle w:val="TOCHeading"/>
            <w:spacing w:after="120"/>
            <w:ind w:right="281"/>
            <w:rPr>
              <w:rFonts w:ascii="Arial" w:eastAsia="Calibri" w:hAnsi="Arial" w:cs="Arial"/>
              <w:bCs w:val="0"/>
              <w:caps/>
              <w:sz w:val="24"/>
              <w:szCs w:val="24"/>
              <w:lang w:val="en-AU"/>
            </w:rPr>
          </w:pPr>
          <w:r w:rsidRPr="009E2BFB">
            <w:rPr>
              <w:rFonts w:ascii="Arial" w:eastAsia="Calibri" w:hAnsi="Arial" w:cs="Arial"/>
              <w:bCs w:val="0"/>
              <w:caps/>
              <w:sz w:val="24"/>
              <w:szCs w:val="24"/>
              <w:lang w:val="en-AU"/>
            </w:rPr>
            <w:t>CONTENTS</w:t>
          </w:r>
        </w:p>
        <w:p w14:paraId="68B9FD8F" w14:textId="12208E99" w:rsidR="008F5F1A" w:rsidRPr="008F5F1A" w:rsidRDefault="00134108">
          <w:pPr>
            <w:pStyle w:val="TOC1"/>
            <w:rPr>
              <w:rFonts w:ascii="Arial" w:eastAsiaTheme="minorEastAsia" w:hAnsi="Arial" w:cs="Arial"/>
              <w:sz w:val="22"/>
              <w:szCs w:val="22"/>
            </w:rPr>
          </w:pPr>
          <w:r w:rsidRPr="00A45635">
            <w:rPr>
              <w:rFonts w:ascii="Arial" w:hAnsi="Arial" w:cs="Arial"/>
              <w:b/>
            </w:rPr>
            <w:fldChar w:fldCharType="begin"/>
          </w:r>
          <w:r w:rsidRPr="00A45635">
            <w:rPr>
              <w:rFonts w:ascii="Arial" w:hAnsi="Arial" w:cs="Arial"/>
              <w:b/>
            </w:rPr>
            <w:instrText xml:space="preserve"> TOC \o "1-3" \h \z \u </w:instrText>
          </w:r>
          <w:r w:rsidRPr="00A45635">
            <w:rPr>
              <w:rFonts w:ascii="Arial" w:hAnsi="Arial" w:cs="Arial"/>
              <w:b/>
            </w:rPr>
            <w:fldChar w:fldCharType="separate"/>
          </w:r>
          <w:hyperlink w:anchor="_Toc48212727" w:history="1">
            <w:r w:rsidR="008F5F1A" w:rsidRPr="008F5F1A">
              <w:rPr>
                <w:rStyle w:val="Hyperlink"/>
                <w:rFonts w:ascii="Arial" w:hAnsi="Arial" w:cs="Arial"/>
              </w:rPr>
              <w:t>Executive summary</w:t>
            </w:r>
            <w:r w:rsidR="008F5F1A" w:rsidRPr="008F5F1A">
              <w:rPr>
                <w:rFonts w:ascii="Arial" w:hAnsi="Arial" w:cs="Arial"/>
                <w:webHidden/>
              </w:rPr>
              <w:tab/>
            </w:r>
            <w:r w:rsidR="008F5F1A" w:rsidRPr="008F5F1A">
              <w:rPr>
                <w:rFonts w:ascii="Arial" w:hAnsi="Arial" w:cs="Arial"/>
                <w:webHidden/>
              </w:rPr>
              <w:fldChar w:fldCharType="begin"/>
            </w:r>
            <w:r w:rsidR="008F5F1A" w:rsidRPr="008F5F1A">
              <w:rPr>
                <w:rFonts w:ascii="Arial" w:hAnsi="Arial" w:cs="Arial"/>
                <w:webHidden/>
              </w:rPr>
              <w:instrText xml:space="preserve"> PAGEREF _Toc48212727 \h </w:instrText>
            </w:r>
            <w:r w:rsidR="008F5F1A" w:rsidRPr="008F5F1A">
              <w:rPr>
                <w:rFonts w:ascii="Arial" w:hAnsi="Arial" w:cs="Arial"/>
                <w:webHidden/>
              </w:rPr>
            </w:r>
            <w:r w:rsidR="008F5F1A" w:rsidRPr="008F5F1A">
              <w:rPr>
                <w:rFonts w:ascii="Arial" w:hAnsi="Arial" w:cs="Arial"/>
                <w:webHidden/>
              </w:rPr>
              <w:fldChar w:fldCharType="separate"/>
            </w:r>
            <w:r w:rsidR="00397636">
              <w:rPr>
                <w:rFonts w:ascii="Arial" w:hAnsi="Arial" w:cs="Arial"/>
                <w:webHidden/>
              </w:rPr>
              <w:t>2</w:t>
            </w:r>
            <w:r w:rsidR="008F5F1A" w:rsidRPr="008F5F1A">
              <w:rPr>
                <w:rFonts w:ascii="Arial" w:hAnsi="Arial" w:cs="Arial"/>
                <w:webHidden/>
              </w:rPr>
              <w:fldChar w:fldCharType="end"/>
            </w:r>
          </w:hyperlink>
        </w:p>
        <w:p w14:paraId="424137C2" w14:textId="767195F2" w:rsidR="008F5F1A" w:rsidRPr="008F5F1A" w:rsidRDefault="00661B8B">
          <w:pPr>
            <w:pStyle w:val="TOC1"/>
            <w:rPr>
              <w:rFonts w:ascii="Arial" w:eastAsiaTheme="minorEastAsia" w:hAnsi="Arial" w:cs="Arial"/>
              <w:sz w:val="22"/>
              <w:szCs w:val="22"/>
            </w:rPr>
          </w:pPr>
          <w:hyperlink w:anchor="_Toc48212728" w:history="1">
            <w:r w:rsidR="008F5F1A" w:rsidRPr="008F5F1A">
              <w:rPr>
                <w:rStyle w:val="Hyperlink"/>
                <w:rFonts w:ascii="Arial" w:hAnsi="Arial" w:cs="Arial"/>
              </w:rPr>
              <w:t>Section 1: Assessment summary</w:t>
            </w:r>
            <w:r w:rsidR="008F5F1A" w:rsidRPr="008F5F1A">
              <w:rPr>
                <w:rFonts w:ascii="Arial" w:hAnsi="Arial" w:cs="Arial"/>
                <w:webHidden/>
              </w:rPr>
              <w:tab/>
            </w:r>
            <w:r w:rsidR="008F5F1A" w:rsidRPr="008F5F1A">
              <w:rPr>
                <w:rFonts w:ascii="Arial" w:hAnsi="Arial" w:cs="Arial"/>
                <w:webHidden/>
              </w:rPr>
              <w:fldChar w:fldCharType="begin"/>
            </w:r>
            <w:r w:rsidR="008F5F1A" w:rsidRPr="008F5F1A">
              <w:rPr>
                <w:rFonts w:ascii="Arial" w:hAnsi="Arial" w:cs="Arial"/>
                <w:webHidden/>
              </w:rPr>
              <w:instrText xml:space="preserve"> PAGEREF _Toc48212728 \h </w:instrText>
            </w:r>
            <w:r w:rsidR="008F5F1A" w:rsidRPr="008F5F1A">
              <w:rPr>
                <w:rFonts w:ascii="Arial" w:hAnsi="Arial" w:cs="Arial"/>
                <w:webHidden/>
              </w:rPr>
            </w:r>
            <w:r w:rsidR="008F5F1A" w:rsidRPr="008F5F1A">
              <w:rPr>
                <w:rFonts w:ascii="Arial" w:hAnsi="Arial" w:cs="Arial"/>
                <w:webHidden/>
              </w:rPr>
              <w:fldChar w:fldCharType="separate"/>
            </w:r>
            <w:r w:rsidR="00397636">
              <w:rPr>
                <w:rFonts w:ascii="Arial" w:hAnsi="Arial" w:cs="Arial"/>
                <w:webHidden/>
              </w:rPr>
              <w:t>5</w:t>
            </w:r>
            <w:r w:rsidR="008F5F1A" w:rsidRPr="008F5F1A">
              <w:rPr>
                <w:rFonts w:ascii="Arial" w:hAnsi="Arial" w:cs="Arial"/>
                <w:webHidden/>
              </w:rPr>
              <w:fldChar w:fldCharType="end"/>
            </w:r>
          </w:hyperlink>
        </w:p>
        <w:p w14:paraId="5B04DB07" w14:textId="521E378F" w:rsidR="008F5F1A" w:rsidRPr="008F5F1A" w:rsidRDefault="00661B8B">
          <w:pPr>
            <w:pStyle w:val="TOC1"/>
            <w:rPr>
              <w:rFonts w:ascii="Arial" w:eastAsiaTheme="minorEastAsia" w:hAnsi="Arial" w:cs="Arial"/>
              <w:sz w:val="22"/>
              <w:szCs w:val="22"/>
            </w:rPr>
          </w:pPr>
          <w:hyperlink w:anchor="_Toc48212729" w:history="1">
            <w:r w:rsidR="008F5F1A" w:rsidRPr="008F5F1A">
              <w:rPr>
                <w:rStyle w:val="Hyperlink"/>
                <w:rFonts w:ascii="Arial" w:hAnsi="Arial" w:cs="Arial"/>
              </w:rPr>
              <w:t>Section 2: Summary of issues and proposed conditions</w:t>
            </w:r>
            <w:r w:rsidR="008F5F1A" w:rsidRPr="008F5F1A">
              <w:rPr>
                <w:rFonts w:ascii="Arial" w:hAnsi="Arial" w:cs="Arial"/>
                <w:webHidden/>
              </w:rPr>
              <w:tab/>
            </w:r>
            <w:r w:rsidR="008F5F1A" w:rsidRPr="008F5F1A">
              <w:rPr>
                <w:rFonts w:ascii="Arial" w:hAnsi="Arial" w:cs="Arial"/>
                <w:webHidden/>
              </w:rPr>
              <w:fldChar w:fldCharType="begin"/>
            </w:r>
            <w:r w:rsidR="008F5F1A" w:rsidRPr="008F5F1A">
              <w:rPr>
                <w:rFonts w:ascii="Arial" w:hAnsi="Arial" w:cs="Arial"/>
                <w:webHidden/>
              </w:rPr>
              <w:instrText xml:space="preserve"> PAGEREF _Toc48212729 \h </w:instrText>
            </w:r>
            <w:r w:rsidR="008F5F1A" w:rsidRPr="008F5F1A">
              <w:rPr>
                <w:rFonts w:ascii="Arial" w:hAnsi="Arial" w:cs="Arial"/>
                <w:webHidden/>
              </w:rPr>
            </w:r>
            <w:r w:rsidR="008F5F1A" w:rsidRPr="008F5F1A">
              <w:rPr>
                <w:rFonts w:ascii="Arial" w:hAnsi="Arial" w:cs="Arial"/>
                <w:webHidden/>
              </w:rPr>
              <w:fldChar w:fldCharType="separate"/>
            </w:r>
            <w:r w:rsidR="00397636">
              <w:rPr>
                <w:rFonts w:ascii="Arial" w:hAnsi="Arial" w:cs="Arial"/>
                <w:webHidden/>
              </w:rPr>
              <w:t>7</w:t>
            </w:r>
            <w:r w:rsidR="008F5F1A" w:rsidRPr="008F5F1A">
              <w:rPr>
                <w:rFonts w:ascii="Arial" w:hAnsi="Arial" w:cs="Arial"/>
                <w:webHidden/>
              </w:rPr>
              <w:fldChar w:fldCharType="end"/>
            </w:r>
          </w:hyperlink>
        </w:p>
        <w:p w14:paraId="6453754E" w14:textId="5D4C5EC3" w:rsidR="008F5F1A" w:rsidRPr="008F5F1A" w:rsidRDefault="00661B8B">
          <w:pPr>
            <w:pStyle w:val="TOC3"/>
            <w:rPr>
              <w:rFonts w:eastAsiaTheme="minorEastAsia" w:cs="Arial"/>
              <w:noProof/>
              <w:lang w:eastAsia="en-AU"/>
            </w:rPr>
          </w:pPr>
          <w:hyperlink w:anchor="_Toc48212730" w:history="1">
            <w:r w:rsidR="008F5F1A" w:rsidRPr="008F5F1A">
              <w:rPr>
                <w:rStyle w:val="Hyperlink"/>
                <w:rFonts w:cs="Arial"/>
                <w:noProof/>
              </w:rPr>
              <w:t>Assessment history:</w:t>
            </w:r>
            <w:r w:rsidR="008F5F1A" w:rsidRPr="008F5F1A">
              <w:rPr>
                <w:rFonts w:cs="Arial"/>
                <w:noProof/>
                <w:webHidden/>
              </w:rPr>
              <w:tab/>
            </w:r>
            <w:r w:rsidR="008F5F1A" w:rsidRPr="008F5F1A">
              <w:rPr>
                <w:rFonts w:cs="Arial"/>
                <w:noProof/>
                <w:webHidden/>
              </w:rPr>
              <w:fldChar w:fldCharType="begin"/>
            </w:r>
            <w:r w:rsidR="008F5F1A" w:rsidRPr="008F5F1A">
              <w:rPr>
                <w:rFonts w:cs="Arial"/>
                <w:noProof/>
                <w:webHidden/>
              </w:rPr>
              <w:instrText xml:space="preserve"> PAGEREF _Toc48212730 \h </w:instrText>
            </w:r>
            <w:r w:rsidR="008F5F1A" w:rsidRPr="008F5F1A">
              <w:rPr>
                <w:rFonts w:cs="Arial"/>
                <w:noProof/>
                <w:webHidden/>
              </w:rPr>
            </w:r>
            <w:r w:rsidR="008F5F1A" w:rsidRPr="008F5F1A">
              <w:rPr>
                <w:rFonts w:cs="Arial"/>
                <w:noProof/>
                <w:webHidden/>
              </w:rPr>
              <w:fldChar w:fldCharType="separate"/>
            </w:r>
            <w:r w:rsidR="00397636">
              <w:rPr>
                <w:rFonts w:cs="Arial"/>
                <w:noProof/>
                <w:webHidden/>
              </w:rPr>
              <w:t>12</w:t>
            </w:r>
            <w:r w:rsidR="008F5F1A" w:rsidRPr="008F5F1A">
              <w:rPr>
                <w:rFonts w:cs="Arial"/>
                <w:noProof/>
                <w:webHidden/>
              </w:rPr>
              <w:fldChar w:fldCharType="end"/>
            </w:r>
          </w:hyperlink>
        </w:p>
        <w:p w14:paraId="70C82266" w14:textId="7E9F240C" w:rsidR="008F5F1A" w:rsidRPr="008F5F1A" w:rsidRDefault="00661B8B">
          <w:pPr>
            <w:pStyle w:val="TOC1"/>
            <w:rPr>
              <w:rFonts w:ascii="Arial" w:eastAsiaTheme="minorEastAsia" w:hAnsi="Arial" w:cs="Arial"/>
              <w:sz w:val="22"/>
              <w:szCs w:val="22"/>
            </w:rPr>
          </w:pPr>
          <w:hyperlink w:anchor="_Toc48212731" w:history="1">
            <w:r w:rsidR="008F5F1A" w:rsidRPr="008F5F1A">
              <w:rPr>
                <w:rStyle w:val="Hyperlink"/>
                <w:rFonts w:ascii="Arial" w:hAnsi="Arial" w:cs="Arial"/>
              </w:rPr>
              <w:t>Section 3: Detailed analysis against the Guidelines</w:t>
            </w:r>
            <w:r w:rsidR="008F5F1A" w:rsidRPr="008F5F1A">
              <w:rPr>
                <w:rFonts w:ascii="Arial" w:hAnsi="Arial" w:cs="Arial"/>
                <w:webHidden/>
              </w:rPr>
              <w:tab/>
            </w:r>
            <w:r w:rsidR="008F5F1A" w:rsidRPr="008F5F1A">
              <w:rPr>
                <w:rFonts w:ascii="Arial" w:hAnsi="Arial" w:cs="Arial"/>
                <w:webHidden/>
              </w:rPr>
              <w:fldChar w:fldCharType="begin"/>
            </w:r>
            <w:r w:rsidR="008F5F1A" w:rsidRPr="008F5F1A">
              <w:rPr>
                <w:rFonts w:ascii="Arial" w:hAnsi="Arial" w:cs="Arial"/>
                <w:webHidden/>
              </w:rPr>
              <w:instrText xml:space="preserve"> PAGEREF _Toc48212731 \h </w:instrText>
            </w:r>
            <w:r w:rsidR="008F5F1A" w:rsidRPr="008F5F1A">
              <w:rPr>
                <w:rFonts w:ascii="Arial" w:hAnsi="Arial" w:cs="Arial"/>
                <w:webHidden/>
              </w:rPr>
            </w:r>
            <w:r w:rsidR="008F5F1A" w:rsidRPr="008F5F1A">
              <w:rPr>
                <w:rFonts w:ascii="Arial" w:hAnsi="Arial" w:cs="Arial"/>
                <w:webHidden/>
              </w:rPr>
              <w:fldChar w:fldCharType="separate"/>
            </w:r>
            <w:r w:rsidR="00397636">
              <w:rPr>
                <w:rFonts w:ascii="Arial" w:hAnsi="Arial" w:cs="Arial"/>
                <w:webHidden/>
              </w:rPr>
              <w:t>13</w:t>
            </w:r>
            <w:r w:rsidR="008F5F1A" w:rsidRPr="008F5F1A">
              <w:rPr>
                <w:rFonts w:ascii="Arial" w:hAnsi="Arial" w:cs="Arial"/>
                <w:webHidden/>
              </w:rPr>
              <w:fldChar w:fldCharType="end"/>
            </w:r>
          </w:hyperlink>
        </w:p>
        <w:p w14:paraId="48DCA6EE" w14:textId="68686E01" w:rsidR="008F5F1A" w:rsidRPr="008F5F1A" w:rsidRDefault="00661B8B">
          <w:pPr>
            <w:pStyle w:val="TOC1"/>
            <w:rPr>
              <w:rFonts w:ascii="Arial" w:eastAsiaTheme="minorEastAsia" w:hAnsi="Arial" w:cs="Arial"/>
              <w:sz w:val="22"/>
              <w:szCs w:val="22"/>
            </w:rPr>
          </w:pPr>
          <w:hyperlink w:anchor="_Toc48212732" w:history="1">
            <w:r w:rsidR="008F5F1A" w:rsidRPr="008F5F1A">
              <w:rPr>
                <w:rStyle w:val="Hyperlink"/>
                <w:rFonts w:ascii="Arial" w:hAnsi="Arial" w:cs="Arial"/>
              </w:rPr>
              <w:t>Section 4: Assessment Against the EPBC Act</w:t>
            </w:r>
            <w:r w:rsidR="008F5F1A" w:rsidRPr="008F5F1A">
              <w:rPr>
                <w:rFonts w:ascii="Arial" w:hAnsi="Arial" w:cs="Arial"/>
                <w:webHidden/>
              </w:rPr>
              <w:tab/>
            </w:r>
            <w:r w:rsidR="008F5F1A" w:rsidRPr="008F5F1A">
              <w:rPr>
                <w:rFonts w:ascii="Arial" w:hAnsi="Arial" w:cs="Arial"/>
                <w:webHidden/>
              </w:rPr>
              <w:fldChar w:fldCharType="begin"/>
            </w:r>
            <w:r w:rsidR="008F5F1A" w:rsidRPr="008F5F1A">
              <w:rPr>
                <w:rFonts w:ascii="Arial" w:hAnsi="Arial" w:cs="Arial"/>
                <w:webHidden/>
              </w:rPr>
              <w:instrText xml:space="preserve"> PAGEREF _Toc48212732 \h </w:instrText>
            </w:r>
            <w:r w:rsidR="008F5F1A" w:rsidRPr="008F5F1A">
              <w:rPr>
                <w:rFonts w:ascii="Arial" w:hAnsi="Arial" w:cs="Arial"/>
                <w:webHidden/>
              </w:rPr>
            </w:r>
            <w:r w:rsidR="008F5F1A" w:rsidRPr="008F5F1A">
              <w:rPr>
                <w:rFonts w:ascii="Arial" w:hAnsi="Arial" w:cs="Arial"/>
                <w:webHidden/>
              </w:rPr>
              <w:fldChar w:fldCharType="separate"/>
            </w:r>
            <w:r w:rsidR="00397636">
              <w:rPr>
                <w:rFonts w:ascii="Arial" w:hAnsi="Arial" w:cs="Arial"/>
                <w:webHidden/>
              </w:rPr>
              <w:t>47</w:t>
            </w:r>
            <w:r w:rsidR="008F5F1A" w:rsidRPr="008F5F1A">
              <w:rPr>
                <w:rFonts w:ascii="Arial" w:hAnsi="Arial" w:cs="Arial"/>
                <w:webHidden/>
              </w:rPr>
              <w:fldChar w:fldCharType="end"/>
            </w:r>
          </w:hyperlink>
        </w:p>
        <w:p w14:paraId="53FCC64F" w14:textId="0318CE06" w:rsidR="008F5F1A" w:rsidRPr="008F5F1A" w:rsidRDefault="00661B8B">
          <w:pPr>
            <w:pStyle w:val="TOC2"/>
            <w:rPr>
              <w:rFonts w:ascii="Arial" w:hAnsi="Arial" w:cs="Arial"/>
              <w:noProof/>
              <w:lang w:val="en-AU" w:eastAsia="en-AU"/>
            </w:rPr>
          </w:pPr>
          <w:hyperlink w:anchor="_Toc48212733" w:history="1">
            <w:r w:rsidR="008F5F1A" w:rsidRPr="008F5F1A">
              <w:rPr>
                <w:rStyle w:val="Hyperlink"/>
                <w:rFonts w:ascii="Arial" w:hAnsi="Arial" w:cs="Arial"/>
                <w:noProof/>
              </w:rPr>
              <w:t>Part 12 – Identifying and monitoring biodiversity and making bioregional plans</w:t>
            </w:r>
            <w:r w:rsidR="008F5F1A" w:rsidRPr="008F5F1A">
              <w:rPr>
                <w:rFonts w:ascii="Arial" w:hAnsi="Arial" w:cs="Arial"/>
                <w:noProof/>
                <w:webHidden/>
              </w:rPr>
              <w:tab/>
            </w:r>
            <w:r w:rsidR="008F5F1A" w:rsidRPr="008F5F1A">
              <w:rPr>
                <w:rFonts w:ascii="Arial" w:hAnsi="Arial" w:cs="Arial"/>
                <w:noProof/>
                <w:webHidden/>
              </w:rPr>
              <w:fldChar w:fldCharType="begin"/>
            </w:r>
            <w:r w:rsidR="008F5F1A" w:rsidRPr="008F5F1A">
              <w:rPr>
                <w:rFonts w:ascii="Arial" w:hAnsi="Arial" w:cs="Arial"/>
                <w:noProof/>
                <w:webHidden/>
              </w:rPr>
              <w:instrText xml:space="preserve"> PAGEREF _Toc48212733 \h </w:instrText>
            </w:r>
            <w:r w:rsidR="008F5F1A" w:rsidRPr="008F5F1A">
              <w:rPr>
                <w:rFonts w:ascii="Arial" w:hAnsi="Arial" w:cs="Arial"/>
                <w:noProof/>
                <w:webHidden/>
              </w:rPr>
            </w:r>
            <w:r w:rsidR="008F5F1A" w:rsidRPr="008F5F1A">
              <w:rPr>
                <w:rFonts w:ascii="Arial" w:hAnsi="Arial" w:cs="Arial"/>
                <w:noProof/>
                <w:webHidden/>
              </w:rPr>
              <w:fldChar w:fldCharType="separate"/>
            </w:r>
            <w:r w:rsidR="00397636">
              <w:rPr>
                <w:rFonts w:ascii="Arial" w:hAnsi="Arial" w:cs="Arial"/>
                <w:noProof/>
                <w:webHidden/>
              </w:rPr>
              <w:t>47</w:t>
            </w:r>
            <w:r w:rsidR="008F5F1A" w:rsidRPr="008F5F1A">
              <w:rPr>
                <w:rFonts w:ascii="Arial" w:hAnsi="Arial" w:cs="Arial"/>
                <w:noProof/>
                <w:webHidden/>
              </w:rPr>
              <w:fldChar w:fldCharType="end"/>
            </w:r>
          </w:hyperlink>
        </w:p>
        <w:p w14:paraId="2350BA57" w14:textId="61E10E49" w:rsidR="008F5F1A" w:rsidRPr="008F5F1A" w:rsidRDefault="00661B8B">
          <w:pPr>
            <w:pStyle w:val="TOC2"/>
            <w:rPr>
              <w:rFonts w:ascii="Arial" w:hAnsi="Arial" w:cs="Arial"/>
              <w:noProof/>
              <w:lang w:val="en-AU" w:eastAsia="en-AU"/>
            </w:rPr>
          </w:pPr>
          <w:hyperlink w:anchor="_Toc48212734" w:history="1">
            <w:r w:rsidR="008F5F1A" w:rsidRPr="008F5F1A">
              <w:rPr>
                <w:rStyle w:val="Hyperlink"/>
                <w:rFonts w:ascii="Arial" w:hAnsi="Arial" w:cs="Arial"/>
                <w:noProof/>
              </w:rPr>
              <w:t>Part 13 – Species and communities</w:t>
            </w:r>
            <w:r w:rsidR="008F5F1A" w:rsidRPr="008F5F1A">
              <w:rPr>
                <w:rFonts w:ascii="Arial" w:hAnsi="Arial" w:cs="Arial"/>
                <w:noProof/>
                <w:webHidden/>
              </w:rPr>
              <w:tab/>
            </w:r>
            <w:r w:rsidR="008F5F1A" w:rsidRPr="008F5F1A">
              <w:rPr>
                <w:rFonts w:ascii="Arial" w:hAnsi="Arial" w:cs="Arial"/>
                <w:noProof/>
                <w:webHidden/>
              </w:rPr>
              <w:fldChar w:fldCharType="begin"/>
            </w:r>
            <w:r w:rsidR="008F5F1A" w:rsidRPr="008F5F1A">
              <w:rPr>
                <w:rFonts w:ascii="Arial" w:hAnsi="Arial" w:cs="Arial"/>
                <w:noProof/>
                <w:webHidden/>
              </w:rPr>
              <w:instrText xml:space="preserve"> PAGEREF _Toc48212734 \h </w:instrText>
            </w:r>
            <w:r w:rsidR="008F5F1A" w:rsidRPr="008F5F1A">
              <w:rPr>
                <w:rFonts w:ascii="Arial" w:hAnsi="Arial" w:cs="Arial"/>
                <w:noProof/>
                <w:webHidden/>
              </w:rPr>
            </w:r>
            <w:r w:rsidR="008F5F1A" w:rsidRPr="008F5F1A">
              <w:rPr>
                <w:rFonts w:ascii="Arial" w:hAnsi="Arial" w:cs="Arial"/>
                <w:noProof/>
                <w:webHidden/>
              </w:rPr>
              <w:fldChar w:fldCharType="separate"/>
            </w:r>
            <w:r w:rsidR="00397636">
              <w:rPr>
                <w:rFonts w:ascii="Arial" w:hAnsi="Arial" w:cs="Arial"/>
                <w:noProof/>
                <w:webHidden/>
              </w:rPr>
              <w:t>48</w:t>
            </w:r>
            <w:r w:rsidR="008F5F1A" w:rsidRPr="008F5F1A">
              <w:rPr>
                <w:rFonts w:ascii="Arial" w:hAnsi="Arial" w:cs="Arial"/>
                <w:noProof/>
                <w:webHidden/>
              </w:rPr>
              <w:fldChar w:fldCharType="end"/>
            </w:r>
          </w:hyperlink>
        </w:p>
        <w:p w14:paraId="6B0955D3" w14:textId="6FA7E55D" w:rsidR="008F5F1A" w:rsidRPr="008F5F1A" w:rsidRDefault="00661B8B">
          <w:pPr>
            <w:pStyle w:val="TOC2"/>
            <w:rPr>
              <w:rFonts w:ascii="Arial" w:hAnsi="Arial" w:cs="Arial"/>
              <w:noProof/>
              <w:lang w:val="en-AU" w:eastAsia="en-AU"/>
            </w:rPr>
          </w:pPr>
          <w:hyperlink w:anchor="_Toc48212735" w:history="1">
            <w:r w:rsidR="008F5F1A" w:rsidRPr="008F5F1A">
              <w:rPr>
                <w:rStyle w:val="Hyperlink"/>
                <w:rFonts w:ascii="Arial" w:hAnsi="Arial" w:cs="Arial"/>
                <w:noProof/>
              </w:rPr>
              <w:t>Part 13A – International movement of wildlife specimens</w:t>
            </w:r>
            <w:r w:rsidR="008F5F1A" w:rsidRPr="008F5F1A">
              <w:rPr>
                <w:rFonts w:ascii="Arial" w:hAnsi="Arial" w:cs="Arial"/>
                <w:noProof/>
                <w:webHidden/>
              </w:rPr>
              <w:tab/>
            </w:r>
            <w:r w:rsidR="008F5F1A" w:rsidRPr="008F5F1A">
              <w:rPr>
                <w:rFonts w:ascii="Arial" w:hAnsi="Arial" w:cs="Arial"/>
                <w:noProof/>
                <w:webHidden/>
              </w:rPr>
              <w:fldChar w:fldCharType="begin"/>
            </w:r>
            <w:r w:rsidR="008F5F1A" w:rsidRPr="008F5F1A">
              <w:rPr>
                <w:rFonts w:ascii="Arial" w:hAnsi="Arial" w:cs="Arial"/>
                <w:noProof/>
                <w:webHidden/>
              </w:rPr>
              <w:instrText xml:space="preserve"> PAGEREF _Toc48212735 \h </w:instrText>
            </w:r>
            <w:r w:rsidR="008F5F1A" w:rsidRPr="008F5F1A">
              <w:rPr>
                <w:rFonts w:ascii="Arial" w:hAnsi="Arial" w:cs="Arial"/>
                <w:noProof/>
                <w:webHidden/>
              </w:rPr>
            </w:r>
            <w:r w:rsidR="008F5F1A" w:rsidRPr="008F5F1A">
              <w:rPr>
                <w:rFonts w:ascii="Arial" w:hAnsi="Arial" w:cs="Arial"/>
                <w:noProof/>
                <w:webHidden/>
              </w:rPr>
              <w:fldChar w:fldCharType="separate"/>
            </w:r>
            <w:r w:rsidR="00397636">
              <w:rPr>
                <w:rFonts w:ascii="Arial" w:hAnsi="Arial" w:cs="Arial"/>
                <w:noProof/>
                <w:webHidden/>
              </w:rPr>
              <w:t>50</w:t>
            </w:r>
            <w:r w:rsidR="008F5F1A" w:rsidRPr="008F5F1A">
              <w:rPr>
                <w:rFonts w:ascii="Arial" w:hAnsi="Arial" w:cs="Arial"/>
                <w:noProof/>
                <w:webHidden/>
              </w:rPr>
              <w:fldChar w:fldCharType="end"/>
            </w:r>
          </w:hyperlink>
        </w:p>
        <w:p w14:paraId="602E5EA9" w14:textId="6D031F89" w:rsidR="008F5F1A" w:rsidRPr="008F5F1A" w:rsidRDefault="00661B8B">
          <w:pPr>
            <w:pStyle w:val="TOC2"/>
            <w:rPr>
              <w:rFonts w:ascii="Arial" w:hAnsi="Arial" w:cs="Arial"/>
              <w:noProof/>
              <w:lang w:val="en-AU" w:eastAsia="en-AU"/>
            </w:rPr>
          </w:pPr>
          <w:hyperlink w:anchor="_Toc48212736" w:history="1">
            <w:r w:rsidR="008F5F1A" w:rsidRPr="008F5F1A">
              <w:rPr>
                <w:rStyle w:val="Hyperlink"/>
                <w:rFonts w:ascii="Arial" w:hAnsi="Arial" w:cs="Arial"/>
                <w:noProof/>
              </w:rPr>
              <w:t>Part 16 – Precautionary principle and other considerations in making decisions</w:t>
            </w:r>
            <w:r w:rsidR="008F5F1A" w:rsidRPr="008F5F1A">
              <w:rPr>
                <w:rFonts w:ascii="Arial" w:hAnsi="Arial" w:cs="Arial"/>
                <w:noProof/>
                <w:webHidden/>
              </w:rPr>
              <w:tab/>
            </w:r>
            <w:r w:rsidR="008F5F1A" w:rsidRPr="008F5F1A">
              <w:rPr>
                <w:rFonts w:ascii="Arial" w:hAnsi="Arial" w:cs="Arial"/>
                <w:noProof/>
                <w:webHidden/>
              </w:rPr>
              <w:fldChar w:fldCharType="begin"/>
            </w:r>
            <w:r w:rsidR="008F5F1A" w:rsidRPr="008F5F1A">
              <w:rPr>
                <w:rFonts w:ascii="Arial" w:hAnsi="Arial" w:cs="Arial"/>
                <w:noProof/>
                <w:webHidden/>
              </w:rPr>
              <w:instrText xml:space="preserve"> PAGEREF _Toc48212736 \h </w:instrText>
            </w:r>
            <w:r w:rsidR="008F5F1A" w:rsidRPr="008F5F1A">
              <w:rPr>
                <w:rFonts w:ascii="Arial" w:hAnsi="Arial" w:cs="Arial"/>
                <w:noProof/>
                <w:webHidden/>
              </w:rPr>
            </w:r>
            <w:r w:rsidR="008F5F1A" w:rsidRPr="008F5F1A">
              <w:rPr>
                <w:rFonts w:ascii="Arial" w:hAnsi="Arial" w:cs="Arial"/>
                <w:noProof/>
                <w:webHidden/>
              </w:rPr>
              <w:fldChar w:fldCharType="separate"/>
            </w:r>
            <w:r w:rsidR="00397636">
              <w:rPr>
                <w:rFonts w:ascii="Arial" w:hAnsi="Arial" w:cs="Arial"/>
                <w:noProof/>
                <w:webHidden/>
              </w:rPr>
              <w:t>57</w:t>
            </w:r>
            <w:r w:rsidR="008F5F1A" w:rsidRPr="008F5F1A">
              <w:rPr>
                <w:rFonts w:ascii="Arial" w:hAnsi="Arial" w:cs="Arial"/>
                <w:noProof/>
                <w:webHidden/>
              </w:rPr>
              <w:fldChar w:fldCharType="end"/>
            </w:r>
          </w:hyperlink>
        </w:p>
        <w:p w14:paraId="6DF25F85" w14:textId="73428C59" w:rsidR="008F5F1A" w:rsidRPr="008F5F1A" w:rsidRDefault="00661B8B">
          <w:pPr>
            <w:pStyle w:val="TOC1"/>
            <w:rPr>
              <w:rFonts w:ascii="Arial" w:eastAsiaTheme="minorEastAsia" w:hAnsi="Arial" w:cs="Arial"/>
              <w:sz w:val="22"/>
              <w:szCs w:val="22"/>
            </w:rPr>
          </w:pPr>
          <w:hyperlink w:anchor="_Toc48212737" w:history="1">
            <w:r w:rsidR="008F5F1A" w:rsidRPr="008F5F1A">
              <w:rPr>
                <w:rStyle w:val="Hyperlink"/>
                <w:rFonts w:ascii="Arial" w:hAnsi="Arial" w:cs="Arial"/>
              </w:rPr>
              <w:t>References and bibliography</w:t>
            </w:r>
            <w:r w:rsidR="008F5F1A" w:rsidRPr="008F5F1A">
              <w:rPr>
                <w:rFonts w:ascii="Arial" w:hAnsi="Arial" w:cs="Arial"/>
                <w:webHidden/>
              </w:rPr>
              <w:tab/>
            </w:r>
            <w:r w:rsidR="008F5F1A" w:rsidRPr="008F5F1A">
              <w:rPr>
                <w:rFonts w:ascii="Arial" w:hAnsi="Arial" w:cs="Arial"/>
                <w:webHidden/>
              </w:rPr>
              <w:fldChar w:fldCharType="begin"/>
            </w:r>
            <w:r w:rsidR="008F5F1A" w:rsidRPr="008F5F1A">
              <w:rPr>
                <w:rFonts w:ascii="Arial" w:hAnsi="Arial" w:cs="Arial"/>
                <w:webHidden/>
              </w:rPr>
              <w:instrText xml:space="preserve"> PAGEREF _Toc48212737 \h </w:instrText>
            </w:r>
            <w:r w:rsidR="008F5F1A" w:rsidRPr="008F5F1A">
              <w:rPr>
                <w:rFonts w:ascii="Arial" w:hAnsi="Arial" w:cs="Arial"/>
                <w:webHidden/>
              </w:rPr>
            </w:r>
            <w:r w:rsidR="008F5F1A" w:rsidRPr="008F5F1A">
              <w:rPr>
                <w:rFonts w:ascii="Arial" w:hAnsi="Arial" w:cs="Arial"/>
                <w:webHidden/>
              </w:rPr>
              <w:fldChar w:fldCharType="separate"/>
            </w:r>
            <w:r w:rsidR="00397636">
              <w:rPr>
                <w:rFonts w:ascii="Arial" w:hAnsi="Arial" w:cs="Arial"/>
                <w:webHidden/>
              </w:rPr>
              <w:t>58</w:t>
            </w:r>
            <w:r w:rsidR="008F5F1A" w:rsidRPr="008F5F1A">
              <w:rPr>
                <w:rFonts w:ascii="Arial" w:hAnsi="Arial" w:cs="Arial"/>
                <w:webHidden/>
              </w:rPr>
              <w:fldChar w:fldCharType="end"/>
            </w:r>
          </w:hyperlink>
        </w:p>
        <w:p w14:paraId="27C7C4CB" w14:textId="06476143" w:rsidR="00134108" w:rsidRPr="00FD022E" w:rsidRDefault="00134108" w:rsidP="009E2BFB">
          <w:pPr>
            <w:tabs>
              <w:tab w:val="right" w:leader="dot" w:pos="8931"/>
              <w:tab w:val="right" w:leader="dot" w:pos="9072"/>
            </w:tabs>
            <w:spacing w:before="0" w:line="276" w:lineRule="auto"/>
            <w:ind w:right="281"/>
            <w:rPr>
              <w:rFonts w:cs="Arial"/>
            </w:rPr>
          </w:pPr>
          <w:r w:rsidRPr="00A45635">
            <w:rPr>
              <w:rFonts w:cs="Arial"/>
              <w:b/>
              <w:sz w:val="24"/>
              <w:szCs w:val="24"/>
            </w:rPr>
            <w:fldChar w:fldCharType="end"/>
          </w:r>
        </w:p>
      </w:sdtContent>
    </w:sdt>
    <w:p w14:paraId="03A653DE" w14:textId="4E22CAB8" w:rsidR="00134108" w:rsidRPr="00FD022E" w:rsidRDefault="00534237" w:rsidP="007F171B">
      <w:pPr>
        <w:spacing w:before="0" w:after="0" w:line="276" w:lineRule="auto"/>
        <w:rPr>
          <w:rFonts w:cs="Arial"/>
          <w:caps/>
          <w:sz w:val="24"/>
        </w:rPr>
      </w:pPr>
      <w:r w:rsidRPr="00FD022E">
        <w:rPr>
          <w:b/>
        </w:rPr>
        <w:br w:type="page"/>
      </w:r>
    </w:p>
    <w:p w14:paraId="4911004E" w14:textId="22C3D7F6" w:rsidR="00CF1DE5" w:rsidRPr="00FD022E" w:rsidRDefault="00C04854" w:rsidP="007F171B">
      <w:pPr>
        <w:pStyle w:val="Heading1"/>
        <w:spacing w:after="120"/>
        <w:rPr>
          <w:rFonts w:ascii="Arial" w:hAnsi="Arial"/>
        </w:rPr>
      </w:pPr>
      <w:bookmarkStart w:id="0" w:name="_Toc48212727"/>
      <w:r>
        <w:rPr>
          <w:rFonts w:ascii="Arial" w:hAnsi="Arial"/>
        </w:rPr>
        <w:lastRenderedPageBreak/>
        <w:t>assessment</w:t>
      </w:r>
      <w:r w:rsidR="00CF1DE5" w:rsidRPr="00FD022E">
        <w:rPr>
          <w:rFonts w:ascii="Arial" w:hAnsi="Arial"/>
        </w:rPr>
        <w:t xml:space="preserve"> </w:t>
      </w:r>
      <w:r w:rsidR="008F5F1A">
        <w:rPr>
          <w:rFonts w:ascii="Arial" w:hAnsi="Arial"/>
        </w:rPr>
        <w:t>s</w:t>
      </w:r>
      <w:r w:rsidR="00CF1DE5" w:rsidRPr="00FD022E">
        <w:rPr>
          <w:rFonts w:ascii="Arial" w:hAnsi="Arial"/>
        </w:rPr>
        <w:t>ummary</w:t>
      </w:r>
      <w:bookmarkEnd w:id="0"/>
    </w:p>
    <w:p w14:paraId="4CBCFC24" w14:textId="1BF4C211" w:rsidR="005A783B" w:rsidRPr="00FD022E" w:rsidRDefault="001A34A7" w:rsidP="007F171B">
      <w:pPr>
        <w:tabs>
          <w:tab w:val="left" w:pos="360"/>
        </w:tabs>
        <w:spacing w:before="0" w:line="276" w:lineRule="auto"/>
        <w:rPr>
          <w:rFonts w:cs="Arial"/>
          <w:noProof/>
        </w:rPr>
      </w:pPr>
      <w:r w:rsidRPr="00FD022E">
        <w:rPr>
          <w:rFonts w:cs="Arial"/>
          <w:noProof/>
        </w:rPr>
        <w:t xml:space="preserve">On </w:t>
      </w:r>
      <w:r w:rsidR="005A783B" w:rsidRPr="00FD022E">
        <w:rPr>
          <w:rFonts w:cs="Arial"/>
          <w:noProof/>
        </w:rPr>
        <w:t>19 December 2019</w:t>
      </w:r>
      <w:r w:rsidRPr="00FD022E">
        <w:rPr>
          <w:rFonts w:cs="Arial"/>
          <w:noProof/>
        </w:rPr>
        <w:t xml:space="preserve">, </w:t>
      </w:r>
      <w:r w:rsidR="005A783B" w:rsidRPr="00FD022E">
        <w:rPr>
          <w:rFonts w:cs="Arial"/>
          <w:noProof/>
        </w:rPr>
        <w:t>the Queensland Department of Agriculture and Fisheries (QDAF)</w:t>
      </w:r>
      <w:r w:rsidRPr="00FD022E">
        <w:rPr>
          <w:rFonts w:cs="Arial"/>
          <w:noProof/>
        </w:rPr>
        <w:t xml:space="preserve"> s</w:t>
      </w:r>
      <w:r w:rsidR="00E3768F" w:rsidRPr="00FD022E">
        <w:rPr>
          <w:rFonts w:cs="Arial"/>
          <w:noProof/>
        </w:rPr>
        <w:t>ubmitted an application</w:t>
      </w:r>
      <w:r w:rsidRPr="00FD022E">
        <w:rPr>
          <w:rFonts w:cs="Arial"/>
          <w:noProof/>
        </w:rPr>
        <w:t xml:space="preserve"> for </w:t>
      </w:r>
      <w:r w:rsidR="005A783B" w:rsidRPr="00FD022E">
        <w:rPr>
          <w:rFonts w:cs="Arial"/>
          <w:noProof/>
        </w:rPr>
        <w:t xml:space="preserve">assessment of the </w:t>
      </w:r>
      <w:r w:rsidR="00083497" w:rsidRPr="00FD022E">
        <w:rPr>
          <w:rFonts w:cs="Arial"/>
          <w:noProof/>
        </w:rPr>
        <w:t>Queensland Commercial Trawl (Fin Fish) Fishery</w:t>
      </w:r>
      <w:r w:rsidR="005A783B" w:rsidRPr="00FD022E">
        <w:rPr>
          <w:rFonts w:cs="Arial"/>
          <w:noProof/>
        </w:rPr>
        <w:t xml:space="preserve"> (CTFFF) </w:t>
      </w:r>
      <w:r w:rsidR="00E3768F" w:rsidRPr="00FD022E">
        <w:rPr>
          <w:rFonts w:cs="Arial"/>
          <w:noProof/>
        </w:rPr>
        <w:t xml:space="preserve">under </w:t>
      </w:r>
      <w:r w:rsidR="00323CA8" w:rsidRPr="00FD022E">
        <w:rPr>
          <w:rFonts w:cs="Arial"/>
          <w:noProof/>
        </w:rPr>
        <w:t>protected species</w:t>
      </w:r>
      <w:r w:rsidR="00DB58A8">
        <w:rPr>
          <w:rFonts w:cs="Arial"/>
          <w:noProof/>
        </w:rPr>
        <w:t xml:space="preserve"> and </w:t>
      </w:r>
      <w:r w:rsidR="00323CA8" w:rsidRPr="00FD022E">
        <w:rPr>
          <w:rFonts w:cs="Arial"/>
          <w:noProof/>
        </w:rPr>
        <w:t>wildlife trade</w:t>
      </w:r>
      <w:r w:rsidR="00DB58A8">
        <w:rPr>
          <w:rFonts w:cs="Arial"/>
          <w:noProof/>
        </w:rPr>
        <w:t xml:space="preserve"> provisions</w:t>
      </w:r>
      <w:r w:rsidR="00323CA8" w:rsidRPr="00FD022E">
        <w:rPr>
          <w:rFonts w:cs="Arial"/>
          <w:noProof/>
        </w:rPr>
        <w:t xml:space="preserve"> of the</w:t>
      </w:r>
      <w:r w:rsidRPr="00FD022E">
        <w:rPr>
          <w:rFonts w:cs="Arial"/>
          <w:noProof/>
        </w:rPr>
        <w:t xml:space="preserve"> </w:t>
      </w:r>
      <w:r w:rsidR="00E3768F" w:rsidRPr="00FD022E">
        <w:rPr>
          <w:rFonts w:cs="Arial"/>
          <w:noProof/>
        </w:rPr>
        <w:t>EPBC Act</w:t>
      </w:r>
      <w:r w:rsidR="005A783B" w:rsidRPr="00FD022E">
        <w:rPr>
          <w:rFonts w:cs="Arial"/>
          <w:noProof/>
        </w:rPr>
        <w:t>.</w:t>
      </w:r>
    </w:p>
    <w:p w14:paraId="6DC5CBD8" w14:textId="3768672E" w:rsidR="0048397D" w:rsidRPr="0056782D" w:rsidRDefault="005A783B" w:rsidP="007F171B">
      <w:pPr>
        <w:tabs>
          <w:tab w:val="left" w:pos="360"/>
        </w:tabs>
        <w:spacing w:before="0" w:line="276" w:lineRule="auto"/>
        <w:rPr>
          <w:rFonts w:cs="Arial"/>
          <w:noProof/>
        </w:rPr>
      </w:pPr>
      <w:r w:rsidRPr="00FD022E">
        <w:rPr>
          <w:rFonts w:cs="Arial"/>
          <w:noProof/>
        </w:rPr>
        <w:t xml:space="preserve">The Department of Agriculture, Water and the Environment (the Department) </w:t>
      </w:r>
      <w:r w:rsidR="00935CA5" w:rsidRPr="00FD022E">
        <w:rPr>
          <w:rFonts w:cs="Arial"/>
          <w:noProof/>
        </w:rPr>
        <w:t xml:space="preserve">sought public comments on the application and considered the comments received when assessing the </w:t>
      </w:r>
      <w:r w:rsidRPr="00FD022E">
        <w:rPr>
          <w:rFonts w:cs="Arial"/>
          <w:noProof/>
        </w:rPr>
        <w:t xml:space="preserve">fishery </w:t>
      </w:r>
      <w:r w:rsidR="001A34A7" w:rsidRPr="00FD022E">
        <w:rPr>
          <w:rFonts w:cs="Arial"/>
          <w:noProof/>
        </w:rPr>
        <w:t>against the Australian Government ‘Guidelines for the Ecologically Sustainable Management of Fisheries – 2nd Edition’.</w:t>
      </w:r>
    </w:p>
    <w:p w14:paraId="6CF9B44D" w14:textId="214BA356" w:rsidR="0049500E" w:rsidRPr="0049500E" w:rsidRDefault="0049500E" w:rsidP="007F171B">
      <w:pPr>
        <w:tabs>
          <w:tab w:val="left" w:pos="360"/>
        </w:tabs>
        <w:spacing w:before="0" w:line="276" w:lineRule="auto"/>
        <w:rPr>
          <w:rFonts w:cs="Arial"/>
          <w:i/>
          <w:iCs/>
          <w:noProof/>
        </w:rPr>
      </w:pPr>
      <w:r w:rsidRPr="0049500E">
        <w:rPr>
          <w:rFonts w:cs="Arial"/>
          <w:i/>
          <w:iCs/>
          <w:noProof/>
        </w:rPr>
        <w:t>Description</w:t>
      </w:r>
      <w:r>
        <w:rPr>
          <w:rFonts w:cs="Arial"/>
          <w:i/>
          <w:iCs/>
          <w:noProof/>
        </w:rPr>
        <w:t xml:space="preserve"> of fishery</w:t>
      </w:r>
    </w:p>
    <w:p w14:paraId="16495E56" w14:textId="3AA5E571" w:rsidR="00657E9D" w:rsidRPr="00A5177C" w:rsidRDefault="00657E9D" w:rsidP="007F171B">
      <w:pPr>
        <w:tabs>
          <w:tab w:val="left" w:pos="360"/>
        </w:tabs>
        <w:spacing w:before="0" w:line="276" w:lineRule="auto"/>
        <w:rPr>
          <w:rFonts w:cs="Arial"/>
          <w:b/>
          <w:iCs/>
          <w:noProof/>
        </w:rPr>
      </w:pPr>
      <w:r w:rsidRPr="00FD022E">
        <w:rPr>
          <w:rFonts w:cs="Arial"/>
          <w:iCs/>
          <w:noProof/>
        </w:rPr>
        <w:t xml:space="preserve">The CTFFF is a Demersal Otter Trawl and Danish Seine fishery </w:t>
      </w:r>
      <w:r w:rsidR="00672C1E" w:rsidRPr="00FD022E">
        <w:rPr>
          <w:rFonts w:cs="Arial"/>
          <w:iCs/>
          <w:noProof/>
        </w:rPr>
        <w:t xml:space="preserve">with a total of five licences. The fishery </w:t>
      </w:r>
      <w:r w:rsidRPr="00FD022E">
        <w:rPr>
          <w:rFonts w:cs="Arial"/>
          <w:iCs/>
          <w:noProof/>
        </w:rPr>
        <w:t>targets Stout Whiting (</w:t>
      </w:r>
      <w:r w:rsidRPr="00FD022E">
        <w:rPr>
          <w:rFonts w:cs="Arial"/>
          <w:i/>
          <w:iCs/>
          <w:noProof/>
        </w:rPr>
        <w:t>Sillago robusta</w:t>
      </w:r>
      <w:r w:rsidRPr="00FD022E">
        <w:rPr>
          <w:rFonts w:cs="Arial"/>
          <w:iCs/>
          <w:noProof/>
        </w:rPr>
        <w:t>) and Red Spot Whiting (</w:t>
      </w:r>
      <w:r w:rsidRPr="00FD022E">
        <w:rPr>
          <w:rFonts w:cs="Arial"/>
          <w:i/>
          <w:iCs/>
          <w:noProof/>
        </w:rPr>
        <w:t>S</w:t>
      </w:r>
      <w:r w:rsidR="00A60D43" w:rsidRPr="00FD022E">
        <w:rPr>
          <w:rFonts w:cs="Arial"/>
          <w:i/>
          <w:iCs/>
          <w:noProof/>
        </w:rPr>
        <w:t>.</w:t>
      </w:r>
      <w:r w:rsidRPr="00FD022E">
        <w:rPr>
          <w:rFonts w:cs="Arial"/>
          <w:i/>
          <w:iCs/>
          <w:noProof/>
        </w:rPr>
        <w:t xml:space="preserve"> flindersi</w:t>
      </w:r>
      <w:r w:rsidRPr="00FD022E">
        <w:rPr>
          <w:rFonts w:cs="Arial"/>
          <w:iCs/>
          <w:noProof/>
        </w:rPr>
        <w:t>)</w:t>
      </w:r>
      <w:r w:rsidR="00930961" w:rsidRPr="00FD022E">
        <w:rPr>
          <w:rFonts w:cs="Arial"/>
          <w:iCs/>
          <w:noProof/>
        </w:rPr>
        <w:t xml:space="preserve">, and also takes </w:t>
      </w:r>
      <w:r w:rsidR="00672C1E" w:rsidRPr="00FD022E">
        <w:rPr>
          <w:rFonts w:cs="Arial"/>
          <w:iCs/>
          <w:noProof/>
        </w:rPr>
        <w:t xml:space="preserve">a range of </w:t>
      </w:r>
      <w:r w:rsidRPr="00FD022E">
        <w:rPr>
          <w:rFonts w:cs="Arial"/>
          <w:iCs/>
          <w:noProof/>
        </w:rPr>
        <w:t xml:space="preserve">by-product species </w:t>
      </w:r>
      <w:r w:rsidR="00930961" w:rsidRPr="00FD022E">
        <w:rPr>
          <w:rFonts w:cs="Arial"/>
          <w:iCs/>
          <w:noProof/>
        </w:rPr>
        <w:t>in waters between 20 and 50 fathoms deep</w:t>
      </w:r>
      <w:r w:rsidR="00672C1E" w:rsidRPr="00FD022E">
        <w:rPr>
          <w:rFonts w:cs="Arial"/>
          <w:iCs/>
          <w:noProof/>
        </w:rPr>
        <w:t xml:space="preserve">. The fishery includes both state and Commonwealth waters </w:t>
      </w:r>
      <w:r w:rsidRPr="00FD022E">
        <w:rPr>
          <w:rFonts w:cs="Arial"/>
          <w:iCs/>
          <w:noProof/>
        </w:rPr>
        <w:t xml:space="preserve">off </w:t>
      </w:r>
      <w:r w:rsidR="00930961" w:rsidRPr="00FD022E">
        <w:rPr>
          <w:rFonts w:cs="Arial"/>
          <w:iCs/>
          <w:noProof/>
        </w:rPr>
        <w:t xml:space="preserve">the </w:t>
      </w:r>
      <w:r w:rsidRPr="00FD022E">
        <w:rPr>
          <w:rFonts w:cs="Arial"/>
          <w:iCs/>
          <w:noProof/>
        </w:rPr>
        <w:t>Southern Queensland</w:t>
      </w:r>
      <w:r w:rsidR="00930961" w:rsidRPr="00FD022E">
        <w:rPr>
          <w:rFonts w:cs="Arial"/>
          <w:iCs/>
          <w:noProof/>
        </w:rPr>
        <w:t xml:space="preserve"> coast</w:t>
      </w:r>
      <w:r w:rsidRPr="00FD022E">
        <w:rPr>
          <w:rFonts w:cs="Arial"/>
          <w:iCs/>
          <w:noProof/>
        </w:rPr>
        <w:t>, from Sandy Cape south to the Queensland-New South Wales border.</w:t>
      </w:r>
      <w:r w:rsidR="002B6789">
        <w:rPr>
          <w:rFonts w:cs="Arial"/>
          <w:iCs/>
          <w:noProof/>
        </w:rPr>
        <w:t xml:space="preserve"> </w:t>
      </w:r>
      <w:r w:rsidRPr="00FD022E">
        <w:rPr>
          <w:rFonts w:cs="Arial"/>
          <w:iCs/>
          <w:noProof/>
        </w:rPr>
        <w:t xml:space="preserve">The fishery area is overlapped by the </w:t>
      </w:r>
      <w:r w:rsidRPr="00A5177C">
        <w:rPr>
          <w:rFonts w:cs="Arial"/>
          <w:iCs/>
          <w:noProof/>
        </w:rPr>
        <w:t xml:space="preserve">Queensland East Coast Otter Trawl Fishery </w:t>
      </w:r>
      <w:r w:rsidR="002C3EE4" w:rsidRPr="00A5177C">
        <w:rPr>
          <w:rFonts w:cs="Arial"/>
          <w:iCs/>
          <w:noProof/>
        </w:rPr>
        <w:t xml:space="preserve">(ECOT) </w:t>
      </w:r>
      <w:r w:rsidRPr="00A5177C">
        <w:rPr>
          <w:rFonts w:cs="Arial"/>
          <w:iCs/>
          <w:noProof/>
        </w:rPr>
        <w:t xml:space="preserve">which fishes the same grounds </w:t>
      </w:r>
      <w:r w:rsidR="00672C1E" w:rsidRPr="00A5177C">
        <w:rPr>
          <w:rFonts w:cs="Arial"/>
          <w:iCs/>
          <w:noProof/>
        </w:rPr>
        <w:t xml:space="preserve">for </w:t>
      </w:r>
      <w:r w:rsidRPr="00A5177C">
        <w:rPr>
          <w:rFonts w:cs="Arial"/>
          <w:iCs/>
          <w:noProof/>
        </w:rPr>
        <w:t>prawns and scallops.</w:t>
      </w:r>
    </w:p>
    <w:p w14:paraId="32B335DE" w14:textId="0D64BE7B" w:rsidR="00CE0A08" w:rsidRPr="00A5177C" w:rsidRDefault="008721CA" w:rsidP="007F171B">
      <w:pPr>
        <w:tabs>
          <w:tab w:val="left" w:pos="360"/>
        </w:tabs>
        <w:spacing w:before="0" w:line="276" w:lineRule="auto"/>
        <w:rPr>
          <w:rFonts w:cs="Arial"/>
          <w:iCs/>
          <w:noProof/>
        </w:rPr>
      </w:pPr>
      <w:r w:rsidRPr="00A5177C">
        <w:rPr>
          <w:rFonts w:cs="Arial"/>
          <w:iCs/>
          <w:noProof/>
        </w:rPr>
        <w:t xml:space="preserve">In 2017 </w:t>
      </w:r>
      <w:r w:rsidR="00672C1E" w:rsidRPr="00A5177C">
        <w:rPr>
          <w:rFonts w:cs="Arial"/>
          <w:iCs/>
          <w:noProof/>
        </w:rPr>
        <w:t xml:space="preserve">QDAF </w:t>
      </w:r>
      <w:r w:rsidRPr="00A5177C">
        <w:rPr>
          <w:rFonts w:cs="Arial"/>
          <w:iCs/>
          <w:noProof/>
        </w:rPr>
        <w:t>commenced a trail</w:t>
      </w:r>
      <w:r w:rsidR="00CE0A08" w:rsidRPr="00A5177C">
        <w:rPr>
          <w:rFonts w:cs="Arial"/>
          <w:iCs/>
          <w:noProof/>
        </w:rPr>
        <w:t xml:space="preserve"> </w:t>
      </w:r>
      <w:r w:rsidRPr="00A5177C">
        <w:rPr>
          <w:rFonts w:cs="Arial"/>
          <w:iCs/>
          <w:noProof/>
        </w:rPr>
        <w:t>which extend</w:t>
      </w:r>
      <w:r w:rsidR="00CE0A08" w:rsidRPr="00A5177C">
        <w:rPr>
          <w:rFonts w:cs="Arial"/>
          <w:iCs/>
          <w:noProof/>
        </w:rPr>
        <w:t>s</w:t>
      </w:r>
      <w:r w:rsidRPr="00A5177C">
        <w:rPr>
          <w:rFonts w:cs="Arial"/>
          <w:iCs/>
          <w:noProof/>
        </w:rPr>
        <w:t xml:space="preserve"> fishing </w:t>
      </w:r>
      <w:r w:rsidR="00CE0A08" w:rsidRPr="00A5177C">
        <w:rPr>
          <w:rFonts w:cs="Arial"/>
          <w:iCs/>
          <w:noProof/>
        </w:rPr>
        <w:t xml:space="preserve">by CTFFF licence holders </w:t>
      </w:r>
      <w:r w:rsidRPr="00A5177C">
        <w:rPr>
          <w:rFonts w:cs="Arial"/>
          <w:iCs/>
          <w:noProof/>
        </w:rPr>
        <w:t>into waters shallower than 20 fathoms</w:t>
      </w:r>
      <w:r w:rsidR="006C3D53" w:rsidRPr="00A5177C">
        <w:rPr>
          <w:rFonts w:cs="Arial"/>
          <w:iCs/>
          <w:noProof/>
        </w:rPr>
        <w:t>. Fishing in those trial areas is undertaken</w:t>
      </w:r>
      <w:r w:rsidR="00A82468" w:rsidRPr="00A5177C">
        <w:rPr>
          <w:rFonts w:cs="Arial"/>
          <w:sz w:val="20"/>
          <w:szCs w:val="20"/>
        </w:rPr>
        <w:t xml:space="preserve"> </w:t>
      </w:r>
      <w:r w:rsidR="00A82468" w:rsidRPr="00A5177C">
        <w:rPr>
          <w:rFonts w:cs="Arial"/>
          <w:iCs/>
          <w:noProof/>
        </w:rPr>
        <w:t>from April to September</w:t>
      </w:r>
      <w:r w:rsidR="006C3D53" w:rsidRPr="00A5177C">
        <w:rPr>
          <w:rFonts w:cs="Arial"/>
          <w:iCs/>
          <w:noProof/>
        </w:rPr>
        <w:t xml:space="preserve"> each year</w:t>
      </w:r>
      <w:r w:rsidR="00CE0A08" w:rsidRPr="00A5177C">
        <w:rPr>
          <w:rFonts w:cs="Arial"/>
          <w:iCs/>
          <w:noProof/>
        </w:rPr>
        <w:t xml:space="preserve"> and is intended to allow CTFFF fishers to more efficiently catch their quotas and reduce </w:t>
      </w:r>
      <w:r w:rsidR="000825B2" w:rsidRPr="00A5177C">
        <w:rPr>
          <w:rFonts w:cs="Arial"/>
          <w:iCs/>
          <w:noProof/>
        </w:rPr>
        <w:t xml:space="preserve">competition </w:t>
      </w:r>
      <w:r w:rsidR="00CE0A08" w:rsidRPr="00A5177C">
        <w:rPr>
          <w:rFonts w:cs="Arial"/>
          <w:iCs/>
          <w:noProof/>
        </w:rPr>
        <w:t>with other fisheries operating in the same area as the CTFFF</w:t>
      </w:r>
      <w:r w:rsidR="00A82468" w:rsidRPr="00A5177C">
        <w:rPr>
          <w:rFonts w:cs="Arial"/>
          <w:iCs/>
          <w:noProof/>
        </w:rPr>
        <w:t>.</w:t>
      </w:r>
    </w:p>
    <w:p w14:paraId="79796BAC" w14:textId="70357E3F" w:rsidR="00CE0A08" w:rsidRPr="00A5177C" w:rsidRDefault="00CE0A08" w:rsidP="007F171B">
      <w:pPr>
        <w:tabs>
          <w:tab w:val="left" w:pos="360"/>
        </w:tabs>
        <w:spacing w:before="0" w:line="276" w:lineRule="auto"/>
        <w:rPr>
          <w:rFonts w:cs="Arial"/>
          <w:iCs/>
          <w:noProof/>
        </w:rPr>
      </w:pPr>
      <w:r w:rsidRPr="00A5177C">
        <w:rPr>
          <w:rFonts w:cs="Arial"/>
          <w:iCs/>
          <w:noProof/>
        </w:rPr>
        <w:t>The trial area was historically closed to fishing by CTFFF fishers as part of the ecological risk mitigation regime for the CTFFF, to minimise impacts on juvenile Stout Whiting and to reduce co</w:t>
      </w:r>
      <w:r w:rsidR="000825B2" w:rsidRPr="00A5177C">
        <w:rPr>
          <w:rFonts w:cs="Arial"/>
          <w:iCs/>
          <w:noProof/>
        </w:rPr>
        <w:t xml:space="preserve">mpetition </w:t>
      </w:r>
      <w:r w:rsidRPr="00A5177C">
        <w:rPr>
          <w:rFonts w:cs="Arial"/>
          <w:iCs/>
          <w:noProof/>
        </w:rPr>
        <w:t xml:space="preserve">with other trawl fisheries operating in </w:t>
      </w:r>
      <w:r w:rsidR="000825B2" w:rsidRPr="00A5177C">
        <w:rPr>
          <w:rFonts w:cs="Arial"/>
          <w:iCs/>
          <w:noProof/>
        </w:rPr>
        <w:t xml:space="preserve">the more inshore </w:t>
      </w:r>
      <w:r w:rsidRPr="00A5177C">
        <w:rPr>
          <w:rFonts w:cs="Arial"/>
          <w:iCs/>
          <w:noProof/>
        </w:rPr>
        <w:t>area</w:t>
      </w:r>
      <w:r w:rsidR="000825B2" w:rsidRPr="00A5177C">
        <w:rPr>
          <w:rFonts w:cs="Arial"/>
          <w:iCs/>
          <w:noProof/>
        </w:rPr>
        <w:t>s</w:t>
      </w:r>
      <w:r w:rsidRPr="00A5177C">
        <w:rPr>
          <w:rFonts w:cs="Arial"/>
          <w:iCs/>
          <w:noProof/>
        </w:rPr>
        <w:t>. QDAF has advised that there is now less trawl activity in those shallower trial areas by other fisheries</w:t>
      </w:r>
      <w:r w:rsidR="004060B1" w:rsidRPr="00A5177C">
        <w:rPr>
          <w:rFonts w:cs="Arial"/>
          <w:iCs/>
          <w:noProof/>
        </w:rPr>
        <w:t>.</w:t>
      </w:r>
    </w:p>
    <w:p w14:paraId="4CB41603" w14:textId="3236A1AC" w:rsidR="00615774" w:rsidRPr="00A5177C" w:rsidRDefault="006120D2" w:rsidP="007F171B">
      <w:pPr>
        <w:tabs>
          <w:tab w:val="left" w:pos="360"/>
        </w:tabs>
        <w:spacing w:before="0" w:line="276" w:lineRule="auto"/>
        <w:rPr>
          <w:rFonts w:cs="Arial"/>
          <w:iCs/>
          <w:noProof/>
        </w:rPr>
      </w:pPr>
      <w:r w:rsidRPr="00A5177C">
        <w:rPr>
          <w:rFonts w:cs="Arial"/>
          <w:iCs/>
          <w:noProof/>
        </w:rPr>
        <w:t xml:space="preserve">QDAF has not applied for </w:t>
      </w:r>
      <w:r w:rsidR="006F0A54" w:rsidRPr="00A5177C">
        <w:rPr>
          <w:rFonts w:cs="Arial"/>
          <w:iCs/>
          <w:noProof/>
        </w:rPr>
        <w:t xml:space="preserve">approval of </w:t>
      </w:r>
      <w:r w:rsidRPr="00A5177C">
        <w:rPr>
          <w:rFonts w:cs="Arial"/>
          <w:iCs/>
          <w:noProof/>
        </w:rPr>
        <w:t xml:space="preserve">the trial arrangements </w:t>
      </w:r>
      <w:r w:rsidR="006F0A54" w:rsidRPr="00A5177C">
        <w:rPr>
          <w:rFonts w:cs="Arial"/>
          <w:iCs/>
          <w:noProof/>
        </w:rPr>
        <w:t xml:space="preserve">under </w:t>
      </w:r>
      <w:r w:rsidR="00DB58A8" w:rsidRPr="00A5177C">
        <w:rPr>
          <w:rFonts w:cs="Arial"/>
          <w:iCs/>
          <w:noProof/>
        </w:rPr>
        <w:t>the</w:t>
      </w:r>
      <w:r w:rsidR="00701893" w:rsidRPr="00A5177C">
        <w:rPr>
          <w:rFonts w:cs="Arial"/>
          <w:iCs/>
          <w:noProof/>
        </w:rPr>
        <w:t xml:space="preserve"> EPBC Act</w:t>
      </w:r>
      <w:r w:rsidR="006F0A54" w:rsidRPr="00A5177C">
        <w:rPr>
          <w:rFonts w:cs="Arial"/>
          <w:iCs/>
          <w:noProof/>
        </w:rPr>
        <w:t xml:space="preserve">, </w:t>
      </w:r>
      <w:r w:rsidR="00CE0A08" w:rsidRPr="00A5177C">
        <w:rPr>
          <w:rFonts w:cs="Arial"/>
          <w:iCs/>
          <w:noProof/>
        </w:rPr>
        <w:t xml:space="preserve">and </w:t>
      </w:r>
      <w:r w:rsidRPr="00A5177C">
        <w:rPr>
          <w:rFonts w:cs="Arial"/>
          <w:iCs/>
          <w:noProof/>
        </w:rPr>
        <w:t xml:space="preserve">existing </w:t>
      </w:r>
      <w:r w:rsidR="00CE0A08" w:rsidRPr="00A5177C">
        <w:rPr>
          <w:rFonts w:cs="Arial"/>
          <w:iCs/>
          <w:noProof/>
        </w:rPr>
        <w:t xml:space="preserve">and </w:t>
      </w:r>
      <w:r w:rsidRPr="00A5177C">
        <w:rPr>
          <w:rFonts w:cs="Arial"/>
          <w:iCs/>
          <w:noProof/>
        </w:rPr>
        <w:t xml:space="preserve">proposed approvals </w:t>
      </w:r>
      <w:r w:rsidR="006F0A54" w:rsidRPr="00A5177C">
        <w:rPr>
          <w:rFonts w:cs="Arial"/>
          <w:iCs/>
          <w:noProof/>
        </w:rPr>
        <w:t>for the CTFFF</w:t>
      </w:r>
      <w:r w:rsidR="006C3D53" w:rsidRPr="00A5177C">
        <w:rPr>
          <w:rFonts w:cs="Arial"/>
          <w:iCs/>
          <w:noProof/>
        </w:rPr>
        <w:t xml:space="preserve"> </w:t>
      </w:r>
      <w:r w:rsidRPr="00A5177C">
        <w:rPr>
          <w:rFonts w:cs="Arial"/>
          <w:iCs/>
          <w:noProof/>
        </w:rPr>
        <w:t>do not extend to these trial ar</w:t>
      </w:r>
      <w:r w:rsidR="002B6789" w:rsidRPr="00A5177C">
        <w:rPr>
          <w:rFonts w:cs="Arial"/>
          <w:iCs/>
          <w:noProof/>
        </w:rPr>
        <w:t>r</w:t>
      </w:r>
      <w:r w:rsidRPr="00A5177C">
        <w:rPr>
          <w:rFonts w:cs="Arial"/>
          <w:iCs/>
          <w:noProof/>
        </w:rPr>
        <w:t>ang</w:t>
      </w:r>
      <w:r w:rsidR="002B6789" w:rsidRPr="00A5177C">
        <w:rPr>
          <w:rFonts w:cs="Arial"/>
          <w:iCs/>
          <w:noProof/>
        </w:rPr>
        <w:t>e</w:t>
      </w:r>
      <w:r w:rsidRPr="00A5177C">
        <w:rPr>
          <w:rFonts w:cs="Arial"/>
          <w:iCs/>
          <w:noProof/>
        </w:rPr>
        <w:t>ments</w:t>
      </w:r>
      <w:r w:rsidR="00CE0A08" w:rsidRPr="00A5177C">
        <w:rPr>
          <w:rFonts w:cs="Arial"/>
          <w:iCs/>
          <w:noProof/>
        </w:rPr>
        <w:t>.</w:t>
      </w:r>
      <w:r w:rsidR="00701893" w:rsidRPr="00A5177C">
        <w:rPr>
          <w:rFonts w:cs="Arial"/>
          <w:iCs/>
          <w:noProof/>
        </w:rPr>
        <w:t xml:space="preserve"> </w:t>
      </w:r>
      <w:r w:rsidR="00CE0A08" w:rsidRPr="00A5177C">
        <w:rPr>
          <w:rFonts w:cs="Arial"/>
          <w:iCs/>
          <w:noProof/>
        </w:rPr>
        <w:t>T</w:t>
      </w:r>
      <w:r w:rsidR="00701893" w:rsidRPr="00A5177C">
        <w:rPr>
          <w:rFonts w:cs="Arial"/>
          <w:iCs/>
          <w:noProof/>
        </w:rPr>
        <w:t>he export of product from the trial area is not permitted</w:t>
      </w:r>
      <w:r w:rsidRPr="00A5177C">
        <w:rPr>
          <w:rFonts w:cs="Arial"/>
          <w:iCs/>
          <w:noProof/>
        </w:rPr>
        <w:t>.</w:t>
      </w:r>
      <w:r w:rsidR="006F0A54" w:rsidRPr="00A5177C">
        <w:rPr>
          <w:rFonts w:cs="Arial"/>
          <w:iCs/>
          <w:noProof/>
        </w:rPr>
        <w:t xml:space="preserve"> </w:t>
      </w:r>
      <w:r w:rsidR="008721CA" w:rsidRPr="00A5177C">
        <w:rPr>
          <w:rFonts w:cs="Arial"/>
          <w:iCs/>
          <w:noProof/>
        </w:rPr>
        <w:t>The trial arrangements have not previously been assessed by the Department</w:t>
      </w:r>
      <w:r w:rsidR="00BA09DB" w:rsidRPr="00A5177C">
        <w:rPr>
          <w:rFonts w:cs="Arial"/>
          <w:iCs/>
          <w:noProof/>
        </w:rPr>
        <w:t>, however, w</w:t>
      </w:r>
      <w:r w:rsidR="00615774" w:rsidRPr="00A5177C">
        <w:rPr>
          <w:rFonts w:cs="Arial"/>
          <w:iCs/>
          <w:noProof/>
        </w:rPr>
        <w:t xml:space="preserve">here the trial has potential to affect the sustainability of the CTFFF the trial arrangements have been considered in </w:t>
      </w:r>
      <w:r w:rsidR="002B6789" w:rsidRPr="00A5177C">
        <w:rPr>
          <w:rFonts w:cs="Arial"/>
          <w:iCs/>
          <w:noProof/>
        </w:rPr>
        <w:t>this report</w:t>
      </w:r>
      <w:r w:rsidR="00615774" w:rsidRPr="00A5177C">
        <w:rPr>
          <w:rFonts w:cs="Arial"/>
          <w:iCs/>
          <w:noProof/>
        </w:rPr>
        <w:t>.</w:t>
      </w:r>
    </w:p>
    <w:p w14:paraId="5E6B9326" w14:textId="3A83DF34" w:rsidR="0048397D" w:rsidRPr="0056782D" w:rsidRDefault="004060B1" w:rsidP="007F171B">
      <w:pPr>
        <w:tabs>
          <w:tab w:val="left" w:pos="360"/>
        </w:tabs>
        <w:spacing w:before="0" w:line="276" w:lineRule="auto"/>
        <w:rPr>
          <w:rFonts w:cs="Arial"/>
          <w:bCs/>
          <w:iCs/>
          <w:noProof/>
        </w:rPr>
      </w:pPr>
      <w:r w:rsidRPr="00A5177C">
        <w:rPr>
          <w:rFonts w:cs="Arial"/>
          <w:bCs/>
          <w:iCs/>
          <w:noProof/>
        </w:rPr>
        <w:t xml:space="preserve">Following discussions with the Department, QDAF has halted the trial and has advised that it will seek assessment of the trial arrangements before those activities recommence. The trial arrangements were due to conclude in September 2021, at which time QDAF was to consider possible management changes to the CTFFF to include the area of the trial. If the CTFFF management arrangements are to change, the Department </w:t>
      </w:r>
      <w:r w:rsidR="002A2D81" w:rsidRPr="00A5177C">
        <w:rPr>
          <w:rFonts w:cs="Arial"/>
          <w:bCs/>
          <w:iCs/>
          <w:noProof/>
        </w:rPr>
        <w:t xml:space="preserve">recommends </w:t>
      </w:r>
      <w:r w:rsidRPr="00A5177C">
        <w:rPr>
          <w:rFonts w:cs="Arial"/>
          <w:bCs/>
          <w:iCs/>
          <w:noProof/>
        </w:rPr>
        <w:t>QDAF</w:t>
      </w:r>
      <w:r w:rsidRPr="00A5177C" w:rsidDel="002A2D81">
        <w:rPr>
          <w:rFonts w:cs="Arial"/>
          <w:bCs/>
          <w:iCs/>
          <w:noProof/>
        </w:rPr>
        <w:t xml:space="preserve"> </w:t>
      </w:r>
      <w:r w:rsidRPr="00A5177C">
        <w:rPr>
          <w:rFonts w:cs="Arial"/>
          <w:bCs/>
          <w:iCs/>
          <w:noProof/>
        </w:rPr>
        <w:t>revise its ecological risk assessment and ensure that the assessment considers all management arrangements, including the impacts of fishing in waters shallower than 20 fathoms.</w:t>
      </w:r>
    </w:p>
    <w:p w14:paraId="5233A480" w14:textId="582A00BF" w:rsidR="0049500E" w:rsidRPr="00A5177C" w:rsidRDefault="0049500E" w:rsidP="007F171B">
      <w:pPr>
        <w:tabs>
          <w:tab w:val="left" w:pos="360"/>
        </w:tabs>
        <w:spacing w:before="0" w:line="276" w:lineRule="auto"/>
        <w:rPr>
          <w:rFonts w:cs="Arial"/>
          <w:bCs/>
          <w:i/>
          <w:noProof/>
        </w:rPr>
      </w:pPr>
      <w:r w:rsidRPr="00A5177C">
        <w:rPr>
          <w:rFonts w:cs="Arial"/>
          <w:bCs/>
          <w:i/>
          <w:noProof/>
        </w:rPr>
        <w:t>Stock assessments</w:t>
      </w:r>
    </w:p>
    <w:p w14:paraId="3BFA1723" w14:textId="77777777" w:rsidR="00B96ADD" w:rsidRDefault="00221582" w:rsidP="007F171B">
      <w:pPr>
        <w:tabs>
          <w:tab w:val="left" w:pos="360"/>
        </w:tabs>
        <w:spacing w:before="0" w:line="276" w:lineRule="auto"/>
        <w:rPr>
          <w:rFonts w:cs="Arial"/>
          <w:bCs/>
          <w:iCs/>
          <w:noProof/>
        </w:rPr>
      </w:pPr>
      <w:r w:rsidRPr="00A5177C">
        <w:rPr>
          <w:rFonts w:cs="Arial"/>
          <w:bCs/>
          <w:iCs/>
          <w:noProof/>
        </w:rPr>
        <w:t xml:space="preserve">QDAF has a </w:t>
      </w:r>
      <w:r w:rsidR="00844ED3" w:rsidRPr="00A5177C">
        <w:rPr>
          <w:rFonts w:cs="Arial"/>
          <w:bCs/>
          <w:iCs/>
          <w:noProof/>
        </w:rPr>
        <w:t xml:space="preserve">program </w:t>
      </w:r>
      <w:r w:rsidRPr="00A5177C">
        <w:rPr>
          <w:rFonts w:cs="Arial"/>
          <w:bCs/>
          <w:iCs/>
          <w:noProof/>
        </w:rPr>
        <w:t xml:space="preserve">of </w:t>
      </w:r>
      <w:r w:rsidR="00FE1CA3" w:rsidRPr="00A5177C">
        <w:rPr>
          <w:rFonts w:cs="Arial"/>
          <w:bCs/>
          <w:iCs/>
          <w:noProof/>
        </w:rPr>
        <w:t xml:space="preserve">regular stock assessments </w:t>
      </w:r>
      <w:r w:rsidRPr="00A5177C">
        <w:rPr>
          <w:rFonts w:cs="Arial"/>
          <w:bCs/>
          <w:iCs/>
          <w:noProof/>
        </w:rPr>
        <w:t xml:space="preserve">for the CTFFF, </w:t>
      </w:r>
      <w:r w:rsidR="001B297A" w:rsidRPr="00A5177C">
        <w:rPr>
          <w:rFonts w:cs="Arial"/>
          <w:bCs/>
          <w:iCs/>
          <w:noProof/>
        </w:rPr>
        <w:t xml:space="preserve">but some recent </w:t>
      </w:r>
      <w:r w:rsidR="001B3785" w:rsidRPr="00A5177C">
        <w:rPr>
          <w:rFonts w:cs="Arial"/>
          <w:bCs/>
          <w:iCs/>
          <w:noProof/>
        </w:rPr>
        <w:t xml:space="preserve">stock </w:t>
      </w:r>
      <w:r w:rsidR="001B297A" w:rsidRPr="00A5177C">
        <w:rPr>
          <w:rFonts w:cs="Arial"/>
          <w:bCs/>
          <w:iCs/>
          <w:noProof/>
        </w:rPr>
        <w:t xml:space="preserve">assessments have not been undertaken and </w:t>
      </w:r>
      <w:r w:rsidRPr="00A5177C">
        <w:rPr>
          <w:rFonts w:cs="Arial"/>
          <w:bCs/>
          <w:iCs/>
          <w:noProof/>
        </w:rPr>
        <w:t xml:space="preserve">assessment </w:t>
      </w:r>
      <w:r w:rsidR="001B297A" w:rsidRPr="00A5177C">
        <w:rPr>
          <w:rFonts w:cs="Arial"/>
          <w:bCs/>
          <w:iCs/>
          <w:noProof/>
        </w:rPr>
        <w:t>processes appear to have become less robust</w:t>
      </w:r>
      <w:r w:rsidRPr="00A5177C">
        <w:rPr>
          <w:rFonts w:cs="Arial"/>
          <w:bCs/>
          <w:iCs/>
          <w:noProof/>
        </w:rPr>
        <w:t xml:space="preserve"> (QDAF pers comm. 2020)</w:t>
      </w:r>
      <w:r w:rsidR="001B297A" w:rsidRPr="00A5177C">
        <w:rPr>
          <w:rFonts w:cs="Arial"/>
          <w:bCs/>
          <w:iCs/>
          <w:noProof/>
        </w:rPr>
        <w:t xml:space="preserve">. </w:t>
      </w:r>
      <w:r w:rsidR="00B96ADD">
        <w:rPr>
          <w:rFonts w:cs="Arial"/>
          <w:bCs/>
          <w:iCs/>
          <w:noProof/>
        </w:rPr>
        <w:t>While QDAF has advised that assessments may be reprioritised and rescheduled, information on the assessment schedule and any precautionary interim measures is unpublished.</w:t>
      </w:r>
    </w:p>
    <w:p w14:paraId="7027AB94" w14:textId="20511391" w:rsidR="0048397D" w:rsidRPr="0056782D" w:rsidRDefault="007F19B3" w:rsidP="007F171B">
      <w:pPr>
        <w:tabs>
          <w:tab w:val="left" w:pos="360"/>
        </w:tabs>
        <w:spacing w:before="0" w:line="276" w:lineRule="auto"/>
        <w:rPr>
          <w:rFonts w:cs="Arial"/>
          <w:bCs/>
          <w:iCs/>
          <w:noProof/>
        </w:rPr>
      </w:pPr>
      <w:r w:rsidRPr="00A5177C">
        <w:rPr>
          <w:rFonts w:cs="Arial"/>
          <w:bCs/>
          <w:iCs/>
          <w:noProof/>
        </w:rPr>
        <w:t xml:space="preserve">There is information </w:t>
      </w:r>
      <w:r w:rsidR="002B6789" w:rsidRPr="00A5177C">
        <w:rPr>
          <w:rFonts w:cs="Arial"/>
          <w:bCs/>
          <w:iCs/>
          <w:noProof/>
        </w:rPr>
        <w:t xml:space="preserve">available </w:t>
      </w:r>
      <w:r w:rsidRPr="00A5177C">
        <w:rPr>
          <w:rFonts w:cs="Arial"/>
          <w:bCs/>
          <w:iCs/>
          <w:noProof/>
        </w:rPr>
        <w:t xml:space="preserve">on stock structure but </w:t>
      </w:r>
      <w:r w:rsidR="002B6789" w:rsidRPr="00A5177C">
        <w:rPr>
          <w:rFonts w:cs="Arial"/>
          <w:bCs/>
          <w:iCs/>
          <w:noProof/>
        </w:rPr>
        <w:t xml:space="preserve">the Department is concerned </w:t>
      </w:r>
      <w:r w:rsidR="00221582" w:rsidRPr="00A5177C">
        <w:rPr>
          <w:rFonts w:cs="Arial"/>
          <w:bCs/>
          <w:iCs/>
          <w:noProof/>
        </w:rPr>
        <w:t>that important data on discarded catch is not being accurately reported</w:t>
      </w:r>
      <w:r w:rsidR="001B3785" w:rsidRPr="00A5177C">
        <w:rPr>
          <w:rFonts w:cs="Arial"/>
          <w:bCs/>
          <w:iCs/>
          <w:noProof/>
        </w:rPr>
        <w:t xml:space="preserve"> and therefore not included in stock assessments</w:t>
      </w:r>
      <w:r w:rsidR="00221582" w:rsidRPr="00A5177C">
        <w:rPr>
          <w:rFonts w:cs="Arial"/>
          <w:bCs/>
          <w:iCs/>
          <w:noProof/>
        </w:rPr>
        <w:t>. This is particula</w:t>
      </w:r>
      <w:r w:rsidR="008A3C72" w:rsidRPr="00A5177C">
        <w:rPr>
          <w:rFonts w:cs="Arial"/>
          <w:bCs/>
          <w:iCs/>
          <w:noProof/>
        </w:rPr>
        <w:t>r</w:t>
      </w:r>
      <w:r w:rsidR="00221582" w:rsidRPr="00A5177C">
        <w:rPr>
          <w:rFonts w:cs="Arial"/>
          <w:bCs/>
          <w:iCs/>
          <w:noProof/>
        </w:rPr>
        <w:t xml:space="preserve">ly significant as fishing is now undertaken in nursery </w:t>
      </w:r>
      <w:r w:rsidR="00221582" w:rsidRPr="00A5177C">
        <w:rPr>
          <w:rFonts w:cs="Arial"/>
          <w:bCs/>
          <w:iCs/>
          <w:noProof/>
        </w:rPr>
        <w:lastRenderedPageBreak/>
        <w:t>areas for Stout Whiting</w:t>
      </w:r>
      <w:r w:rsidR="00A91825" w:rsidRPr="00A5177C">
        <w:rPr>
          <w:rFonts w:cs="Arial"/>
          <w:bCs/>
          <w:iCs/>
          <w:noProof/>
        </w:rPr>
        <w:t xml:space="preserve"> under</w:t>
      </w:r>
      <w:r w:rsidR="002B6789" w:rsidRPr="00A5177C">
        <w:rPr>
          <w:rFonts w:cs="Arial"/>
          <w:bCs/>
          <w:iCs/>
          <w:noProof/>
        </w:rPr>
        <w:t xml:space="preserve"> the</w:t>
      </w:r>
      <w:r w:rsidR="00A91825" w:rsidRPr="00A5177C">
        <w:rPr>
          <w:rFonts w:cs="Arial"/>
          <w:bCs/>
          <w:iCs/>
          <w:noProof/>
        </w:rPr>
        <w:t xml:space="preserve"> trial arrangements</w:t>
      </w:r>
      <w:r w:rsidR="00221582" w:rsidRPr="00A5177C">
        <w:rPr>
          <w:rFonts w:cs="Arial"/>
          <w:bCs/>
          <w:iCs/>
          <w:noProof/>
        </w:rPr>
        <w:t xml:space="preserve">. </w:t>
      </w:r>
      <w:r w:rsidR="005446D9">
        <w:rPr>
          <w:rFonts w:cs="Arial"/>
          <w:bCs/>
          <w:iCs/>
          <w:noProof/>
        </w:rPr>
        <w:t>A</w:t>
      </w:r>
      <w:r w:rsidR="00A91825" w:rsidRPr="00A5177C">
        <w:rPr>
          <w:rFonts w:cs="Arial"/>
          <w:bCs/>
          <w:iCs/>
          <w:noProof/>
        </w:rPr>
        <w:t xml:space="preserve">ll impacts on the stocks, including retained and discarded catch </w:t>
      </w:r>
      <w:r w:rsidR="0049500E" w:rsidRPr="00A5177C">
        <w:rPr>
          <w:rFonts w:cs="Arial"/>
          <w:bCs/>
          <w:iCs/>
          <w:noProof/>
        </w:rPr>
        <w:t>must</w:t>
      </w:r>
      <w:r w:rsidR="00A91825" w:rsidRPr="00A5177C">
        <w:rPr>
          <w:rFonts w:cs="Arial"/>
          <w:bCs/>
          <w:iCs/>
          <w:noProof/>
        </w:rPr>
        <w:t xml:space="preserve"> be considered in determining sustainable management controls. This</w:t>
      </w:r>
      <w:r w:rsidR="001B3785" w:rsidRPr="00A5177C">
        <w:rPr>
          <w:rFonts w:cs="Arial"/>
          <w:bCs/>
          <w:iCs/>
          <w:noProof/>
        </w:rPr>
        <w:t xml:space="preserve"> includes impacts from</w:t>
      </w:r>
      <w:r w:rsidR="00A91825" w:rsidRPr="00A5177C">
        <w:rPr>
          <w:rFonts w:cs="Arial"/>
          <w:bCs/>
          <w:iCs/>
          <w:noProof/>
        </w:rPr>
        <w:t xml:space="preserve"> CTFFF</w:t>
      </w:r>
      <w:r w:rsidR="001B3785" w:rsidRPr="00A5177C">
        <w:rPr>
          <w:rFonts w:cs="Arial"/>
          <w:bCs/>
          <w:iCs/>
          <w:noProof/>
        </w:rPr>
        <w:t xml:space="preserve"> and </w:t>
      </w:r>
      <w:r w:rsidR="00A91825" w:rsidRPr="00A5177C">
        <w:rPr>
          <w:rFonts w:cs="Arial"/>
          <w:bCs/>
          <w:iCs/>
          <w:noProof/>
        </w:rPr>
        <w:t>fishing undertaken by other fisheries and fishing sectors. The Department recommends condition</w:t>
      </w:r>
      <w:r w:rsidR="003A1E92">
        <w:rPr>
          <w:rFonts w:cs="Arial"/>
          <w:bCs/>
          <w:iCs/>
          <w:noProof/>
        </w:rPr>
        <w:t>s</w:t>
      </w:r>
      <w:r w:rsidR="00A91825" w:rsidRPr="00A5177C">
        <w:rPr>
          <w:rFonts w:cs="Arial"/>
          <w:bCs/>
          <w:iCs/>
          <w:noProof/>
        </w:rPr>
        <w:t xml:space="preserve"> </w:t>
      </w:r>
      <w:r w:rsidR="00B160E8" w:rsidRPr="00A5177C">
        <w:rPr>
          <w:rFonts w:cs="Arial"/>
          <w:bCs/>
          <w:iCs/>
          <w:noProof/>
        </w:rPr>
        <w:t>1</w:t>
      </w:r>
      <w:r w:rsidR="003A1E92">
        <w:rPr>
          <w:rFonts w:cs="Arial"/>
          <w:bCs/>
          <w:iCs/>
          <w:noProof/>
        </w:rPr>
        <w:t xml:space="preserve"> and 2</w:t>
      </w:r>
      <w:r w:rsidR="00B160E8" w:rsidRPr="00A5177C">
        <w:rPr>
          <w:rFonts w:cs="Arial"/>
          <w:bCs/>
          <w:iCs/>
          <w:noProof/>
        </w:rPr>
        <w:t xml:space="preserve"> </w:t>
      </w:r>
      <w:r w:rsidR="00A91825" w:rsidRPr="00A5177C">
        <w:rPr>
          <w:rFonts w:cs="Arial"/>
          <w:bCs/>
          <w:iCs/>
          <w:noProof/>
        </w:rPr>
        <w:t>be applied to the P</w:t>
      </w:r>
      <w:r w:rsidR="001B3785" w:rsidRPr="00A5177C">
        <w:rPr>
          <w:rFonts w:cs="Arial"/>
          <w:bCs/>
          <w:iCs/>
          <w:noProof/>
        </w:rPr>
        <w:t>art 13 approval, and condition</w:t>
      </w:r>
      <w:r w:rsidR="003A1E92">
        <w:rPr>
          <w:rFonts w:cs="Arial"/>
          <w:bCs/>
          <w:iCs/>
          <w:noProof/>
        </w:rPr>
        <w:t>s</w:t>
      </w:r>
      <w:r w:rsidR="001B3785" w:rsidRPr="00A5177C">
        <w:rPr>
          <w:rFonts w:cs="Arial"/>
          <w:bCs/>
          <w:iCs/>
          <w:noProof/>
        </w:rPr>
        <w:t xml:space="preserve"> </w:t>
      </w:r>
      <w:r w:rsidR="002E7801" w:rsidRPr="00A5177C">
        <w:rPr>
          <w:rFonts w:cs="Arial"/>
          <w:bCs/>
          <w:iCs/>
          <w:noProof/>
        </w:rPr>
        <w:t>4</w:t>
      </w:r>
      <w:r w:rsidR="003A1E92">
        <w:rPr>
          <w:rFonts w:cs="Arial"/>
          <w:bCs/>
          <w:iCs/>
          <w:noProof/>
        </w:rPr>
        <w:t xml:space="preserve"> and 5</w:t>
      </w:r>
      <w:r w:rsidR="00B160E8" w:rsidRPr="00A5177C">
        <w:rPr>
          <w:rFonts w:cs="Arial"/>
          <w:bCs/>
          <w:iCs/>
          <w:noProof/>
        </w:rPr>
        <w:t xml:space="preserve"> </w:t>
      </w:r>
      <w:r w:rsidR="00A91825" w:rsidRPr="00A5177C">
        <w:rPr>
          <w:rFonts w:cs="Arial"/>
          <w:bCs/>
          <w:iCs/>
          <w:noProof/>
        </w:rPr>
        <w:t xml:space="preserve">be attached to the Part 13A approval, to ensure that the data collected on the fishery is reliable and sufficient to assess, monitor and manage its sustainability. The Department </w:t>
      </w:r>
      <w:r w:rsidR="001B3785" w:rsidRPr="00A5177C">
        <w:rPr>
          <w:rFonts w:cs="Arial"/>
          <w:bCs/>
          <w:iCs/>
          <w:noProof/>
        </w:rPr>
        <w:t xml:space="preserve">also recommends that condition </w:t>
      </w:r>
      <w:r w:rsidR="003A1E92">
        <w:rPr>
          <w:rFonts w:cs="Arial"/>
          <w:bCs/>
          <w:iCs/>
          <w:noProof/>
        </w:rPr>
        <w:t>6</w:t>
      </w:r>
      <w:r w:rsidR="003A1E92" w:rsidRPr="00A5177C">
        <w:rPr>
          <w:rFonts w:cs="Arial"/>
          <w:bCs/>
          <w:iCs/>
          <w:noProof/>
        </w:rPr>
        <w:t xml:space="preserve"> </w:t>
      </w:r>
      <w:r w:rsidR="00A91825" w:rsidRPr="00A5177C">
        <w:rPr>
          <w:rFonts w:cs="Arial"/>
          <w:bCs/>
          <w:iCs/>
          <w:noProof/>
        </w:rPr>
        <w:t xml:space="preserve">be attached to the Part 13A approval to ensure </w:t>
      </w:r>
      <w:r w:rsidR="001A013C" w:rsidRPr="00A5177C">
        <w:rPr>
          <w:rFonts w:cs="Arial"/>
          <w:bCs/>
          <w:iCs/>
          <w:noProof/>
        </w:rPr>
        <w:t xml:space="preserve">that robust </w:t>
      </w:r>
      <w:r w:rsidR="00A91825" w:rsidRPr="00A5177C">
        <w:rPr>
          <w:rFonts w:cs="Arial"/>
          <w:bCs/>
          <w:iCs/>
          <w:noProof/>
        </w:rPr>
        <w:t>stock assessments are completed on schedule and consider all relevant impacts on the stocks.</w:t>
      </w:r>
    </w:p>
    <w:p w14:paraId="48074720" w14:textId="5FF90AFE" w:rsidR="0049500E" w:rsidRPr="00A5177C" w:rsidRDefault="0049500E" w:rsidP="007F171B">
      <w:pPr>
        <w:tabs>
          <w:tab w:val="left" w:pos="360"/>
        </w:tabs>
        <w:spacing w:before="0" w:line="276" w:lineRule="auto"/>
        <w:rPr>
          <w:rFonts w:cs="Arial"/>
          <w:bCs/>
          <w:i/>
          <w:noProof/>
        </w:rPr>
      </w:pPr>
      <w:r w:rsidRPr="00A5177C">
        <w:rPr>
          <w:rFonts w:cs="Arial"/>
          <w:bCs/>
          <w:i/>
          <w:noProof/>
        </w:rPr>
        <w:t>Protected species data</w:t>
      </w:r>
    </w:p>
    <w:p w14:paraId="1D7BB2E0" w14:textId="4BC13018" w:rsidR="0048397D" w:rsidRPr="0056782D" w:rsidRDefault="00D01481" w:rsidP="007F171B">
      <w:pPr>
        <w:tabs>
          <w:tab w:val="left" w:pos="360"/>
        </w:tabs>
        <w:spacing w:before="0" w:line="276" w:lineRule="auto"/>
        <w:rPr>
          <w:rFonts w:cs="Arial"/>
          <w:bCs/>
          <w:iCs/>
          <w:noProof/>
        </w:rPr>
      </w:pPr>
      <w:r w:rsidRPr="00A5177C">
        <w:rPr>
          <w:rFonts w:cs="Arial"/>
          <w:bCs/>
          <w:iCs/>
          <w:noProof/>
        </w:rPr>
        <w:t xml:space="preserve">The Department </w:t>
      </w:r>
      <w:r w:rsidR="00261FE3" w:rsidRPr="00A5177C">
        <w:rPr>
          <w:rFonts w:cs="Arial"/>
          <w:bCs/>
          <w:iCs/>
          <w:noProof/>
        </w:rPr>
        <w:t xml:space="preserve">also has concerns that not all protected species interactions are being reported. </w:t>
      </w:r>
      <w:r w:rsidR="005731F4" w:rsidRPr="00A5177C">
        <w:rPr>
          <w:rFonts w:cs="Arial"/>
          <w:bCs/>
          <w:iCs/>
          <w:noProof/>
        </w:rPr>
        <w:t xml:space="preserve">There is no program to collect independent data or validate information reported by fishers (other than spatial information provided by Vessel Monitoring Systems). </w:t>
      </w:r>
      <w:r w:rsidR="00261FE3" w:rsidRPr="00A5177C">
        <w:rPr>
          <w:rFonts w:cs="Arial"/>
          <w:bCs/>
          <w:iCs/>
          <w:noProof/>
        </w:rPr>
        <w:t xml:space="preserve">The Department </w:t>
      </w:r>
      <w:r w:rsidRPr="00A5177C">
        <w:rPr>
          <w:rFonts w:cs="Arial"/>
          <w:bCs/>
          <w:iCs/>
          <w:noProof/>
        </w:rPr>
        <w:t>recommends condition</w:t>
      </w:r>
      <w:r w:rsidR="003A1E92">
        <w:rPr>
          <w:rFonts w:cs="Arial"/>
          <w:bCs/>
          <w:iCs/>
          <w:noProof/>
        </w:rPr>
        <w:t>s</w:t>
      </w:r>
      <w:r w:rsidRPr="00A5177C">
        <w:rPr>
          <w:rFonts w:cs="Arial"/>
          <w:bCs/>
          <w:iCs/>
          <w:noProof/>
        </w:rPr>
        <w:t xml:space="preserve"> </w:t>
      </w:r>
      <w:r w:rsidR="00B160E8" w:rsidRPr="00A5177C">
        <w:rPr>
          <w:rFonts w:cs="Arial"/>
          <w:bCs/>
          <w:iCs/>
          <w:noProof/>
        </w:rPr>
        <w:t>1</w:t>
      </w:r>
      <w:r w:rsidR="003A1E92">
        <w:rPr>
          <w:rFonts w:cs="Arial"/>
          <w:bCs/>
          <w:iCs/>
          <w:noProof/>
        </w:rPr>
        <w:t xml:space="preserve"> and 2</w:t>
      </w:r>
      <w:r w:rsidR="00B160E8" w:rsidRPr="00A5177C">
        <w:rPr>
          <w:rFonts w:cs="Arial"/>
          <w:bCs/>
          <w:iCs/>
          <w:noProof/>
        </w:rPr>
        <w:t xml:space="preserve"> </w:t>
      </w:r>
      <w:r w:rsidR="005731F4" w:rsidRPr="00A5177C">
        <w:rPr>
          <w:rFonts w:cs="Arial"/>
          <w:bCs/>
          <w:iCs/>
          <w:noProof/>
        </w:rPr>
        <w:t xml:space="preserve">be applied to </w:t>
      </w:r>
      <w:r w:rsidR="007D043E" w:rsidRPr="00A5177C">
        <w:rPr>
          <w:rFonts w:cs="Arial"/>
          <w:bCs/>
          <w:iCs/>
          <w:noProof/>
        </w:rPr>
        <w:t xml:space="preserve">the </w:t>
      </w:r>
      <w:r w:rsidR="005731F4" w:rsidRPr="00A5177C">
        <w:rPr>
          <w:rFonts w:cs="Arial"/>
          <w:bCs/>
          <w:iCs/>
          <w:noProof/>
        </w:rPr>
        <w:t>Part 13 approval, and condition</w:t>
      </w:r>
      <w:r w:rsidR="003A1E92">
        <w:rPr>
          <w:rFonts w:cs="Arial"/>
          <w:bCs/>
          <w:iCs/>
          <w:noProof/>
        </w:rPr>
        <w:t>s</w:t>
      </w:r>
      <w:r w:rsidR="005731F4" w:rsidRPr="00A5177C">
        <w:rPr>
          <w:rFonts w:cs="Arial"/>
          <w:bCs/>
          <w:iCs/>
          <w:noProof/>
        </w:rPr>
        <w:t xml:space="preserve"> </w:t>
      </w:r>
      <w:r w:rsidR="002E7801" w:rsidRPr="00A5177C">
        <w:rPr>
          <w:rFonts w:cs="Arial"/>
          <w:bCs/>
          <w:iCs/>
          <w:noProof/>
        </w:rPr>
        <w:t>4</w:t>
      </w:r>
      <w:r w:rsidR="00B160E8" w:rsidRPr="00A5177C">
        <w:rPr>
          <w:rFonts w:cs="Arial"/>
          <w:bCs/>
          <w:iCs/>
          <w:noProof/>
        </w:rPr>
        <w:t xml:space="preserve"> </w:t>
      </w:r>
      <w:r w:rsidR="003A1E92">
        <w:rPr>
          <w:rFonts w:cs="Arial"/>
          <w:bCs/>
          <w:iCs/>
          <w:noProof/>
        </w:rPr>
        <w:t xml:space="preserve">and 5 </w:t>
      </w:r>
      <w:r w:rsidR="005731F4" w:rsidRPr="00A5177C">
        <w:rPr>
          <w:rFonts w:cs="Arial"/>
          <w:bCs/>
          <w:iCs/>
          <w:noProof/>
        </w:rPr>
        <w:t xml:space="preserve">be </w:t>
      </w:r>
      <w:r w:rsidRPr="00A5177C">
        <w:rPr>
          <w:rFonts w:cs="Arial"/>
          <w:bCs/>
          <w:iCs/>
          <w:noProof/>
        </w:rPr>
        <w:t xml:space="preserve">attached to </w:t>
      </w:r>
      <w:r w:rsidR="007D043E" w:rsidRPr="00A5177C">
        <w:rPr>
          <w:rFonts w:cs="Arial"/>
          <w:bCs/>
          <w:iCs/>
          <w:noProof/>
        </w:rPr>
        <w:t>the</w:t>
      </w:r>
      <w:r w:rsidRPr="00A5177C">
        <w:rPr>
          <w:rFonts w:cs="Arial"/>
          <w:bCs/>
          <w:iCs/>
          <w:noProof/>
        </w:rPr>
        <w:t xml:space="preserve"> </w:t>
      </w:r>
      <w:r w:rsidR="005D5500" w:rsidRPr="00A5177C">
        <w:rPr>
          <w:rFonts w:cs="Arial"/>
          <w:bCs/>
          <w:iCs/>
          <w:noProof/>
        </w:rPr>
        <w:t xml:space="preserve">Part 13A </w:t>
      </w:r>
      <w:r w:rsidRPr="00A5177C">
        <w:rPr>
          <w:rFonts w:cs="Arial"/>
          <w:bCs/>
          <w:iCs/>
          <w:noProof/>
        </w:rPr>
        <w:t>approval</w:t>
      </w:r>
      <w:r w:rsidR="005731F4" w:rsidRPr="00A5177C">
        <w:rPr>
          <w:rFonts w:cs="Arial"/>
          <w:bCs/>
          <w:iCs/>
          <w:noProof/>
        </w:rPr>
        <w:t xml:space="preserve">, </w:t>
      </w:r>
      <w:r w:rsidR="005107E9" w:rsidRPr="00A5177C">
        <w:rPr>
          <w:rFonts w:cs="Arial"/>
          <w:bCs/>
          <w:iCs/>
          <w:noProof/>
        </w:rPr>
        <w:t xml:space="preserve">to </w:t>
      </w:r>
      <w:r w:rsidR="005731F4" w:rsidRPr="00A5177C">
        <w:rPr>
          <w:rFonts w:cs="Arial"/>
          <w:bCs/>
          <w:iCs/>
          <w:noProof/>
        </w:rPr>
        <w:t xml:space="preserve">ensure that the data collected on </w:t>
      </w:r>
      <w:r w:rsidR="003C0E18" w:rsidRPr="00A5177C">
        <w:rPr>
          <w:rFonts w:cs="Arial"/>
          <w:bCs/>
          <w:iCs/>
          <w:noProof/>
        </w:rPr>
        <w:t xml:space="preserve">protected species interactions in </w:t>
      </w:r>
      <w:r w:rsidR="005731F4" w:rsidRPr="00A5177C">
        <w:rPr>
          <w:rFonts w:cs="Arial"/>
          <w:bCs/>
          <w:iCs/>
          <w:noProof/>
        </w:rPr>
        <w:t xml:space="preserve">the fishery is </w:t>
      </w:r>
      <w:r w:rsidR="003C0E18" w:rsidRPr="00A5177C">
        <w:rPr>
          <w:rFonts w:cs="Arial"/>
          <w:bCs/>
          <w:iCs/>
          <w:noProof/>
        </w:rPr>
        <w:t xml:space="preserve">accurate, </w:t>
      </w:r>
      <w:r w:rsidR="005731F4" w:rsidRPr="00A5177C">
        <w:rPr>
          <w:rFonts w:cs="Arial"/>
          <w:bCs/>
          <w:iCs/>
          <w:noProof/>
        </w:rPr>
        <w:t xml:space="preserve">reliable and sufficient to assess, monitor and </w:t>
      </w:r>
      <w:r w:rsidR="005107E9" w:rsidRPr="00A5177C">
        <w:rPr>
          <w:rFonts w:cs="Arial"/>
          <w:bCs/>
          <w:iCs/>
          <w:noProof/>
        </w:rPr>
        <w:t>manage</w:t>
      </w:r>
      <w:r w:rsidR="005731F4" w:rsidRPr="00A5177C">
        <w:rPr>
          <w:rFonts w:cs="Arial"/>
          <w:bCs/>
          <w:iCs/>
          <w:noProof/>
        </w:rPr>
        <w:t xml:space="preserve"> </w:t>
      </w:r>
      <w:r w:rsidR="003C0E18" w:rsidRPr="00A5177C">
        <w:rPr>
          <w:rFonts w:cs="Arial"/>
          <w:bCs/>
          <w:iCs/>
          <w:noProof/>
        </w:rPr>
        <w:t xml:space="preserve">the impacts of fishing on these species. </w:t>
      </w:r>
      <w:r w:rsidR="005731F4" w:rsidRPr="00A5177C">
        <w:rPr>
          <w:rFonts w:cs="Arial"/>
          <w:bCs/>
          <w:iCs/>
          <w:noProof/>
        </w:rPr>
        <w:t>The proposed independent data collection and validation program is consistent with actions proposed under the Queensland Government’s Sustainable Fisheries Strategy 2017-2027.</w:t>
      </w:r>
    </w:p>
    <w:p w14:paraId="6A862441" w14:textId="3CEE4FE4" w:rsidR="0049500E" w:rsidRPr="00A5177C" w:rsidRDefault="0049500E" w:rsidP="007F171B">
      <w:pPr>
        <w:tabs>
          <w:tab w:val="left" w:pos="360"/>
        </w:tabs>
        <w:spacing w:before="0" w:line="276" w:lineRule="auto"/>
        <w:rPr>
          <w:rFonts w:cs="Arial"/>
          <w:bCs/>
          <w:i/>
          <w:noProof/>
        </w:rPr>
      </w:pPr>
      <w:r w:rsidRPr="00A5177C">
        <w:rPr>
          <w:rFonts w:cs="Arial"/>
          <w:bCs/>
          <w:i/>
          <w:noProof/>
        </w:rPr>
        <w:t>Harvest controls</w:t>
      </w:r>
    </w:p>
    <w:p w14:paraId="208B8823" w14:textId="39229A06" w:rsidR="0048397D" w:rsidRPr="0056782D" w:rsidRDefault="001B297A" w:rsidP="007F171B">
      <w:pPr>
        <w:tabs>
          <w:tab w:val="left" w:pos="360"/>
        </w:tabs>
        <w:spacing w:before="0" w:line="276" w:lineRule="auto"/>
        <w:rPr>
          <w:rFonts w:cs="Arial"/>
          <w:bCs/>
          <w:iCs/>
          <w:noProof/>
        </w:rPr>
      </w:pPr>
      <w:r w:rsidRPr="00A5177C">
        <w:rPr>
          <w:rFonts w:cs="Arial"/>
          <w:bCs/>
          <w:iCs/>
          <w:noProof/>
        </w:rPr>
        <w:t xml:space="preserve">Harvest </w:t>
      </w:r>
      <w:r w:rsidR="00FE1CA3" w:rsidRPr="00A5177C">
        <w:rPr>
          <w:rFonts w:cs="Arial"/>
          <w:bCs/>
          <w:iCs/>
          <w:noProof/>
        </w:rPr>
        <w:t xml:space="preserve">controls </w:t>
      </w:r>
      <w:r w:rsidR="00066637" w:rsidRPr="00A5177C">
        <w:rPr>
          <w:rFonts w:cs="Arial"/>
          <w:bCs/>
          <w:iCs/>
          <w:noProof/>
        </w:rPr>
        <w:t xml:space="preserve">in the fishery </w:t>
      </w:r>
      <w:r w:rsidR="002A6B48" w:rsidRPr="00A5177C">
        <w:rPr>
          <w:rFonts w:cs="Arial"/>
          <w:bCs/>
          <w:iCs/>
          <w:noProof/>
        </w:rPr>
        <w:t xml:space="preserve">include catch limits, gear restrictions and limits on where and when fishing can occur. </w:t>
      </w:r>
      <w:r w:rsidR="00460352">
        <w:rPr>
          <w:rFonts w:cs="Arial"/>
          <w:bCs/>
          <w:iCs/>
          <w:noProof/>
        </w:rPr>
        <w:t>Although t</w:t>
      </w:r>
      <w:r w:rsidR="002A6B48" w:rsidRPr="00A5177C">
        <w:rPr>
          <w:rFonts w:cs="Arial"/>
          <w:bCs/>
          <w:iCs/>
          <w:noProof/>
        </w:rPr>
        <w:t>here is no framework for monitoring and managing the performance of the</w:t>
      </w:r>
      <w:r w:rsidR="000E41B6" w:rsidRPr="00A5177C">
        <w:rPr>
          <w:rFonts w:cs="Arial"/>
          <w:bCs/>
          <w:iCs/>
          <w:noProof/>
        </w:rPr>
        <w:t>se controls in the</w:t>
      </w:r>
      <w:r w:rsidR="002A6B48" w:rsidRPr="00A5177C">
        <w:rPr>
          <w:rFonts w:cs="Arial"/>
          <w:bCs/>
          <w:iCs/>
          <w:noProof/>
        </w:rPr>
        <w:t xml:space="preserve"> fishery</w:t>
      </w:r>
      <w:r w:rsidR="00460352">
        <w:rPr>
          <w:rFonts w:cs="Arial"/>
          <w:bCs/>
          <w:iCs/>
          <w:noProof/>
        </w:rPr>
        <w:t>, t</w:t>
      </w:r>
      <w:r w:rsidR="002A6B48" w:rsidRPr="00A5177C">
        <w:rPr>
          <w:rFonts w:cs="Arial"/>
          <w:bCs/>
          <w:iCs/>
          <w:noProof/>
        </w:rPr>
        <w:t xml:space="preserve">he harvest controls </w:t>
      </w:r>
      <w:r w:rsidRPr="00A5177C">
        <w:rPr>
          <w:rFonts w:cs="Arial"/>
          <w:bCs/>
          <w:iCs/>
          <w:noProof/>
        </w:rPr>
        <w:t>appear effective</w:t>
      </w:r>
      <w:r w:rsidR="00460352">
        <w:rPr>
          <w:rFonts w:cs="Arial"/>
          <w:bCs/>
          <w:iCs/>
          <w:noProof/>
        </w:rPr>
        <w:t xml:space="preserve"> and </w:t>
      </w:r>
      <w:r w:rsidR="006C77FF">
        <w:rPr>
          <w:rFonts w:cs="Arial"/>
          <w:bCs/>
          <w:iCs/>
          <w:noProof/>
        </w:rPr>
        <w:t>are</w:t>
      </w:r>
      <w:r w:rsidR="00122319">
        <w:rPr>
          <w:rFonts w:cs="Arial"/>
          <w:bCs/>
          <w:iCs/>
          <w:noProof/>
        </w:rPr>
        <w:t xml:space="preserve"> </w:t>
      </w:r>
      <w:r w:rsidR="00460352">
        <w:rPr>
          <w:rFonts w:cs="Arial"/>
          <w:bCs/>
          <w:iCs/>
          <w:noProof/>
        </w:rPr>
        <w:t xml:space="preserve">expected to </w:t>
      </w:r>
      <w:r w:rsidR="002A6B48" w:rsidRPr="00A5177C">
        <w:rPr>
          <w:rFonts w:cs="Arial"/>
          <w:bCs/>
          <w:iCs/>
          <w:noProof/>
        </w:rPr>
        <w:t xml:space="preserve">be strengthened </w:t>
      </w:r>
      <w:r w:rsidR="00460352">
        <w:rPr>
          <w:rFonts w:cs="Arial"/>
          <w:bCs/>
          <w:iCs/>
          <w:noProof/>
        </w:rPr>
        <w:t xml:space="preserve">when QDAF incorporate them into a harvest strategy </w:t>
      </w:r>
      <w:r w:rsidR="002A6B48" w:rsidRPr="00A5177C">
        <w:rPr>
          <w:rFonts w:cs="Arial"/>
          <w:bCs/>
          <w:iCs/>
          <w:noProof/>
        </w:rPr>
        <w:t xml:space="preserve">in </w:t>
      </w:r>
      <w:r w:rsidR="00B165B5" w:rsidRPr="00A5177C">
        <w:rPr>
          <w:rFonts w:cs="Arial"/>
          <w:bCs/>
          <w:iCs/>
          <w:noProof/>
        </w:rPr>
        <w:t>2021</w:t>
      </w:r>
      <w:r w:rsidR="00460352">
        <w:rPr>
          <w:rFonts w:cs="Arial"/>
          <w:bCs/>
          <w:iCs/>
          <w:noProof/>
        </w:rPr>
        <w:t>.</w:t>
      </w:r>
      <w:r w:rsidR="00F9446D" w:rsidRPr="00A5177C">
        <w:rPr>
          <w:rFonts w:cs="Arial"/>
          <w:bCs/>
          <w:iCs/>
          <w:noProof/>
        </w:rPr>
        <w:t xml:space="preserve"> </w:t>
      </w:r>
      <w:r w:rsidR="00460352">
        <w:rPr>
          <w:rFonts w:cs="Arial"/>
          <w:bCs/>
          <w:iCs/>
          <w:noProof/>
        </w:rPr>
        <w:t>Introducing</w:t>
      </w:r>
      <w:r w:rsidR="00472FAB" w:rsidRPr="00A5177C">
        <w:rPr>
          <w:rFonts w:cs="Arial"/>
          <w:bCs/>
          <w:iCs/>
          <w:noProof/>
        </w:rPr>
        <w:t xml:space="preserve"> </w:t>
      </w:r>
      <w:r w:rsidR="00761A63" w:rsidRPr="00A5177C">
        <w:rPr>
          <w:rFonts w:cs="Arial"/>
          <w:bCs/>
          <w:iCs/>
          <w:noProof/>
        </w:rPr>
        <w:t>a</w:t>
      </w:r>
      <w:r w:rsidR="000E41B6" w:rsidRPr="00A5177C">
        <w:rPr>
          <w:rFonts w:cs="Arial"/>
          <w:bCs/>
          <w:iCs/>
          <w:noProof/>
        </w:rPr>
        <w:t xml:space="preserve">n </w:t>
      </w:r>
      <w:r w:rsidR="00472FAB" w:rsidRPr="00A5177C">
        <w:rPr>
          <w:rFonts w:cs="Arial"/>
          <w:bCs/>
          <w:iCs/>
          <w:noProof/>
        </w:rPr>
        <w:t xml:space="preserve">independent data collection and validation program for the </w:t>
      </w:r>
      <w:r w:rsidR="005731F4" w:rsidRPr="00A5177C">
        <w:rPr>
          <w:rFonts w:cs="Arial"/>
          <w:bCs/>
          <w:iCs/>
          <w:noProof/>
        </w:rPr>
        <w:t>CTFFF</w:t>
      </w:r>
      <w:r w:rsidR="00460352">
        <w:rPr>
          <w:rFonts w:cs="Arial"/>
          <w:bCs/>
          <w:iCs/>
          <w:noProof/>
        </w:rPr>
        <w:t xml:space="preserve"> would also strengthen these arrangements and t</w:t>
      </w:r>
      <w:r w:rsidR="007E1B7F" w:rsidRPr="00A5177C">
        <w:rPr>
          <w:rFonts w:cs="Arial"/>
          <w:bCs/>
          <w:iCs/>
          <w:noProof/>
        </w:rPr>
        <w:t xml:space="preserve">he Department recommends </w:t>
      </w:r>
      <w:r w:rsidR="00BB0609" w:rsidRPr="00A5177C">
        <w:rPr>
          <w:rFonts w:cs="Arial"/>
          <w:bCs/>
          <w:iCs/>
          <w:noProof/>
        </w:rPr>
        <w:t>condition</w:t>
      </w:r>
      <w:r w:rsidR="003A1E92">
        <w:rPr>
          <w:rFonts w:cs="Arial"/>
          <w:bCs/>
          <w:iCs/>
          <w:noProof/>
        </w:rPr>
        <w:t>s</w:t>
      </w:r>
      <w:r w:rsidR="00BB0609" w:rsidRPr="00A5177C">
        <w:rPr>
          <w:rFonts w:cs="Arial"/>
          <w:bCs/>
          <w:iCs/>
          <w:noProof/>
        </w:rPr>
        <w:t xml:space="preserve"> </w:t>
      </w:r>
      <w:r w:rsidR="00460352">
        <w:rPr>
          <w:rFonts w:cs="Arial"/>
          <w:bCs/>
          <w:iCs/>
          <w:noProof/>
        </w:rPr>
        <w:t>1</w:t>
      </w:r>
      <w:r w:rsidR="00460352" w:rsidRPr="00A5177C">
        <w:rPr>
          <w:rFonts w:cs="Arial"/>
          <w:bCs/>
          <w:iCs/>
          <w:noProof/>
        </w:rPr>
        <w:t xml:space="preserve"> </w:t>
      </w:r>
      <w:r w:rsidR="003A1E92">
        <w:rPr>
          <w:rFonts w:cs="Arial"/>
          <w:bCs/>
          <w:iCs/>
          <w:noProof/>
        </w:rPr>
        <w:t xml:space="preserve">and 2 </w:t>
      </w:r>
      <w:r w:rsidR="00BB0609" w:rsidRPr="00A5177C">
        <w:rPr>
          <w:rFonts w:cs="Arial"/>
          <w:bCs/>
          <w:iCs/>
          <w:noProof/>
        </w:rPr>
        <w:t xml:space="preserve">be applied to </w:t>
      </w:r>
      <w:r w:rsidR="00761A63" w:rsidRPr="00A5177C">
        <w:rPr>
          <w:rFonts w:cs="Arial"/>
          <w:bCs/>
          <w:iCs/>
          <w:noProof/>
        </w:rPr>
        <w:t xml:space="preserve">the </w:t>
      </w:r>
      <w:r w:rsidR="00BB0609" w:rsidRPr="00A5177C">
        <w:rPr>
          <w:rFonts w:cs="Arial"/>
          <w:bCs/>
          <w:iCs/>
          <w:noProof/>
        </w:rPr>
        <w:t xml:space="preserve">Part 13 approval, and </w:t>
      </w:r>
      <w:r w:rsidR="007E1B7F" w:rsidRPr="00A5177C">
        <w:rPr>
          <w:rFonts w:cs="Arial"/>
          <w:bCs/>
          <w:iCs/>
          <w:noProof/>
        </w:rPr>
        <w:t>condition</w:t>
      </w:r>
      <w:r w:rsidR="003A1E92">
        <w:rPr>
          <w:rFonts w:cs="Arial"/>
          <w:bCs/>
          <w:iCs/>
          <w:noProof/>
        </w:rPr>
        <w:t>s</w:t>
      </w:r>
      <w:r w:rsidR="007E1B7F" w:rsidRPr="00A5177C">
        <w:rPr>
          <w:rFonts w:cs="Arial"/>
          <w:bCs/>
          <w:iCs/>
          <w:noProof/>
        </w:rPr>
        <w:t xml:space="preserve"> </w:t>
      </w:r>
      <w:r w:rsidR="00460352">
        <w:rPr>
          <w:rFonts w:cs="Arial"/>
          <w:bCs/>
          <w:iCs/>
          <w:noProof/>
        </w:rPr>
        <w:t>4</w:t>
      </w:r>
      <w:r w:rsidR="00460352" w:rsidRPr="00A5177C">
        <w:rPr>
          <w:rFonts w:cs="Arial"/>
          <w:bCs/>
          <w:iCs/>
          <w:noProof/>
        </w:rPr>
        <w:t xml:space="preserve"> </w:t>
      </w:r>
      <w:r w:rsidR="003A1E92">
        <w:rPr>
          <w:rFonts w:cs="Arial"/>
          <w:bCs/>
          <w:iCs/>
          <w:noProof/>
        </w:rPr>
        <w:t xml:space="preserve">and 5 </w:t>
      </w:r>
      <w:r w:rsidR="007E1B7F" w:rsidRPr="00A5177C">
        <w:rPr>
          <w:rFonts w:cs="Arial"/>
          <w:bCs/>
          <w:iCs/>
          <w:noProof/>
        </w:rPr>
        <w:t xml:space="preserve">be attached to </w:t>
      </w:r>
      <w:r w:rsidR="00761A63" w:rsidRPr="00A5177C">
        <w:rPr>
          <w:rFonts w:cs="Arial"/>
          <w:bCs/>
          <w:iCs/>
          <w:noProof/>
        </w:rPr>
        <w:t xml:space="preserve">the </w:t>
      </w:r>
      <w:r w:rsidR="007E1B7F" w:rsidRPr="00A5177C">
        <w:rPr>
          <w:rFonts w:cs="Arial"/>
          <w:bCs/>
          <w:iCs/>
          <w:noProof/>
        </w:rPr>
        <w:t xml:space="preserve">Part 13A approval to </w:t>
      </w:r>
      <w:r w:rsidR="008B4214" w:rsidRPr="00A5177C">
        <w:rPr>
          <w:rFonts w:cs="Arial"/>
          <w:bCs/>
          <w:iCs/>
          <w:noProof/>
        </w:rPr>
        <w:t xml:space="preserve">ensure </w:t>
      </w:r>
      <w:r w:rsidR="00460352" w:rsidRPr="00A5177C">
        <w:rPr>
          <w:rFonts w:cs="Arial"/>
          <w:bCs/>
          <w:iCs/>
          <w:noProof/>
        </w:rPr>
        <w:t>an independent data collection and validation program</w:t>
      </w:r>
      <w:r w:rsidR="00BB0609" w:rsidRPr="00A5177C">
        <w:rPr>
          <w:rFonts w:cs="Arial"/>
          <w:bCs/>
          <w:iCs/>
          <w:noProof/>
        </w:rPr>
        <w:t xml:space="preserve"> is implemented </w:t>
      </w:r>
      <w:r w:rsidR="00761A63" w:rsidRPr="00A5177C">
        <w:rPr>
          <w:rFonts w:cs="Arial"/>
          <w:bCs/>
          <w:iCs/>
          <w:noProof/>
        </w:rPr>
        <w:t xml:space="preserve">by </w:t>
      </w:r>
      <w:r w:rsidR="003A1E92" w:rsidRPr="00A5177C">
        <w:rPr>
          <w:rFonts w:cs="Arial"/>
          <w:bCs/>
          <w:iCs/>
          <w:noProof/>
        </w:rPr>
        <w:t>3</w:t>
      </w:r>
      <w:r w:rsidR="003A1E92">
        <w:rPr>
          <w:rFonts w:cs="Arial"/>
          <w:bCs/>
          <w:iCs/>
          <w:noProof/>
        </w:rPr>
        <w:t>1</w:t>
      </w:r>
      <w:r w:rsidR="003A1E92" w:rsidRPr="00A5177C">
        <w:rPr>
          <w:rFonts w:cs="Arial"/>
          <w:bCs/>
          <w:iCs/>
          <w:noProof/>
        </w:rPr>
        <w:t> </w:t>
      </w:r>
      <w:r w:rsidR="003A1E92">
        <w:rPr>
          <w:rFonts w:cs="Arial"/>
          <w:bCs/>
          <w:iCs/>
          <w:noProof/>
        </w:rPr>
        <w:t>December</w:t>
      </w:r>
      <w:r w:rsidR="003A1E92" w:rsidRPr="00A5177C">
        <w:rPr>
          <w:rFonts w:cs="Arial"/>
          <w:bCs/>
          <w:iCs/>
          <w:noProof/>
        </w:rPr>
        <w:t> </w:t>
      </w:r>
      <w:r w:rsidR="005353DB" w:rsidRPr="00A5177C">
        <w:rPr>
          <w:rFonts w:cs="Arial"/>
          <w:bCs/>
          <w:iCs/>
          <w:noProof/>
        </w:rPr>
        <w:t>2021</w:t>
      </w:r>
      <w:r w:rsidR="00947684" w:rsidRPr="00A5177C">
        <w:rPr>
          <w:rFonts w:cs="Arial"/>
          <w:bCs/>
          <w:iCs/>
          <w:noProof/>
        </w:rPr>
        <w:t>.</w:t>
      </w:r>
    </w:p>
    <w:p w14:paraId="00AB7A9A" w14:textId="2D89F512" w:rsidR="0049500E" w:rsidRPr="00A5177C" w:rsidRDefault="0049500E" w:rsidP="007F171B">
      <w:pPr>
        <w:tabs>
          <w:tab w:val="left" w:pos="360"/>
        </w:tabs>
        <w:spacing w:before="0" w:line="276" w:lineRule="auto"/>
        <w:rPr>
          <w:rFonts w:cs="Arial"/>
          <w:bCs/>
          <w:i/>
          <w:noProof/>
        </w:rPr>
      </w:pPr>
      <w:r w:rsidRPr="00A5177C">
        <w:rPr>
          <w:rFonts w:cs="Arial"/>
          <w:bCs/>
          <w:i/>
          <w:noProof/>
        </w:rPr>
        <w:t>Ecological Risk Assessments (ERAs)</w:t>
      </w:r>
    </w:p>
    <w:p w14:paraId="34BCFAE6" w14:textId="32F5CE45" w:rsidR="002C3EE4" w:rsidRPr="00A5177C" w:rsidRDefault="005F4BB3" w:rsidP="007F171B">
      <w:pPr>
        <w:tabs>
          <w:tab w:val="left" w:pos="360"/>
        </w:tabs>
        <w:spacing w:before="0" w:line="276" w:lineRule="auto"/>
        <w:rPr>
          <w:rFonts w:cs="Arial"/>
          <w:bCs/>
          <w:iCs/>
          <w:noProof/>
        </w:rPr>
      </w:pPr>
      <w:r w:rsidRPr="00A5177C">
        <w:rPr>
          <w:rFonts w:cs="Arial"/>
          <w:bCs/>
          <w:iCs/>
          <w:noProof/>
        </w:rPr>
        <w:t xml:space="preserve">QDAF published an </w:t>
      </w:r>
      <w:r w:rsidR="00947684" w:rsidRPr="00A5177C">
        <w:rPr>
          <w:rFonts w:cs="Arial"/>
          <w:bCs/>
          <w:iCs/>
          <w:noProof/>
        </w:rPr>
        <w:t xml:space="preserve">ecological </w:t>
      </w:r>
      <w:r w:rsidR="00547C8C" w:rsidRPr="00A5177C">
        <w:rPr>
          <w:rFonts w:cs="Arial"/>
          <w:bCs/>
          <w:iCs/>
          <w:noProof/>
        </w:rPr>
        <w:t>risk</w:t>
      </w:r>
      <w:r w:rsidR="00947684" w:rsidRPr="00A5177C">
        <w:rPr>
          <w:rFonts w:cs="Arial"/>
          <w:bCs/>
          <w:iCs/>
          <w:noProof/>
        </w:rPr>
        <w:t xml:space="preserve"> assessment </w:t>
      </w:r>
      <w:r w:rsidR="001117DB" w:rsidRPr="00A5177C">
        <w:rPr>
          <w:rFonts w:cs="Arial"/>
          <w:bCs/>
          <w:iCs/>
          <w:noProof/>
        </w:rPr>
        <w:t xml:space="preserve">(ERA) </w:t>
      </w:r>
      <w:r w:rsidR="00947684" w:rsidRPr="00A5177C">
        <w:rPr>
          <w:rFonts w:cs="Arial"/>
          <w:bCs/>
          <w:iCs/>
          <w:noProof/>
        </w:rPr>
        <w:t>for the</w:t>
      </w:r>
      <w:r w:rsidR="00547C8C" w:rsidRPr="00A5177C">
        <w:rPr>
          <w:rFonts w:cs="Arial"/>
          <w:bCs/>
          <w:iCs/>
          <w:noProof/>
        </w:rPr>
        <w:t xml:space="preserve"> CTFFF </w:t>
      </w:r>
      <w:r w:rsidR="002C3EE4" w:rsidRPr="00A5177C">
        <w:rPr>
          <w:rFonts w:cs="Arial"/>
          <w:bCs/>
          <w:iCs/>
          <w:noProof/>
        </w:rPr>
        <w:t xml:space="preserve">in </w:t>
      </w:r>
      <w:r w:rsidR="003E2833" w:rsidRPr="00A5177C">
        <w:rPr>
          <w:rFonts w:cs="Arial"/>
          <w:bCs/>
          <w:iCs/>
          <w:noProof/>
        </w:rPr>
        <w:t xml:space="preserve">February </w:t>
      </w:r>
      <w:r w:rsidR="002C3EE4" w:rsidRPr="00A5177C">
        <w:rPr>
          <w:rFonts w:cs="Arial"/>
          <w:bCs/>
          <w:iCs/>
          <w:noProof/>
        </w:rPr>
        <w:t>2020</w:t>
      </w:r>
      <w:r w:rsidR="001117DB" w:rsidRPr="00A5177C">
        <w:rPr>
          <w:rFonts w:cs="Arial"/>
          <w:bCs/>
          <w:iCs/>
          <w:noProof/>
        </w:rPr>
        <w:t xml:space="preserve"> but th</w:t>
      </w:r>
      <w:r w:rsidR="001A013C" w:rsidRPr="00A5177C">
        <w:rPr>
          <w:rFonts w:cs="Arial"/>
          <w:bCs/>
          <w:iCs/>
          <w:noProof/>
        </w:rPr>
        <w:t>e</w:t>
      </w:r>
      <w:r w:rsidR="001117DB" w:rsidRPr="00A5177C">
        <w:rPr>
          <w:rFonts w:cs="Arial"/>
          <w:bCs/>
          <w:iCs/>
          <w:noProof/>
        </w:rPr>
        <w:t xml:space="preserve"> ERA did not </w:t>
      </w:r>
      <w:r w:rsidR="002C3EE4" w:rsidRPr="00A5177C">
        <w:rPr>
          <w:rFonts w:cs="Arial"/>
          <w:bCs/>
          <w:iCs/>
          <w:noProof/>
        </w:rPr>
        <w:t>consider the impacts of fishing by CTFFF fishers under trial arrangements</w:t>
      </w:r>
      <w:r w:rsidR="00400DBA" w:rsidRPr="00A5177C">
        <w:rPr>
          <w:rFonts w:cs="Arial"/>
          <w:bCs/>
          <w:iCs/>
          <w:noProof/>
        </w:rPr>
        <w:t>,</w:t>
      </w:r>
      <w:r w:rsidR="002C3EE4" w:rsidRPr="00A5177C">
        <w:rPr>
          <w:rFonts w:cs="Arial"/>
          <w:bCs/>
          <w:iCs/>
          <w:noProof/>
        </w:rPr>
        <w:t xml:space="preserve"> in waters previously closed </w:t>
      </w:r>
      <w:r w:rsidR="001117DB" w:rsidRPr="00A5177C">
        <w:rPr>
          <w:rFonts w:cs="Arial"/>
          <w:bCs/>
          <w:iCs/>
          <w:noProof/>
        </w:rPr>
        <w:t xml:space="preserve">as part of the CTFFF’s ecological risk mitigation strategy. </w:t>
      </w:r>
      <w:r w:rsidR="0081251E" w:rsidRPr="00A5177C">
        <w:rPr>
          <w:rFonts w:cs="Arial"/>
          <w:bCs/>
          <w:iCs/>
          <w:noProof/>
        </w:rPr>
        <w:t>While the Department has considered elements of the trial where it effects the sustainability of the CTFFF, i</w:t>
      </w:r>
      <w:r w:rsidR="003E2833" w:rsidRPr="00A5177C">
        <w:rPr>
          <w:rFonts w:cs="Arial"/>
          <w:bCs/>
          <w:iCs/>
          <w:noProof/>
        </w:rPr>
        <w:t>f</w:t>
      </w:r>
      <w:r w:rsidRPr="00A5177C">
        <w:rPr>
          <w:rFonts w:cs="Arial"/>
          <w:bCs/>
          <w:iCs/>
          <w:noProof/>
        </w:rPr>
        <w:t xml:space="preserve"> CTFFF management arrangements are to change</w:t>
      </w:r>
      <w:r w:rsidR="0049500E" w:rsidRPr="00A5177C">
        <w:rPr>
          <w:rFonts w:cs="Arial"/>
          <w:bCs/>
          <w:iCs/>
          <w:noProof/>
        </w:rPr>
        <w:t xml:space="preserve"> to include the trial area</w:t>
      </w:r>
      <w:r w:rsidRPr="00A5177C">
        <w:rPr>
          <w:rFonts w:cs="Arial"/>
          <w:bCs/>
          <w:iCs/>
          <w:noProof/>
        </w:rPr>
        <w:t xml:space="preserve">, </w:t>
      </w:r>
      <w:r w:rsidR="0081251E" w:rsidRPr="00A5177C">
        <w:rPr>
          <w:rFonts w:cs="Arial"/>
          <w:bCs/>
          <w:iCs/>
          <w:noProof/>
        </w:rPr>
        <w:t xml:space="preserve">it </w:t>
      </w:r>
      <w:r w:rsidR="005446D9">
        <w:rPr>
          <w:rFonts w:cs="Arial"/>
          <w:bCs/>
          <w:iCs/>
          <w:noProof/>
        </w:rPr>
        <w:t xml:space="preserve">is </w:t>
      </w:r>
      <w:r w:rsidR="0081251E" w:rsidRPr="00A5177C">
        <w:rPr>
          <w:rFonts w:cs="Arial"/>
          <w:bCs/>
          <w:iCs/>
          <w:noProof/>
        </w:rPr>
        <w:t xml:space="preserve">important that </w:t>
      </w:r>
      <w:r w:rsidR="003E2833" w:rsidRPr="00A5177C">
        <w:rPr>
          <w:rFonts w:cs="Arial"/>
          <w:bCs/>
          <w:iCs/>
          <w:noProof/>
        </w:rPr>
        <w:t>QDAF</w:t>
      </w:r>
      <w:r w:rsidR="003E2833" w:rsidRPr="00A5177C" w:rsidDel="002A2D81">
        <w:rPr>
          <w:rFonts w:cs="Arial"/>
          <w:bCs/>
          <w:iCs/>
          <w:noProof/>
        </w:rPr>
        <w:t xml:space="preserve"> </w:t>
      </w:r>
      <w:r w:rsidR="003E2833" w:rsidRPr="00A5177C">
        <w:rPr>
          <w:rFonts w:cs="Arial"/>
          <w:bCs/>
          <w:iCs/>
          <w:noProof/>
        </w:rPr>
        <w:t xml:space="preserve">revise </w:t>
      </w:r>
      <w:r w:rsidR="0081251E" w:rsidRPr="00A5177C">
        <w:rPr>
          <w:rFonts w:cs="Arial"/>
          <w:bCs/>
          <w:iCs/>
          <w:noProof/>
        </w:rPr>
        <w:t xml:space="preserve">the </w:t>
      </w:r>
      <w:r w:rsidR="003E2833" w:rsidRPr="00A5177C">
        <w:rPr>
          <w:rFonts w:cs="Arial"/>
          <w:bCs/>
          <w:iCs/>
          <w:noProof/>
        </w:rPr>
        <w:t xml:space="preserve">ecological risk assessment </w:t>
      </w:r>
      <w:r w:rsidR="0081251E" w:rsidRPr="00A5177C">
        <w:rPr>
          <w:rFonts w:cs="Arial"/>
          <w:bCs/>
          <w:iCs/>
          <w:noProof/>
        </w:rPr>
        <w:t xml:space="preserve">to </w:t>
      </w:r>
      <w:r w:rsidR="003E2833" w:rsidRPr="00A5177C">
        <w:rPr>
          <w:rFonts w:cs="Arial"/>
          <w:bCs/>
          <w:iCs/>
          <w:noProof/>
        </w:rPr>
        <w:t>ensure that th</w:t>
      </w:r>
      <w:r w:rsidRPr="00A5177C">
        <w:rPr>
          <w:rFonts w:cs="Arial"/>
          <w:bCs/>
          <w:iCs/>
          <w:noProof/>
        </w:rPr>
        <w:t>e assessment considers all management arrangements</w:t>
      </w:r>
      <w:r w:rsidR="0081251E" w:rsidRPr="00A5177C">
        <w:rPr>
          <w:rFonts w:cs="Arial"/>
          <w:bCs/>
          <w:iCs/>
          <w:noProof/>
        </w:rPr>
        <w:t xml:space="preserve"> and</w:t>
      </w:r>
      <w:r w:rsidRPr="00A5177C">
        <w:rPr>
          <w:rFonts w:cs="Arial"/>
          <w:bCs/>
          <w:iCs/>
          <w:noProof/>
        </w:rPr>
        <w:t xml:space="preserve"> </w:t>
      </w:r>
      <w:r w:rsidR="003E2833" w:rsidRPr="00A5177C">
        <w:rPr>
          <w:rFonts w:cs="Arial"/>
          <w:bCs/>
          <w:iCs/>
          <w:noProof/>
        </w:rPr>
        <w:t>impacts.</w:t>
      </w:r>
    </w:p>
    <w:p w14:paraId="23E536B1" w14:textId="10DC6EF3" w:rsidR="0048397D" w:rsidRPr="0056782D" w:rsidRDefault="003E2833" w:rsidP="0056782D">
      <w:pPr>
        <w:tabs>
          <w:tab w:val="left" w:pos="360"/>
        </w:tabs>
        <w:spacing w:before="0" w:line="276" w:lineRule="auto"/>
        <w:rPr>
          <w:rFonts w:cs="Arial"/>
          <w:bCs/>
          <w:iCs/>
          <w:noProof/>
        </w:rPr>
      </w:pPr>
      <w:r w:rsidRPr="00A5177C">
        <w:rPr>
          <w:rFonts w:cs="Arial"/>
          <w:bCs/>
          <w:iCs/>
          <w:noProof/>
        </w:rPr>
        <w:t xml:space="preserve">Ecological risks in the CTFFF </w:t>
      </w:r>
      <w:r w:rsidR="00547C8C" w:rsidRPr="00A5177C">
        <w:rPr>
          <w:rFonts w:cs="Arial"/>
          <w:bCs/>
          <w:iCs/>
          <w:noProof/>
        </w:rPr>
        <w:t xml:space="preserve">are </w:t>
      </w:r>
      <w:r w:rsidR="001A013C" w:rsidRPr="00A5177C">
        <w:rPr>
          <w:rFonts w:cs="Arial"/>
          <w:bCs/>
          <w:iCs/>
          <w:noProof/>
        </w:rPr>
        <w:t xml:space="preserve">currently </w:t>
      </w:r>
      <w:r w:rsidR="00547C8C" w:rsidRPr="00A5177C">
        <w:rPr>
          <w:rFonts w:cs="Arial"/>
          <w:bCs/>
          <w:iCs/>
          <w:noProof/>
        </w:rPr>
        <w:t xml:space="preserve">mitigated primarily by </w:t>
      </w:r>
      <w:r w:rsidR="00FE1CA3" w:rsidRPr="00A5177C">
        <w:rPr>
          <w:rFonts w:cs="Arial"/>
          <w:bCs/>
          <w:iCs/>
          <w:noProof/>
        </w:rPr>
        <w:t xml:space="preserve">the relatively small number of vessels operating in the fishery. </w:t>
      </w:r>
      <w:r w:rsidR="00BB0609" w:rsidRPr="00A5177C">
        <w:rPr>
          <w:rFonts w:cs="Arial"/>
          <w:bCs/>
          <w:iCs/>
          <w:noProof/>
        </w:rPr>
        <w:t xml:space="preserve">However, there </w:t>
      </w:r>
      <w:r w:rsidR="00FE1CA3" w:rsidRPr="00A5177C">
        <w:rPr>
          <w:rFonts w:cs="Arial"/>
          <w:bCs/>
          <w:iCs/>
          <w:noProof/>
        </w:rPr>
        <w:t>is no specific data collection occurring to monitor ecological impact</w:t>
      </w:r>
      <w:r w:rsidR="00FE76B8" w:rsidRPr="00A5177C">
        <w:rPr>
          <w:rFonts w:cs="Arial"/>
          <w:bCs/>
          <w:iCs/>
          <w:noProof/>
        </w:rPr>
        <w:t>s</w:t>
      </w:r>
      <w:r w:rsidR="00FE1CA3" w:rsidRPr="00A5177C">
        <w:rPr>
          <w:rFonts w:cs="Arial"/>
          <w:bCs/>
          <w:iCs/>
          <w:noProof/>
        </w:rPr>
        <w:t xml:space="preserve">, and no performance </w:t>
      </w:r>
      <w:r w:rsidR="00BB0609" w:rsidRPr="00A5177C">
        <w:rPr>
          <w:rFonts w:cs="Arial"/>
          <w:bCs/>
          <w:iCs/>
          <w:noProof/>
        </w:rPr>
        <w:t>management system to ensure the effectiveness</w:t>
      </w:r>
      <w:r w:rsidR="002C3EE4" w:rsidRPr="00A5177C">
        <w:rPr>
          <w:rFonts w:cs="Arial"/>
          <w:bCs/>
          <w:iCs/>
          <w:noProof/>
        </w:rPr>
        <w:t xml:space="preserve"> of ecological risk mitigation</w:t>
      </w:r>
      <w:r w:rsidR="00FE1CA3" w:rsidRPr="00A5177C">
        <w:rPr>
          <w:rFonts w:cs="Arial"/>
          <w:bCs/>
          <w:iCs/>
          <w:noProof/>
        </w:rPr>
        <w:t>.</w:t>
      </w:r>
      <w:r w:rsidR="00755360" w:rsidRPr="00A5177C">
        <w:rPr>
          <w:rFonts w:cs="Arial"/>
          <w:bCs/>
          <w:iCs/>
          <w:noProof/>
        </w:rPr>
        <w:t xml:space="preserve"> </w:t>
      </w:r>
      <w:r w:rsidR="00BB0609" w:rsidRPr="00A5177C">
        <w:rPr>
          <w:rFonts w:cs="Arial"/>
          <w:bCs/>
          <w:iCs/>
          <w:noProof/>
        </w:rPr>
        <w:t>Improving data collection and validation and introducing a harvest strategy are expected to address this issue</w:t>
      </w:r>
      <w:r w:rsidR="002C3EE4" w:rsidRPr="00A5177C">
        <w:rPr>
          <w:rFonts w:cs="Arial"/>
          <w:bCs/>
          <w:iCs/>
          <w:noProof/>
        </w:rPr>
        <w:t>. T</w:t>
      </w:r>
      <w:r w:rsidR="00BB0609" w:rsidRPr="00A5177C">
        <w:rPr>
          <w:rFonts w:cs="Arial"/>
          <w:bCs/>
          <w:iCs/>
          <w:noProof/>
        </w:rPr>
        <w:t>he Department has proposed conditions 1</w:t>
      </w:r>
      <w:r w:rsidR="002E7801" w:rsidRPr="00A5177C">
        <w:rPr>
          <w:rFonts w:cs="Arial"/>
          <w:bCs/>
          <w:iCs/>
          <w:noProof/>
        </w:rPr>
        <w:t xml:space="preserve"> and 2 </w:t>
      </w:r>
      <w:r w:rsidR="00BB0609" w:rsidRPr="00A5177C">
        <w:rPr>
          <w:rFonts w:cs="Arial"/>
          <w:bCs/>
          <w:iCs/>
          <w:noProof/>
        </w:rPr>
        <w:t xml:space="preserve">on the Part 13 approval, and </w:t>
      </w:r>
      <w:r w:rsidR="00562AE2" w:rsidRPr="00A5177C">
        <w:rPr>
          <w:rFonts w:cs="Arial"/>
          <w:bCs/>
          <w:iCs/>
          <w:noProof/>
        </w:rPr>
        <w:t xml:space="preserve">conditions </w:t>
      </w:r>
      <w:r w:rsidR="002E7801" w:rsidRPr="00A5177C">
        <w:rPr>
          <w:rFonts w:cs="Arial"/>
          <w:bCs/>
          <w:iCs/>
          <w:noProof/>
        </w:rPr>
        <w:t>4</w:t>
      </w:r>
      <w:r w:rsidR="001A013C" w:rsidRPr="00A5177C">
        <w:rPr>
          <w:rFonts w:cs="Arial"/>
          <w:bCs/>
          <w:iCs/>
          <w:noProof/>
        </w:rPr>
        <w:t>-</w:t>
      </w:r>
      <w:r w:rsidR="003A1E92">
        <w:rPr>
          <w:rFonts w:cs="Arial"/>
          <w:bCs/>
          <w:iCs/>
          <w:noProof/>
        </w:rPr>
        <w:t>6</w:t>
      </w:r>
      <w:r w:rsidR="003A1E92" w:rsidRPr="00A5177C">
        <w:rPr>
          <w:rFonts w:cs="Arial"/>
          <w:bCs/>
          <w:iCs/>
          <w:noProof/>
        </w:rPr>
        <w:t xml:space="preserve"> </w:t>
      </w:r>
      <w:r w:rsidR="00380189" w:rsidRPr="00A5177C">
        <w:rPr>
          <w:rFonts w:cs="Arial"/>
          <w:bCs/>
          <w:iCs/>
          <w:noProof/>
        </w:rPr>
        <w:t xml:space="preserve">on </w:t>
      </w:r>
      <w:r w:rsidR="00BB0609" w:rsidRPr="00A5177C">
        <w:rPr>
          <w:rFonts w:cs="Arial"/>
          <w:bCs/>
          <w:iCs/>
          <w:noProof/>
        </w:rPr>
        <w:t xml:space="preserve">the </w:t>
      </w:r>
      <w:r w:rsidR="00755360" w:rsidRPr="00A5177C">
        <w:rPr>
          <w:rFonts w:cs="Arial"/>
          <w:bCs/>
          <w:iCs/>
          <w:noProof/>
        </w:rPr>
        <w:t>Part 13A approval</w:t>
      </w:r>
      <w:r w:rsidR="001A013C" w:rsidRPr="00A5177C">
        <w:rPr>
          <w:rFonts w:cs="Arial"/>
          <w:bCs/>
          <w:iCs/>
          <w:noProof/>
        </w:rPr>
        <w:t xml:space="preserve"> in support of this outcome.</w:t>
      </w:r>
    </w:p>
    <w:p w14:paraId="44846B4B" w14:textId="23F25CF7" w:rsidR="0049500E" w:rsidRDefault="0049500E" w:rsidP="00BA6453">
      <w:pPr>
        <w:keepNext/>
        <w:spacing w:before="0" w:line="276" w:lineRule="auto"/>
        <w:rPr>
          <w:rFonts w:cs="Arial"/>
          <w:i/>
          <w:iCs/>
        </w:rPr>
      </w:pPr>
      <w:r>
        <w:rPr>
          <w:rFonts w:cs="Arial"/>
          <w:i/>
          <w:iCs/>
        </w:rPr>
        <w:lastRenderedPageBreak/>
        <w:t>Conditions</w:t>
      </w:r>
    </w:p>
    <w:p w14:paraId="5B299803" w14:textId="6E0C139F" w:rsidR="00937DA0" w:rsidRPr="00FD022E" w:rsidRDefault="002F5DA6" w:rsidP="007F171B">
      <w:pPr>
        <w:spacing w:before="0" w:line="276" w:lineRule="auto"/>
        <w:rPr>
          <w:rFonts w:cs="Arial"/>
        </w:rPr>
        <w:sectPr w:rsidR="00937DA0" w:rsidRPr="00FD022E" w:rsidSect="00937DA0">
          <w:type w:val="continuous"/>
          <w:pgSz w:w="11906" w:h="16838"/>
          <w:pgMar w:top="1418" w:right="1276" w:bottom="567" w:left="1418" w:header="425" w:footer="425" w:gutter="0"/>
          <w:pgNumType w:start="1"/>
          <w:cols w:space="708"/>
          <w:titlePg/>
          <w:docGrid w:linePitch="360"/>
        </w:sectPr>
      </w:pPr>
      <w:r w:rsidRPr="00FD022E">
        <w:rPr>
          <w:rFonts w:cs="Arial"/>
        </w:rPr>
        <w:t xml:space="preserve">The </w:t>
      </w:r>
      <w:r w:rsidR="007F19B3" w:rsidRPr="00FD022E">
        <w:rPr>
          <w:rFonts w:cs="Arial"/>
        </w:rPr>
        <w:t xml:space="preserve">conditions </w:t>
      </w:r>
      <w:r w:rsidR="00755360" w:rsidRPr="00FD022E">
        <w:rPr>
          <w:rFonts w:cs="Arial"/>
        </w:rPr>
        <w:t xml:space="preserve">outlined in Section </w:t>
      </w:r>
      <w:r w:rsidR="008A76BB">
        <w:rPr>
          <w:rFonts w:cs="Arial"/>
        </w:rPr>
        <w:t>2</w:t>
      </w:r>
      <w:r w:rsidR="008A76BB" w:rsidRPr="00FD022E">
        <w:rPr>
          <w:rFonts w:cs="Arial"/>
        </w:rPr>
        <w:t xml:space="preserve"> </w:t>
      </w:r>
      <w:r w:rsidR="00755360" w:rsidRPr="00FD022E">
        <w:rPr>
          <w:rFonts w:cs="Arial"/>
        </w:rPr>
        <w:t xml:space="preserve">of this report collectively </w:t>
      </w:r>
      <w:r w:rsidR="007F19B3" w:rsidRPr="00FD022E">
        <w:rPr>
          <w:rFonts w:cs="Arial"/>
        </w:rPr>
        <w:t xml:space="preserve">aim to address the issues </w:t>
      </w:r>
      <w:r w:rsidR="00755360" w:rsidRPr="00FD022E">
        <w:rPr>
          <w:rFonts w:cs="Arial"/>
        </w:rPr>
        <w:t>identified in the Department’s assessment of the fishery</w:t>
      </w:r>
      <w:r w:rsidR="00BA7FDD" w:rsidRPr="00FD022E">
        <w:rPr>
          <w:rFonts w:cs="Arial"/>
        </w:rPr>
        <w:t xml:space="preserve"> during the term of the proposed three</w:t>
      </w:r>
      <w:r w:rsidR="00326FAA" w:rsidRPr="00FD022E">
        <w:rPr>
          <w:rFonts w:cs="Arial"/>
        </w:rPr>
        <w:t>-</w:t>
      </w:r>
      <w:r w:rsidR="00BA7FDD" w:rsidRPr="00FD022E">
        <w:rPr>
          <w:rFonts w:cs="Arial"/>
        </w:rPr>
        <w:t>year approval</w:t>
      </w:r>
      <w:r w:rsidR="00BB0609" w:rsidRPr="00FD022E">
        <w:rPr>
          <w:rFonts w:cs="Arial"/>
        </w:rPr>
        <w:t xml:space="preserve">. Because the Part 13 and Part 13A </w:t>
      </w:r>
      <w:r w:rsidR="00755360" w:rsidRPr="00FD022E">
        <w:rPr>
          <w:rFonts w:eastAsia="Times New Roman" w:cs="Arial"/>
          <w:lang w:val="en-GB"/>
        </w:rPr>
        <w:t xml:space="preserve">approvals can be granted </w:t>
      </w:r>
      <w:r w:rsidR="00BB0609" w:rsidRPr="00FD022E">
        <w:rPr>
          <w:rFonts w:eastAsia="Times New Roman" w:cs="Arial"/>
          <w:lang w:val="en-GB"/>
        </w:rPr>
        <w:t xml:space="preserve">and maintained </w:t>
      </w:r>
      <w:r w:rsidR="00755360" w:rsidRPr="00FD022E">
        <w:rPr>
          <w:rFonts w:eastAsia="Times New Roman" w:cs="Arial"/>
          <w:lang w:val="en-GB"/>
        </w:rPr>
        <w:t>independently</w:t>
      </w:r>
      <w:r w:rsidR="0083451D" w:rsidRPr="00FD022E">
        <w:rPr>
          <w:rFonts w:eastAsia="Times New Roman" w:cs="Arial"/>
          <w:lang w:val="en-GB"/>
        </w:rPr>
        <w:t>, certain conditions have been proposed for both approvals</w:t>
      </w:r>
      <w:r w:rsidR="00755360" w:rsidRPr="00FD022E">
        <w:rPr>
          <w:rFonts w:eastAsia="Times New Roman" w:cs="Arial"/>
          <w:lang w:val="en-GB"/>
        </w:rPr>
        <w:t xml:space="preserve">. </w:t>
      </w:r>
      <w:r w:rsidR="007F2ABC" w:rsidRPr="00FD022E">
        <w:t xml:space="preserve">On </w:t>
      </w:r>
      <w:r w:rsidR="00600E73">
        <w:t>the</w:t>
      </w:r>
      <w:r w:rsidR="00600E73" w:rsidRPr="00FD022E">
        <w:t xml:space="preserve"> </w:t>
      </w:r>
      <w:r w:rsidR="007F2ABC" w:rsidRPr="00FD022E">
        <w:t>basis</w:t>
      </w:r>
      <w:r w:rsidR="00BA7FDD" w:rsidRPr="00FD022E">
        <w:t xml:space="preserve"> </w:t>
      </w:r>
      <w:r w:rsidR="00600E73">
        <w:t xml:space="preserve">that </w:t>
      </w:r>
      <w:r w:rsidR="00BA7FDD" w:rsidRPr="00FD022E">
        <w:t>the proposed conditions</w:t>
      </w:r>
      <w:r w:rsidR="00600E73">
        <w:t xml:space="preserve"> will address the identified issues</w:t>
      </w:r>
      <w:r w:rsidR="007F2ABC" w:rsidRPr="00FD022E">
        <w:t xml:space="preserve">, the Department recommends that the CTFFF be declared an approved wildlife trade operation </w:t>
      </w:r>
      <w:r w:rsidR="00416B1C" w:rsidRPr="00FD022E">
        <w:t xml:space="preserve">under Part 13A of the EPBC Act </w:t>
      </w:r>
      <w:r w:rsidR="007F2ABC" w:rsidRPr="00FD022E">
        <w:t>for three years and that the management regime be accredited under Part 13 of the EPBC Act.</w:t>
      </w:r>
    </w:p>
    <w:p w14:paraId="048F6092" w14:textId="76E5EB93" w:rsidR="00AB194A" w:rsidRPr="00FD022E" w:rsidRDefault="00134108" w:rsidP="007F171B">
      <w:pPr>
        <w:pStyle w:val="Heading1"/>
        <w:spacing w:after="120"/>
      </w:pPr>
      <w:bookmarkStart w:id="1" w:name="_Toc48212728"/>
      <w:bookmarkStart w:id="2" w:name="_Toc316301050"/>
      <w:r w:rsidRPr="00FD022E">
        <w:rPr>
          <w:rFonts w:ascii="Arial" w:hAnsi="Arial"/>
        </w:rPr>
        <w:lastRenderedPageBreak/>
        <w:t>Section</w:t>
      </w:r>
      <w:r w:rsidR="00885298" w:rsidRPr="00FD022E">
        <w:rPr>
          <w:rFonts w:ascii="Arial" w:hAnsi="Arial"/>
        </w:rPr>
        <w:t xml:space="preserve"> </w:t>
      </w:r>
      <w:r w:rsidR="00BC5432" w:rsidRPr="00FD022E">
        <w:rPr>
          <w:rFonts w:ascii="Arial" w:hAnsi="Arial"/>
        </w:rPr>
        <w:t>1</w:t>
      </w:r>
      <w:r w:rsidR="00885298" w:rsidRPr="00FD022E">
        <w:rPr>
          <w:rFonts w:ascii="Arial" w:hAnsi="Arial"/>
        </w:rPr>
        <w:t xml:space="preserve">: </w:t>
      </w:r>
      <w:r w:rsidR="0080417B" w:rsidRPr="00FD022E">
        <w:rPr>
          <w:rFonts w:ascii="Arial" w:hAnsi="Arial"/>
        </w:rPr>
        <w:t>A</w:t>
      </w:r>
      <w:r w:rsidRPr="00FD022E">
        <w:rPr>
          <w:rFonts w:ascii="Arial" w:hAnsi="Arial"/>
        </w:rPr>
        <w:t xml:space="preserve">ssessment </w:t>
      </w:r>
      <w:r w:rsidR="008F5F1A">
        <w:rPr>
          <w:rFonts w:ascii="Arial" w:hAnsi="Arial"/>
        </w:rPr>
        <w:t>s</w:t>
      </w:r>
      <w:r w:rsidRPr="00FD022E">
        <w:rPr>
          <w:rFonts w:ascii="Arial" w:hAnsi="Arial"/>
        </w:rPr>
        <w:t>ummary</w:t>
      </w:r>
      <w:bookmarkEnd w:id="1"/>
    </w:p>
    <w:tbl>
      <w:tblPr>
        <w:tblStyle w:val="TableGrid"/>
        <w:tblW w:w="5000" w:type="pct"/>
        <w:tblLayout w:type="fixed"/>
        <w:tblLook w:val="04A0" w:firstRow="1" w:lastRow="0" w:firstColumn="1" w:lastColumn="0" w:noHBand="0" w:noVBand="1"/>
      </w:tblPr>
      <w:tblGrid>
        <w:gridCol w:w="1696"/>
        <w:gridCol w:w="994"/>
        <w:gridCol w:w="991"/>
        <w:gridCol w:w="991"/>
        <w:gridCol w:w="10114"/>
      </w:tblGrid>
      <w:tr w:rsidR="007E6EBC" w:rsidRPr="00FD022E" w14:paraId="5241E59E" w14:textId="77777777" w:rsidTr="00A9145D">
        <w:trPr>
          <w:cnfStyle w:val="100000000000" w:firstRow="1" w:lastRow="0" w:firstColumn="0" w:lastColumn="0" w:oddVBand="0" w:evenVBand="0" w:oddHBand="0" w:evenHBand="0" w:firstRowFirstColumn="0" w:firstRowLastColumn="0" w:lastRowFirstColumn="0" w:lastRowLastColumn="0"/>
        </w:trPr>
        <w:tc>
          <w:tcPr>
            <w:tcW w:w="574" w:type="pct"/>
            <w:vAlign w:val="center"/>
          </w:tcPr>
          <w:p w14:paraId="0B78829B" w14:textId="32461734" w:rsidR="00AB194A" w:rsidRPr="00E21AE7" w:rsidRDefault="00B97B40" w:rsidP="007F171B">
            <w:pPr>
              <w:spacing w:before="60" w:after="60" w:line="276" w:lineRule="auto"/>
              <w:jc w:val="center"/>
              <w:rPr>
                <w:rFonts w:cs="Arial"/>
                <w:b/>
              </w:rPr>
            </w:pPr>
            <w:r w:rsidRPr="00E21AE7">
              <w:rPr>
                <w:rFonts w:cs="Arial"/>
                <w:b/>
              </w:rPr>
              <w:t>Guidelines</w:t>
            </w:r>
          </w:p>
        </w:tc>
        <w:tc>
          <w:tcPr>
            <w:tcW w:w="336" w:type="pct"/>
            <w:shd w:val="clear" w:color="auto" w:fill="92D050"/>
            <w:vAlign w:val="center"/>
          </w:tcPr>
          <w:p w14:paraId="29372550" w14:textId="77777777" w:rsidR="00AB194A" w:rsidRPr="00E21AE7" w:rsidRDefault="00AB194A" w:rsidP="007F171B">
            <w:pPr>
              <w:spacing w:before="60" w:after="60" w:line="276" w:lineRule="auto"/>
              <w:jc w:val="center"/>
              <w:rPr>
                <w:rFonts w:cs="Arial"/>
                <w:b/>
              </w:rPr>
            </w:pPr>
            <w:r w:rsidRPr="00E21AE7">
              <w:rPr>
                <w:rFonts w:cs="Arial"/>
                <w:b/>
              </w:rPr>
              <w:t>Meets</w:t>
            </w:r>
          </w:p>
        </w:tc>
        <w:tc>
          <w:tcPr>
            <w:tcW w:w="335" w:type="pct"/>
            <w:shd w:val="clear" w:color="auto" w:fill="FFC000"/>
            <w:vAlign w:val="center"/>
          </w:tcPr>
          <w:p w14:paraId="439F3FF6" w14:textId="1C9AFAC2" w:rsidR="00AB194A" w:rsidRPr="00E21AE7" w:rsidRDefault="00AB194A" w:rsidP="007F171B">
            <w:pPr>
              <w:spacing w:before="60" w:after="60" w:line="276" w:lineRule="auto"/>
              <w:jc w:val="center"/>
              <w:rPr>
                <w:rFonts w:cs="Arial"/>
                <w:b/>
              </w:rPr>
            </w:pPr>
            <w:r w:rsidRPr="00E21AE7">
              <w:rPr>
                <w:rFonts w:cs="Arial"/>
                <w:b/>
              </w:rPr>
              <w:t>Partly meets</w:t>
            </w:r>
          </w:p>
        </w:tc>
        <w:tc>
          <w:tcPr>
            <w:tcW w:w="335" w:type="pct"/>
            <w:shd w:val="clear" w:color="auto" w:fill="FF0000"/>
            <w:vAlign w:val="center"/>
          </w:tcPr>
          <w:p w14:paraId="4F65884C" w14:textId="77777777" w:rsidR="00AB194A" w:rsidRPr="00E21AE7" w:rsidRDefault="00AB194A" w:rsidP="007F171B">
            <w:pPr>
              <w:spacing w:before="60" w:after="60" w:line="276" w:lineRule="auto"/>
              <w:jc w:val="center"/>
              <w:rPr>
                <w:rFonts w:cs="Arial"/>
                <w:b/>
              </w:rPr>
            </w:pPr>
            <w:r w:rsidRPr="00E21AE7">
              <w:rPr>
                <w:rFonts w:cs="Arial"/>
                <w:b/>
              </w:rPr>
              <w:t>Does not meet</w:t>
            </w:r>
          </w:p>
        </w:tc>
        <w:tc>
          <w:tcPr>
            <w:tcW w:w="3420" w:type="pct"/>
            <w:vAlign w:val="center"/>
          </w:tcPr>
          <w:p w14:paraId="052AB3D7" w14:textId="45F500C7" w:rsidR="00AB194A" w:rsidRPr="00E21AE7" w:rsidRDefault="00BD120A" w:rsidP="007F171B">
            <w:pPr>
              <w:spacing w:before="60" w:after="60" w:line="276" w:lineRule="auto"/>
              <w:jc w:val="center"/>
              <w:rPr>
                <w:rFonts w:cs="Arial"/>
                <w:b/>
              </w:rPr>
            </w:pPr>
            <w:r w:rsidRPr="00E21AE7">
              <w:rPr>
                <w:rFonts w:cs="Arial"/>
                <w:b/>
              </w:rPr>
              <w:t>Comments</w:t>
            </w:r>
          </w:p>
        </w:tc>
      </w:tr>
      <w:tr w:rsidR="007E6EBC" w:rsidRPr="00FD022E" w14:paraId="1B656C43" w14:textId="77777777" w:rsidTr="00A9145D">
        <w:trPr>
          <w:cnfStyle w:val="000000100000" w:firstRow="0" w:lastRow="0" w:firstColumn="0" w:lastColumn="0" w:oddVBand="0" w:evenVBand="0" w:oddHBand="1" w:evenHBand="0" w:firstRowFirstColumn="0" w:firstRowLastColumn="0" w:lastRowFirstColumn="0" w:lastRowLastColumn="0"/>
        </w:trPr>
        <w:tc>
          <w:tcPr>
            <w:tcW w:w="574" w:type="pct"/>
          </w:tcPr>
          <w:p w14:paraId="29382D6F" w14:textId="77777777" w:rsidR="00AB194A" w:rsidRPr="00E21AE7" w:rsidRDefault="00AB194A" w:rsidP="007F171B">
            <w:pPr>
              <w:spacing w:before="60" w:after="60" w:line="276" w:lineRule="auto"/>
              <w:rPr>
                <w:rFonts w:cs="Arial"/>
              </w:rPr>
            </w:pPr>
            <w:r w:rsidRPr="00E21AE7">
              <w:rPr>
                <w:rFonts w:cs="Arial"/>
              </w:rPr>
              <w:t>Management regime</w:t>
            </w:r>
          </w:p>
        </w:tc>
        <w:tc>
          <w:tcPr>
            <w:tcW w:w="336" w:type="pct"/>
            <w:shd w:val="clear" w:color="auto" w:fill="92D050"/>
          </w:tcPr>
          <w:p w14:paraId="6B33C294" w14:textId="23E03F8D" w:rsidR="00AB194A" w:rsidRPr="00E21AE7" w:rsidRDefault="00411230" w:rsidP="007F171B">
            <w:pPr>
              <w:spacing w:before="60" w:after="60" w:line="276" w:lineRule="auto"/>
              <w:jc w:val="center"/>
              <w:rPr>
                <w:rFonts w:cs="Arial"/>
              </w:rPr>
            </w:pPr>
            <w:r>
              <w:rPr>
                <w:rFonts w:cs="Arial"/>
              </w:rPr>
              <w:t>5</w:t>
            </w:r>
            <w:r w:rsidR="00E9217E" w:rsidRPr="00E21AE7">
              <w:rPr>
                <w:rFonts w:cs="Arial"/>
              </w:rPr>
              <w:t xml:space="preserve"> </w:t>
            </w:r>
            <w:r w:rsidR="008A7562" w:rsidRPr="00E21AE7">
              <w:rPr>
                <w:rFonts w:cs="Arial"/>
              </w:rPr>
              <w:t>of 9</w:t>
            </w:r>
          </w:p>
        </w:tc>
        <w:tc>
          <w:tcPr>
            <w:tcW w:w="335" w:type="pct"/>
            <w:shd w:val="clear" w:color="auto" w:fill="auto"/>
          </w:tcPr>
          <w:p w14:paraId="3BBC9E01" w14:textId="399D3BBF" w:rsidR="00AB194A" w:rsidRPr="00E21AE7" w:rsidRDefault="00411230" w:rsidP="007F171B">
            <w:pPr>
              <w:spacing w:before="60" w:after="60" w:line="276" w:lineRule="auto"/>
              <w:jc w:val="center"/>
              <w:rPr>
                <w:rFonts w:cs="Arial"/>
              </w:rPr>
            </w:pPr>
            <w:r>
              <w:rPr>
                <w:rFonts w:cs="Arial"/>
              </w:rPr>
              <w:t>2</w:t>
            </w:r>
            <w:r w:rsidR="00E9217E" w:rsidRPr="00E21AE7">
              <w:rPr>
                <w:rFonts w:cs="Arial"/>
              </w:rPr>
              <w:t xml:space="preserve"> </w:t>
            </w:r>
            <w:r w:rsidR="008A7562" w:rsidRPr="00E21AE7">
              <w:rPr>
                <w:rFonts w:cs="Arial"/>
              </w:rPr>
              <w:t>of 9</w:t>
            </w:r>
          </w:p>
        </w:tc>
        <w:tc>
          <w:tcPr>
            <w:tcW w:w="335" w:type="pct"/>
            <w:shd w:val="clear" w:color="auto" w:fill="auto"/>
          </w:tcPr>
          <w:p w14:paraId="4E06581E" w14:textId="6470029E" w:rsidR="00AB194A" w:rsidRPr="00E21AE7" w:rsidRDefault="009128B5" w:rsidP="007F171B">
            <w:pPr>
              <w:spacing w:before="60" w:after="60" w:line="276" w:lineRule="auto"/>
              <w:jc w:val="center"/>
              <w:rPr>
                <w:rFonts w:cs="Arial"/>
              </w:rPr>
            </w:pPr>
            <w:r w:rsidRPr="00E21AE7">
              <w:rPr>
                <w:rFonts w:cs="Arial"/>
              </w:rPr>
              <w:t>2</w:t>
            </w:r>
            <w:r w:rsidR="008A7562" w:rsidRPr="00E21AE7">
              <w:rPr>
                <w:rFonts w:cs="Arial"/>
              </w:rPr>
              <w:t xml:space="preserve"> of 9</w:t>
            </w:r>
          </w:p>
        </w:tc>
        <w:tc>
          <w:tcPr>
            <w:tcW w:w="3420" w:type="pct"/>
          </w:tcPr>
          <w:p w14:paraId="646F42E0" w14:textId="4CDE629C" w:rsidR="00221E97" w:rsidRPr="00E21AE7" w:rsidRDefault="001B3C7C" w:rsidP="007F171B">
            <w:pPr>
              <w:spacing w:before="60" w:after="60" w:line="276" w:lineRule="auto"/>
              <w:rPr>
                <w:rFonts w:cs="Arial"/>
              </w:rPr>
            </w:pPr>
            <w:r w:rsidRPr="00E21AE7">
              <w:rPr>
                <w:rFonts w:cs="Arial"/>
              </w:rPr>
              <w:t>Management arrangements are documented, publicly available and transparent</w:t>
            </w:r>
            <w:r w:rsidR="00CB4CCF">
              <w:rPr>
                <w:rFonts w:cs="Arial"/>
              </w:rPr>
              <w:t xml:space="preserve"> and </w:t>
            </w:r>
            <w:r w:rsidR="006E7DD7" w:rsidRPr="00E21AE7">
              <w:rPr>
                <w:rFonts w:cs="Arial"/>
              </w:rPr>
              <w:t>c</w:t>
            </w:r>
            <w:r w:rsidRPr="00E21AE7">
              <w:rPr>
                <w:rFonts w:cs="Arial"/>
              </w:rPr>
              <w:t>onsult</w:t>
            </w:r>
            <w:r w:rsidR="00CB4CCF">
              <w:rPr>
                <w:rFonts w:cs="Arial"/>
              </w:rPr>
              <w:t xml:space="preserve"> a wide range of stakeholders. </w:t>
            </w:r>
            <w:r w:rsidRPr="00E21AE7">
              <w:rPr>
                <w:rFonts w:cs="Arial"/>
              </w:rPr>
              <w:t>There are regular stock assessments and effective harvest controls in place</w:t>
            </w:r>
            <w:r w:rsidR="006E7DD7" w:rsidRPr="00E21AE7">
              <w:rPr>
                <w:rFonts w:cs="Arial"/>
              </w:rPr>
              <w:t xml:space="preserve">, but </w:t>
            </w:r>
            <w:r w:rsidRPr="00E21AE7">
              <w:rPr>
                <w:rFonts w:cs="Arial"/>
              </w:rPr>
              <w:t xml:space="preserve">research, risk mitigation and enforcement could be improved. There are also no frameworks for monitoring and managing the </w:t>
            </w:r>
            <w:r w:rsidR="0089464F" w:rsidRPr="00E21AE7">
              <w:rPr>
                <w:rFonts w:cs="Arial"/>
              </w:rPr>
              <w:t xml:space="preserve">fishery’s </w:t>
            </w:r>
            <w:r w:rsidRPr="00E21AE7">
              <w:rPr>
                <w:rFonts w:cs="Arial"/>
              </w:rPr>
              <w:t>performance.</w:t>
            </w:r>
            <w:r w:rsidR="000860F7" w:rsidRPr="00E21AE7">
              <w:rPr>
                <w:rFonts w:cs="Arial"/>
              </w:rPr>
              <w:t xml:space="preserve"> </w:t>
            </w:r>
            <w:r w:rsidR="00221E97" w:rsidRPr="00E21AE7">
              <w:rPr>
                <w:rFonts w:cs="Arial"/>
              </w:rPr>
              <w:t>The Department has proposed condition</w:t>
            </w:r>
            <w:r w:rsidR="003A1E92">
              <w:rPr>
                <w:rFonts w:cs="Arial"/>
              </w:rPr>
              <w:t>s</w:t>
            </w:r>
            <w:r w:rsidR="00221E97" w:rsidRPr="00E21AE7">
              <w:rPr>
                <w:rFonts w:cs="Arial"/>
              </w:rPr>
              <w:t xml:space="preserve"> 1</w:t>
            </w:r>
            <w:r w:rsidR="002E7801">
              <w:rPr>
                <w:rFonts w:cs="Arial"/>
              </w:rPr>
              <w:t xml:space="preserve"> </w:t>
            </w:r>
            <w:r w:rsidR="003A1E92">
              <w:rPr>
                <w:rFonts w:cs="Arial"/>
              </w:rPr>
              <w:t xml:space="preserve">and 2 </w:t>
            </w:r>
            <w:r w:rsidR="00221E97" w:rsidRPr="00E21AE7">
              <w:rPr>
                <w:rFonts w:cs="Arial"/>
              </w:rPr>
              <w:t xml:space="preserve">on </w:t>
            </w:r>
            <w:r w:rsidR="007D043E" w:rsidRPr="00E21AE7">
              <w:rPr>
                <w:rFonts w:cs="Arial"/>
              </w:rPr>
              <w:t xml:space="preserve">the </w:t>
            </w:r>
            <w:r w:rsidR="00221E97" w:rsidRPr="00E21AE7">
              <w:rPr>
                <w:rFonts w:cs="Arial"/>
              </w:rPr>
              <w:t xml:space="preserve">Part 13 approval, and conditions </w:t>
            </w:r>
            <w:r w:rsidR="001A013C" w:rsidRPr="00E21AE7">
              <w:rPr>
                <w:rFonts w:cs="Arial"/>
              </w:rPr>
              <w:t>4</w:t>
            </w:r>
            <w:r w:rsidR="003A1E92">
              <w:rPr>
                <w:rFonts w:cs="Arial"/>
              </w:rPr>
              <w:t>-6</w:t>
            </w:r>
            <w:r w:rsidR="00AA1E16" w:rsidRPr="00E21AE7">
              <w:rPr>
                <w:rFonts w:cs="Arial"/>
              </w:rPr>
              <w:t xml:space="preserve"> </w:t>
            </w:r>
            <w:r w:rsidR="00221E97" w:rsidRPr="00E21AE7">
              <w:rPr>
                <w:rFonts w:cs="Arial"/>
              </w:rPr>
              <w:t xml:space="preserve">on </w:t>
            </w:r>
            <w:r w:rsidR="007D043E" w:rsidRPr="00E21AE7">
              <w:rPr>
                <w:rFonts w:cs="Arial"/>
              </w:rPr>
              <w:t xml:space="preserve">the </w:t>
            </w:r>
            <w:r w:rsidR="00221E97" w:rsidRPr="00E21AE7">
              <w:rPr>
                <w:rFonts w:cs="Arial"/>
              </w:rPr>
              <w:t>Part 13A approval to address the identified issues.</w:t>
            </w:r>
            <w:r w:rsidR="007F0195" w:rsidRPr="00E21AE7">
              <w:rPr>
                <w:rFonts w:cs="Arial"/>
              </w:rPr>
              <w:t xml:space="preserve"> All proposed conditions are </w:t>
            </w:r>
            <w:r w:rsidR="00CF4293" w:rsidRPr="00E21AE7">
              <w:rPr>
                <w:rFonts w:cs="Arial"/>
              </w:rPr>
              <w:t xml:space="preserve">detailed </w:t>
            </w:r>
            <w:r w:rsidR="007F0195" w:rsidRPr="00E21AE7">
              <w:rPr>
                <w:rFonts w:cs="Arial"/>
              </w:rPr>
              <w:t xml:space="preserve">in </w:t>
            </w:r>
            <w:r w:rsidR="008A76BB">
              <w:rPr>
                <w:rFonts w:cs="Arial"/>
              </w:rPr>
              <w:t>Section 2</w:t>
            </w:r>
            <w:r w:rsidR="007F0195" w:rsidRPr="00E21AE7">
              <w:rPr>
                <w:rFonts w:cs="Arial"/>
              </w:rPr>
              <w:t xml:space="preserve"> of this report.</w:t>
            </w:r>
          </w:p>
        </w:tc>
      </w:tr>
      <w:tr w:rsidR="007E6EBC" w:rsidRPr="00FD022E" w14:paraId="56282922" w14:textId="77777777" w:rsidTr="00A9145D">
        <w:trPr>
          <w:cnfStyle w:val="000000010000" w:firstRow="0" w:lastRow="0" w:firstColumn="0" w:lastColumn="0" w:oddVBand="0" w:evenVBand="0" w:oddHBand="0" w:evenHBand="1" w:firstRowFirstColumn="0" w:firstRowLastColumn="0" w:lastRowFirstColumn="0" w:lastRowLastColumn="0"/>
        </w:trPr>
        <w:tc>
          <w:tcPr>
            <w:tcW w:w="574" w:type="pct"/>
          </w:tcPr>
          <w:p w14:paraId="582702E7" w14:textId="04BBD469" w:rsidR="007E6EBC" w:rsidRPr="00E21AE7" w:rsidRDefault="00AB194A" w:rsidP="007F171B">
            <w:pPr>
              <w:spacing w:before="60" w:after="60" w:line="276" w:lineRule="auto"/>
              <w:rPr>
                <w:rFonts w:cs="Arial"/>
              </w:rPr>
            </w:pPr>
            <w:r w:rsidRPr="00E21AE7">
              <w:rPr>
                <w:rFonts w:cs="Arial"/>
              </w:rPr>
              <w:t xml:space="preserve">Principle </w:t>
            </w:r>
            <w:r w:rsidRPr="00E21AE7" w:rsidDel="00BD120A">
              <w:rPr>
                <w:rFonts w:cs="Arial"/>
              </w:rPr>
              <w:t>1</w:t>
            </w:r>
          </w:p>
          <w:p w14:paraId="3BD1EF3C" w14:textId="27E6B128" w:rsidR="00BD120A" w:rsidRPr="00E21AE7" w:rsidRDefault="00BD120A" w:rsidP="007F171B">
            <w:pPr>
              <w:spacing w:before="60" w:after="60" w:line="276" w:lineRule="auto"/>
              <w:rPr>
                <w:rFonts w:cs="Arial"/>
              </w:rPr>
            </w:pPr>
            <w:r w:rsidRPr="00E21AE7">
              <w:rPr>
                <w:rFonts w:cs="Arial"/>
              </w:rPr>
              <w:t>T</w:t>
            </w:r>
            <w:r w:rsidR="00AB194A" w:rsidRPr="00E21AE7">
              <w:rPr>
                <w:rFonts w:cs="Arial"/>
              </w:rPr>
              <w:t>arget stocks</w:t>
            </w:r>
          </w:p>
          <w:p w14:paraId="2914D359" w14:textId="77777777" w:rsidR="00BD120A" w:rsidRPr="00E21AE7" w:rsidRDefault="00BD120A" w:rsidP="007F171B">
            <w:pPr>
              <w:spacing w:before="60" w:after="60" w:line="276" w:lineRule="auto"/>
              <w:rPr>
                <w:rFonts w:cs="Arial"/>
              </w:rPr>
            </w:pPr>
          </w:p>
          <w:p w14:paraId="1CF6F480" w14:textId="0FB2E7E1" w:rsidR="00AB194A" w:rsidRPr="00E21AE7" w:rsidRDefault="00BD120A" w:rsidP="007F171B">
            <w:pPr>
              <w:spacing w:before="60" w:after="60" w:line="276" w:lineRule="auto"/>
              <w:rPr>
                <w:rFonts w:cs="Arial"/>
              </w:rPr>
            </w:pPr>
            <w:r w:rsidRPr="00E21AE7">
              <w:rPr>
                <w:rFonts w:cs="Arial"/>
              </w:rPr>
              <w:t xml:space="preserve">* Two of the 11 </w:t>
            </w:r>
            <w:r w:rsidR="00C01137" w:rsidRPr="00E21AE7">
              <w:rPr>
                <w:rFonts w:cs="Arial"/>
              </w:rPr>
              <w:t xml:space="preserve">assessment </w:t>
            </w:r>
            <w:r w:rsidRPr="00E21AE7">
              <w:rPr>
                <w:rFonts w:cs="Arial"/>
              </w:rPr>
              <w:t>criteria are not applicable.</w:t>
            </w:r>
          </w:p>
        </w:tc>
        <w:tc>
          <w:tcPr>
            <w:tcW w:w="336" w:type="pct"/>
            <w:shd w:val="clear" w:color="auto" w:fill="auto"/>
          </w:tcPr>
          <w:p w14:paraId="490E81C8" w14:textId="34D06965" w:rsidR="00AB194A" w:rsidRPr="00E21AE7" w:rsidRDefault="00913281" w:rsidP="007F171B">
            <w:pPr>
              <w:spacing w:before="60" w:after="60" w:line="276" w:lineRule="auto"/>
              <w:jc w:val="center"/>
              <w:rPr>
                <w:rFonts w:cs="Arial"/>
              </w:rPr>
            </w:pPr>
            <w:r w:rsidRPr="00E21AE7">
              <w:rPr>
                <w:rFonts w:cs="Arial"/>
              </w:rPr>
              <w:t xml:space="preserve">2 </w:t>
            </w:r>
            <w:r w:rsidR="008A7562" w:rsidRPr="00E21AE7">
              <w:rPr>
                <w:rFonts w:cs="Arial"/>
              </w:rPr>
              <w:t>of 9</w:t>
            </w:r>
            <w:r w:rsidR="00BD120A" w:rsidRPr="00E21AE7">
              <w:rPr>
                <w:rFonts w:cs="Arial"/>
              </w:rPr>
              <w:t>*</w:t>
            </w:r>
          </w:p>
        </w:tc>
        <w:tc>
          <w:tcPr>
            <w:tcW w:w="335" w:type="pct"/>
            <w:shd w:val="clear" w:color="auto" w:fill="FFC000"/>
          </w:tcPr>
          <w:p w14:paraId="4C95A0BC" w14:textId="36C63CF2" w:rsidR="00AB194A" w:rsidRPr="00E21AE7" w:rsidRDefault="00AF0BFD" w:rsidP="007F171B">
            <w:pPr>
              <w:spacing w:before="60" w:after="60" w:line="276" w:lineRule="auto"/>
              <w:jc w:val="center"/>
              <w:rPr>
                <w:rFonts w:cs="Arial"/>
              </w:rPr>
            </w:pPr>
            <w:r>
              <w:rPr>
                <w:rFonts w:cs="Arial"/>
              </w:rPr>
              <w:t>5</w:t>
            </w:r>
            <w:r w:rsidR="00913281" w:rsidRPr="00E21AE7">
              <w:rPr>
                <w:rFonts w:cs="Arial"/>
              </w:rPr>
              <w:t xml:space="preserve"> </w:t>
            </w:r>
            <w:r w:rsidR="008A7562" w:rsidRPr="00E21AE7">
              <w:rPr>
                <w:rFonts w:cs="Arial"/>
              </w:rPr>
              <w:t>of 9</w:t>
            </w:r>
            <w:r w:rsidR="00BD120A" w:rsidRPr="00E21AE7">
              <w:rPr>
                <w:rFonts w:cs="Arial"/>
              </w:rPr>
              <w:t>*</w:t>
            </w:r>
          </w:p>
        </w:tc>
        <w:tc>
          <w:tcPr>
            <w:tcW w:w="335" w:type="pct"/>
            <w:shd w:val="clear" w:color="auto" w:fill="auto"/>
          </w:tcPr>
          <w:p w14:paraId="2344264A" w14:textId="63B10045" w:rsidR="00AB194A" w:rsidRPr="00E21AE7" w:rsidRDefault="00AF0BFD" w:rsidP="007F171B">
            <w:pPr>
              <w:spacing w:before="60" w:after="60" w:line="276" w:lineRule="auto"/>
              <w:jc w:val="center"/>
              <w:rPr>
                <w:rFonts w:cs="Arial"/>
              </w:rPr>
            </w:pPr>
            <w:r>
              <w:rPr>
                <w:rFonts w:cs="Arial"/>
              </w:rPr>
              <w:t>2</w:t>
            </w:r>
            <w:r w:rsidR="008A7562" w:rsidRPr="00E21AE7">
              <w:rPr>
                <w:rFonts w:cs="Arial"/>
              </w:rPr>
              <w:t xml:space="preserve"> of 9</w:t>
            </w:r>
            <w:r w:rsidR="00BD120A" w:rsidRPr="00E21AE7">
              <w:rPr>
                <w:rFonts w:cs="Arial"/>
              </w:rPr>
              <w:t>*</w:t>
            </w:r>
          </w:p>
        </w:tc>
        <w:tc>
          <w:tcPr>
            <w:tcW w:w="3420" w:type="pct"/>
          </w:tcPr>
          <w:p w14:paraId="087D9E22" w14:textId="7E6D3C2C" w:rsidR="00221E97" w:rsidRPr="00E21AE7" w:rsidRDefault="006E7DD7" w:rsidP="007F171B">
            <w:pPr>
              <w:spacing w:before="60" w:after="60" w:line="276" w:lineRule="auto"/>
              <w:rPr>
                <w:rFonts w:cs="Arial"/>
              </w:rPr>
            </w:pPr>
            <w:r w:rsidRPr="00E21AE7">
              <w:rPr>
                <w:rFonts w:cs="Arial"/>
              </w:rPr>
              <w:t>There are regular stock assessments</w:t>
            </w:r>
            <w:r w:rsidR="00E3603A" w:rsidRPr="00E21AE7">
              <w:rPr>
                <w:rFonts w:cs="Arial"/>
              </w:rPr>
              <w:t>, but</w:t>
            </w:r>
            <w:r w:rsidRPr="00E21AE7">
              <w:rPr>
                <w:rFonts w:cs="Arial"/>
              </w:rPr>
              <w:t xml:space="preserve"> some recent assessments have not been undertaken</w:t>
            </w:r>
            <w:r w:rsidR="00853746">
              <w:rPr>
                <w:rFonts w:cs="Arial"/>
              </w:rPr>
              <w:t xml:space="preserve"> and rationale for the delays and precautionary interim measures have not been undertaken or published</w:t>
            </w:r>
            <w:r w:rsidRPr="00E21AE7">
              <w:rPr>
                <w:rFonts w:cs="Arial"/>
              </w:rPr>
              <w:t>. Harvest controls are effective but do not include reference points that trigger management actions. D</w:t>
            </w:r>
            <w:r w:rsidR="00E06DA0" w:rsidRPr="00E21AE7">
              <w:rPr>
                <w:rFonts w:cs="Arial"/>
              </w:rPr>
              <w:t>ata collection</w:t>
            </w:r>
            <w:r w:rsidRPr="00E21AE7">
              <w:rPr>
                <w:rFonts w:cs="Arial"/>
              </w:rPr>
              <w:t xml:space="preserve">, including </w:t>
            </w:r>
            <w:r w:rsidR="00E06DA0" w:rsidRPr="00E21AE7">
              <w:rPr>
                <w:rFonts w:cs="Arial"/>
              </w:rPr>
              <w:t xml:space="preserve">independent </w:t>
            </w:r>
            <w:r w:rsidRPr="00E21AE7">
              <w:rPr>
                <w:rFonts w:cs="Arial"/>
              </w:rPr>
              <w:t xml:space="preserve">data collection and validation </w:t>
            </w:r>
            <w:r w:rsidR="00FE1CA3" w:rsidRPr="00E21AE7">
              <w:rPr>
                <w:rFonts w:cs="Arial"/>
              </w:rPr>
              <w:t xml:space="preserve">also </w:t>
            </w:r>
            <w:r w:rsidRPr="00E21AE7">
              <w:rPr>
                <w:rFonts w:cs="Arial"/>
              </w:rPr>
              <w:t>requires improvement. There is information on s</w:t>
            </w:r>
            <w:r w:rsidR="00E06DA0" w:rsidRPr="00E21AE7">
              <w:rPr>
                <w:rFonts w:cs="Arial"/>
              </w:rPr>
              <w:t xml:space="preserve">tock structure but </w:t>
            </w:r>
            <w:r w:rsidR="003471E3" w:rsidRPr="00E21AE7">
              <w:rPr>
                <w:rFonts w:cs="Arial"/>
              </w:rPr>
              <w:t>also concerns over the accuracy of data collect</w:t>
            </w:r>
            <w:r w:rsidR="00E3603A" w:rsidRPr="00E21AE7">
              <w:rPr>
                <w:rFonts w:cs="Arial"/>
              </w:rPr>
              <w:t xml:space="preserve">ed on </w:t>
            </w:r>
            <w:r w:rsidR="003471E3" w:rsidRPr="00E21AE7">
              <w:rPr>
                <w:rFonts w:cs="Arial"/>
              </w:rPr>
              <w:t>discarded target species</w:t>
            </w:r>
            <w:r w:rsidR="00E3603A" w:rsidRPr="00E21AE7">
              <w:rPr>
                <w:rFonts w:cs="Arial"/>
              </w:rPr>
              <w:t xml:space="preserve"> (and more broadly</w:t>
            </w:r>
            <w:r w:rsidR="003471E3" w:rsidRPr="00E21AE7">
              <w:rPr>
                <w:rFonts w:cs="Arial"/>
              </w:rPr>
              <w:t xml:space="preserve">). </w:t>
            </w:r>
            <w:r w:rsidR="00E3603A" w:rsidRPr="00E21AE7">
              <w:rPr>
                <w:rFonts w:cs="Arial"/>
              </w:rPr>
              <w:t xml:space="preserve">This is particularly significant given CTFFF operators </w:t>
            </w:r>
            <w:r w:rsidR="00F0388E">
              <w:rPr>
                <w:rFonts w:cs="Arial"/>
              </w:rPr>
              <w:t xml:space="preserve">have been </w:t>
            </w:r>
            <w:r w:rsidR="00E3603A" w:rsidRPr="00E21AE7">
              <w:rPr>
                <w:rFonts w:cs="Arial"/>
              </w:rPr>
              <w:t xml:space="preserve">fishing in nursery grounds under trial arrangements. </w:t>
            </w:r>
            <w:r w:rsidR="003471E3" w:rsidRPr="00E21AE7">
              <w:rPr>
                <w:rFonts w:cs="Arial"/>
              </w:rPr>
              <w:t>It is unclear t</w:t>
            </w:r>
            <w:r w:rsidR="00E3603A" w:rsidRPr="00E21AE7">
              <w:rPr>
                <w:rFonts w:cs="Arial"/>
              </w:rPr>
              <w:t xml:space="preserve">o what extent </w:t>
            </w:r>
            <w:r w:rsidR="003471E3" w:rsidRPr="00E21AE7">
              <w:rPr>
                <w:rFonts w:cs="Arial"/>
              </w:rPr>
              <w:t xml:space="preserve">data issues </w:t>
            </w:r>
            <w:r w:rsidR="00E3603A" w:rsidRPr="00E21AE7">
              <w:rPr>
                <w:rFonts w:cs="Arial"/>
              </w:rPr>
              <w:t>affect</w:t>
            </w:r>
            <w:r w:rsidR="003471E3" w:rsidRPr="00E21AE7">
              <w:rPr>
                <w:rFonts w:cs="Arial"/>
              </w:rPr>
              <w:t xml:space="preserve"> </w:t>
            </w:r>
            <w:r w:rsidR="00E3603A" w:rsidRPr="00E21AE7">
              <w:rPr>
                <w:rFonts w:cs="Arial"/>
              </w:rPr>
              <w:t xml:space="preserve">the </w:t>
            </w:r>
            <w:r w:rsidR="00E06DA0" w:rsidRPr="00E21AE7">
              <w:rPr>
                <w:rFonts w:cs="Arial"/>
              </w:rPr>
              <w:t xml:space="preserve">management </w:t>
            </w:r>
            <w:r w:rsidRPr="00E21AE7">
              <w:rPr>
                <w:rFonts w:cs="Arial"/>
              </w:rPr>
              <w:t xml:space="preserve">of </w:t>
            </w:r>
            <w:r w:rsidR="003471E3" w:rsidRPr="00E21AE7">
              <w:rPr>
                <w:rFonts w:cs="Arial"/>
              </w:rPr>
              <w:t>target stocks</w:t>
            </w:r>
            <w:r w:rsidR="00D362FB" w:rsidRPr="00E21AE7">
              <w:rPr>
                <w:rFonts w:cs="Arial"/>
              </w:rPr>
              <w:t>.</w:t>
            </w:r>
            <w:r w:rsidR="000860F7" w:rsidRPr="00E21AE7">
              <w:rPr>
                <w:rFonts w:cs="Arial"/>
              </w:rPr>
              <w:t xml:space="preserve"> </w:t>
            </w:r>
            <w:r w:rsidR="00221E97" w:rsidRPr="00E21AE7">
              <w:rPr>
                <w:rFonts w:cs="Arial"/>
              </w:rPr>
              <w:t>The Department has proposed condition</w:t>
            </w:r>
            <w:r w:rsidR="003A1E92">
              <w:rPr>
                <w:rFonts w:cs="Arial"/>
              </w:rPr>
              <w:t>s</w:t>
            </w:r>
            <w:r w:rsidR="00221E97" w:rsidRPr="00E21AE7">
              <w:rPr>
                <w:rFonts w:cs="Arial"/>
              </w:rPr>
              <w:t xml:space="preserve"> 1</w:t>
            </w:r>
            <w:r w:rsidR="003A1E92">
              <w:rPr>
                <w:rFonts w:cs="Arial"/>
              </w:rPr>
              <w:t xml:space="preserve"> and 2</w:t>
            </w:r>
            <w:r w:rsidR="002E7801">
              <w:rPr>
                <w:rFonts w:cs="Arial"/>
              </w:rPr>
              <w:t xml:space="preserve"> </w:t>
            </w:r>
            <w:r w:rsidR="00221E97" w:rsidRPr="00E21AE7">
              <w:rPr>
                <w:rFonts w:cs="Arial"/>
              </w:rPr>
              <w:t xml:space="preserve">on </w:t>
            </w:r>
            <w:r w:rsidR="007D043E" w:rsidRPr="00E21AE7">
              <w:rPr>
                <w:rFonts w:cs="Arial"/>
              </w:rPr>
              <w:t xml:space="preserve">the </w:t>
            </w:r>
            <w:r w:rsidR="00221E97" w:rsidRPr="00E21AE7">
              <w:rPr>
                <w:rFonts w:cs="Arial"/>
              </w:rPr>
              <w:t>Part 13 approval, and conditions 4</w:t>
            </w:r>
            <w:r w:rsidR="003A1E92">
              <w:rPr>
                <w:rFonts w:cs="Arial"/>
              </w:rPr>
              <w:t>-6</w:t>
            </w:r>
            <w:r w:rsidR="00AA1E16" w:rsidRPr="00E21AE7">
              <w:rPr>
                <w:rFonts w:cs="Arial"/>
              </w:rPr>
              <w:t xml:space="preserve"> </w:t>
            </w:r>
            <w:r w:rsidR="00221E97" w:rsidRPr="00E21AE7">
              <w:rPr>
                <w:rFonts w:cs="Arial"/>
              </w:rPr>
              <w:t xml:space="preserve">on </w:t>
            </w:r>
            <w:r w:rsidR="007D043E" w:rsidRPr="00E21AE7">
              <w:rPr>
                <w:rFonts w:cs="Arial"/>
              </w:rPr>
              <w:t xml:space="preserve">the </w:t>
            </w:r>
            <w:r w:rsidR="00221E97" w:rsidRPr="00E21AE7">
              <w:rPr>
                <w:rFonts w:cs="Arial"/>
              </w:rPr>
              <w:t>Part 13A approval to address the identified issues.</w:t>
            </w:r>
          </w:p>
        </w:tc>
      </w:tr>
      <w:tr w:rsidR="007E6EBC" w:rsidRPr="00FD022E" w14:paraId="4DB69FFC" w14:textId="77777777" w:rsidTr="00A9145D">
        <w:trPr>
          <w:cnfStyle w:val="000000100000" w:firstRow="0" w:lastRow="0" w:firstColumn="0" w:lastColumn="0" w:oddVBand="0" w:evenVBand="0" w:oddHBand="1" w:evenHBand="0" w:firstRowFirstColumn="0" w:firstRowLastColumn="0" w:lastRowFirstColumn="0" w:lastRowLastColumn="0"/>
        </w:trPr>
        <w:tc>
          <w:tcPr>
            <w:tcW w:w="574" w:type="pct"/>
          </w:tcPr>
          <w:p w14:paraId="45513337" w14:textId="7A5D87D2" w:rsidR="007E6EBC" w:rsidRPr="00E21AE7" w:rsidRDefault="00AB194A" w:rsidP="007F171B">
            <w:pPr>
              <w:spacing w:before="60" w:after="60" w:line="276" w:lineRule="auto"/>
              <w:rPr>
                <w:rFonts w:cs="Arial"/>
              </w:rPr>
            </w:pPr>
            <w:r w:rsidRPr="00E21AE7">
              <w:rPr>
                <w:rFonts w:cs="Arial"/>
              </w:rPr>
              <w:t xml:space="preserve">Principle </w:t>
            </w:r>
            <w:r w:rsidRPr="00E21AE7" w:rsidDel="00BD120A">
              <w:rPr>
                <w:rFonts w:cs="Arial"/>
              </w:rPr>
              <w:t>2</w:t>
            </w:r>
          </w:p>
          <w:p w14:paraId="5DBEF2B0" w14:textId="5CF8869E" w:rsidR="00AB194A" w:rsidRPr="00E21AE7" w:rsidRDefault="00BD120A" w:rsidP="007F171B">
            <w:pPr>
              <w:spacing w:before="60" w:after="60" w:line="276" w:lineRule="auto"/>
              <w:rPr>
                <w:rFonts w:cs="Arial"/>
              </w:rPr>
            </w:pPr>
            <w:r w:rsidRPr="00E21AE7">
              <w:rPr>
                <w:rFonts w:cs="Arial"/>
              </w:rPr>
              <w:t>B</w:t>
            </w:r>
            <w:r w:rsidR="00AB194A" w:rsidRPr="00E21AE7">
              <w:rPr>
                <w:rFonts w:cs="Arial"/>
              </w:rPr>
              <w:t>ycatch</w:t>
            </w:r>
            <w:r w:rsidR="00C01137" w:rsidRPr="00E21AE7">
              <w:rPr>
                <w:rFonts w:cs="Arial"/>
              </w:rPr>
              <w:t>,</w:t>
            </w:r>
            <w:r w:rsidR="00AB194A" w:rsidRPr="00E21AE7">
              <w:rPr>
                <w:rFonts w:cs="Arial"/>
              </w:rPr>
              <w:t xml:space="preserve"> </w:t>
            </w:r>
            <w:r w:rsidRPr="00E21AE7">
              <w:rPr>
                <w:rFonts w:cs="Arial"/>
              </w:rPr>
              <w:t xml:space="preserve">protected </w:t>
            </w:r>
            <w:proofErr w:type="gramStart"/>
            <w:r w:rsidRPr="00E21AE7">
              <w:rPr>
                <w:rFonts w:cs="Arial"/>
              </w:rPr>
              <w:t>species</w:t>
            </w:r>
            <w:proofErr w:type="gramEnd"/>
            <w:r w:rsidRPr="00E21AE7">
              <w:rPr>
                <w:rFonts w:cs="Arial"/>
              </w:rPr>
              <w:t xml:space="preserve"> and ecological communities</w:t>
            </w:r>
          </w:p>
        </w:tc>
        <w:tc>
          <w:tcPr>
            <w:tcW w:w="336" w:type="pct"/>
            <w:shd w:val="clear" w:color="auto" w:fill="auto"/>
          </w:tcPr>
          <w:p w14:paraId="01713504" w14:textId="2978545A" w:rsidR="00AB194A" w:rsidRPr="00E21AE7" w:rsidRDefault="003B1B19" w:rsidP="007F171B">
            <w:pPr>
              <w:spacing w:before="60" w:after="60" w:line="276" w:lineRule="auto"/>
              <w:jc w:val="center"/>
              <w:rPr>
                <w:rFonts w:cs="Arial"/>
              </w:rPr>
            </w:pPr>
            <w:r w:rsidRPr="00E21AE7">
              <w:rPr>
                <w:rFonts w:cs="Arial"/>
              </w:rPr>
              <w:t>3</w:t>
            </w:r>
            <w:r w:rsidR="003471E3" w:rsidRPr="00E21AE7">
              <w:rPr>
                <w:rFonts w:cs="Arial"/>
              </w:rPr>
              <w:t xml:space="preserve"> </w:t>
            </w:r>
            <w:r w:rsidR="008A7562" w:rsidRPr="00E21AE7">
              <w:rPr>
                <w:rFonts w:cs="Arial"/>
              </w:rPr>
              <w:t>of 12</w:t>
            </w:r>
          </w:p>
        </w:tc>
        <w:tc>
          <w:tcPr>
            <w:tcW w:w="335" w:type="pct"/>
            <w:shd w:val="clear" w:color="auto" w:fill="FFC000"/>
          </w:tcPr>
          <w:p w14:paraId="6F0B7D38" w14:textId="6E22895F" w:rsidR="00AB194A" w:rsidRPr="00E21AE7" w:rsidRDefault="003B1B19" w:rsidP="007F171B">
            <w:pPr>
              <w:spacing w:before="60" w:after="60" w:line="276" w:lineRule="auto"/>
              <w:jc w:val="center"/>
              <w:rPr>
                <w:rFonts w:cs="Arial"/>
              </w:rPr>
            </w:pPr>
            <w:r w:rsidRPr="00E21AE7">
              <w:rPr>
                <w:rFonts w:cs="Arial"/>
              </w:rPr>
              <w:t>6</w:t>
            </w:r>
            <w:r w:rsidR="003471E3" w:rsidRPr="00E21AE7">
              <w:rPr>
                <w:rFonts w:cs="Arial"/>
              </w:rPr>
              <w:t xml:space="preserve"> </w:t>
            </w:r>
            <w:r w:rsidR="008A7562" w:rsidRPr="00E21AE7">
              <w:rPr>
                <w:rFonts w:cs="Arial"/>
              </w:rPr>
              <w:t>of 12</w:t>
            </w:r>
          </w:p>
        </w:tc>
        <w:tc>
          <w:tcPr>
            <w:tcW w:w="335" w:type="pct"/>
            <w:shd w:val="clear" w:color="auto" w:fill="auto"/>
          </w:tcPr>
          <w:p w14:paraId="26CFB1FA" w14:textId="58749735" w:rsidR="00AB194A" w:rsidRPr="00E21AE7" w:rsidRDefault="00913281" w:rsidP="007F171B">
            <w:pPr>
              <w:spacing w:before="60" w:after="60" w:line="276" w:lineRule="auto"/>
              <w:jc w:val="center"/>
              <w:rPr>
                <w:rFonts w:cs="Arial"/>
              </w:rPr>
            </w:pPr>
            <w:r w:rsidRPr="00E21AE7">
              <w:rPr>
                <w:rFonts w:cs="Arial"/>
              </w:rPr>
              <w:t>3</w:t>
            </w:r>
            <w:r w:rsidR="003471E3" w:rsidRPr="00E21AE7">
              <w:rPr>
                <w:rFonts w:cs="Arial"/>
              </w:rPr>
              <w:t xml:space="preserve"> </w:t>
            </w:r>
            <w:r w:rsidR="008A7562" w:rsidRPr="00E21AE7">
              <w:rPr>
                <w:rFonts w:cs="Arial"/>
              </w:rPr>
              <w:t>of 12</w:t>
            </w:r>
          </w:p>
        </w:tc>
        <w:tc>
          <w:tcPr>
            <w:tcW w:w="3420" w:type="pct"/>
          </w:tcPr>
          <w:p w14:paraId="23B305DC" w14:textId="38AA035F" w:rsidR="007B61E7" w:rsidRPr="00E21AE7" w:rsidRDefault="00616A21" w:rsidP="007F171B">
            <w:pPr>
              <w:spacing w:before="60" w:after="60" w:line="276" w:lineRule="auto"/>
              <w:rPr>
                <w:rFonts w:cs="Arial"/>
              </w:rPr>
            </w:pPr>
            <w:r w:rsidRPr="00E21AE7">
              <w:rPr>
                <w:rFonts w:cs="Arial"/>
              </w:rPr>
              <w:t xml:space="preserve">An ERA has been completed and risks to bycatch and protected species were identified as low. </w:t>
            </w:r>
            <w:r w:rsidR="007B61E7" w:rsidRPr="00E21AE7">
              <w:rPr>
                <w:rFonts w:cs="Arial"/>
              </w:rPr>
              <w:t>However, t</w:t>
            </w:r>
            <w:r w:rsidR="00B90D61" w:rsidRPr="00E21AE7">
              <w:rPr>
                <w:rFonts w:cs="Arial"/>
              </w:rPr>
              <w:t xml:space="preserve">he ERA did not </w:t>
            </w:r>
            <w:r w:rsidR="007B61E7" w:rsidRPr="00E21AE7">
              <w:rPr>
                <w:rFonts w:cs="Arial"/>
              </w:rPr>
              <w:t xml:space="preserve">consider the impacts of </w:t>
            </w:r>
            <w:r w:rsidR="00B90D61" w:rsidRPr="00E21AE7">
              <w:rPr>
                <w:rFonts w:cs="Arial"/>
              </w:rPr>
              <w:t xml:space="preserve">the </w:t>
            </w:r>
            <w:r w:rsidR="00326FAA" w:rsidRPr="00E21AE7">
              <w:rPr>
                <w:rFonts w:cs="Arial"/>
              </w:rPr>
              <w:t>four-</w:t>
            </w:r>
            <w:r w:rsidR="00B90D61" w:rsidRPr="00E21AE7">
              <w:rPr>
                <w:rFonts w:cs="Arial"/>
              </w:rPr>
              <w:t xml:space="preserve">year </w:t>
            </w:r>
            <w:r w:rsidR="007B61E7" w:rsidRPr="00E21AE7">
              <w:rPr>
                <w:rFonts w:cs="Arial"/>
              </w:rPr>
              <w:t xml:space="preserve">fishing </w:t>
            </w:r>
            <w:r w:rsidR="00B90D61" w:rsidRPr="00E21AE7">
              <w:rPr>
                <w:rFonts w:cs="Arial"/>
              </w:rPr>
              <w:t xml:space="preserve">trial that has been occurring in </w:t>
            </w:r>
            <w:r w:rsidR="007B61E7" w:rsidRPr="00E21AE7">
              <w:rPr>
                <w:rFonts w:cs="Arial"/>
              </w:rPr>
              <w:t>inshore Stout Whiting nursery areas</w:t>
            </w:r>
            <w:r w:rsidR="00B90D61" w:rsidRPr="00E21AE7">
              <w:rPr>
                <w:rFonts w:cs="Arial"/>
              </w:rPr>
              <w:t xml:space="preserve">. </w:t>
            </w:r>
            <w:r w:rsidR="004436DF">
              <w:rPr>
                <w:rFonts w:cs="Arial"/>
              </w:rPr>
              <w:t>While</w:t>
            </w:r>
            <w:r w:rsidR="00B90D61" w:rsidRPr="00E21AE7">
              <w:rPr>
                <w:rFonts w:cs="Arial"/>
              </w:rPr>
              <w:t xml:space="preserve"> the</w:t>
            </w:r>
            <w:r w:rsidR="007B61E7" w:rsidRPr="00E21AE7">
              <w:rPr>
                <w:rFonts w:cs="Arial"/>
              </w:rPr>
              <w:t xml:space="preserve">se inshore areas </w:t>
            </w:r>
            <w:r w:rsidR="004436DF">
              <w:rPr>
                <w:rFonts w:cs="Arial"/>
              </w:rPr>
              <w:t xml:space="preserve">are not part of the CTFFF assessment, they </w:t>
            </w:r>
            <w:r w:rsidRPr="00E21AE7">
              <w:rPr>
                <w:rFonts w:cs="Arial"/>
              </w:rPr>
              <w:t xml:space="preserve">were previously closed </w:t>
            </w:r>
            <w:r w:rsidR="007B61E7" w:rsidRPr="00E21AE7">
              <w:rPr>
                <w:rFonts w:cs="Arial"/>
              </w:rPr>
              <w:t>to help mitigate ecological risks associated with the CTFFF</w:t>
            </w:r>
            <w:r w:rsidR="001F3980">
              <w:rPr>
                <w:rFonts w:cs="Arial"/>
              </w:rPr>
              <w:t>.</w:t>
            </w:r>
            <w:r w:rsidR="007B61E7" w:rsidRPr="00E21AE7">
              <w:rPr>
                <w:rFonts w:cs="Arial"/>
              </w:rPr>
              <w:t xml:space="preserve"> </w:t>
            </w:r>
            <w:r w:rsidR="005446D9">
              <w:rPr>
                <w:rFonts w:cs="Arial"/>
              </w:rPr>
              <w:t>It is</w:t>
            </w:r>
            <w:r w:rsidR="00F06856">
              <w:rPr>
                <w:rFonts w:cs="Arial"/>
              </w:rPr>
              <w:t xml:space="preserve"> important that</w:t>
            </w:r>
            <w:r w:rsidR="002A2D81" w:rsidRPr="00E21AE7">
              <w:rPr>
                <w:rFonts w:cs="Arial"/>
              </w:rPr>
              <w:t xml:space="preserve"> </w:t>
            </w:r>
            <w:r w:rsidR="005446D9">
              <w:rPr>
                <w:rFonts w:cs="Arial"/>
              </w:rPr>
              <w:t xml:space="preserve">the impacts of the trial </w:t>
            </w:r>
            <w:r w:rsidR="00F06856">
              <w:rPr>
                <w:rFonts w:cs="Arial"/>
              </w:rPr>
              <w:t xml:space="preserve">are </w:t>
            </w:r>
            <w:r w:rsidR="00534090" w:rsidRPr="00E21AE7">
              <w:rPr>
                <w:rFonts w:cs="Arial"/>
              </w:rPr>
              <w:t>assessed</w:t>
            </w:r>
            <w:r w:rsidR="00C05DCB" w:rsidRPr="00E21AE7">
              <w:rPr>
                <w:rFonts w:cs="Arial"/>
              </w:rPr>
              <w:t xml:space="preserve"> if fishing in those areas is to continue</w:t>
            </w:r>
            <w:r w:rsidR="00E6090B" w:rsidRPr="00E21AE7">
              <w:rPr>
                <w:rFonts w:cs="Arial"/>
              </w:rPr>
              <w:t>.</w:t>
            </w:r>
          </w:p>
          <w:p w14:paraId="64A2A1C9" w14:textId="02D75371" w:rsidR="00AB194A" w:rsidRPr="00E21AE7" w:rsidRDefault="006C5012" w:rsidP="007F171B">
            <w:pPr>
              <w:spacing w:before="60" w:after="60" w:line="276" w:lineRule="auto"/>
              <w:rPr>
                <w:rFonts w:cs="Arial"/>
              </w:rPr>
            </w:pPr>
            <w:r w:rsidRPr="00E21AE7">
              <w:rPr>
                <w:rFonts w:cs="Arial"/>
              </w:rPr>
              <w:t xml:space="preserve">It is also unclear whether all reasonable steps are being taken to minimise bycatch in the fishery. </w:t>
            </w:r>
            <w:r w:rsidR="00B90D61" w:rsidRPr="00E21AE7">
              <w:rPr>
                <w:rFonts w:cs="Arial"/>
              </w:rPr>
              <w:t xml:space="preserve">Logbooks are used for data collection but there are concerns regarding the accuracy </w:t>
            </w:r>
            <w:r w:rsidR="00E6090B" w:rsidRPr="00E21AE7">
              <w:rPr>
                <w:rFonts w:cs="Arial"/>
              </w:rPr>
              <w:t xml:space="preserve">and adequacy </w:t>
            </w:r>
            <w:r w:rsidR="00B90D61" w:rsidRPr="00E21AE7">
              <w:rPr>
                <w:rFonts w:cs="Arial"/>
              </w:rPr>
              <w:t>of reporting for non-retained catch and protected species</w:t>
            </w:r>
            <w:r w:rsidR="00E6090B" w:rsidRPr="00E21AE7">
              <w:rPr>
                <w:rFonts w:cs="Arial"/>
              </w:rPr>
              <w:t xml:space="preserve">. There is also </w:t>
            </w:r>
            <w:r w:rsidR="00B90D61" w:rsidRPr="00E21AE7">
              <w:rPr>
                <w:rFonts w:cs="Arial"/>
              </w:rPr>
              <w:t>no monitoring of any indicator species groups and no performance measures in place for the fishery.</w:t>
            </w:r>
            <w:r w:rsidR="00E3603A" w:rsidRPr="00E21AE7">
              <w:rPr>
                <w:rFonts w:cs="Arial"/>
              </w:rPr>
              <w:t xml:space="preserve"> These issues are expected to be addressed under the Queensland Government’s Sustainable Fisheries Strategy 2017-2027.</w:t>
            </w:r>
          </w:p>
          <w:p w14:paraId="08EB80BE" w14:textId="19920400" w:rsidR="00221E97" w:rsidRPr="00E21AE7" w:rsidRDefault="00EC5CD2" w:rsidP="007F171B">
            <w:pPr>
              <w:spacing w:before="60" w:after="60" w:line="276" w:lineRule="auto"/>
              <w:rPr>
                <w:rFonts w:cs="Arial"/>
              </w:rPr>
            </w:pPr>
            <w:r>
              <w:rPr>
                <w:rFonts w:cs="Arial"/>
              </w:rPr>
              <w:t>F</w:t>
            </w:r>
            <w:r w:rsidR="006C5012" w:rsidRPr="00E21AE7">
              <w:rPr>
                <w:rFonts w:cs="Arial"/>
              </w:rPr>
              <w:t xml:space="preserve">urther work is required to determine the effectiveness of current bycatch reduction technologies </w:t>
            </w:r>
            <w:r w:rsidR="0019332B" w:rsidRPr="00E21AE7">
              <w:rPr>
                <w:rFonts w:cs="Arial"/>
              </w:rPr>
              <w:t xml:space="preserve">and to ensure there is </w:t>
            </w:r>
            <w:r w:rsidR="007C488D" w:rsidRPr="00E21AE7">
              <w:rPr>
                <w:rFonts w:cs="Arial"/>
              </w:rPr>
              <w:t>enough</w:t>
            </w:r>
            <w:r w:rsidR="0019332B" w:rsidRPr="00E21AE7">
              <w:rPr>
                <w:rFonts w:cs="Arial"/>
              </w:rPr>
              <w:t xml:space="preserve"> information available to manage the impacts of the fishery. The Department </w:t>
            </w:r>
            <w:r w:rsidR="00221E97" w:rsidRPr="00E21AE7">
              <w:rPr>
                <w:rFonts w:cs="Arial"/>
              </w:rPr>
              <w:lastRenderedPageBreak/>
              <w:t>has proposed condition</w:t>
            </w:r>
            <w:r w:rsidR="003A1E92">
              <w:rPr>
                <w:rFonts w:cs="Arial"/>
              </w:rPr>
              <w:t>s</w:t>
            </w:r>
            <w:r w:rsidR="00221E97" w:rsidRPr="00E21AE7">
              <w:rPr>
                <w:rFonts w:cs="Arial"/>
              </w:rPr>
              <w:t xml:space="preserve"> 1</w:t>
            </w:r>
            <w:r w:rsidR="003A1E92">
              <w:rPr>
                <w:rFonts w:cs="Arial"/>
              </w:rPr>
              <w:t xml:space="preserve"> and</w:t>
            </w:r>
            <w:r w:rsidR="002E7801">
              <w:rPr>
                <w:rFonts w:cs="Arial"/>
              </w:rPr>
              <w:t xml:space="preserve"> </w:t>
            </w:r>
            <w:r w:rsidR="003A1E92">
              <w:rPr>
                <w:rFonts w:cs="Arial"/>
              </w:rPr>
              <w:t xml:space="preserve">2 </w:t>
            </w:r>
            <w:r w:rsidR="00221E97" w:rsidRPr="00E21AE7">
              <w:rPr>
                <w:rFonts w:cs="Arial"/>
              </w:rPr>
              <w:t xml:space="preserve">on </w:t>
            </w:r>
            <w:r w:rsidR="007D043E" w:rsidRPr="00E21AE7">
              <w:rPr>
                <w:rFonts w:cs="Arial"/>
              </w:rPr>
              <w:t xml:space="preserve">the </w:t>
            </w:r>
            <w:r w:rsidR="00221E97" w:rsidRPr="00E21AE7">
              <w:rPr>
                <w:rFonts w:cs="Arial"/>
              </w:rPr>
              <w:t>Part 13 approval, and conditions 4</w:t>
            </w:r>
            <w:r w:rsidR="003A1E92">
              <w:rPr>
                <w:rFonts w:cs="Arial"/>
              </w:rPr>
              <w:t>-6</w:t>
            </w:r>
            <w:r w:rsidR="00AA1E16" w:rsidRPr="00E21AE7">
              <w:rPr>
                <w:rFonts w:cs="Arial"/>
              </w:rPr>
              <w:t xml:space="preserve"> </w:t>
            </w:r>
            <w:r w:rsidR="00221E97" w:rsidRPr="00E21AE7">
              <w:rPr>
                <w:rFonts w:cs="Arial"/>
              </w:rPr>
              <w:t xml:space="preserve">on </w:t>
            </w:r>
            <w:r w:rsidR="007D043E" w:rsidRPr="00E21AE7">
              <w:rPr>
                <w:rFonts w:cs="Arial"/>
              </w:rPr>
              <w:t xml:space="preserve">the </w:t>
            </w:r>
            <w:r w:rsidR="00221E97" w:rsidRPr="00E21AE7">
              <w:rPr>
                <w:rFonts w:cs="Arial"/>
              </w:rPr>
              <w:t>Part</w:t>
            </w:r>
            <w:r w:rsidR="007C488D" w:rsidRPr="00E21AE7">
              <w:rPr>
                <w:rFonts w:cs="Arial"/>
              </w:rPr>
              <w:t> </w:t>
            </w:r>
            <w:r w:rsidR="00221E97" w:rsidRPr="00E21AE7">
              <w:rPr>
                <w:rFonts w:cs="Arial"/>
              </w:rPr>
              <w:t xml:space="preserve">13A approval to </w:t>
            </w:r>
            <w:r w:rsidR="006332CC" w:rsidRPr="00E21AE7">
              <w:rPr>
                <w:rFonts w:cs="Arial"/>
              </w:rPr>
              <w:t>ensure data collection, ecological risk assessment and risk management are effective</w:t>
            </w:r>
            <w:r w:rsidR="00221E97" w:rsidRPr="00E21AE7">
              <w:rPr>
                <w:rFonts w:cs="Arial"/>
              </w:rPr>
              <w:t>.</w:t>
            </w:r>
          </w:p>
        </w:tc>
      </w:tr>
      <w:tr w:rsidR="007E6EBC" w:rsidRPr="00FD022E" w14:paraId="77A7913F" w14:textId="77777777" w:rsidTr="00A9145D">
        <w:trPr>
          <w:cnfStyle w:val="000000010000" w:firstRow="0" w:lastRow="0" w:firstColumn="0" w:lastColumn="0" w:oddVBand="0" w:evenVBand="0" w:oddHBand="0" w:evenHBand="1" w:firstRowFirstColumn="0" w:firstRowLastColumn="0" w:lastRowFirstColumn="0" w:lastRowLastColumn="0"/>
        </w:trPr>
        <w:tc>
          <w:tcPr>
            <w:tcW w:w="574" w:type="pct"/>
          </w:tcPr>
          <w:p w14:paraId="3AF61146" w14:textId="139A30BD" w:rsidR="007E6EBC" w:rsidRPr="00E21AE7" w:rsidRDefault="00AB194A" w:rsidP="007F171B">
            <w:pPr>
              <w:spacing w:before="60" w:after="60" w:line="276" w:lineRule="auto"/>
              <w:rPr>
                <w:rFonts w:cs="Arial"/>
              </w:rPr>
            </w:pPr>
            <w:r w:rsidRPr="00E21AE7">
              <w:rPr>
                <w:rFonts w:cs="Arial"/>
              </w:rPr>
              <w:lastRenderedPageBreak/>
              <w:t xml:space="preserve">Principle </w:t>
            </w:r>
            <w:r w:rsidRPr="00E21AE7" w:rsidDel="00BD120A">
              <w:rPr>
                <w:rFonts w:cs="Arial"/>
              </w:rPr>
              <w:t>2</w:t>
            </w:r>
          </w:p>
          <w:p w14:paraId="722471C4" w14:textId="5583C3A9" w:rsidR="00AB194A" w:rsidRPr="00E21AE7" w:rsidRDefault="00BD120A" w:rsidP="007F171B">
            <w:pPr>
              <w:spacing w:before="60" w:after="60" w:line="276" w:lineRule="auto"/>
              <w:rPr>
                <w:rFonts w:cs="Arial"/>
              </w:rPr>
            </w:pPr>
            <w:r w:rsidRPr="00E21AE7">
              <w:rPr>
                <w:rFonts w:cs="Arial"/>
              </w:rPr>
              <w:t>E</w:t>
            </w:r>
            <w:r w:rsidR="00AB194A" w:rsidRPr="00E21AE7">
              <w:rPr>
                <w:rFonts w:cs="Arial"/>
              </w:rPr>
              <w:t>cosystem impacts</w:t>
            </w:r>
          </w:p>
        </w:tc>
        <w:tc>
          <w:tcPr>
            <w:tcW w:w="336" w:type="pct"/>
            <w:shd w:val="clear" w:color="auto" w:fill="auto"/>
          </w:tcPr>
          <w:p w14:paraId="7B2D69A1" w14:textId="7A670409" w:rsidR="00AB194A" w:rsidRPr="00E21AE7" w:rsidRDefault="001E2F75" w:rsidP="007F171B">
            <w:pPr>
              <w:spacing w:before="60" w:after="60" w:line="276" w:lineRule="auto"/>
              <w:jc w:val="center"/>
              <w:rPr>
                <w:rFonts w:cs="Arial"/>
              </w:rPr>
            </w:pPr>
            <w:r w:rsidRPr="00E21AE7">
              <w:rPr>
                <w:rFonts w:cs="Arial"/>
              </w:rPr>
              <w:t>1 of 5</w:t>
            </w:r>
          </w:p>
        </w:tc>
        <w:tc>
          <w:tcPr>
            <w:tcW w:w="335" w:type="pct"/>
            <w:shd w:val="clear" w:color="auto" w:fill="FFC000"/>
          </w:tcPr>
          <w:p w14:paraId="183A4864" w14:textId="7FDE5E22" w:rsidR="00AB194A" w:rsidRPr="00E21AE7" w:rsidRDefault="001E2F75" w:rsidP="007F171B">
            <w:pPr>
              <w:spacing w:before="60" w:after="60" w:line="276" w:lineRule="auto"/>
              <w:jc w:val="center"/>
              <w:rPr>
                <w:rFonts w:cs="Arial"/>
              </w:rPr>
            </w:pPr>
            <w:r w:rsidRPr="00E21AE7">
              <w:rPr>
                <w:rFonts w:cs="Arial"/>
              </w:rPr>
              <w:t>2 of 5</w:t>
            </w:r>
          </w:p>
        </w:tc>
        <w:tc>
          <w:tcPr>
            <w:tcW w:w="335" w:type="pct"/>
            <w:shd w:val="clear" w:color="auto" w:fill="FF0000"/>
          </w:tcPr>
          <w:p w14:paraId="0EF7E465" w14:textId="2FEF1D93" w:rsidR="00AB194A" w:rsidRPr="00E21AE7" w:rsidRDefault="001E2F75" w:rsidP="007F171B">
            <w:pPr>
              <w:spacing w:before="60" w:after="60" w:line="276" w:lineRule="auto"/>
              <w:jc w:val="center"/>
              <w:rPr>
                <w:rFonts w:cs="Arial"/>
              </w:rPr>
            </w:pPr>
            <w:r w:rsidRPr="00E21AE7">
              <w:rPr>
                <w:rFonts w:cs="Arial"/>
              </w:rPr>
              <w:t>2 of 5</w:t>
            </w:r>
          </w:p>
        </w:tc>
        <w:tc>
          <w:tcPr>
            <w:tcW w:w="3420" w:type="pct"/>
          </w:tcPr>
          <w:p w14:paraId="5701B5C8" w14:textId="11B03AF6" w:rsidR="00221E97" w:rsidRPr="00E21AE7" w:rsidRDefault="00FE2002" w:rsidP="007F171B">
            <w:pPr>
              <w:spacing w:before="60" w:after="60" w:line="276" w:lineRule="auto"/>
              <w:rPr>
                <w:rFonts w:cs="Arial"/>
              </w:rPr>
            </w:pPr>
            <w:r w:rsidRPr="00E21AE7">
              <w:rPr>
                <w:rFonts w:cs="Arial"/>
              </w:rPr>
              <w:t xml:space="preserve">An </w:t>
            </w:r>
            <w:r w:rsidR="00BF13E4" w:rsidRPr="00E21AE7">
              <w:rPr>
                <w:rFonts w:cs="Arial"/>
              </w:rPr>
              <w:t xml:space="preserve">ERA </w:t>
            </w:r>
            <w:r w:rsidRPr="00E21AE7">
              <w:rPr>
                <w:rFonts w:cs="Arial"/>
              </w:rPr>
              <w:t xml:space="preserve">was </w:t>
            </w:r>
            <w:r w:rsidR="00BF13E4" w:rsidRPr="00E21AE7">
              <w:rPr>
                <w:rFonts w:cs="Arial"/>
              </w:rPr>
              <w:t xml:space="preserve">completed </w:t>
            </w:r>
            <w:r w:rsidRPr="00E21AE7">
              <w:rPr>
                <w:rFonts w:cs="Arial"/>
              </w:rPr>
              <w:t xml:space="preserve">for ecological impacts but </w:t>
            </w:r>
            <w:r w:rsidR="00BF13E4" w:rsidRPr="00E21AE7">
              <w:rPr>
                <w:rFonts w:cs="Arial"/>
              </w:rPr>
              <w:t xml:space="preserve">did not consider </w:t>
            </w:r>
            <w:r w:rsidR="007B61E7" w:rsidRPr="00E21AE7">
              <w:rPr>
                <w:rFonts w:cs="Arial"/>
              </w:rPr>
              <w:t xml:space="preserve">the impacts associated with the four-year </w:t>
            </w:r>
            <w:r w:rsidRPr="00E21AE7">
              <w:rPr>
                <w:rFonts w:cs="Arial"/>
              </w:rPr>
              <w:t xml:space="preserve">fishing </w:t>
            </w:r>
            <w:r w:rsidR="007B61E7" w:rsidRPr="00E21AE7">
              <w:rPr>
                <w:rFonts w:cs="Arial"/>
              </w:rPr>
              <w:t xml:space="preserve">trial </w:t>
            </w:r>
            <w:r w:rsidRPr="00E21AE7">
              <w:rPr>
                <w:rFonts w:cs="Arial"/>
              </w:rPr>
              <w:t xml:space="preserve">in areas that were previously closed </w:t>
            </w:r>
            <w:r w:rsidR="007B61E7" w:rsidRPr="00E21AE7">
              <w:rPr>
                <w:rFonts w:cs="Arial"/>
              </w:rPr>
              <w:t>to help mitigate the ecological risks associated with the CTFFF</w:t>
            </w:r>
            <w:r w:rsidRPr="00E21AE7">
              <w:rPr>
                <w:rFonts w:cs="Arial"/>
              </w:rPr>
              <w:t>.</w:t>
            </w:r>
            <w:r w:rsidR="001F3980">
              <w:rPr>
                <w:rFonts w:cs="Arial"/>
              </w:rPr>
              <w:t xml:space="preserve"> A</w:t>
            </w:r>
            <w:r w:rsidR="00E6090B" w:rsidRPr="00E21AE7">
              <w:rPr>
                <w:rFonts w:cs="Arial"/>
              </w:rPr>
              <w:t xml:space="preserve"> range of input and output controls </w:t>
            </w:r>
            <w:r w:rsidR="001F3980">
              <w:rPr>
                <w:rFonts w:cs="Arial"/>
              </w:rPr>
              <w:t xml:space="preserve">are used </w:t>
            </w:r>
            <w:r w:rsidR="00E6090B" w:rsidRPr="00E21AE7">
              <w:rPr>
                <w:rFonts w:cs="Arial"/>
              </w:rPr>
              <w:t xml:space="preserve">to manage ecological impacts and risks are </w:t>
            </w:r>
            <w:r w:rsidR="007B61E7" w:rsidRPr="00E21AE7">
              <w:rPr>
                <w:rFonts w:cs="Arial"/>
              </w:rPr>
              <w:t xml:space="preserve">also </w:t>
            </w:r>
            <w:r w:rsidR="00E6090B" w:rsidRPr="00E21AE7">
              <w:rPr>
                <w:rFonts w:cs="Arial"/>
              </w:rPr>
              <w:t xml:space="preserve">moderated by the relatively small number of vessels operating in the fishery. There is </w:t>
            </w:r>
            <w:r w:rsidR="007B61E7" w:rsidRPr="00E21AE7">
              <w:rPr>
                <w:rFonts w:cs="Arial"/>
              </w:rPr>
              <w:t xml:space="preserve">however </w:t>
            </w:r>
            <w:r w:rsidR="00E6090B" w:rsidRPr="00E21AE7">
              <w:rPr>
                <w:rFonts w:cs="Arial"/>
              </w:rPr>
              <w:t>no specific data collection occurring to monitor ecological impact</w:t>
            </w:r>
            <w:r w:rsidR="007B61E7" w:rsidRPr="00E21AE7">
              <w:rPr>
                <w:rFonts w:cs="Arial"/>
              </w:rPr>
              <w:t>s</w:t>
            </w:r>
            <w:r w:rsidR="00E6090B" w:rsidRPr="00E21AE7">
              <w:rPr>
                <w:rFonts w:cs="Arial"/>
              </w:rPr>
              <w:t>, and no associated performance measures.</w:t>
            </w:r>
            <w:r w:rsidR="000860F7" w:rsidRPr="00E21AE7">
              <w:rPr>
                <w:rFonts w:cs="Arial"/>
              </w:rPr>
              <w:t xml:space="preserve"> </w:t>
            </w:r>
            <w:r w:rsidR="00221E97" w:rsidRPr="00E21AE7">
              <w:rPr>
                <w:rFonts w:cs="Arial"/>
              </w:rPr>
              <w:t>The</w:t>
            </w:r>
            <w:r w:rsidR="000860F7" w:rsidRPr="00E21AE7">
              <w:rPr>
                <w:rFonts w:cs="Arial"/>
              </w:rPr>
              <w:t> </w:t>
            </w:r>
            <w:r w:rsidR="00221E97" w:rsidRPr="00E21AE7">
              <w:rPr>
                <w:rFonts w:cs="Arial"/>
              </w:rPr>
              <w:t>Department has proposed condition</w:t>
            </w:r>
            <w:r w:rsidR="003A1E92">
              <w:rPr>
                <w:rFonts w:cs="Arial"/>
              </w:rPr>
              <w:t>s</w:t>
            </w:r>
            <w:r w:rsidR="00221E97" w:rsidRPr="00E21AE7">
              <w:rPr>
                <w:rFonts w:cs="Arial"/>
              </w:rPr>
              <w:t xml:space="preserve"> 1</w:t>
            </w:r>
            <w:r w:rsidR="002E7801">
              <w:rPr>
                <w:rFonts w:cs="Arial"/>
              </w:rPr>
              <w:t xml:space="preserve"> </w:t>
            </w:r>
            <w:r w:rsidR="003A1E92">
              <w:rPr>
                <w:rFonts w:cs="Arial"/>
              </w:rPr>
              <w:t xml:space="preserve">and 2 </w:t>
            </w:r>
            <w:r w:rsidR="00221E97" w:rsidRPr="00E21AE7">
              <w:rPr>
                <w:rFonts w:cs="Arial"/>
              </w:rPr>
              <w:t xml:space="preserve">on </w:t>
            </w:r>
            <w:r w:rsidR="007D043E" w:rsidRPr="00E21AE7">
              <w:rPr>
                <w:rFonts w:cs="Arial"/>
              </w:rPr>
              <w:t xml:space="preserve">the </w:t>
            </w:r>
            <w:r w:rsidR="00221E97" w:rsidRPr="00E21AE7">
              <w:rPr>
                <w:rFonts w:cs="Arial"/>
              </w:rPr>
              <w:t>Part 13 approval, and conditions 4</w:t>
            </w:r>
            <w:r w:rsidR="003A1E92">
              <w:rPr>
                <w:rFonts w:cs="Arial"/>
              </w:rPr>
              <w:t>-6</w:t>
            </w:r>
            <w:r w:rsidR="00AA1E16" w:rsidRPr="00E21AE7">
              <w:rPr>
                <w:rFonts w:cs="Arial"/>
              </w:rPr>
              <w:t xml:space="preserve"> </w:t>
            </w:r>
            <w:r w:rsidR="00221E97" w:rsidRPr="00E21AE7">
              <w:rPr>
                <w:rFonts w:cs="Arial"/>
              </w:rPr>
              <w:t xml:space="preserve">on </w:t>
            </w:r>
            <w:r w:rsidR="007D043E" w:rsidRPr="00E21AE7">
              <w:rPr>
                <w:rFonts w:cs="Arial"/>
              </w:rPr>
              <w:t xml:space="preserve">the </w:t>
            </w:r>
            <w:r w:rsidR="00221E97" w:rsidRPr="00E21AE7">
              <w:rPr>
                <w:rFonts w:cs="Arial"/>
              </w:rPr>
              <w:t xml:space="preserve">Part 13A approval to </w:t>
            </w:r>
            <w:r w:rsidR="00426078" w:rsidRPr="00E21AE7">
              <w:rPr>
                <w:rFonts w:cs="Arial"/>
              </w:rPr>
              <w:t>ensure data collection, ecological risk assessment and risk management are effective.</w:t>
            </w:r>
          </w:p>
        </w:tc>
      </w:tr>
      <w:tr w:rsidR="007B61E7" w:rsidRPr="00FD022E" w14:paraId="14FFCC4D" w14:textId="77777777" w:rsidTr="007B61E7">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2515391" w14:textId="2C9DB196" w:rsidR="007B61E7" w:rsidRPr="00E21AE7" w:rsidRDefault="007B61E7" w:rsidP="007F171B">
            <w:pPr>
              <w:spacing w:before="60" w:after="60" w:line="276" w:lineRule="auto"/>
              <w:rPr>
                <w:rFonts w:cs="Arial"/>
                <w:b/>
              </w:rPr>
            </w:pPr>
            <w:r w:rsidRPr="00E21AE7">
              <w:rPr>
                <w:rFonts w:cs="Arial"/>
                <w:b/>
              </w:rPr>
              <w:t>EPBC requirements</w:t>
            </w:r>
          </w:p>
        </w:tc>
      </w:tr>
      <w:tr w:rsidR="003703E8" w:rsidRPr="00FD022E" w14:paraId="288C0458" w14:textId="77777777" w:rsidTr="00A9145D">
        <w:trPr>
          <w:cnfStyle w:val="000000010000" w:firstRow="0" w:lastRow="0" w:firstColumn="0" w:lastColumn="0" w:oddVBand="0" w:evenVBand="0" w:oddHBand="0" w:evenHBand="1" w:firstRowFirstColumn="0" w:firstRowLastColumn="0" w:lastRowFirstColumn="0" w:lastRowLastColumn="0"/>
        </w:trPr>
        <w:tc>
          <w:tcPr>
            <w:tcW w:w="1580" w:type="pct"/>
            <w:gridSpan w:val="4"/>
            <w:shd w:val="clear" w:color="auto" w:fill="92D050"/>
          </w:tcPr>
          <w:p w14:paraId="3A69EF13" w14:textId="7F5B5175" w:rsidR="003703E8" w:rsidRPr="00E21AE7" w:rsidRDefault="003703E8" w:rsidP="007F171B">
            <w:pPr>
              <w:spacing w:before="60" w:after="60" w:line="276" w:lineRule="auto"/>
              <w:rPr>
                <w:rFonts w:cs="Arial"/>
              </w:rPr>
            </w:pPr>
            <w:r w:rsidRPr="00E21AE7">
              <w:rPr>
                <w:rFonts w:cs="Arial"/>
              </w:rPr>
              <w:t>Part 12</w:t>
            </w:r>
            <w:r w:rsidR="00FE7982" w:rsidRPr="00E21AE7">
              <w:rPr>
                <w:rFonts w:cs="Arial"/>
              </w:rPr>
              <w:t xml:space="preserve"> – Bioregional plans</w:t>
            </w:r>
          </w:p>
        </w:tc>
        <w:tc>
          <w:tcPr>
            <w:tcW w:w="3420" w:type="pct"/>
            <w:shd w:val="clear" w:color="auto" w:fill="auto"/>
          </w:tcPr>
          <w:p w14:paraId="327E0B80" w14:textId="1BD2293D" w:rsidR="003703E8" w:rsidRPr="00E21AE7" w:rsidRDefault="003703E8" w:rsidP="007F171B">
            <w:pPr>
              <w:spacing w:before="60" w:after="60" w:line="276" w:lineRule="auto"/>
              <w:rPr>
                <w:rFonts w:cs="Arial"/>
              </w:rPr>
            </w:pPr>
            <w:r w:rsidRPr="00E21AE7">
              <w:rPr>
                <w:rFonts w:cs="Arial"/>
              </w:rPr>
              <w:t xml:space="preserve">Meets requirements subject to </w:t>
            </w:r>
            <w:r w:rsidR="001A18C2">
              <w:rPr>
                <w:rFonts w:cs="Arial"/>
              </w:rPr>
              <w:t xml:space="preserve">the proposed </w:t>
            </w:r>
            <w:r w:rsidR="001F3980">
              <w:rPr>
                <w:rFonts w:cs="Arial"/>
              </w:rPr>
              <w:t xml:space="preserve">Part 13 </w:t>
            </w:r>
            <w:r w:rsidR="00244C9D" w:rsidRPr="00E21AE7">
              <w:rPr>
                <w:rFonts w:cs="Arial"/>
              </w:rPr>
              <w:t>condition</w:t>
            </w:r>
            <w:r w:rsidR="003A1E92">
              <w:rPr>
                <w:rFonts w:cs="Arial"/>
              </w:rPr>
              <w:t>s</w:t>
            </w:r>
            <w:r w:rsidR="00244C9D" w:rsidRPr="00E21AE7">
              <w:rPr>
                <w:rFonts w:cs="Arial"/>
              </w:rPr>
              <w:t xml:space="preserve"> 1</w:t>
            </w:r>
            <w:r w:rsidR="00A9145D">
              <w:rPr>
                <w:rFonts w:cs="Arial"/>
              </w:rPr>
              <w:t xml:space="preserve"> </w:t>
            </w:r>
            <w:r w:rsidR="003A1E92">
              <w:rPr>
                <w:rFonts w:cs="Arial"/>
              </w:rPr>
              <w:t xml:space="preserve">and 2 </w:t>
            </w:r>
            <w:r w:rsidR="00A9145D">
              <w:rPr>
                <w:rFonts w:cs="Arial"/>
              </w:rPr>
              <w:t xml:space="preserve">and </w:t>
            </w:r>
            <w:r w:rsidR="001F3980">
              <w:rPr>
                <w:rFonts w:cs="Arial"/>
              </w:rPr>
              <w:t xml:space="preserve">Part 13A </w:t>
            </w:r>
            <w:r w:rsidR="00244C9D" w:rsidRPr="00E21AE7">
              <w:rPr>
                <w:rFonts w:cs="Arial"/>
              </w:rPr>
              <w:t>conditions 4</w:t>
            </w:r>
            <w:r w:rsidR="003A1E92">
              <w:rPr>
                <w:rFonts w:cs="Arial"/>
              </w:rPr>
              <w:t>-6</w:t>
            </w:r>
            <w:r w:rsidR="00244C9D" w:rsidRPr="00E21AE7">
              <w:rPr>
                <w:rFonts w:cs="Arial"/>
              </w:rPr>
              <w:t>.</w:t>
            </w:r>
          </w:p>
        </w:tc>
      </w:tr>
      <w:tr w:rsidR="003703E8" w:rsidRPr="00FD022E" w14:paraId="506B6990" w14:textId="77777777" w:rsidTr="00A9145D">
        <w:trPr>
          <w:cnfStyle w:val="000000100000" w:firstRow="0" w:lastRow="0" w:firstColumn="0" w:lastColumn="0" w:oddVBand="0" w:evenVBand="0" w:oddHBand="1" w:evenHBand="0" w:firstRowFirstColumn="0" w:firstRowLastColumn="0" w:lastRowFirstColumn="0" w:lastRowLastColumn="0"/>
        </w:trPr>
        <w:tc>
          <w:tcPr>
            <w:tcW w:w="1580" w:type="pct"/>
            <w:gridSpan w:val="4"/>
            <w:shd w:val="clear" w:color="auto" w:fill="92D050"/>
          </w:tcPr>
          <w:p w14:paraId="1E8F6B74" w14:textId="34B0B26C" w:rsidR="003703E8" w:rsidRPr="00E21AE7" w:rsidRDefault="003703E8" w:rsidP="007F171B">
            <w:pPr>
              <w:spacing w:before="60" w:after="60" w:line="276" w:lineRule="auto"/>
              <w:rPr>
                <w:rFonts w:cs="Arial"/>
              </w:rPr>
            </w:pPr>
            <w:r w:rsidRPr="00E21AE7">
              <w:rPr>
                <w:rFonts w:cs="Arial"/>
              </w:rPr>
              <w:t>Part 13</w:t>
            </w:r>
            <w:r w:rsidR="00FE7982" w:rsidRPr="00E21AE7">
              <w:rPr>
                <w:rFonts w:cs="Arial"/>
              </w:rPr>
              <w:t xml:space="preserve"> – Protected species and communities</w:t>
            </w:r>
          </w:p>
        </w:tc>
        <w:tc>
          <w:tcPr>
            <w:tcW w:w="3420" w:type="pct"/>
            <w:shd w:val="clear" w:color="auto" w:fill="auto"/>
          </w:tcPr>
          <w:p w14:paraId="008A304B" w14:textId="1B16DD00" w:rsidR="003703E8" w:rsidRPr="00E21AE7" w:rsidRDefault="003703E8" w:rsidP="007F171B">
            <w:pPr>
              <w:spacing w:before="60" w:after="60" w:line="276" w:lineRule="auto"/>
              <w:rPr>
                <w:rFonts w:cs="Arial"/>
              </w:rPr>
            </w:pPr>
            <w:r w:rsidRPr="00E21AE7">
              <w:rPr>
                <w:rFonts w:cs="Arial"/>
              </w:rPr>
              <w:t xml:space="preserve">Meets requirements subject to </w:t>
            </w:r>
            <w:r w:rsidR="001A18C2">
              <w:rPr>
                <w:rFonts w:cs="Arial"/>
              </w:rPr>
              <w:t xml:space="preserve">the proposed </w:t>
            </w:r>
            <w:r w:rsidR="001F3980" w:rsidRPr="00E21AE7">
              <w:rPr>
                <w:rFonts w:cs="Arial"/>
              </w:rPr>
              <w:t xml:space="preserve">Part 13 </w:t>
            </w:r>
            <w:r w:rsidRPr="00E21AE7">
              <w:rPr>
                <w:rFonts w:cs="Arial"/>
              </w:rPr>
              <w:t>condition</w:t>
            </w:r>
            <w:r w:rsidR="003A1E92">
              <w:rPr>
                <w:rFonts w:cs="Arial"/>
              </w:rPr>
              <w:t>s</w:t>
            </w:r>
            <w:r w:rsidRPr="00E21AE7">
              <w:rPr>
                <w:rFonts w:cs="Arial"/>
              </w:rPr>
              <w:t xml:space="preserve"> </w:t>
            </w:r>
            <w:r w:rsidR="00244C9D" w:rsidRPr="00E21AE7">
              <w:rPr>
                <w:rFonts w:cs="Arial"/>
              </w:rPr>
              <w:t>1</w:t>
            </w:r>
            <w:r w:rsidR="003A1E92">
              <w:rPr>
                <w:rFonts w:cs="Arial"/>
              </w:rPr>
              <w:t xml:space="preserve"> and 2</w:t>
            </w:r>
            <w:r w:rsidR="00244C9D" w:rsidRPr="00E21AE7">
              <w:rPr>
                <w:rFonts w:cs="Arial"/>
              </w:rPr>
              <w:t>.</w:t>
            </w:r>
          </w:p>
        </w:tc>
      </w:tr>
      <w:tr w:rsidR="003703E8" w:rsidRPr="00FD022E" w14:paraId="22B413FF" w14:textId="77777777" w:rsidTr="00A9145D">
        <w:trPr>
          <w:cnfStyle w:val="000000010000" w:firstRow="0" w:lastRow="0" w:firstColumn="0" w:lastColumn="0" w:oddVBand="0" w:evenVBand="0" w:oddHBand="0" w:evenHBand="1" w:firstRowFirstColumn="0" w:firstRowLastColumn="0" w:lastRowFirstColumn="0" w:lastRowLastColumn="0"/>
        </w:trPr>
        <w:tc>
          <w:tcPr>
            <w:tcW w:w="1580" w:type="pct"/>
            <w:gridSpan w:val="4"/>
            <w:shd w:val="clear" w:color="auto" w:fill="92D050"/>
          </w:tcPr>
          <w:p w14:paraId="43BD9B9F" w14:textId="171B1755" w:rsidR="003703E8" w:rsidRPr="00E21AE7" w:rsidRDefault="003703E8" w:rsidP="007F171B">
            <w:pPr>
              <w:spacing w:before="60" w:after="60" w:line="276" w:lineRule="auto"/>
              <w:rPr>
                <w:rFonts w:cs="Arial"/>
              </w:rPr>
            </w:pPr>
            <w:r w:rsidRPr="00E21AE7">
              <w:rPr>
                <w:rFonts w:cs="Arial"/>
              </w:rPr>
              <w:t>Part 13A</w:t>
            </w:r>
            <w:r w:rsidR="00FE7982" w:rsidRPr="00E21AE7">
              <w:rPr>
                <w:rFonts w:cs="Arial"/>
              </w:rPr>
              <w:t xml:space="preserve"> – International trade of wildlife</w:t>
            </w:r>
          </w:p>
        </w:tc>
        <w:tc>
          <w:tcPr>
            <w:tcW w:w="3420" w:type="pct"/>
            <w:shd w:val="clear" w:color="auto" w:fill="auto"/>
          </w:tcPr>
          <w:p w14:paraId="3A492242" w14:textId="6884C5B3" w:rsidR="003703E8" w:rsidRPr="00E21AE7" w:rsidRDefault="003703E8" w:rsidP="007F171B">
            <w:pPr>
              <w:spacing w:before="60" w:after="60" w:line="276" w:lineRule="auto"/>
              <w:rPr>
                <w:rFonts w:cs="Arial"/>
              </w:rPr>
            </w:pPr>
            <w:r w:rsidRPr="00E21AE7">
              <w:rPr>
                <w:rFonts w:cs="Arial"/>
              </w:rPr>
              <w:t xml:space="preserve">Meets requirements subject to </w:t>
            </w:r>
            <w:r w:rsidR="001A18C2">
              <w:rPr>
                <w:rFonts w:cs="Arial"/>
              </w:rPr>
              <w:t xml:space="preserve">the proposed </w:t>
            </w:r>
            <w:r w:rsidR="001F3980" w:rsidRPr="00E21AE7">
              <w:rPr>
                <w:rFonts w:cs="Arial"/>
              </w:rPr>
              <w:t xml:space="preserve">Part 13A </w:t>
            </w:r>
            <w:r w:rsidR="00244C9D" w:rsidRPr="00E21AE7">
              <w:rPr>
                <w:rFonts w:cs="Arial"/>
              </w:rPr>
              <w:t>conditions 4</w:t>
            </w:r>
            <w:r w:rsidR="003A1E92">
              <w:rPr>
                <w:rFonts w:cs="Arial"/>
              </w:rPr>
              <w:t>-6</w:t>
            </w:r>
            <w:r w:rsidR="00244C9D" w:rsidRPr="00E21AE7">
              <w:rPr>
                <w:rFonts w:cs="Arial"/>
              </w:rPr>
              <w:t>.</w:t>
            </w:r>
          </w:p>
        </w:tc>
      </w:tr>
      <w:tr w:rsidR="003703E8" w:rsidRPr="00FD022E" w14:paraId="3E17CDF2" w14:textId="77777777" w:rsidTr="00A9145D">
        <w:trPr>
          <w:cnfStyle w:val="000000100000" w:firstRow="0" w:lastRow="0" w:firstColumn="0" w:lastColumn="0" w:oddVBand="0" w:evenVBand="0" w:oddHBand="1" w:evenHBand="0" w:firstRowFirstColumn="0" w:firstRowLastColumn="0" w:lastRowFirstColumn="0" w:lastRowLastColumn="0"/>
        </w:trPr>
        <w:tc>
          <w:tcPr>
            <w:tcW w:w="1580" w:type="pct"/>
            <w:gridSpan w:val="4"/>
            <w:shd w:val="clear" w:color="auto" w:fill="92D050"/>
          </w:tcPr>
          <w:p w14:paraId="716FE531" w14:textId="5D81FF55" w:rsidR="003703E8" w:rsidRPr="00E21AE7" w:rsidRDefault="003703E8" w:rsidP="007F171B">
            <w:pPr>
              <w:spacing w:before="60" w:after="60" w:line="276" w:lineRule="auto"/>
              <w:rPr>
                <w:rFonts w:cs="Arial"/>
              </w:rPr>
            </w:pPr>
            <w:r w:rsidRPr="00E21AE7">
              <w:rPr>
                <w:rFonts w:cs="Arial"/>
              </w:rPr>
              <w:t>Part 16</w:t>
            </w:r>
            <w:r w:rsidR="00FE7982" w:rsidRPr="00E21AE7">
              <w:rPr>
                <w:rFonts w:cs="Arial"/>
              </w:rPr>
              <w:t xml:space="preserve"> – Precautionary principle </w:t>
            </w:r>
          </w:p>
        </w:tc>
        <w:tc>
          <w:tcPr>
            <w:tcW w:w="3420" w:type="pct"/>
            <w:shd w:val="clear" w:color="auto" w:fill="auto"/>
          </w:tcPr>
          <w:p w14:paraId="70D1DCFD" w14:textId="48A15B3D" w:rsidR="003703E8" w:rsidRPr="00E21AE7" w:rsidRDefault="003703E8" w:rsidP="007F171B">
            <w:pPr>
              <w:spacing w:before="60" w:after="60" w:line="276" w:lineRule="auto"/>
              <w:rPr>
                <w:rFonts w:cs="Arial"/>
              </w:rPr>
            </w:pPr>
            <w:r w:rsidRPr="00E21AE7">
              <w:rPr>
                <w:rFonts w:cs="Arial"/>
              </w:rPr>
              <w:t xml:space="preserve">Meets requirements subject to </w:t>
            </w:r>
            <w:r w:rsidR="001A18C2">
              <w:rPr>
                <w:rFonts w:cs="Arial"/>
              </w:rPr>
              <w:t xml:space="preserve">the proposed Part 13 </w:t>
            </w:r>
            <w:r w:rsidRPr="00E21AE7">
              <w:rPr>
                <w:rFonts w:cs="Arial"/>
              </w:rPr>
              <w:t>condition</w:t>
            </w:r>
            <w:r w:rsidR="003A1E92">
              <w:rPr>
                <w:rFonts w:cs="Arial"/>
              </w:rPr>
              <w:t>s</w:t>
            </w:r>
            <w:r w:rsidRPr="00E21AE7">
              <w:rPr>
                <w:rFonts w:cs="Arial"/>
              </w:rPr>
              <w:t xml:space="preserve"> </w:t>
            </w:r>
            <w:r w:rsidR="00244C9D" w:rsidRPr="00E21AE7">
              <w:rPr>
                <w:rFonts w:cs="Arial"/>
              </w:rPr>
              <w:t>1</w:t>
            </w:r>
            <w:r w:rsidR="003A1E92">
              <w:rPr>
                <w:rFonts w:cs="Arial"/>
              </w:rPr>
              <w:t xml:space="preserve"> and 2</w:t>
            </w:r>
            <w:r w:rsidR="002E7801">
              <w:rPr>
                <w:rFonts w:cs="Arial"/>
              </w:rPr>
              <w:t xml:space="preserve"> </w:t>
            </w:r>
            <w:r w:rsidR="001A18C2">
              <w:rPr>
                <w:rFonts w:cs="Arial"/>
              </w:rPr>
              <w:t xml:space="preserve">and Part 13A </w:t>
            </w:r>
            <w:r w:rsidR="00244C9D" w:rsidRPr="00E21AE7">
              <w:rPr>
                <w:rFonts w:cs="Arial"/>
              </w:rPr>
              <w:t>conditions 1-</w:t>
            </w:r>
            <w:r w:rsidR="003A1E92">
              <w:rPr>
                <w:rFonts w:cs="Arial"/>
              </w:rPr>
              <w:t>6</w:t>
            </w:r>
            <w:r w:rsidR="00244C9D" w:rsidRPr="00E21AE7">
              <w:rPr>
                <w:rFonts w:cs="Arial"/>
              </w:rPr>
              <w:t>.</w:t>
            </w:r>
          </w:p>
        </w:tc>
      </w:tr>
    </w:tbl>
    <w:p w14:paraId="46B39493" w14:textId="50DFB724" w:rsidR="00690755" w:rsidRDefault="00690755" w:rsidP="00A9145D">
      <w:pPr>
        <w:pStyle w:val="Heading3"/>
        <w:spacing w:before="480" w:line="276" w:lineRule="auto"/>
      </w:pPr>
    </w:p>
    <w:p w14:paraId="3181B6FF" w14:textId="77777777" w:rsidR="00690755" w:rsidRDefault="00690755">
      <w:pPr>
        <w:spacing w:before="0" w:after="0"/>
        <w:rPr>
          <w:rFonts w:cs="Arial"/>
          <w:b/>
          <w:i/>
        </w:rPr>
      </w:pPr>
      <w:r>
        <w:br w:type="page"/>
      </w:r>
    </w:p>
    <w:p w14:paraId="67063D48" w14:textId="0986A0E7" w:rsidR="00690755" w:rsidRPr="00FD022E" w:rsidRDefault="00690755" w:rsidP="00690755">
      <w:pPr>
        <w:pStyle w:val="Heading1"/>
        <w:spacing w:after="120"/>
        <w:rPr>
          <w:rFonts w:ascii="Arial" w:hAnsi="Arial"/>
        </w:rPr>
      </w:pPr>
      <w:bookmarkStart w:id="3" w:name="_Toc48212729"/>
      <w:bookmarkStart w:id="4" w:name="_Hlk43729801"/>
      <w:r w:rsidRPr="00FD022E">
        <w:rPr>
          <w:rFonts w:ascii="Arial" w:hAnsi="Arial"/>
        </w:rPr>
        <w:lastRenderedPageBreak/>
        <w:t xml:space="preserve">Section </w:t>
      </w:r>
      <w:r>
        <w:rPr>
          <w:rFonts w:ascii="Arial" w:hAnsi="Arial"/>
        </w:rPr>
        <w:t>2</w:t>
      </w:r>
      <w:r w:rsidRPr="00FD022E">
        <w:rPr>
          <w:rFonts w:ascii="Arial" w:hAnsi="Arial"/>
        </w:rPr>
        <w:t>: Summary of issues</w:t>
      </w:r>
      <w:r w:rsidRPr="00FD022E" w:rsidDel="000F625F">
        <w:rPr>
          <w:rFonts w:ascii="Arial" w:hAnsi="Arial"/>
        </w:rPr>
        <w:t xml:space="preserve"> </w:t>
      </w:r>
      <w:r w:rsidRPr="00FD022E">
        <w:rPr>
          <w:rFonts w:ascii="Arial" w:hAnsi="Arial"/>
        </w:rPr>
        <w:t xml:space="preserve">and </w:t>
      </w:r>
      <w:r w:rsidR="00A45635">
        <w:rPr>
          <w:rFonts w:ascii="Arial" w:hAnsi="Arial"/>
        </w:rPr>
        <w:t>p</w:t>
      </w:r>
      <w:r w:rsidR="009D62CE">
        <w:rPr>
          <w:rFonts w:ascii="Arial" w:hAnsi="Arial"/>
        </w:rPr>
        <w:t xml:space="preserve">roposed </w:t>
      </w:r>
      <w:r w:rsidRPr="00FD022E">
        <w:rPr>
          <w:rFonts w:ascii="Arial" w:hAnsi="Arial"/>
        </w:rPr>
        <w:t>conditions</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gridCol w:w="6286"/>
      </w:tblGrid>
      <w:tr w:rsidR="00690755" w:rsidRPr="000900EC" w14:paraId="71C1440F" w14:textId="77777777" w:rsidTr="003A1E92">
        <w:trPr>
          <w:jc w:val="center"/>
        </w:trPr>
        <w:tc>
          <w:tcPr>
            <w:tcW w:w="8500" w:type="dxa"/>
            <w:shd w:val="clear" w:color="auto" w:fill="D9D9D9"/>
            <w:vAlign w:val="center"/>
          </w:tcPr>
          <w:p w14:paraId="7569D53C" w14:textId="77777777" w:rsidR="00690755" w:rsidRPr="00E21AE7" w:rsidRDefault="00690755" w:rsidP="003A1E92">
            <w:pPr>
              <w:spacing w:before="80" w:after="80" w:line="276" w:lineRule="auto"/>
              <w:jc w:val="center"/>
              <w:rPr>
                <w:rFonts w:cs="Arial"/>
                <w:b/>
              </w:rPr>
            </w:pPr>
            <w:r w:rsidRPr="00E21AE7">
              <w:rPr>
                <w:rFonts w:cs="Arial"/>
                <w:b/>
              </w:rPr>
              <w:t>Part 13A – Issue</w:t>
            </w:r>
          </w:p>
        </w:tc>
        <w:tc>
          <w:tcPr>
            <w:tcW w:w="6286" w:type="dxa"/>
            <w:shd w:val="clear" w:color="auto" w:fill="D9D9D9"/>
            <w:vAlign w:val="center"/>
          </w:tcPr>
          <w:p w14:paraId="78265614" w14:textId="77777777" w:rsidR="00690755" w:rsidRPr="00E21AE7" w:rsidRDefault="00690755" w:rsidP="003A1E92">
            <w:pPr>
              <w:spacing w:before="80" w:after="80" w:line="276" w:lineRule="auto"/>
              <w:jc w:val="center"/>
              <w:rPr>
                <w:rFonts w:cs="Arial"/>
                <w:b/>
              </w:rPr>
            </w:pPr>
            <w:r w:rsidRPr="00E21AE7">
              <w:rPr>
                <w:rFonts w:cs="Arial"/>
                <w:b/>
              </w:rPr>
              <w:t>Proposed Part 13A Conditions</w:t>
            </w:r>
          </w:p>
        </w:tc>
      </w:tr>
      <w:tr w:rsidR="00690755" w:rsidRPr="000900EC" w14:paraId="5C3954F3" w14:textId="77777777" w:rsidTr="003A1E92">
        <w:trPr>
          <w:jc w:val="center"/>
        </w:trPr>
        <w:tc>
          <w:tcPr>
            <w:tcW w:w="8500" w:type="dxa"/>
          </w:tcPr>
          <w:p w14:paraId="1E5CEAF6" w14:textId="77777777" w:rsidR="00690755" w:rsidRPr="00E21AE7" w:rsidRDefault="00690755" w:rsidP="003A1E92">
            <w:pPr>
              <w:spacing w:before="80" w:after="80" w:line="276" w:lineRule="auto"/>
              <w:rPr>
                <w:rFonts w:cs="Arial"/>
                <w:b/>
                <w:u w:val="single"/>
              </w:rPr>
            </w:pPr>
            <w:bookmarkStart w:id="5" w:name="_Hlk40861679"/>
            <w:r w:rsidRPr="00E21AE7">
              <w:rPr>
                <w:rFonts w:cs="Arial"/>
                <w:b/>
                <w:u w:val="single"/>
              </w:rPr>
              <w:t>General Management</w:t>
            </w:r>
          </w:p>
          <w:p w14:paraId="6DAEAE6A" w14:textId="77777777" w:rsidR="00690755" w:rsidRPr="00E21AE7" w:rsidRDefault="00690755" w:rsidP="003A1E92">
            <w:pPr>
              <w:spacing w:before="80" w:after="80" w:line="276" w:lineRule="auto"/>
              <w:rPr>
                <w:rFonts w:cs="Arial"/>
              </w:rPr>
            </w:pPr>
            <w:r w:rsidRPr="00E21AE7">
              <w:rPr>
                <w:rFonts w:cs="Arial"/>
              </w:rPr>
              <w:t>Export decisions relate to the management arrangements in force at the time of any decision(s) made under the EPBC Act. To ensure that the decision(s) remain valid and export approval continues uninterrupted,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by-product, bycatch, EPBC Act protected species or the ecosystem.</w:t>
            </w:r>
          </w:p>
        </w:tc>
        <w:tc>
          <w:tcPr>
            <w:tcW w:w="6286" w:type="dxa"/>
          </w:tcPr>
          <w:p w14:paraId="61660A8C" w14:textId="77777777" w:rsidR="00690755" w:rsidRPr="000F5AED" w:rsidRDefault="00690755" w:rsidP="003A1E92">
            <w:pPr>
              <w:spacing w:before="80" w:after="80" w:line="276" w:lineRule="auto"/>
              <w:rPr>
                <w:rFonts w:cs="Arial"/>
                <w:b/>
              </w:rPr>
            </w:pPr>
            <w:bookmarkStart w:id="6" w:name="_Hlk39561130"/>
            <w:r w:rsidRPr="000F5AED">
              <w:rPr>
                <w:rFonts w:cs="Arial"/>
                <w:b/>
              </w:rPr>
              <w:t>Condition 1</w:t>
            </w:r>
          </w:p>
          <w:p w14:paraId="22AF8862" w14:textId="16855BF9" w:rsidR="00690755" w:rsidRPr="000F5AED" w:rsidRDefault="00173E7F" w:rsidP="003A1E92">
            <w:pPr>
              <w:spacing w:before="80" w:after="80" w:line="276" w:lineRule="auto"/>
              <w:rPr>
                <w:rFonts w:cs="Arial"/>
              </w:rPr>
            </w:pPr>
            <w:r>
              <w:rPr>
                <w:rFonts w:cs="Arial"/>
              </w:rPr>
              <w:t xml:space="preserve">The Queensland Department of Agriculture and Fisheries </w:t>
            </w:r>
            <w:r w:rsidR="00690755" w:rsidRPr="000F5AED">
              <w:rPr>
                <w:rFonts w:cs="Arial"/>
              </w:rPr>
              <w:t xml:space="preserve">must ensure the operation of the Queensland Commercial Trawl (Fin Fish) Fishery is carried out in accordance with the management arrangements specified in the Queensland </w:t>
            </w:r>
            <w:r w:rsidR="00690755" w:rsidRPr="000F5AED">
              <w:rPr>
                <w:rFonts w:cs="Arial"/>
                <w:i/>
              </w:rPr>
              <w:t>Fisheries Act 1994</w:t>
            </w:r>
            <w:r w:rsidR="00690755" w:rsidRPr="000F5AED">
              <w:rPr>
                <w:rFonts w:cs="Arial"/>
              </w:rPr>
              <w:t>, Fisheries (General) Regulation 2019, Fisheries (Commercial Fisheries) Regulation 2019, Fisheries Declaration 2019, and the Fisheries Quota Declaration 2019.</w:t>
            </w:r>
          </w:p>
          <w:p w14:paraId="430FE42E" w14:textId="77777777" w:rsidR="00690755" w:rsidRPr="000F5AED" w:rsidRDefault="00690755" w:rsidP="003A1E92">
            <w:pPr>
              <w:spacing w:before="80" w:after="80" w:line="276" w:lineRule="auto"/>
              <w:rPr>
                <w:rFonts w:cs="Arial"/>
              </w:rPr>
            </w:pPr>
            <w:r w:rsidRPr="000F5AED">
              <w:rPr>
                <w:rFonts w:cs="Arial"/>
                <w:b/>
              </w:rPr>
              <w:t>Condition 2</w:t>
            </w:r>
          </w:p>
          <w:p w14:paraId="53B1849D" w14:textId="2BC68D4E" w:rsidR="00690755" w:rsidRPr="000F5AED" w:rsidRDefault="00173E7F" w:rsidP="003A1E92">
            <w:pPr>
              <w:spacing w:before="80" w:after="80" w:line="276" w:lineRule="auto"/>
              <w:rPr>
                <w:rFonts w:cs="Arial"/>
                <w:b/>
              </w:rPr>
            </w:pPr>
            <w:r>
              <w:rPr>
                <w:rFonts w:cs="Arial"/>
              </w:rPr>
              <w:t xml:space="preserve">Queensland Department of Agriculture and Fisheries </w:t>
            </w:r>
            <w:r w:rsidR="00690755" w:rsidRPr="000F5AED">
              <w:rPr>
                <w:rFonts w:cs="Arial"/>
              </w:rPr>
              <w:t>must inform the Department</w:t>
            </w:r>
            <w:r>
              <w:rPr>
                <w:rFonts w:cs="Arial"/>
              </w:rPr>
              <w:t xml:space="preserve"> of Agriculture, Water and the Environment</w:t>
            </w:r>
            <w:r w:rsidR="00690755" w:rsidRPr="000F5AED">
              <w:rPr>
                <w:rFonts w:cs="Arial"/>
              </w:rPr>
              <w:t xml:space="preserve"> of any intended material changes to the Queensland Commercial Trawl (Fin Fish) Fishery management arrangements, so the </w:t>
            </w:r>
            <w:r w:rsidRPr="000F5AED">
              <w:rPr>
                <w:rFonts w:cs="Arial"/>
              </w:rPr>
              <w:t>Department</w:t>
            </w:r>
            <w:r>
              <w:rPr>
                <w:rFonts w:cs="Arial"/>
              </w:rPr>
              <w:t xml:space="preserve"> of Agriculture, Water and the Environment</w:t>
            </w:r>
            <w:r w:rsidR="00690755" w:rsidRPr="000F5AED">
              <w:rPr>
                <w:rFonts w:cs="Arial"/>
              </w:rPr>
              <w:t xml:space="preserve"> can determine if these changes affect the assessment against which </w:t>
            </w:r>
            <w:r w:rsidR="00690755" w:rsidRPr="000F5AED">
              <w:rPr>
                <w:rFonts w:cs="Arial"/>
                <w:i/>
              </w:rPr>
              <w:t>Environment Protection and Biodiversity Conservation Act 1999</w:t>
            </w:r>
            <w:r w:rsidR="00690755" w:rsidRPr="000F5AED">
              <w:rPr>
                <w:rFonts w:cs="Arial"/>
              </w:rPr>
              <w:t xml:space="preserve"> decisions are made.</w:t>
            </w:r>
            <w:bookmarkEnd w:id="6"/>
          </w:p>
        </w:tc>
      </w:tr>
      <w:tr w:rsidR="00690755" w:rsidRPr="000900EC" w14:paraId="316A4B4A" w14:textId="77777777" w:rsidTr="003A1E92">
        <w:trPr>
          <w:jc w:val="center"/>
        </w:trPr>
        <w:tc>
          <w:tcPr>
            <w:tcW w:w="8500" w:type="dxa"/>
          </w:tcPr>
          <w:p w14:paraId="1E7CC6EB" w14:textId="77777777" w:rsidR="00690755" w:rsidRPr="00E21AE7" w:rsidRDefault="00690755" w:rsidP="003A1E92">
            <w:pPr>
              <w:spacing w:before="80" w:after="80" w:line="276" w:lineRule="auto"/>
              <w:rPr>
                <w:rFonts w:cs="Arial"/>
                <w:b/>
              </w:rPr>
            </w:pPr>
            <w:r w:rsidRPr="00E21AE7">
              <w:rPr>
                <w:rFonts w:cs="Arial"/>
                <w:b/>
                <w:u w:val="single"/>
              </w:rPr>
              <w:t>Annual Reporting</w:t>
            </w:r>
          </w:p>
          <w:p w14:paraId="33E7FAA4" w14:textId="77777777" w:rsidR="00690755" w:rsidRPr="00E21AE7" w:rsidRDefault="00690755" w:rsidP="003A1E92">
            <w:pPr>
              <w:spacing w:before="80" w:after="80" w:line="276" w:lineRule="auto"/>
              <w:rPr>
                <w:rFonts w:cs="Arial"/>
              </w:rPr>
            </w:pPr>
            <w:r w:rsidRPr="00E21AE7">
              <w:rPr>
                <w:rFonts w:cs="Arial"/>
              </w:rPr>
              <w:t xml:space="preserve">It is important that </w:t>
            </w:r>
            <w:r>
              <w:rPr>
                <w:rFonts w:cs="Arial"/>
              </w:rPr>
              <w:t>QDAF</w:t>
            </w:r>
            <w:r w:rsidRPr="00E21AE7">
              <w:rPr>
                <w:rFonts w:cs="Arial"/>
              </w:rPr>
              <w:t xml:space="preserve"> produce and present reports to the Department annually in order for the performance of the fishery and progress in implementing the conditions described in this report and other managerial commitments to be monitored and assessed throughout the life of the export approval. Annual reports should follow Appendix B to the ‘Guidelines for the Ecologically Sustainable Management of Fisheries – 2</w:t>
            </w:r>
            <w:r w:rsidRPr="00E21AE7">
              <w:rPr>
                <w:rFonts w:cs="Arial"/>
                <w:vertAlign w:val="superscript"/>
              </w:rPr>
              <w:t>nd</w:t>
            </w:r>
            <w:r w:rsidRPr="00E21AE7">
              <w:rPr>
                <w:rFonts w:cs="Arial"/>
              </w:rPr>
              <w:t xml:space="preserve">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described in the previous assessment for </w:t>
            </w:r>
            <w:r w:rsidRPr="00E21AE7">
              <w:rPr>
                <w:rFonts w:cs="Arial"/>
              </w:rPr>
              <w:lastRenderedPageBreak/>
              <w:t xml:space="preserve">the fishery. Electronic copies of the guidelines are available from the Department’s website at </w:t>
            </w:r>
            <w:hyperlink r:id="rId15" w:history="1">
              <w:r w:rsidRPr="00E21AE7">
                <w:rPr>
                  <w:rStyle w:val="Hyperlink"/>
                  <w:rFonts w:cs="Arial"/>
                </w:rPr>
                <w:t>http://www.environment.gov.au/resource/guidelines-ecologically-sustainable-management-fisheries</w:t>
              </w:r>
            </w:hyperlink>
            <w:r w:rsidRPr="00E21AE7">
              <w:rPr>
                <w:rFonts w:cs="Arial"/>
              </w:rPr>
              <w:t>.</w:t>
            </w:r>
          </w:p>
        </w:tc>
        <w:tc>
          <w:tcPr>
            <w:tcW w:w="6286" w:type="dxa"/>
          </w:tcPr>
          <w:p w14:paraId="6587342D" w14:textId="77777777" w:rsidR="00690755" w:rsidRPr="000F5AED" w:rsidRDefault="00690755" w:rsidP="003A1E92">
            <w:pPr>
              <w:spacing w:before="80" w:after="80" w:line="276" w:lineRule="auto"/>
              <w:rPr>
                <w:rFonts w:cs="Arial"/>
                <w:b/>
              </w:rPr>
            </w:pPr>
            <w:bookmarkStart w:id="7" w:name="_Hlk39561140"/>
            <w:r w:rsidRPr="000F5AED">
              <w:rPr>
                <w:rFonts w:cs="Arial"/>
                <w:b/>
              </w:rPr>
              <w:lastRenderedPageBreak/>
              <w:t>Condition 3</w:t>
            </w:r>
          </w:p>
          <w:p w14:paraId="0EE990F2" w14:textId="18A2ACC3" w:rsidR="00690755" w:rsidRPr="000F5AED" w:rsidRDefault="00173E7F" w:rsidP="003A1E92">
            <w:pPr>
              <w:spacing w:before="80" w:after="80" w:line="276" w:lineRule="auto"/>
              <w:rPr>
                <w:rFonts w:cs="Arial"/>
              </w:rPr>
            </w:pPr>
            <w:r>
              <w:rPr>
                <w:rFonts w:cs="Arial"/>
              </w:rPr>
              <w:t>The Queensland Department of Agriculture and Fisheries</w:t>
            </w:r>
            <w:r w:rsidR="00690755" w:rsidRPr="000F5AED">
              <w:rPr>
                <w:rFonts w:cs="Arial"/>
              </w:rPr>
              <w:t xml:space="preserve"> must provide annual reports on the Commercial Trawl (Fin Fish) Fishery to the </w:t>
            </w:r>
            <w:r w:rsidRPr="000F5AED">
              <w:rPr>
                <w:rFonts w:cs="Arial"/>
              </w:rPr>
              <w:t>Department</w:t>
            </w:r>
            <w:r>
              <w:rPr>
                <w:rFonts w:cs="Arial"/>
              </w:rPr>
              <w:t xml:space="preserve"> of Agriculture, </w:t>
            </w:r>
            <w:proofErr w:type="gramStart"/>
            <w:r>
              <w:rPr>
                <w:rFonts w:cs="Arial"/>
              </w:rPr>
              <w:t>Water</w:t>
            </w:r>
            <w:proofErr w:type="gramEnd"/>
            <w:r>
              <w:rPr>
                <w:rFonts w:cs="Arial"/>
              </w:rPr>
              <w:t xml:space="preserve"> and the Environment</w:t>
            </w:r>
            <w:r w:rsidR="00690755" w:rsidRPr="000F5AED">
              <w:rPr>
                <w:rFonts w:cs="Arial"/>
              </w:rPr>
              <w:t xml:space="preserve"> every 12 months, from the date of the approval of the wildlife trade operation. These reports must be consistent with Appendix B of the </w:t>
            </w:r>
            <w:r w:rsidR="00690755" w:rsidRPr="000F5AED">
              <w:rPr>
                <w:rFonts w:cs="Arial"/>
                <w:i/>
              </w:rPr>
              <w:t>Guidelines for the Ecologically Sustainable Management of Fisheries – 2</w:t>
            </w:r>
            <w:r w:rsidR="00690755" w:rsidRPr="000F5AED">
              <w:rPr>
                <w:rFonts w:cs="Arial"/>
                <w:i/>
                <w:vertAlign w:val="superscript"/>
              </w:rPr>
              <w:t>nd</w:t>
            </w:r>
            <w:r w:rsidR="00690755" w:rsidRPr="000F5AED">
              <w:rPr>
                <w:rFonts w:cs="Arial"/>
                <w:i/>
              </w:rPr>
              <w:t xml:space="preserve"> Edition</w:t>
            </w:r>
            <w:r>
              <w:rPr>
                <w:rFonts w:cs="Arial"/>
                <w:i/>
              </w:rPr>
              <w:t xml:space="preserve"> (2007)</w:t>
            </w:r>
            <w:r w:rsidR="00690755" w:rsidRPr="000F5AED">
              <w:rPr>
                <w:rFonts w:cs="Arial"/>
                <w:i/>
              </w:rPr>
              <w:t>.</w:t>
            </w:r>
            <w:bookmarkEnd w:id="7"/>
          </w:p>
        </w:tc>
      </w:tr>
      <w:tr w:rsidR="00690755" w:rsidRPr="000900EC" w14:paraId="236FC77C" w14:textId="77777777" w:rsidTr="003A1E92">
        <w:trPr>
          <w:jc w:val="center"/>
        </w:trPr>
        <w:tc>
          <w:tcPr>
            <w:tcW w:w="8500" w:type="dxa"/>
          </w:tcPr>
          <w:p w14:paraId="55D71246" w14:textId="77777777" w:rsidR="00690755" w:rsidRPr="00E21AE7" w:rsidRDefault="00690755" w:rsidP="003A1E92">
            <w:pPr>
              <w:spacing w:before="80" w:after="80" w:line="276" w:lineRule="auto"/>
              <w:rPr>
                <w:rFonts w:cs="Arial"/>
                <w:b/>
                <w:u w:val="single"/>
              </w:rPr>
            </w:pPr>
            <w:bookmarkStart w:id="8" w:name="_Hlk41377726"/>
            <w:r w:rsidRPr="00E21AE7">
              <w:rPr>
                <w:rFonts w:cs="Arial"/>
                <w:b/>
                <w:u w:val="single"/>
              </w:rPr>
              <w:t xml:space="preserve">Reliable fisheries data collection, </w:t>
            </w:r>
            <w:proofErr w:type="gramStart"/>
            <w:r w:rsidRPr="00E21AE7">
              <w:rPr>
                <w:rFonts w:cs="Arial"/>
                <w:b/>
                <w:u w:val="single"/>
              </w:rPr>
              <w:t>validation</w:t>
            </w:r>
            <w:proofErr w:type="gramEnd"/>
            <w:r w:rsidRPr="00E21AE7">
              <w:rPr>
                <w:rFonts w:cs="Arial"/>
                <w:b/>
                <w:u w:val="single"/>
              </w:rPr>
              <w:t xml:space="preserve"> and monitoring</w:t>
            </w:r>
          </w:p>
          <w:p w14:paraId="36E4F0B4" w14:textId="4FC4BD75" w:rsidR="00690755" w:rsidRPr="00E21AE7" w:rsidRDefault="00690755" w:rsidP="003A1E92">
            <w:pPr>
              <w:tabs>
                <w:tab w:val="left" w:pos="360"/>
              </w:tabs>
              <w:spacing w:before="80" w:after="80" w:line="276" w:lineRule="auto"/>
              <w:rPr>
                <w:rFonts w:cs="Arial"/>
              </w:rPr>
            </w:pPr>
            <w:r w:rsidRPr="00E21AE7">
              <w:rPr>
                <w:rFonts w:cs="Arial"/>
              </w:rPr>
              <w:t xml:space="preserve">Accurate identification and reporting of retained and discarded catch are crucial to ensure the impacts of fishing can be assessed, </w:t>
            </w:r>
            <w:proofErr w:type="gramStart"/>
            <w:r w:rsidRPr="00E21AE7">
              <w:rPr>
                <w:rFonts w:cs="Arial"/>
              </w:rPr>
              <w:t>monitored</w:t>
            </w:r>
            <w:proofErr w:type="gramEnd"/>
            <w:r w:rsidRPr="00E21AE7">
              <w:rPr>
                <w:rFonts w:cs="Arial"/>
              </w:rPr>
              <w:t xml:space="preserve"> and managed sustainably. The Department </w:t>
            </w:r>
            <w:r w:rsidR="00F76935">
              <w:rPr>
                <w:rFonts w:cs="Arial"/>
              </w:rPr>
              <w:t>has</w:t>
            </w:r>
            <w:r w:rsidRPr="00E21AE7">
              <w:rPr>
                <w:rFonts w:cs="Arial"/>
              </w:rPr>
              <w:t xml:space="preserve"> concern</w:t>
            </w:r>
            <w:r w:rsidR="00F76935">
              <w:rPr>
                <w:rFonts w:cs="Arial"/>
              </w:rPr>
              <w:t xml:space="preserve">s, that are discussed at </w:t>
            </w:r>
            <w:r w:rsidR="000F5AED">
              <w:rPr>
                <w:rFonts w:cs="Arial"/>
              </w:rPr>
              <w:t xml:space="preserve">item </w:t>
            </w:r>
            <w:r w:rsidR="00F76935">
              <w:rPr>
                <w:rFonts w:cs="Arial"/>
              </w:rPr>
              <w:t>1.1.4</w:t>
            </w:r>
            <w:r w:rsidR="000F5AED">
              <w:rPr>
                <w:rFonts w:cs="Arial"/>
              </w:rPr>
              <w:t xml:space="preserve"> and elsewhere in this report</w:t>
            </w:r>
            <w:r w:rsidR="00F76935">
              <w:rPr>
                <w:rFonts w:cs="Arial"/>
              </w:rPr>
              <w:t>,</w:t>
            </w:r>
            <w:r w:rsidRPr="00E21AE7">
              <w:rPr>
                <w:rFonts w:cs="Arial"/>
              </w:rPr>
              <w:t xml:space="preserve"> that fishers may not be accurately reporting the extent of their discarded catch and interactions with protected species.</w:t>
            </w:r>
          </w:p>
          <w:p w14:paraId="07F30B1A" w14:textId="77777777" w:rsidR="00690755" w:rsidRPr="00E21AE7" w:rsidRDefault="00690755" w:rsidP="003A1E92">
            <w:pPr>
              <w:tabs>
                <w:tab w:val="left" w:pos="360"/>
              </w:tabs>
              <w:spacing w:before="80" w:after="80" w:line="276" w:lineRule="auto"/>
              <w:rPr>
                <w:rFonts w:cs="Arial"/>
              </w:rPr>
            </w:pPr>
            <w:r w:rsidRPr="00E21AE7">
              <w:rPr>
                <w:rFonts w:cs="Arial"/>
              </w:rPr>
              <w:t>The Department notes that there has been difficulty accurately identifying the main target species (Stout Whiting) in the past</w:t>
            </w:r>
            <w:r>
              <w:rPr>
                <w:rFonts w:cs="Arial"/>
              </w:rPr>
              <w:t xml:space="preserve"> </w:t>
            </w:r>
            <w:r w:rsidRPr="00A5177C">
              <w:rPr>
                <w:rFonts w:cs="Arial"/>
              </w:rPr>
              <w:t>(Ovenden &amp; Butcher, 1999)</w:t>
            </w:r>
            <w:r w:rsidRPr="00E21AE7">
              <w:rPr>
                <w:rFonts w:cs="Arial"/>
              </w:rPr>
              <w:t xml:space="preserve"> and it is unclear how this affects stock assessments and setting of sustainable catch limits. </w:t>
            </w:r>
          </w:p>
          <w:p w14:paraId="11FD9288" w14:textId="77777777" w:rsidR="00690755" w:rsidRPr="00E21AE7" w:rsidRDefault="00690755" w:rsidP="003A1E92">
            <w:pPr>
              <w:tabs>
                <w:tab w:val="left" w:pos="360"/>
              </w:tabs>
              <w:spacing w:before="80" w:after="80" w:line="276" w:lineRule="auto"/>
              <w:rPr>
                <w:rFonts w:cs="Arial"/>
              </w:rPr>
            </w:pPr>
            <w:r>
              <w:rPr>
                <w:rFonts w:cs="Arial"/>
              </w:rPr>
              <w:t xml:space="preserve">The Department acknowledges that Queensland’s </w:t>
            </w:r>
            <w:r>
              <w:t xml:space="preserve">automated integrated voice response (AIVR), Vessel Monitoring Systems (VMS) and catch unload records help validate logbook records of landed catch and fishing effort, there is no </w:t>
            </w:r>
            <w:r w:rsidRPr="00E21AE7">
              <w:rPr>
                <w:rFonts w:cs="Arial"/>
              </w:rPr>
              <w:t xml:space="preserve">independent data collection </w:t>
            </w:r>
            <w:r>
              <w:rPr>
                <w:rFonts w:cs="Arial"/>
              </w:rPr>
              <w:t xml:space="preserve">or validation for discarded catch, including bycatch, unmarketable target species and protected species. </w:t>
            </w:r>
            <w:r w:rsidRPr="00E21AE7">
              <w:rPr>
                <w:rFonts w:cs="Arial"/>
              </w:rPr>
              <w:t>Without independent data collection it is difficult to validate the data reported by fishers and address the identified concerns.</w:t>
            </w:r>
          </w:p>
          <w:p w14:paraId="47EB13B8" w14:textId="77777777" w:rsidR="00690755" w:rsidRPr="00E21AE7" w:rsidRDefault="00690755" w:rsidP="003A1E92">
            <w:pPr>
              <w:tabs>
                <w:tab w:val="left" w:pos="360"/>
              </w:tabs>
              <w:spacing w:before="80" w:after="80" w:line="276" w:lineRule="auto"/>
              <w:rPr>
                <w:rFonts w:cs="Arial"/>
              </w:rPr>
            </w:pPr>
            <w:r w:rsidRPr="00E21AE7">
              <w:rPr>
                <w:rFonts w:cs="Arial"/>
              </w:rPr>
              <w:t xml:space="preserve">The Queensland Government has made some progress towards ensuring there is sufficient information collected, to monitor and assess the fishery’s impact on target and non-target species (including protected species) through a range of actions under the Queensland Government’s </w:t>
            </w:r>
            <w:hyperlink r:id="rId16" w:history="1">
              <w:r w:rsidRPr="00E21AE7">
                <w:rPr>
                  <w:rStyle w:val="Hyperlink"/>
                  <w:rFonts w:cs="Arial"/>
                </w:rPr>
                <w:t>Sustainable Fisheries Strategy 2017–2027</w:t>
              </w:r>
            </w:hyperlink>
            <w:r w:rsidRPr="00E21AE7">
              <w:rPr>
                <w:rFonts w:cs="Arial"/>
              </w:rPr>
              <w:t xml:space="preserve">. </w:t>
            </w:r>
            <w:r>
              <w:rPr>
                <w:rFonts w:cs="Arial"/>
              </w:rPr>
              <w:t>A</w:t>
            </w:r>
            <w:r w:rsidRPr="00E21AE7">
              <w:rPr>
                <w:rFonts w:cs="Arial"/>
              </w:rPr>
              <w:t>ctions include:</w:t>
            </w:r>
          </w:p>
          <w:p w14:paraId="2060490C" w14:textId="77777777" w:rsidR="00690755" w:rsidRPr="00E21AE7" w:rsidRDefault="00690755" w:rsidP="003A1E92">
            <w:pPr>
              <w:numPr>
                <w:ilvl w:val="0"/>
                <w:numId w:val="16"/>
              </w:numPr>
              <w:tabs>
                <w:tab w:val="left" w:pos="360"/>
              </w:tabs>
              <w:spacing w:before="80" w:after="80" w:line="276" w:lineRule="auto"/>
              <w:rPr>
                <w:rFonts w:cs="Arial"/>
              </w:rPr>
            </w:pPr>
            <w:r w:rsidRPr="00FD76BA">
              <w:rPr>
                <w:rFonts w:cs="Arial"/>
              </w:rPr>
              <w:t>Developing and implement</w:t>
            </w:r>
            <w:r>
              <w:rPr>
                <w:rFonts w:cs="Arial"/>
              </w:rPr>
              <w:t>ing</w:t>
            </w:r>
            <w:r w:rsidRPr="00FD76BA">
              <w:rPr>
                <w:rFonts w:cs="Arial"/>
              </w:rPr>
              <w:t xml:space="preserve"> a </w:t>
            </w:r>
            <w:hyperlink r:id="rId17" w:history="1">
              <w:r w:rsidRPr="00FD76BA">
                <w:rPr>
                  <w:rStyle w:val="Hyperlink"/>
                  <w:rFonts w:cs="Arial"/>
                </w:rPr>
                <w:t>Data Validation Plan</w:t>
              </w:r>
            </w:hyperlink>
            <w:r>
              <w:rPr>
                <w:rFonts w:cs="Arial"/>
              </w:rPr>
              <w:t xml:space="preserve"> and </w:t>
            </w:r>
            <w:r w:rsidRPr="00E21AE7">
              <w:rPr>
                <w:rFonts w:cs="Arial"/>
              </w:rPr>
              <w:t>fisheries monitoring and research plan</w:t>
            </w:r>
          </w:p>
          <w:p w14:paraId="28DF049D" w14:textId="77777777" w:rsidR="00690755" w:rsidRPr="00E21AE7" w:rsidRDefault="00690755" w:rsidP="003A1E92">
            <w:pPr>
              <w:numPr>
                <w:ilvl w:val="0"/>
                <w:numId w:val="16"/>
              </w:numPr>
              <w:tabs>
                <w:tab w:val="left" w:pos="360"/>
              </w:tabs>
              <w:spacing w:before="80" w:after="80" w:line="276" w:lineRule="auto"/>
              <w:rPr>
                <w:rFonts w:cs="Arial"/>
              </w:rPr>
            </w:pPr>
            <w:r w:rsidRPr="00E21AE7">
              <w:rPr>
                <w:rFonts w:cs="Arial"/>
              </w:rPr>
              <w:t>Undertaking additional monitoring of key biological stocks to better understand fishery performance and support more timely management actions</w:t>
            </w:r>
          </w:p>
          <w:p w14:paraId="0EC0B7CE" w14:textId="77777777" w:rsidR="00690755" w:rsidRPr="0015089A" w:rsidRDefault="00690755" w:rsidP="003A1E92">
            <w:pPr>
              <w:numPr>
                <w:ilvl w:val="0"/>
                <w:numId w:val="16"/>
              </w:numPr>
              <w:tabs>
                <w:tab w:val="left" w:pos="360"/>
              </w:tabs>
              <w:spacing w:before="80" w:after="80" w:line="276" w:lineRule="auto"/>
              <w:rPr>
                <w:rFonts w:cs="Arial"/>
              </w:rPr>
            </w:pPr>
            <w:r w:rsidRPr="00E21AE7">
              <w:rPr>
                <w:rFonts w:cs="Arial"/>
              </w:rPr>
              <w:t>Developing partnerships to trial novel technologies for fisheries monitoring</w:t>
            </w:r>
            <w:r>
              <w:rPr>
                <w:rFonts w:cs="Arial"/>
              </w:rPr>
              <w:t xml:space="preserve"> including</w:t>
            </w:r>
            <w:r w:rsidRPr="0015089A">
              <w:rPr>
                <w:rFonts w:cs="Arial"/>
              </w:rPr>
              <w:t xml:space="preserve"> video-based electronic monitoring </w:t>
            </w:r>
            <w:proofErr w:type="gramStart"/>
            <w:r w:rsidRPr="00D025D5">
              <w:rPr>
                <w:rFonts w:cs="Arial"/>
              </w:rPr>
              <w:t>as a means to</w:t>
            </w:r>
            <w:proofErr w:type="gramEnd"/>
            <w:r w:rsidRPr="00D025D5">
              <w:rPr>
                <w:rFonts w:cs="Arial"/>
              </w:rPr>
              <w:t xml:space="preserve"> collect and validate information on fishing activities</w:t>
            </w:r>
          </w:p>
          <w:p w14:paraId="1258193A" w14:textId="77777777" w:rsidR="00690755" w:rsidRDefault="00690755" w:rsidP="003A1E92">
            <w:pPr>
              <w:numPr>
                <w:ilvl w:val="0"/>
                <w:numId w:val="16"/>
              </w:numPr>
              <w:tabs>
                <w:tab w:val="left" w:pos="360"/>
              </w:tabs>
              <w:spacing w:before="80" w:after="80" w:line="276" w:lineRule="auto"/>
              <w:rPr>
                <w:rFonts w:cs="Arial"/>
              </w:rPr>
            </w:pPr>
            <w:r>
              <w:rPr>
                <w:rFonts w:cs="Arial"/>
              </w:rPr>
              <w:lastRenderedPageBreak/>
              <w:t>D</w:t>
            </w:r>
            <w:r w:rsidRPr="00E21AE7">
              <w:rPr>
                <w:rFonts w:cs="Arial"/>
              </w:rPr>
              <w:t>eveloping guidelines for how sustainable catch limits should be set</w:t>
            </w:r>
            <w:r>
              <w:rPr>
                <w:rFonts w:cs="Arial"/>
              </w:rPr>
              <w:t xml:space="preserve">, </w:t>
            </w:r>
            <w:r w:rsidRPr="00E21AE7">
              <w:rPr>
                <w:rFonts w:cs="Arial"/>
              </w:rPr>
              <w:t xml:space="preserve">defining the minimum data requirements </w:t>
            </w:r>
            <w:r>
              <w:rPr>
                <w:rFonts w:cs="Arial"/>
              </w:rPr>
              <w:t xml:space="preserve">and data standards </w:t>
            </w:r>
            <w:r w:rsidRPr="00E21AE7">
              <w:rPr>
                <w:rFonts w:cs="Arial"/>
              </w:rPr>
              <w:t xml:space="preserve">to set catch </w:t>
            </w:r>
            <w:proofErr w:type="gramStart"/>
            <w:r w:rsidRPr="00E21AE7">
              <w:rPr>
                <w:rFonts w:cs="Arial"/>
              </w:rPr>
              <w:t>limits</w:t>
            </w:r>
            <w:proofErr w:type="gramEnd"/>
            <w:r>
              <w:rPr>
                <w:rFonts w:cs="Arial"/>
              </w:rPr>
              <w:t xml:space="preserve"> </w:t>
            </w:r>
            <w:r w:rsidRPr="00483254">
              <w:rPr>
                <w:rFonts w:cs="Arial"/>
              </w:rPr>
              <w:t>and using improved data to undertake regular stock assessments</w:t>
            </w:r>
            <w:r>
              <w:rPr>
                <w:rFonts w:cs="Arial"/>
              </w:rPr>
              <w:t>.</w:t>
            </w:r>
          </w:p>
          <w:p w14:paraId="58CC932C" w14:textId="04E643B8" w:rsidR="00690755" w:rsidRPr="004B6DD8" w:rsidRDefault="00EC5CD2" w:rsidP="003A1E92">
            <w:pPr>
              <w:tabs>
                <w:tab w:val="left" w:pos="360"/>
              </w:tabs>
              <w:spacing w:before="80" w:after="80" w:line="276" w:lineRule="auto"/>
              <w:rPr>
                <w:rFonts w:cs="Arial"/>
              </w:rPr>
            </w:pPr>
            <w:r>
              <w:rPr>
                <w:rFonts w:cs="Arial"/>
              </w:rPr>
              <w:t>A</w:t>
            </w:r>
            <w:r w:rsidR="00690755" w:rsidRPr="004B6DD8">
              <w:rPr>
                <w:rFonts w:cs="Arial"/>
              </w:rPr>
              <w:t xml:space="preserve">ccurate identification, data collection and reporting </w:t>
            </w:r>
            <w:proofErr w:type="gramStart"/>
            <w:r w:rsidR="00690755" w:rsidRPr="004B6DD8">
              <w:rPr>
                <w:rFonts w:cs="Arial"/>
              </w:rPr>
              <w:t>is</w:t>
            </w:r>
            <w:proofErr w:type="gramEnd"/>
            <w:r w:rsidR="00690755" w:rsidRPr="004B6DD8">
              <w:rPr>
                <w:rFonts w:cs="Arial"/>
              </w:rPr>
              <w:t xml:space="preserve"> crucial to ensure there is appropriate data to assess, monitor and manage fishery impacts on all retained and discarded species, as well as interactions with protected species. </w:t>
            </w:r>
          </w:p>
          <w:p w14:paraId="3B36D54D" w14:textId="77777777" w:rsidR="00690755" w:rsidRPr="00E21AE7" w:rsidRDefault="00690755" w:rsidP="003A1E92">
            <w:pPr>
              <w:spacing w:before="80" w:after="80" w:line="276" w:lineRule="auto"/>
              <w:rPr>
                <w:rFonts w:cs="Arial"/>
              </w:rPr>
            </w:pPr>
            <w:r w:rsidRPr="00E21AE7">
              <w:rPr>
                <w:rFonts w:cs="Arial"/>
              </w:rPr>
              <w:t>Although the identification of certain species can be challenging, measures should be taken to ensure risks of misidentification are minimised and that fishery data is as accurate and reliable as possible. Where species are not reliably reported to species-level, risks must be managed in a precautionary way.</w:t>
            </w:r>
          </w:p>
        </w:tc>
        <w:tc>
          <w:tcPr>
            <w:tcW w:w="6286" w:type="dxa"/>
          </w:tcPr>
          <w:p w14:paraId="41A1CE67" w14:textId="77777777" w:rsidR="00690755" w:rsidRPr="00E21AE7" w:rsidRDefault="00690755" w:rsidP="00E86F11">
            <w:pPr>
              <w:spacing w:before="0" w:line="276" w:lineRule="auto"/>
              <w:rPr>
                <w:rFonts w:cs="Arial"/>
                <w:b/>
              </w:rPr>
            </w:pPr>
            <w:bookmarkStart w:id="9" w:name="_Hlk39561157"/>
            <w:r w:rsidRPr="00E21AE7">
              <w:rPr>
                <w:rFonts w:cs="Arial"/>
                <w:b/>
              </w:rPr>
              <w:lastRenderedPageBreak/>
              <w:t>Condition 4</w:t>
            </w:r>
          </w:p>
          <w:p w14:paraId="10C0E088" w14:textId="0EFF9336" w:rsidR="009D62CE" w:rsidRDefault="009D62CE" w:rsidP="00E86F11">
            <w:pPr>
              <w:spacing w:before="0" w:line="276" w:lineRule="auto"/>
            </w:pPr>
            <w:r w:rsidRPr="00E21AE7">
              <w:t xml:space="preserve">By </w:t>
            </w:r>
            <w:r w:rsidRPr="00E21AE7">
              <w:rPr>
                <w:b/>
              </w:rPr>
              <w:t>3</w:t>
            </w:r>
            <w:r>
              <w:rPr>
                <w:b/>
              </w:rPr>
              <w:t>0</w:t>
            </w:r>
            <w:r w:rsidRPr="00E21AE7">
              <w:rPr>
                <w:b/>
              </w:rPr>
              <w:t xml:space="preserve"> </w:t>
            </w:r>
            <w:r w:rsidR="00BA27DE">
              <w:rPr>
                <w:b/>
              </w:rPr>
              <w:t>March</w:t>
            </w:r>
            <w:r w:rsidRPr="00E21AE7">
              <w:rPr>
                <w:b/>
              </w:rPr>
              <w:t xml:space="preserve"> 2021</w:t>
            </w:r>
            <w:r w:rsidRPr="00E21AE7" w:rsidDel="002E64C8">
              <w:rPr>
                <w:b/>
              </w:rPr>
              <w:t xml:space="preserve"> </w:t>
            </w:r>
            <w:r w:rsidR="00173E7F">
              <w:rPr>
                <w:rFonts w:cs="Arial"/>
              </w:rPr>
              <w:t>the Queensland Department of Agriculture and Fisheries</w:t>
            </w:r>
            <w:r w:rsidRPr="00E21AE7">
              <w:t xml:space="preserve"> must </w:t>
            </w:r>
            <w:r>
              <w:t xml:space="preserve">provide the </w:t>
            </w:r>
            <w:r w:rsidR="00173E7F" w:rsidRPr="000F5AED">
              <w:rPr>
                <w:rFonts w:cs="Arial"/>
              </w:rPr>
              <w:t>Department</w:t>
            </w:r>
            <w:r w:rsidR="00173E7F">
              <w:rPr>
                <w:rFonts w:cs="Arial"/>
              </w:rPr>
              <w:t xml:space="preserve"> of Agriculture, Water and the Environment</w:t>
            </w:r>
            <w:r w:rsidR="00173E7F">
              <w:t xml:space="preserve"> </w:t>
            </w:r>
            <w:r>
              <w:t xml:space="preserve">with a </w:t>
            </w:r>
            <w:r w:rsidR="0056782D">
              <w:t xml:space="preserve">Data Collection and Validation </w:t>
            </w:r>
            <w:r>
              <w:t>plan</w:t>
            </w:r>
            <w:r w:rsidR="0056782D">
              <w:t>. The Plan must include</w:t>
            </w:r>
            <w:r>
              <w:t xml:space="preserve"> milestones with clear deadlines for </w:t>
            </w:r>
            <w:r w:rsidRPr="00E21AE7">
              <w:t>implement</w:t>
            </w:r>
            <w:r>
              <w:t xml:space="preserve">ing </w:t>
            </w:r>
            <w:r w:rsidRPr="00E21AE7">
              <w:t>an ongoing independent data collection and validation program in the Commercial Trawl (Fin Fish) Fishery</w:t>
            </w:r>
            <w:r w:rsidR="0056782D">
              <w:t xml:space="preserve"> as required in </w:t>
            </w:r>
            <w:r w:rsidR="003459F8">
              <w:t>C</w:t>
            </w:r>
            <w:r w:rsidR="0056782D">
              <w:t>ondition 5</w:t>
            </w:r>
            <w:r w:rsidRPr="00E21AE7">
              <w:t>.</w:t>
            </w:r>
          </w:p>
          <w:p w14:paraId="32D267A1" w14:textId="66471029" w:rsidR="003A1E92" w:rsidRPr="00E21AE7" w:rsidRDefault="003A1E92" w:rsidP="009106C7">
            <w:pPr>
              <w:spacing w:before="0" w:line="276" w:lineRule="auto"/>
              <w:rPr>
                <w:rFonts w:cs="Arial"/>
                <w:b/>
              </w:rPr>
            </w:pPr>
            <w:r w:rsidRPr="00E21AE7">
              <w:rPr>
                <w:rFonts w:cs="Arial"/>
                <w:b/>
              </w:rPr>
              <w:t xml:space="preserve">Condition </w:t>
            </w:r>
            <w:r>
              <w:rPr>
                <w:rFonts w:cs="Arial"/>
                <w:b/>
              </w:rPr>
              <w:t>5</w:t>
            </w:r>
          </w:p>
          <w:p w14:paraId="777820AD" w14:textId="3DEE57E0" w:rsidR="00690755" w:rsidRPr="00E21AE7" w:rsidRDefault="00690755" w:rsidP="009106C7">
            <w:pPr>
              <w:spacing w:before="0" w:line="276" w:lineRule="auto"/>
            </w:pPr>
            <w:r w:rsidRPr="00E21AE7">
              <w:t xml:space="preserve">By </w:t>
            </w:r>
            <w:r w:rsidR="009D62CE" w:rsidRPr="00E21AE7">
              <w:rPr>
                <w:b/>
              </w:rPr>
              <w:t>3</w:t>
            </w:r>
            <w:r w:rsidR="009D62CE">
              <w:rPr>
                <w:b/>
              </w:rPr>
              <w:t>1</w:t>
            </w:r>
            <w:r w:rsidR="009D62CE" w:rsidRPr="00E21AE7">
              <w:rPr>
                <w:b/>
              </w:rPr>
              <w:t xml:space="preserve"> </w:t>
            </w:r>
            <w:r w:rsidR="009D62CE">
              <w:rPr>
                <w:b/>
              </w:rPr>
              <w:t>December</w:t>
            </w:r>
            <w:r w:rsidR="009D62CE" w:rsidRPr="00E21AE7">
              <w:rPr>
                <w:b/>
              </w:rPr>
              <w:t xml:space="preserve"> </w:t>
            </w:r>
            <w:r w:rsidRPr="00E21AE7">
              <w:rPr>
                <w:b/>
              </w:rPr>
              <w:t>2021</w:t>
            </w:r>
            <w:r w:rsidRPr="00E21AE7" w:rsidDel="002E64C8">
              <w:rPr>
                <w:b/>
              </w:rPr>
              <w:t xml:space="preserve"> </w:t>
            </w:r>
            <w:r w:rsidR="00173E7F">
              <w:rPr>
                <w:rFonts w:cs="Arial"/>
              </w:rPr>
              <w:t>the Queensland Department of Agriculture and Fisheries</w:t>
            </w:r>
            <w:r w:rsidRPr="00E21AE7">
              <w:t xml:space="preserve"> must </w:t>
            </w:r>
            <w:r w:rsidR="00FA19ED">
              <w:t>commence</w:t>
            </w:r>
            <w:r w:rsidRPr="00E21AE7">
              <w:t xml:space="preserve"> ongoing independent data collection and validation in the Commercial Trawl (Fin Fish) Fishery.</w:t>
            </w:r>
            <w:r>
              <w:t xml:space="preserve"> </w:t>
            </w:r>
            <w:r w:rsidRPr="00C868C1">
              <w:rPr>
                <w:rFonts w:cs="Arial"/>
              </w:rPr>
              <w:t>The program must</w:t>
            </w:r>
            <w:r>
              <w:rPr>
                <w:rFonts w:cs="Arial"/>
              </w:rPr>
              <w:t>:</w:t>
            </w:r>
          </w:p>
          <w:p w14:paraId="568A9631" w14:textId="77777777" w:rsidR="00690755" w:rsidRPr="00C868C1" w:rsidRDefault="00690755" w:rsidP="009106C7">
            <w:pPr>
              <w:pStyle w:val="ListParagraph"/>
              <w:numPr>
                <w:ilvl w:val="0"/>
                <w:numId w:val="29"/>
              </w:numPr>
              <w:spacing w:before="0" w:line="276" w:lineRule="auto"/>
              <w:rPr>
                <w:rFonts w:cs="Arial"/>
              </w:rPr>
            </w:pPr>
            <w:r w:rsidRPr="00C868C1">
              <w:rPr>
                <w:rFonts w:cs="Arial"/>
              </w:rPr>
              <w:t xml:space="preserve">validate, with a high degree of confidence, target and non-target catch, effort and protected species interaction data collected by fishers. </w:t>
            </w:r>
          </w:p>
          <w:p w14:paraId="1DB0ADB2" w14:textId="77777777" w:rsidR="00690755" w:rsidRDefault="00690755" w:rsidP="003A1E92">
            <w:pPr>
              <w:pStyle w:val="ListParagraph"/>
              <w:numPr>
                <w:ilvl w:val="0"/>
                <w:numId w:val="29"/>
              </w:numPr>
              <w:spacing w:before="80" w:after="80" w:line="276" w:lineRule="auto"/>
              <w:rPr>
                <w:rFonts w:cs="Arial"/>
              </w:rPr>
            </w:pPr>
            <w:r w:rsidRPr="00C868C1">
              <w:rPr>
                <w:rFonts w:cs="Arial"/>
              </w:rPr>
              <w:t xml:space="preserve">ensure there is </w:t>
            </w:r>
            <w:r>
              <w:rPr>
                <w:rFonts w:cs="Arial"/>
              </w:rPr>
              <w:t xml:space="preserve">enough </w:t>
            </w:r>
            <w:r w:rsidRPr="00C868C1">
              <w:rPr>
                <w:rFonts w:cs="Arial"/>
              </w:rPr>
              <w:t>fishery dependent and fishery-independent data sources to ensure all stocks impacted by the fishery remain sustainable.</w:t>
            </w:r>
          </w:p>
          <w:p w14:paraId="1E043B9D" w14:textId="1BC714CD" w:rsidR="00690755" w:rsidRPr="00A5177C" w:rsidRDefault="00690755" w:rsidP="003A1E92">
            <w:pPr>
              <w:spacing w:before="80" w:after="80" w:line="276" w:lineRule="auto"/>
              <w:rPr>
                <w:rFonts w:cs="Arial"/>
              </w:rPr>
            </w:pPr>
            <w:r w:rsidRPr="000E46F9">
              <w:rPr>
                <w:rFonts w:cs="Arial"/>
              </w:rPr>
              <w:t xml:space="preserve">Performance of the program, including comparative analysis of fishery dependent and independent data sources must be included in annual reports provided to the </w:t>
            </w:r>
            <w:r w:rsidR="00173E7F" w:rsidRPr="000F5AED">
              <w:rPr>
                <w:rFonts w:cs="Arial"/>
              </w:rPr>
              <w:t>Department</w:t>
            </w:r>
            <w:r w:rsidR="00173E7F">
              <w:rPr>
                <w:rFonts w:cs="Arial"/>
              </w:rPr>
              <w:t xml:space="preserve"> of Agriculture, </w:t>
            </w:r>
            <w:proofErr w:type="gramStart"/>
            <w:r w:rsidR="00173E7F">
              <w:rPr>
                <w:rFonts w:cs="Arial"/>
              </w:rPr>
              <w:t>Water</w:t>
            </w:r>
            <w:proofErr w:type="gramEnd"/>
            <w:r w:rsidR="00173E7F">
              <w:rPr>
                <w:rFonts w:cs="Arial"/>
              </w:rPr>
              <w:t xml:space="preserve"> and the Environment</w:t>
            </w:r>
            <w:r w:rsidRPr="000E46F9">
              <w:rPr>
                <w:rFonts w:cs="Arial"/>
              </w:rPr>
              <w:t xml:space="preserve"> (refer Condition 3).</w:t>
            </w:r>
            <w:bookmarkEnd w:id="9"/>
          </w:p>
        </w:tc>
      </w:tr>
      <w:tr w:rsidR="00690755" w:rsidRPr="000900EC" w14:paraId="0170C695" w14:textId="77777777" w:rsidTr="003A1E92">
        <w:trPr>
          <w:jc w:val="center"/>
        </w:trPr>
        <w:tc>
          <w:tcPr>
            <w:tcW w:w="8500" w:type="dxa"/>
          </w:tcPr>
          <w:p w14:paraId="1244A489" w14:textId="77777777" w:rsidR="00690755" w:rsidRPr="00E21AE7" w:rsidRDefault="00690755" w:rsidP="003A1E92">
            <w:pPr>
              <w:spacing w:before="80" w:after="80" w:line="276" w:lineRule="auto"/>
              <w:rPr>
                <w:rFonts w:cs="Arial"/>
                <w:b/>
                <w:u w:val="single"/>
              </w:rPr>
            </w:pPr>
            <w:bookmarkStart w:id="10" w:name="_Hlk38975983"/>
            <w:bookmarkEnd w:id="8"/>
            <w:r w:rsidRPr="00E21AE7">
              <w:rPr>
                <w:rFonts w:cs="Arial"/>
                <w:b/>
                <w:u w:val="single"/>
              </w:rPr>
              <w:t>Stock assessments</w:t>
            </w:r>
          </w:p>
          <w:p w14:paraId="6E68CFFE" w14:textId="77777777" w:rsidR="00690755" w:rsidRPr="00E21AE7" w:rsidRDefault="00690755" w:rsidP="003A1E92">
            <w:pPr>
              <w:tabs>
                <w:tab w:val="left" w:pos="360"/>
              </w:tabs>
              <w:spacing w:before="80" w:after="80" w:line="276" w:lineRule="auto"/>
              <w:rPr>
                <w:rFonts w:cs="Arial"/>
              </w:rPr>
            </w:pPr>
            <w:r w:rsidRPr="00E21AE7">
              <w:rPr>
                <w:rFonts w:cs="Arial"/>
              </w:rPr>
              <w:t xml:space="preserve">It is important that all stocks of target and non-target species are managed in a precautionary way. Stock assessments can </w:t>
            </w:r>
            <w:r w:rsidRPr="00E21AE7">
              <w:rPr>
                <w:rFonts w:cs="Arial"/>
                <w:bCs/>
                <w:iCs/>
                <w:noProof/>
              </w:rPr>
              <w:t>help understand</w:t>
            </w:r>
            <w:r w:rsidRPr="00E21AE7" w:rsidDel="0002308E">
              <w:rPr>
                <w:rFonts w:cs="Arial"/>
              </w:rPr>
              <w:t xml:space="preserve"> </w:t>
            </w:r>
            <w:r w:rsidRPr="00E21AE7">
              <w:rPr>
                <w:rFonts w:cs="Arial"/>
              </w:rPr>
              <w:t xml:space="preserve">the extent to which stocks can sustain impacts from things such as fishing. </w:t>
            </w:r>
            <w:r>
              <w:rPr>
                <w:rFonts w:cs="Arial"/>
              </w:rPr>
              <w:t>QDAF</w:t>
            </w:r>
            <w:r w:rsidRPr="003205CF">
              <w:rPr>
                <w:rFonts w:cs="Arial"/>
              </w:rPr>
              <w:t xml:space="preserve"> </w:t>
            </w:r>
            <w:r w:rsidRPr="00E21AE7">
              <w:rPr>
                <w:rFonts w:cs="Arial"/>
              </w:rPr>
              <w:t xml:space="preserve">assess </w:t>
            </w:r>
            <w:r>
              <w:rPr>
                <w:rFonts w:cs="Arial"/>
              </w:rPr>
              <w:t>various</w:t>
            </w:r>
            <w:r w:rsidRPr="00E21AE7">
              <w:rPr>
                <w:rFonts w:cs="Arial"/>
              </w:rPr>
              <w:t xml:space="preserve"> fish stocks in the CTFFF and manage these and other stocks using a precautionary approach to account for uncertainty and risk.</w:t>
            </w:r>
          </w:p>
          <w:p w14:paraId="46003444" w14:textId="77777777" w:rsidR="00690755" w:rsidRPr="00E21AE7" w:rsidRDefault="00690755" w:rsidP="003A1E92">
            <w:pPr>
              <w:tabs>
                <w:tab w:val="left" w:pos="360"/>
              </w:tabs>
              <w:spacing w:before="80" w:after="80" w:line="276" w:lineRule="auto"/>
              <w:rPr>
                <w:rFonts w:cs="Arial"/>
              </w:rPr>
            </w:pPr>
            <w:r w:rsidRPr="00E21AE7">
              <w:rPr>
                <w:rFonts w:cs="Arial"/>
              </w:rPr>
              <w:t xml:space="preserve">Recently, stock assessments have not been undertaken as scheduled, and processes </w:t>
            </w:r>
            <w:r>
              <w:rPr>
                <w:rFonts w:cs="Arial"/>
              </w:rPr>
              <w:t xml:space="preserve">have been changed to no-longer rely on biological data collected from the fishery. </w:t>
            </w:r>
            <w:r w:rsidRPr="00E21AE7">
              <w:rPr>
                <w:rFonts w:cs="Arial"/>
              </w:rPr>
              <w:t>There is information on stock structure but also concerns that the data collected on discarded catch may not be accurate. This is particularly significant since fishing commenced in inshore nursery areas under trial arrangements, where the proportion of unmarketable and</w:t>
            </w:r>
            <w:r>
              <w:rPr>
                <w:rFonts w:cs="Arial"/>
              </w:rPr>
              <w:t xml:space="preserve"> </w:t>
            </w:r>
            <w:r w:rsidRPr="00E21AE7">
              <w:rPr>
                <w:rFonts w:cs="Arial"/>
              </w:rPr>
              <w:t>discarded juvenile fish may be higher.</w:t>
            </w:r>
          </w:p>
          <w:p w14:paraId="10E1EB40" w14:textId="61427A7A" w:rsidR="00690755" w:rsidRPr="00E21AE7" w:rsidRDefault="00EC5CD2" w:rsidP="003A1E92">
            <w:pPr>
              <w:spacing w:before="80" w:after="80" w:line="276" w:lineRule="auto"/>
              <w:rPr>
                <w:rFonts w:cs="Arial"/>
              </w:rPr>
            </w:pPr>
            <w:r>
              <w:rPr>
                <w:rFonts w:cs="Arial"/>
              </w:rPr>
              <w:t>A</w:t>
            </w:r>
            <w:r w:rsidR="00690755" w:rsidRPr="00E21AE7">
              <w:rPr>
                <w:rFonts w:cs="Arial"/>
              </w:rPr>
              <w:t xml:space="preserve">ssessments should be completed regularly and consider the full extent of the impacts on stocks, including any trial arrangements and other fisheries, to ensure the stocks remain sustainable. </w:t>
            </w:r>
            <w:r>
              <w:rPr>
                <w:rFonts w:cs="Arial"/>
              </w:rPr>
              <w:t>A</w:t>
            </w:r>
            <w:r w:rsidR="00690755" w:rsidRPr="00E21AE7">
              <w:rPr>
                <w:rFonts w:cs="Arial"/>
              </w:rPr>
              <w:t xml:space="preserve">ssessments should </w:t>
            </w:r>
            <w:r>
              <w:rPr>
                <w:rFonts w:cs="Arial"/>
              </w:rPr>
              <w:t>also</w:t>
            </w:r>
            <w:r w:rsidR="00690755" w:rsidRPr="00E21AE7">
              <w:rPr>
                <w:rFonts w:cs="Arial"/>
              </w:rPr>
              <w:t xml:space="preserve"> account for changes to fishing capacity (technological, </w:t>
            </w:r>
            <w:proofErr w:type="gramStart"/>
            <w:r w:rsidR="00690755" w:rsidRPr="00E21AE7">
              <w:rPr>
                <w:rFonts w:cs="Arial"/>
              </w:rPr>
              <w:t>spatial</w:t>
            </w:r>
            <w:proofErr w:type="gramEnd"/>
            <w:r w:rsidR="00690755" w:rsidRPr="00E21AE7">
              <w:rPr>
                <w:rFonts w:cs="Arial"/>
              </w:rPr>
              <w:t xml:space="preserve"> and temporal) that may affect their findings.</w:t>
            </w:r>
            <w:r w:rsidR="00690755" w:rsidRPr="00E21AE7" w:rsidDel="000F5214">
              <w:rPr>
                <w:rFonts w:cs="Arial"/>
              </w:rPr>
              <w:t xml:space="preserve"> </w:t>
            </w:r>
            <w:r w:rsidR="00690755" w:rsidRPr="00E21AE7">
              <w:rPr>
                <w:rFonts w:cs="Arial"/>
              </w:rPr>
              <w:t>If assessments deviate from agreed schedules or account for changes in the fishery, the rationale for these changes must be clearly explained and precautionary management responses taken.</w:t>
            </w:r>
          </w:p>
          <w:p w14:paraId="460AA1DC" w14:textId="77777777" w:rsidR="00690755" w:rsidRPr="00E21AE7" w:rsidRDefault="00690755" w:rsidP="003A1E92">
            <w:pPr>
              <w:spacing w:before="80" w:after="80" w:line="276" w:lineRule="auto"/>
              <w:rPr>
                <w:rFonts w:cs="Arial"/>
              </w:rPr>
            </w:pPr>
            <w:r w:rsidRPr="00E21AE7">
              <w:rPr>
                <w:rFonts w:cs="Arial"/>
              </w:rPr>
              <w:t xml:space="preserve">The Department notes that </w:t>
            </w:r>
            <w:r>
              <w:rPr>
                <w:rFonts w:cs="Arial"/>
              </w:rPr>
              <w:t>QDAF</w:t>
            </w:r>
            <w:r w:rsidRPr="003205CF">
              <w:rPr>
                <w:rFonts w:cs="Arial"/>
              </w:rPr>
              <w:t xml:space="preserve"> </w:t>
            </w:r>
            <w:r w:rsidRPr="00E21AE7">
              <w:rPr>
                <w:rFonts w:cs="Arial"/>
              </w:rPr>
              <w:t xml:space="preserve">established a </w:t>
            </w:r>
            <w:hyperlink r:id="rId18" w:history="1">
              <w:r w:rsidRPr="00E21AE7">
                <w:rPr>
                  <w:rStyle w:val="Hyperlink"/>
                  <w:rFonts w:cs="Arial"/>
                </w:rPr>
                <w:t>Sustainable Fisheries Expert Panel</w:t>
              </w:r>
            </w:hyperlink>
            <w:r w:rsidRPr="00E21AE7">
              <w:rPr>
                <w:rFonts w:cs="Arial"/>
              </w:rPr>
              <w:t xml:space="preserve"> in 2017 which includes members with expertise in stock assessment, fish biology </w:t>
            </w:r>
            <w:r w:rsidRPr="00E21AE7">
              <w:rPr>
                <w:rFonts w:cs="Arial"/>
              </w:rPr>
              <w:lastRenderedPageBreak/>
              <w:t xml:space="preserve">and fisheries management. The panel provides </w:t>
            </w:r>
            <w:r w:rsidRPr="00E21AE7">
              <w:rPr>
                <w:rFonts w:cs="Arial"/>
                <w:lang w:val="en"/>
              </w:rPr>
              <w:t xml:space="preserve">independent expert advice to QDAF on best practice fisheries management, </w:t>
            </w:r>
            <w:r w:rsidRPr="00E21AE7">
              <w:rPr>
                <w:rFonts w:cs="Arial"/>
              </w:rPr>
              <w:t xml:space="preserve">sustainable limits and reference points for individual fisheries and species, the adequacy of proposed fishery harvest strategies, and data, </w:t>
            </w:r>
            <w:proofErr w:type="gramStart"/>
            <w:r w:rsidRPr="00E21AE7">
              <w:rPr>
                <w:rFonts w:cs="Arial"/>
              </w:rPr>
              <w:t>research</w:t>
            </w:r>
            <w:proofErr w:type="gramEnd"/>
            <w:r w:rsidRPr="00E21AE7">
              <w:rPr>
                <w:rFonts w:cs="Arial"/>
              </w:rPr>
              <w:t xml:space="preserve"> and monitoring needs.</w:t>
            </w:r>
          </w:p>
          <w:p w14:paraId="20F043D3" w14:textId="77777777" w:rsidR="00690755" w:rsidRPr="00E21AE7" w:rsidRDefault="00690755" w:rsidP="003A1E92">
            <w:pPr>
              <w:spacing w:before="80" w:after="80" w:line="276" w:lineRule="auto"/>
              <w:rPr>
                <w:rFonts w:cs="Arial"/>
              </w:rPr>
            </w:pPr>
            <w:r w:rsidRPr="00E21AE7">
              <w:rPr>
                <w:rFonts w:cs="Arial"/>
              </w:rPr>
              <w:t xml:space="preserve">The Department also notes that </w:t>
            </w:r>
            <w:r>
              <w:rPr>
                <w:rFonts w:cs="Arial"/>
              </w:rPr>
              <w:t>QDAF</w:t>
            </w:r>
            <w:r w:rsidRPr="003205CF">
              <w:rPr>
                <w:rFonts w:cs="Arial"/>
              </w:rPr>
              <w:t xml:space="preserve"> </w:t>
            </w:r>
            <w:r w:rsidRPr="00E21AE7">
              <w:rPr>
                <w:rFonts w:cs="Arial"/>
              </w:rPr>
              <w:t>plans to determine minimum data standards for all commercial fisheries under the Sustainable Fisheries Strategy. This includes developing guidelines for how sustainable catch limits should be set as part of a harvest strategy, determining how to divide fisheries into smaller units to apply management arrangements at the appropriate scale, setting catch limits and defining the minimum data requirements to set catch limits, using improved data to undertake regular stock assessments.</w:t>
            </w:r>
          </w:p>
          <w:p w14:paraId="3C66B365" w14:textId="77777777" w:rsidR="00690755" w:rsidRPr="00E21AE7" w:rsidRDefault="00690755" w:rsidP="003A1E92">
            <w:pPr>
              <w:spacing w:before="80" w:after="80" w:line="276" w:lineRule="auto"/>
              <w:rPr>
                <w:rFonts w:cs="Arial"/>
              </w:rPr>
            </w:pPr>
            <w:r w:rsidRPr="00E21AE7">
              <w:rPr>
                <w:rFonts w:cs="Arial"/>
              </w:rPr>
              <w:t>T</w:t>
            </w:r>
            <w:r w:rsidRPr="00E21AE7">
              <w:rPr>
                <w:rFonts w:cs="Arial"/>
                <w:lang w:eastAsia="en-AU"/>
              </w:rPr>
              <w:t>he Department recommends that conditions be applied to the Part 13A approval to ensure these important undertakings are completed as soon as possible, that there are regular and robust assessment of stocks in the fishery, and that all species are managed in a precautionary way.</w:t>
            </w:r>
          </w:p>
        </w:tc>
        <w:tc>
          <w:tcPr>
            <w:tcW w:w="6286" w:type="dxa"/>
          </w:tcPr>
          <w:p w14:paraId="4AFCF6F1" w14:textId="4E61840B" w:rsidR="00690755" w:rsidRPr="00E21AE7" w:rsidRDefault="00690755" w:rsidP="003A1E92">
            <w:pPr>
              <w:spacing w:before="80" w:after="80" w:line="276" w:lineRule="auto"/>
              <w:rPr>
                <w:rFonts w:cs="Arial"/>
                <w:b/>
              </w:rPr>
            </w:pPr>
            <w:r w:rsidRPr="00E21AE7">
              <w:rPr>
                <w:rFonts w:cs="Arial"/>
                <w:b/>
              </w:rPr>
              <w:lastRenderedPageBreak/>
              <w:t xml:space="preserve">Condition </w:t>
            </w:r>
            <w:r w:rsidR="003A1E92">
              <w:rPr>
                <w:rFonts w:cs="Arial"/>
                <w:b/>
              </w:rPr>
              <w:t>6</w:t>
            </w:r>
          </w:p>
          <w:p w14:paraId="659A5FCE" w14:textId="6102BA54" w:rsidR="00690755" w:rsidRDefault="00173E7F" w:rsidP="003A1E92">
            <w:pPr>
              <w:spacing w:before="80" w:after="80" w:line="276" w:lineRule="auto"/>
              <w:rPr>
                <w:rFonts w:cs="Arial"/>
              </w:rPr>
            </w:pPr>
            <w:r>
              <w:rPr>
                <w:rFonts w:cs="Arial"/>
              </w:rPr>
              <w:t>The Queensland Department of Agriculture and Fisheries</w:t>
            </w:r>
            <w:r w:rsidR="00690755">
              <w:rPr>
                <w:rFonts w:cs="Arial"/>
              </w:rPr>
              <w:t xml:space="preserve"> </w:t>
            </w:r>
            <w:r w:rsidR="00690755" w:rsidRPr="003205CF">
              <w:rPr>
                <w:rFonts w:cs="Arial"/>
              </w:rPr>
              <w:t xml:space="preserve">must complete and publish stock assessment(s) for the Commercial Trawl (Fin Fish) Fishery according to </w:t>
            </w:r>
            <w:r>
              <w:rPr>
                <w:rFonts w:cs="Arial"/>
              </w:rPr>
              <w:t xml:space="preserve">the Queensland Department of Agriculture and Fisheries </w:t>
            </w:r>
            <w:r w:rsidR="00690755" w:rsidRPr="003205CF">
              <w:rPr>
                <w:rFonts w:cs="Arial"/>
              </w:rPr>
              <w:t>published schedule of stock assessment</w:t>
            </w:r>
            <w:r w:rsidR="00690755">
              <w:rPr>
                <w:rFonts w:cs="Arial"/>
              </w:rPr>
              <w:t>s</w:t>
            </w:r>
            <w:r w:rsidR="00690755" w:rsidRPr="003205CF">
              <w:rPr>
                <w:rFonts w:cs="Arial"/>
              </w:rPr>
              <w:t>.</w:t>
            </w:r>
          </w:p>
          <w:p w14:paraId="6E5A3D05" w14:textId="5F4E2BA4" w:rsidR="00690755" w:rsidRPr="003205CF" w:rsidRDefault="00173E7F" w:rsidP="003A1E92">
            <w:pPr>
              <w:spacing w:before="80" w:after="80" w:line="276" w:lineRule="auto"/>
              <w:rPr>
                <w:rFonts w:cs="Arial"/>
              </w:rPr>
            </w:pPr>
            <w:r>
              <w:rPr>
                <w:rFonts w:cs="Arial"/>
              </w:rPr>
              <w:t>The Queensland Department of Agriculture and Fisheries</w:t>
            </w:r>
            <w:r w:rsidR="00690755" w:rsidRPr="003205CF">
              <w:rPr>
                <w:rFonts w:cs="Arial"/>
              </w:rPr>
              <w:t xml:space="preserve"> </w:t>
            </w:r>
            <w:r w:rsidR="00690755">
              <w:rPr>
                <w:rFonts w:cs="Arial"/>
              </w:rPr>
              <w:t xml:space="preserve">must publish the schedule of stock assessments by </w:t>
            </w:r>
            <w:r w:rsidR="00690755" w:rsidRPr="00317CD3">
              <w:rPr>
                <w:rFonts w:cs="Arial"/>
                <w:b/>
                <w:bCs/>
              </w:rPr>
              <w:t>1</w:t>
            </w:r>
            <w:r w:rsidR="00690755">
              <w:rPr>
                <w:rFonts w:cs="Arial"/>
                <w:b/>
                <w:bCs/>
              </w:rPr>
              <w:t> </w:t>
            </w:r>
            <w:r w:rsidR="00690755" w:rsidRPr="00317CD3">
              <w:rPr>
                <w:rFonts w:cs="Arial"/>
                <w:b/>
                <w:bCs/>
              </w:rPr>
              <w:t>December</w:t>
            </w:r>
            <w:r w:rsidR="00690755">
              <w:rPr>
                <w:rFonts w:cs="Arial"/>
                <w:b/>
                <w:bCs/>
              </w:rPr>
              <w:t> </w:t>
            </w:r>
            <w:r w:rsidR="00690755" w:rsidRPr="00317CD3">
              <w:rPr>
                <w:rFonts w:cs="Arial"/>
                <w:b/>
                <w:bCs/>
              </w:rPr>
              <w:t>2020</w:t>
            </w:r>
            <w:r w:rsidR="00690755">
              <w:rPr>
                <w:rFonts w:cs="Arial"/>
              </w:rPr>
              <w:t>.</w:t>
            </w:r>
          </w:p>
          <w:p w14:paraId="16E3EB32" w14:textId="6DA9F740" w:rsidR="00690755" w:rsidRDefault="00690755" w:rsidP="003A1E92">
            <w:pPr>
              <w:spacing w:before="80" w:after="80" w:line="276" w:lineRule="auto"/>
              <w:rPr>
                <w:rFonts w:cs="Arial"/>
              </w:rPr>
            </w:pPr>
            <w:r w:rsidRPr="003205CF">
              <w:rPr>
                <w:rFonts w:cs="Arial"/>
              </w:rPr>
              <w:t xml:space="preserve">If this schedule changes </w:t>
            </w:r>
            <w:r w:rsidR="00173E7F">
              <w:rPr>
                <w:rFonts w:cs="Arial"/>
              </w:rPr>
              <w:t>the Queensland Department of Agriculture and Fisheries</w:t>
            </w:r>
            <w:r w:rsidRPr="003205CF">
              <w:rPr>
                <w:rFonts w:cs="Arial"/>
              </w:rPr>
              <w:t xml:space="preserve"> must notify </w:t>
            </w:r>
            <w:r>
              <w:rPr>
                <w:rFonts w:cs="Arial"/>
              </w:rPr>
              <w:t xml:space="preserve">the </w:t>
            </w:r>
            <w:r w:rsidR="00173E7F" w:rsidRPr="000F5AED">
              <w:rPr>
                <w:rFonts w:cs="Arial"/>
              </w:rPr>
              <w:t>Department</w:t>
            </w:r>
            <w:r w:rsidR="00173E7F">
              <w:rPr>
                <w:rFonts w:cs="Arial"/>
              </w:rPr>
              <w:t xml:space="preserve"> of Agriculture, Water and the Environment</w:t>
            </w:r>
            <w:r>
              <w:rPr>
                <w:rFonts w:cs="Arial"/>
              </w:rPr>
              <w:t xml:space="preserve"> </w:t>
            </w:r>
            <w:r w:rsidRPr="003205CF">
              <w:rPr>
                <w:rFonts w:cs="Arial"/>
              </w:rPr>
              <w:t>of t</w:t>
            </w:r>
            <w:r>
              <w:rPr>
                <w:rFonts w:cs="Arial"/>
              </w:rPr>
              <w:t>he changes and the justification for those changes.</w:t>
            </w:r>
          </w:p>
          <w:p w14:paraId="038431A2" w14:textId="70569EB7" w:rsidR="00690755" w:rsidRPr="00E21AE7" w:rsidRDefault="00690755" w:rsidP="003459F8">
            <w:pPr>
              <w:spacing w:line="276" w:lineRule="auto"/>
            </w:pPr>
            <w:r>
              <w:rPr>
                <w:rFonts w:cs="Arial"/>
                <w:bCs/>
              </w:rPr>
              <w:t>Stock assessments must consider all sources of mortality on the stocks and uncertainty must be managed in a precautionary way.</w:t>
            </w:r>
          </w:p>
        </w:tc>
      </w:tr>
      <w:bookmarkEnd w:id="5"/>
      <w:tr w:rsidR="00690755" w:rsidRPr="000900EC" w14:paraId="125BA9AE" w14:textId="77777777" w:rsidTr="003A1E92">
        <w:trPr>
          <w:jc w:val="center"/>
        </w:trPr>
        <w:tc>
          <w:tcPr>
            <w:tcW w:w="8500" w:type="dxa"/>
            <w:tcBorders>
              <w:top w:val="single" w:sz="4" w:space="0" w:color="auto"/>
              <w:left w:val="single" w:sz="4" w:space="0" w:color="auto"/>
              <w:bottom w:val="single" w:sz="4" w:space="0" w:color="auto"/>
              <w:right w:val="single" w:sz="4" w:space="0" w:color="auto"/>
            </w:tcBorders>
            <w:shd w:val="clear" w:color="auto" w:fill="D9D9D9"/>
          </w:tcPr>
          <w:p w14:paraId="5E7EF47B" w14:textId="77777777" w:rsidR="00690755" w:rsidRPr="000E46F9" w:rsidRDefault="00690755" w:rsidP="003A1E92">
            <w:pPr>
              <w:spacing w:before="80" w:after="80" w:line="276" w:lineRule="auto"/>
              <w:jc w:val="center"/>
              <w:rPr>
                <w:rFonts w:cs="Arial"/>
                <w:b/>
                <w:u w:val="single"/>
              </w:rPr>
            </w:pPr>
            <w:r w:rsidRPr="000E46F9">
              <w:rPr>
                <w:rFonts w:cs="Arial"/>
                <w:b/>
                <w:u w:val="single"/>
              </w:rPr>
              <w:t>Part 13 - Issue</w:t>
            </w:r>
          </w:p>
        </w:tc>
        <w:tc>
          <w:tcPr>
            <w:tcW w:w="6286" w:type="dxa"/>
            <w:tcBorders>
              <w:top w:val="single" w:sz="4" w:space="0" w:color="auto"/>
              <w:left w:val="single" w:sz="4" w:space="0" w:color="auto"/>
              <w:bottom w:val="single" w:sz="4" w:space="0" w:color="auto"/>
              <w:right w:val="single" w:sz="4" w:space="0" w:color="auto"/>
            </w:tcBorders>
            <w:shd w:val="clear" w:color="auto" w:fill="D9D9D9"/>
          </w:tcPr>
          <w:p w14:paraId="4775EEEC" w14:textId="77777777" w:rsidR="00690755" w:rsidRPr="00E21AE7" w:rsidRDefault="00690755" w:rsidP="003A1E92">
            <w:pPr>
              <w:spacing w:before="80" w:after="80" w:line="276" w:lineRule="auto"/>
              <w:jc w:val="center"/>
              <w:rPr>
                <w:rFonts w:cs="Arial"/>
                <w:b/>
              </w:rPr>
            </w:pPr>
            <w:r w:rsidRPr="00E21AE7">
              <w:rPr>
                <w:rFonts w:cs="Arial"/>
                <w:b/>
              </w:rPr>
              <w:t>Proposed Part 13 Conditions</w:t>
            </w:r>
          </w:p>
        </w:tc>
      </w:tr>
      <w:tr w:rsidR="00690755" w:rsidRPr="000900EC" w14:paraId="637CA1E7" w14:textId="77777777" w:rsidTr="003A1E92">
        <w:trPr>
          <w:jc w:val="center"/>
        </w:trPr>
        <w:tc>
          <w:tcPr>
            <w:tcW w:w="8500" w:type="dxa"/>
          </w:tcPr>
          <w:p w14:paraId="618938CC" w14:textId="77777777" w:rsidR="00690755" w:rsidRPr="00E21AE7" w:rsidRDefault="00690755" w:rsidP="003A1E92">
            <w:pPr>
              <w:spacing w:before="80" w:after="80" w:line="276" w:lineRule="auto"/>
              <w:rPr>
                <w:rFonts w:cs="Arial"/>
                <w:b/>
                <w:u w:val="single"/>
              </w:rPr>
            </w:pPr>
            <w:r w:rsidRPr="00E21AE7">
              <w:rPr>
                <w:rFonts w:cs="Arial"/>
                <w:b/>
                <w:u w:val="single"/>
              </w:rPr>
              <w:t xml:space="preserve">Reliable fisheries data collection, </w:t>
            </w:r>
            <w:proofErr w:type="gramStart"/>
            <w:r w:rsidRPr="00E21AE7">
              <w:rPr>
                <w:rFonts w:cs="Arial"/>
                <w:b/>
                <w:u w:val="single"/>
              </w:rPr>
              <w:t>validation</w:t>
            </w:r>
            <w:proofErr w:type="gramEnd"/>
            <w:r w:rsidRPr="00E21AE7">
              <w:rPr>
                <w:rFonts w:cs="Arial"/>
                <w:b/>
                <w:u w:val="single"/>
              </w:rPr>
              <w:t xml:space="preserve"> and monitoring</w:t>
            </w:r>
          </w:p>
          <w:p w14:paraId="6854D9FA" w14:textId="77777777" w:rsidR="00690755" w:rsidRPr="00E21AE7" w:rsidRDefault="00690755" w:rsidP="003A1E92">
            <w:pPr>
              <w:tabs>
                <w:tab w:val="left" w:pos="360"/>
              </w:tabs>
              <w:spacing w:before="80" w:after="80" w:line="276" w:lineRule="auto"/>
              <w:rPr>
                <w:rFonts w:cs="Arial"/>
              </w:rPr>
            </w:pPr>
            <w:r w:rsidRPr="00E21AE7">
              <w:rPr>
                <w:rFonts w:cs="Arial"/>
              </w:rPr>
              <w:t xml:space="preserve">Accurate identification and reporting of retained and discarded catch are crucial to ensure the impacts of fishing can be assessed, </w:t>
            </w:r>
            <w:proofErr w:type="gramStart"/>
            <w:r w:rsidRPr="00E21AE7">
              <w:rPr>
                <w:rFonts w:cs="Arial"/>
              </w:rPr>
              <w:t>monitored</w:t>
            </w:r>
            <w:proofErr w:type="gramEnd"/>
            <w:r w:rsidRPr="00E21AE7">
              <w:rPr>
                <w:rFonts w:cs="Arial"/>
              </w:rPr>
              <w:t xml:space="preserve"> and managed sustainably. The Department of Agriculture, Water and the Environment is concerned that fishers may not be accurately reporting the extent of their discarded catch and interactions with protected species.</w:t>
            </w:r>
          </w:p>
          <w:p w14:paraId="1A3B2CEE" w14:textId="77777777" w:rsidR="00690755" w:rsidRPr="00E21AE7" w:rsidRDefault="00690755" w:rsidP="003A1E92">
            <w:pPr>
              <w:tabs>
                <w:tab w:val="left" w:pos="360"/>
              </w:tabs>
              <w:spacing w:before="80" w:after="80" w:line="276" w:lineRule="auto"/>
              <w:rPr>
                <w:rFonts w:cs="Arial"/>
              </w:rPr>
            </w:pPr>
            <w:r w:rsidRPr="00E21AE7">
              <w:rPr>
                <w:rFonts w:cs="Arial"/>
              </w:rPr>
              <w:t>The Department notes that there has been difficulty accurately identifying the main target species (Stout Whiting) in the past</w:t>
            </w:r>
            <w:r>
              <w:rPr>
                <w:rFonts w:cs="Arial"/>
              </w:rPr>
              <w:t xml:space="preserve"> </w:t>
            </w:r>
            <w:r w:rsidRPr="00167ACE">
              <w:rPr>
                <w:rFonts w:cs="Arial"/>
              </w:rPr>
              <w:t>(Ovenden &amp; Butcher, 1999)</w:t>
            </w:r>
            <w:r w:rsidRPr="00E21AE7">
              <w:rPr>
                <w:rFonts w:cs="Arial"/>
              </w:rPr>
              <w:t xml:space="preserve"> and it is unclear how this affects stock assessments and setting of sustainable catch limits. </w:t>
            </w:r>
          </w:p>
          <w:p w14:paraId="6B376985" w14:textId="77777777" w:rsidR="00690755" w:rsidRPr="00E21AE7" w:rsidRDefault="00690755" w:rsidP="003A1E92">
            <w:pPr>
              <w:tabs>
                <w:tab w:val="left" w:pos="360"/>
              </w:tabs>
              <w:spacing w:before="80" w:after="80" w:line="276" w:lineRule="auto"/>
              <w:rPr>
                <w:rFonts w:cs="Arial"/>
              </w:rPr>
            </w:pPr>
            <w:r>
              <w:rPr>
                <w:rFonts w:cs="Arial"/>
              </w:rPr>
              <w:t xml:space="preserve">The Department acknowledges that Queensland’s </w:t>
            </w:r>
            <w:r>
              <w:t xml:space="preserve">automated integrated voice response (AIVR), Vessel Monitoring Systems (VMS) and catch unload records help validate logbook records of landed catch and fishing effort, there is no </w:t>
            </w:r>
            <w:r w:rsidRPr="00E21AE7">
              <w:rPr>
                <w:rFonts w:cs="Arial"/>
              </w:rPr>
              <w:t xml:space="preserve">independent data collection </w:t>
            </w:r>
            <w:r>
              <w:rPr>
                <w:rFonts w:cs="Arial"/>
              </w:rPr>
              <w:t xml:space="preserve">or validation for discarded catch, including bycatch, unmarketable </w:t>
            </w:r>
            <w:r>
              <w:rPr>
                <w:rFonts w:cs="Arial"/>
              </w:rPr>
              <w:lastRenderedPageBreak/>
              <w:t xml:space="preserve">target species and protected species. </w:t>
            </w:r>
            <w:r w:rsidRPr="00E21AE7">
              <w:rPr>
                <w:rFonts w:cs="Arial"/>
              </w:rPr>
              <w:t>Without independent data collection it is difficult to validate the data reported by fishers and address the identified concerns.</w:t>
            </w:r>
          </w:p>
          <w:p w14:paraId="47D802F6" w14:textId="77777777" w:rsidR="00690755" w:rsidRPr="00E21AE7" w:rsidRDefault="00690755" w:rsidP="003A1E92">
            <w:pPr>
              <w:tabs>
                <w:tab w:val="left" w:pos="360"/>
              </w:tabs>
              <w:spacing w:before="80" w:after="80" w:line="276" w:lineRule="auto"/>
              <w:rPr>
                <w:rFonts w:cs="Arial"/>
              </w:rPr>
            </w:pPr>
            <w:r w:rsidRPr="00E21AE7">
              <w:rPr>
                <w:rFonts w:cs="Arial"/>
              </w:rPr>
              <w:t xml:space="preserve">The Queensland Government has made some progress towards ensuring there is sufficient information collected, to monitor and assess the fishery’s impact on target and non-target species (including protected species) through a range of actions under the Queensland Government’s </w:t>
            </w:r>
            <w:hyperlink r:id="rId19" w:history="1">
              <w:r w:rsidRPr="00E21AE7">
                <w:rPr>
                  <w:rStyle w:val="Hyperlink"/>
                  <w:rFonts w:cs="Arial"/>
                </w:rPr>
                <w:t>Sustainable Fisheries Strategy 2017–2027</w:t>
              </w:r>
            </w:hyperlink>
            <w:r w:rsidRPr="00E21AE7">
              <w:rPr>
                <w:rFonts w:cs="Arial"/>
              </w:rPr>
              <w:t xml:space="preserve">. </w:t>
            </w:r>
            <w:r>
              <w:rPr>
                <w:rFonts w:cs="Arial"/>
              </w:rPr>
              <w:t>A</w:t>
            </w:r>
            <w:r w:rsidRPr="00E21AE7">
              <w:rPr>
                <w:rFonts w:cs="Arial"/>
              </w:rPr>
              <w:t>ctions include:</w:t>
            </w:r>
          </w:p>
          <w:p w14:paraId="44F663B8" w14:textId="77777777" w:rsidR="00690755" w:rsidRPr="00E21AE7" w:rsidRDefault="00690755" w:rsidP="003A1E92">
            <w:pPr>
              <w:numPr>
                <w:ilvl w:val="0"/>
                <w:numId w:val="16"/>
              </w:numPr>
              <w:tabs>
                <w:tab w:val="left" w:pos="360"/>
              </w:tabs>
              <w:spacing w:before="80" w:after="80" w:line="276" w:lineRule="auto"/>
              <w:rPr>
                <w:rFonts w:cs="Arial"/>
              </w:rPr>
            </w:pPr>
            <w:r w:rsidRPr="00FD76BA">
              <w:rPr>
                <w:rFonts w:cs="Arial"/>
              </w:rPr>
              <w:t>Developing and implement</w:t>
            </w:r>
            <w:r>
              <w:rPr>
                <w:rFonts w:cs="Arial"/>
              </w:rPr>
              <w:t>ing</w:t>
            </w:r>
            <w:r w:rsidRPr="00FD76BA">
              <w:rPr>
                <w:rFonts w:cs="Arial"/>
              </w:rPr>
              <w:t xml:space="preserve"> a </w:t>
            </w:r>
            <w:hyperlink r:id="rId20" w:history="1">
              <w:r w:rsidRPr="00FD76BA">
                <w:rPr>
                  <w:rStyle w:val="Hyperlink"/>
                  <w:rFonts w:cs="Arial"/>
                </w:rPr>
                <w:t>Data Validation Plan</w:t>
              </w:r>
            </w:hyperlink>
            <w:r>
              <w:rPr>
                <w:rFonts w:cs="Arial"/>
              </w:rPr>
              <w:t xml:space="preserve"> and </w:t>
            </w:r>
            <w:r w:rsidRPr="00E21AE7">
              <w:rPr>
                <w:rFonts w:cs="Arial"/>
              </w:rPr>
              <w:t>fisheries monitoring and research plan</w:t>
            </w:r>
          </w:p>
          <w:p w14:paraId="3B5C6734" w14:textId="77777777" w:rsidR="00690755" w:rsidRPr="00E21AE7" w:rsidRDefault="00690755" w:rsidP="003A1E92">
            <w:pPr>
              <w:numPr>
                <w:ilvl w:val="0"/>
                <w:numId w:val="16"/>
              </w:numPr>
              <w:tabs>
                <w:tab w:val="left" w:pos="360"/>
              </w:tabs>
              <w:spacing w:before="80" w:after="80" w:line="276" w:lineRule="auto"/>
              <w:rPr>
                <w:rFonts w:cs="Arial"/>
              </w:rPr>
            </w:pPr>
            <w:r w:rsidRPr="00E21AE7">
              <w:rPr>
                <w:rFonts w:cs="Arial"/>
              </w:rPr>
              <w:t>Undertaking additional monitoring of key biological stocks to better understand fishery performance and support more timely management actions</w:t>
            </w:r>
          </w:p>
          <w:p w14:paraId="62F01C2A" w14:textId="77777777" w:rsidR="00690755" w:rsidRPr="0015089A" w:rsidRDefault="00690755" w:rsidP="003A1E92">
            <w:pPr>
              <w:numPr>
                <w:ilvl w:val="0"/>
                <w:numId w:val="16"/>
              </w:numPr>
              <w:tabs>
                <w:tab w:val="left" w:pos="360"/>
              </w:tabs>
              <w:spacing w:before="80" w:after="80" w:line="276" w:lineRule="auto"/>
              <w:rPr>
                <w:rFonts w:cs="Arial"/>
              </w:rPr>
            </w:pPr>
            <w:r w:rsidRPr="00E21AE7">
              <w:rPr>
                <w:rFonts w:cs="Arial"/>
              </w:rPr>
              <w:t>Developing partnerships to trial novel technologies for fisheries monitoring</w:t>
            </w:r>
            <w:r>
              <w:rPr>
                <w:rFonts w:cs="Arial"/>
              </w:rPr>
              <w:t xml:space="preserve"> including</w:t>
            </w:r>
            <w:r w:rsidRPr="0015089A">
              <w:rPr>
                <w:rFonts w:cs="Arial"/>
              </w:rPr>
              <w:t xml:space="preserve"> video-based electronic monitoring </w:t>
            </w:r>
            <w:proofErr w:type="gramStart"/>
            <w:r w:rsidRPr="00D025D5">
              <w:rPr>
                <w:rFonts w:cs="Arial"/>
              </w:rPr>
              <w:t>as a means to</w:t>
            </w:r>
            <w:proofErr w:type="gramEnd"/>
            <w:r w:rsidRPr="00D025D5">
              <w:rPr>
                <w:rFonts w:cs="Arial"/>
              </w:rPr>
              <w:t xml:space="preserve"> collect and validate information on fishing activities</w:t>
            </w:r>
          </w:p>
          <w:p w14:paraId="30757523" w14:textId="77777777" w:rsidR="00690755" w:rsidRDefault="00690755" w:rsidP="003A1E92">
            <w:pPr>
              <w:numPr>
                <w:ilvl w:val="0"/>
                <w:numId w:val="16"/>
              </w:numPr>
              <w:tabs>
                <w:tab w:val="left" w:pos="360"/>
              </w:tabs>
              <w:spacing w:before="80" w:after="80" w:line="276" w:lineRule="auto"/>
              <w:rPr>
                <w:rFonts w:cs="Arial"/>
              </w:rPr>
            </w:pPr>
            <w:r>
              <w:rPr>
                <w:rFonts w:cs="Arial"/>
              </w:rPr>
              <w:t>D</w:t>
            </w:r>
            <w:r w:rsidRPr="00E21AE7">
              <w:rPr>
                <w:rFonts w:cs="Arial"/>
              </w:rPr>
              <w:t>eveloping guidelines for how sustainable catch limits should be set</w:t>
            </w:r>
            <w:r>
              <w:rPr>
                <w:rFonts w:cs="Arial"/>
              </w:rPr>
              <w:t xml:space="preserve">, </w:t>
            </w:r>
            <w:r w:rsidRPr="00E21AE7">
              <w:rPr>
                <w:rFonts w:cs="Arial"/>
              </w:rPr>
              <w:t xml:space="preserve">defining the minimum data requirements </w:t>
            </w:r>
            <w:r>
              <w:rPr>
                <w:rFonts w:cs="Arial"/>
              </w:rPr>
              <w:t xml:space="preserve">and data standards </w:t>
            </w:r>
            <w:r w:rsidRPr="00E21AE7">
              <w:rPr>
                <w:rFonts w:cs="Arial"/>
              </w:rPr>
              <w:t xml:space="preserve">to set catch </w:t>
            </w:r>
            <w:proofErr w:type="gramStart"/>
            <w:r w:rsidRPr="00E21AE7">
              <w:rPr>
                <w:rFonts w:cs="Arial"/>
              </w:rPr>
              <w:t>limits</w:t>
            </w:r>
            <w:proofErr w:type="gramEnd"/>
            <w:r>
              <w:rPr>
                <w:rFonts w:cs="Arial"/>
              </w:rPr>
              <w:t xml:space="preserve"> </w:t>
            </w:r>
            <w:r w:rsidRPr="00483254">
              <w:rPr>
                <w:rFonts w:cs="Arial"/>
              </w:rPr>
              <w:t>and using improved data to undertake regular stock assessments</w:t>
            </w:r>
            <w:r>
              <w:rPr>
                <w:rFonts w:cs="Arial"/>
              </w:rPr>
              <w:t>.</w:t>
            </w:r>
          </w:p>
          <w:p w14:paraId="251B9F8D" w14:textId="4272FD66" w:rsidR="00690755" w:rsidRPr="004B6DD8" w:rsidRDefault="00EC5CD2" w:rsidP="003A1E92">
            <w:pPr>
              <w:tabs>
                <w:tab w:val="left" w:pos="360"/>
              </w:tabs>
              <w:spacing w:before="80" w:after="80" w:line="276" w:lineRule="auto"/>
              <w:rPr>
                <w:rFonts w:cs="Arial"/>
              </w:rPr>
            </w:pPr>
            <w:r>
              <w:rPr>
                <w:rFonts w:cs="Arial"/>
              </w:rPr>
              <w:t>A</w:t>
            </w:r>
            <w:r w:rsidR="00690755" w:rsidRPr="004B6DD8">
              <w:rPr>
                <w:rFonts w:cs="Arial"/>
              </w:rPr>
              <w:t xml:space="preserve">ccurate identification, data collection and reporting </w:t>
            </w:r>
            <w:proofErr w:type="gramStart"/>
            <w:r w:rsidR="00690755" w:rsidRPr="004B6DD8">
              <w:rPr>
                <w:rFonts w:cs="Arial"/>
              </w:rPr>
              <w:t>is</w:t>
            </w:r>
            <w:proofErr w:type="gramEnd"/>
            <w:r w:rsidR="00690755" w:rsidRPr="004B6DD8">
              <w:rPr>
                <w:rFonts w:cs="Arial"/>
              </w:rPr>
              <w:t xml:space="preserve"> crucial to ensure there is appropriate data to assess, monitor and manage fishery impacts on all retained and discarded species, as well as interactions with protected species. </w:t>
            </w:r>
          </w:p>
          <w:p w14:paraId="2FC4A3EA" w14:textId="77777777" w:rsidR="00690755" w:rsidRPr="00E21AE7" w:rsidRDefault="00690755" w:rsidP="003A1E92">
            <w:pPr>
              <w:spacing w:before="80" w:after="80" w:line="276" w:lineRule="auto"/>
              <w:rPr>
                <w:rFonts w:cs="Arial"/>
                <w:b/>
                <w:u w:val="single"/>
              </w:rPr>
            </w:pPr>
            <w:r w:rsidRPr="00E21AE7">
              <w:rPr>
                <w:rFonts w:cs="Arial"/>
              </w:rPr>
              <w:t>Although the identification of certain species can be challenging, measures should be taken to ensure risks of misidentification are minimised and that fishery data is as accurate and reliable as possible. Where species are not reliably reported to species-level, risks must be managed in a precautionary way.</w:t>
            </w:r>
          </w:p>
        </w:tc>
        <w:tc>
          <w:tcPr>
            <w:tcW w:w="6286" w:type="dxa"/>
          </w:tcPr>
          <w:p w14:paraId="25D10A9F" w14:textId="77777777" w:rsidR="00690755" w:rsidRPr="00E21AE7" w:rsidRDefault="00690755" w:rsidP="00E86F11">
            <w:pPr>
              <w:spacing w:before="0" w:line="276" w:lineRule="auto"/>
              <w:rPr>
                <w:rFonts w:cs="Arial"/>
                <w:b/>
              </w:rPr>
            </w:pPr>
            <w:bookmarkStart w:id="11" w:name="_Hlk46475973"/>
            <w:r w:rsidRPr="00E21AE7">
              <w:rPr>
                <w:rFonts w:cs="Arial"/>
                <w:b/>
              </w:rPr>
              <w:lastRenderedPageBreak/>
              <w:t xml:space="preserve">Condition </w:t>
            </w:r>
            <w:r>
              <w:rPr>
                <w:rFonts w:cs="Arial"/>
                <w:b/>
              </w:rPr>
              <w:t>1</w:t>
            </w:r>
          </w:p>
          <w:p w14:paraId="576718B7" w14:textId="5F5BDA55" w:rsidR="00177C7E" w:rsidRDefault="00177C7E" w:rsidP="00E86F11">
            <w:pPr>
              <w:spacing w:before="0" w:line="276" w:lineRule="auto"/>
            </w:pPr>
            <w:r w:rsidRPr="00E21AE7">
              <w:t xml:space="preserve">By </w:t>
            </w:r>
            <w:r w:rsidRPr="00E21AE7">
              <w:rPr>
                <w:b/>
              </w:rPr>
              <w:t>3</w:t>
            </w:r>
            <w:r>
              <w:rPr>
                <w:b/>
              </w:rPr>
              <w:t>0</w:t>
            </w:r>
            <w:r w:rsidRPr="00E21AE7">
              <w:rPr>
                <w:b/>
              </w:rPr>
              <w:t xml:space="preserve"> </w:t>
            </w:r>
            <w:r>
              <w:rPr>
                <w:b/>
              </w:rPr>
              <w:t>March</w:t>
            </w:r>
            <w:r w:rsidRPr="00E21AE7">
              <w:rPr>
                <w:b/>
              </w:rPr>
              <w:t xml:space="preserve"> 2021</w:t>
            </w:r>
            <w:r w:rsidR="00345F24" w:rsidRPr="00345F24">
              <w:rPr>
                <w:bCs/>
              </w:rPr>
              <w:t xml:space="preserve"> the </w:t>
            </w:r>
            <w:r w:rsidR="00345F24">
              <w:rPr>
                <w:rFonts w:cs="Arial"/>
              </w:rPr>
              <w:t>Queensland Department of Agriculture and Fisheries</w:t>
            </w:r>
            <w:r w:rsidR="00345F24" w:rsidRPr="003205CF">
              <w:rPr>
                <w:rFonts w:cs="Arial"/>
              </w:rPr>
              <w:t xml:space="preserve"> </w:t>
            </w:r>
            <w:r w:rsidRPr="00E21AE7">
              <w:t xml:space="preserve">must </w:t>
            </w:r>
            <w:r>
              <w:t xml:space="preserve">provide the </w:t>
            </w:r>
            <w:r w:rsidR="00173E7F" w:rsidRPr="000F5AED">
              <w:rPr>
                <w:rFonts w:cs="Arial"/>
              </w:rPr>
              <w:t>Department</w:t>
            </w:r>
            <w:r w:rsidR="00173E7F">
              <w:rPr>
                <w:rFonts w:cs="Arial"/>
              </w:rPr>
              <w:t xml:space="preserve"> of Agriculture, Water and the Environment</w:t>
            </w:r>
            <w:r w:rsidR="00173E7F">
              <w:t xml:space="preserve"> </w:t>
            </w:r>
            <w:r>
              <w:t xml:space="preserve">with a Data Collection and Validation plan. The Plan must include milestones with clear deadlines for </w:t>
            </w:r>
            <w:r w:rsidRPr="00E21AE7">
              <w:t>implement</w:t>
            </w:r>
            <w:r>
              <w:t xml:space="preserve">ing </w:t>
            </w:r>
            <w:r w:rsidRPr="00E21AE7">
              <w:t>an ongoing independent data collection and validation program in the Commercial Trawl (Fin Fish) Fishery</w:t>
            </w:r>
            <w:r>
              <w:t xml:space="preserve"> as required in </w:t>
            </w:r>
            <w:r w:rsidR="00616615">
              <w:t xml:space="preserve">Part 13A </w:t>
            </w:r>
            <w:r w:rsidR="003459F8">
              <w:t>C</w:t>
            </w:r>
            <w:r>
              <w:t>ondition 5</w:t>
            </w:r>
            <w:r w:rsidRPr="00E21AE7">
              <w:t>.</w:t>
            </w:r>
          </w:p>
          <w:p w14:paraId="2EB4B5FB" w14:textId="3490CCA4" w:rsidR="003A1E92" w:rsidRPr="00E21AE7" w:rsidRDefault="003A1E92" w:rsidP="00E86F11">
            <w:pPr>
              <w:spacing w:before="0" w:line="276" w:lineRule="auto"/>
              <w:rPr>
                <w:rFonts w:cs="Arial"/>
                <w:b/>
              </w:rPr>
            </w:pPr>
            <w:r w:rsidRPr="00E21AE7">
              <w:rPr>
                <w:rFonts w:cs="Arial"/>
                <w:b/>
              </w:rPr>
              <w:t xml:space="preserve">Condition </w:t>
            </w:r>
            <w:r>
              <w:rPr>
                <w:rFonts w:cs="Arial"/>
                <w:b/>
              </w:rPr>
              <w:t>2</w:t>
            </w:r>
          </w:p>
          <w:p w14:paraId="2EA5D4AD" w14:textId="153BCE72" w:rsidR="00616615" w:rsidRPr="00E21AE7" w:rsidRDefault="00616615" w:rsidP="00E86F11">
            <w:pPr>
              <w:spacing w:before="0" w:line="276" w:lineRule="auto"/>
            </w:pPr>
            <w:r w:rsidRPr="00E21AE7">
              <w:t xml:space="preserve">By </w:t>
            </w:r>
            <w:r w:rsidRPr="00E21AE7">
              <w:rPr>
                <w:b/>
              </w:rPr>
              <w:t>3</w:t>
            </w:r>
            <w:r>
              <w:rPr>
                <w:b/>
              </w:rPr>
              <w:t>1</w:t>
            </w:r>
            <w:r w:rsidRPr="00E21AE7">
              <w:rPr>
                <w:b/>
              </w:rPr>
              <w:t xml:space="preserve"> </w:t>
            </w:r>
            <w:r>
              <w:rPr>
                <w:b/>
              </w:rPr>
              <w:t>December</w:t>
            </w:r>
            <w:r w:rsidRPr="00E21AE7">
              <w:rPr>
                <w:b/>
              </w:rPr>
              <w:t xml:space="preserve"> 2021</w:t>
            </w:r>
            <w:r w:rsidRPr="00345F24" w:rsidDel="002E64C8">
              <w:rPr>
                <w:bCs/>
              </w:rPr>
              <w:t xml:space="preserve"> </w:t>
            </w:r>
            <w:r w:rsidR="00345F24" w:rsidRPr="00345F24">
              <w:rPr>
                <w:bCs/>
              </w:rPr>
              <w:t xml:space="preserve">the </w:t>
            </w:r>
            <w:r w:rsidR="00345F24">
              <w:rPr>
                <w:rFonts w:cs="Arial"/>
              </w:rPr>
              <w:t>Queensland Department of Agriculture and Fisheries</w:t>
            </w:r>
            <w:r w:rsidR="00345F24" w:rsidRPr="003205CF">
              <w:rPr>
                <w:rFonts w:cs="Arial"/>
              </w:rPr>
              <w:t xml:space="preserve"> </w:t>
            </w:r>
            <w:r w:rsidRPr="00E21AE7">
              <w:t xml:space="preserve">must </w:t>
            </w:r>
            <w:r>
              <w:t>commence</w:t>
            </w:r>
            <w:r w:rsidRPr="00E21AE7">
              <w:t xml:space="preserve"> ongoing independent data collection and validation in the Commercial Trawl (Fin Fish) Fishery.</w:t>
            </w:r>
            <w:r>
              <w:t xml:space="preserve"> </w:t>
            </w:r>
            <w:r w:rsidRPr="00C868C1">
              <w:rPr>
                <w:rFonts w:cs="Arial"/>
              </w:rPr>
              <w:t>The program must</w:t>
            </w:r>
            <w:r>
              <w:rPr>
                <w:rFonts w:cs="Arial"/>
              </w:rPr>
              <w:t>:</w:t>
            </w:r>
          </w:p>
          <w:p w14:paraId="2ADCB389" w14:textId="77777777" w:rsidR="00616615" w:rsidRPr="00C868C1" w:rsidRDefault="00616615" w:rsidP="00616615">
            <w:pPr>
              <w:pStyle w:val="ListParagraph"/>
              <w:numPr>
                <w:ilvl w:val="0"/>
                <w:numId w:val="34"/>
              </w:numPr>
              <w:spacing w:before="80" w:after="80" w:line="276" w:lineRule="auto"/>
              <w:rPr>
                <w:rFonts w:cs="Arial"/>
              </w:rPr>
            </w:pPr>
            <w:r w:rsidRPr="00C868C1">
              <w:rPr>
                <w:rFonts w:cs="Arial"/>
              </w:rPr>
              <w:lastRenderedPageBreak/>
              <w:t xml:space="preserve">validate, with a high degree of confidence, target and non-target catch, effort and protected species interaction data collected by fishers. </w:t>
            </w:r>
          </w:p>
          <w:p w14:paraId="6FE05B92" w14:textId="77777777" w:rsidR="00616615" w:rsidRDefault="00616615" w:rsidP="00E86F11">
            <w:pPr>
              <w:pStyle w:val="ListParagraph"/>
              <w:numPr>
                <w:ilvl w:val="0"/>
                <w:numId w:val="34"/>
              </w:numPr>
              <w:spacing w:before="0" w:line="276" w:lineRule="auto"/>
              <w:rPr>
                <w:rFonts w:cs="Arial"/>
              </w:rPr>
            </w:pPr>
            <w:r w:rsidRPr="00C868C1">
              <w:rPr>
                <w:rFonts w:cs="Arial"/>
              </w:rPr>
              <w:t xml:space="preserve">ensure there is </w:t>
            </w:r>
            <w:r>
              <w:rPr>
                <w:rFonts w:cs="Arial"/>
              </w:rPr>
              <w:t xml:space="preserve">enough </w:t>
            </w:r>
            <w:r w:rsidRPr="00C868C1">
              <w:rPr>
                <w:rFonts w:cs="Arial"/>
              </w:rPr>
              <w:t>fishery dependent and fishery-independent data sources to ensure all stocks impacted by the fishery remain sustainable.</w:t>
            </w:r>
          </w:p>
          <w:p w14:paraId="1D8A7379" w14:textId="71A09B70" w:rsidR="00690755" w:rsidRPr="00616615" w:rsidRDefault="00616615" w:rsidP="00E86F11">
            <w:pPr>
              <w:spacing w:before="0" w:line="276" w:lineRule="auto"/>
            </w:pPr>
            <w:r w:rsidRPr="000E46F9">
              <w:rPr>
                <w:rFonts w:cs="Arial"/>
              </w:rPr>
              <w:t xml:space="preserve">Performance of the program, including comparative analysis of fishery dependent and independent data sources must be included in annual reports provided to the </w:t>
            </w:r>
            <w:r w:rsidR="00173E7F" w:rsidRPr="000F5AED">
              <w:rPr>
                <w:rFonts w:cs="Arial"/>
              </w:rPr>
              <w:t>Department</w:t>
            </w:r>
            <w:r w:rsidR="00173E7F">
              <w:rPr>
                <w:rFonts w:cs="Arial"/>
              </w:rPr>
              <w:t xml:space="preserve"> of Agriculture, </w:t>
            </w:r>
            <w:proofErr w:type="gramStart"/>
            <w:r w:rsidR="00173E7F">
              <w:rPr>
                <w:rFonts w:cs="Arial"/>
              </w:rPr>
              <w:t>Water</w:t>
            </w:r>
            <w:proofErr w:type="gramEnd"/>
            <w:r w:rsidR="00173E7F">
              <w:rPr>
                <w:rFonts w:cs="Arial"/>
              </w:rPr>
              <w:t xml:space="preserve"> and the Environment</w:t>
            </w:r>
            <w:r w:rsidRPr="000E46F9">
              <w:rPr>
                <w:rFonts w:cs="Arial"/>
              </w:rPr>
              <w:t xml:space="preserve"> (refer </w:t>
            </w:r>
            <w:r>
              <w:rPr>
                <w:rFonts w:cs="Arial"/>
              </w:rPr>
              <w:t xml:space="preserve">Part 13A </w:t>
            </w:r>
            <w:r w:rsidR="003459F8">
              <w:rPr>
                <w:rFonts w:cs="Arial"/>
              </w:rPr>
              <w:t>C</w:t>
            </w:r>
            <w:r w:rsidRPr="000E46F9">
              <w:rPr>
                <w:rFonts w:cs="Arial"/>
              </w:rPr>
              <w:t>ondition 3).</w:t>
            </w:r>
            <w:bookmarkEnd w:id="11"/>
          </w:p>
        </w:tc>
      </w:tr>
      <w:bookmarkEnd w:id="4"/>
      <w:bookmarkEnd w:id="10"/>
    </w:tbl>
    <w:p w14:paraId="2925B948" w14:textId="77777777" w:rsidR="00690755" w:rsidRDefault="00690755">
      <w:pPr>
        <w:spacing w:before="0" w:after="0"/>
        <w:rPr>
          <w:rFonts w:cs="Arial"/>
          <w:b/>
          <w:i/>
        </w:rPr>
      </w:pPr>
      <w:r>
        <w:lastRenderedPageBreak/>
        <w:br w:type="page"/>
      </w:r>
    </w:p>
    <w:p w14:paraId="06B7AF8A" w14:textId="7257B0C7" w:rsidR="00CF4293" w:rsidRPr="00FD022E" w:rsidRDefault="00CF4293" w:rsidP="00A9145D">
      <w:pPr>
        <w:pStyle w:val="Heading3"/>
        <w:spacing w:before="480" w:line="276" w:lineRule="auto"/>
      </w:pPr>
      <w:bookmarkStart w:id="12" w:name="_Toc48212730"/>
      <w:r w:rsidRPr="00FD022E">
        <w:lastRenderedPageBreak/>
        <w:t>Assessment history:</w:t>
      </w:r>
      <w:bookmarkEnd w:id="12"/>
    </w:p>
    <w:p w14:paraId="4FD5EE8A" w14:textId="77777777" w:rsidR="00CF4293" w:rsidRPr="00FD022E" w:rsidRDefault="00CF4293" w:rsidP="007F171B">
      <w:pPr>
        <w:spacing w:line="276" w:lineRule="auto"/>
        <w:rPr>
          <w:rFonts w:cs="Arial"/>
        </w:rPr>
      </w:pPr>
      <w:r w:rsidRPr="00FD022E">
        <w:rPr>
          <w:rFonts w:cs="Arial"/>
        </w:rPr>
        <w:t xml:space="preserve">Information on previous assessments for the Queensland Commercial Trawl (Fin Fish) Fishery is available on the Department’s website at </w:t>
      </w:r>
      <w:hyperlink r:id="rId21" w:history="1">
        <w:r w:rsidRPr="00FD022E">
          <w:rPr>
            <w:rStyle w:val="Hyperlink"/>
            <w:rFonts w:cs="Arial"/>
          </w:rPr>
          <w:t>http://www.environment.gov.au/marine/fisheries/qld/commercial-trawl</w:t>
        </w:r>
      </w:hyperlink>
      <w:r w:rsidRPr="00FD022E">
        <w:rPr>
          <w:rFonts w:cs="Arial"/>
        </w:rPr>
        <w:t>.</w:t>
      </w:r>
    </w:p>
    <w:p w14:paraId="5D2D00D1" w14:textId="77A072A1" w:rsidR="00CF4293" w:rsidRPr="00FD022E" w:rsidRDefault="00CF4293" w:rsidP="007F171B">
      <w:pPr>
        <w:spacing w:line="276" w:lineRule="auto"/>
        <w:rPr>
          <w:rFonts w:cs="Arial"/>
        </w:rPr>
      </w:pPr>
      <w:r w:rsidRPr="00FD022E">
        <w:rPr>
          <w:rFonts w:cs="Arial"/>
          <w:b/>
        </w:rPr>
        <w:t>1st assessment</w:t>
      </w:r>
      <w:r w:rsidRPr="00FD022E">
        <w:rPr>
          <w:rFonts w:cs="Arial"/>
        </w:rPr>
        <w:t>: Wildlife Trade Operation approval granted for 16 November 2004 – 24 November 2007, subject to three conditions and 12</w:t>
      </w:r>
      <w:r w:rsidR="0063332C" w:rsidRPr="00FD022E">
        <w:rPr>
          <w:rFonts w:cs="Arial"/>
        </w:rPr>
        <w:t> </w:t>
      </w:r>
      <w:r w:rsidRPr="00FD022E">
        <w:rPr>
          <w:rFonts w:cs="Arial"/>
        </w:rPr>
        <w:t>recommendations.</w:t>
      </w:r>
    </w:p>
    <w:p w14:paraId="22854637" w14:textId="615A7F3A" w:rsidR="00CF4293" w:rsidRPr="00FD022E" w:rsidRDefault="00CF4293" w:rsidP="007F171B">
      <w:pPr>
        <w:spacing w:line="276" w:lineRule="auto"/>
        <w:rPr>
          <w:rFonts w:cs="Arial"/>
        </w:rPr>
      </w:pPr>
      <w:r w:rsidRPr="00FD022E">
        <w:rPr>
          <w:rFonts w:cs="Arial"/>
          <w:b/>
        </w:rPr>
        <w:t>2</w:t>
      </w:r>
      <w:r w:rsidRPr="00FD022E">
        <w:rPr>
          <w:rFonts w:cs="Arial"/>
          <w:b/>
          <w:vertAlign w:val="superscript"/>
        </w:rPr>
        <w:t>nd</w:t>
      </w:r>
      <w:r w:rsidRPr="00FD022E">
        <w:rPr>
          <w:rFonts w:cs="Arial"/>
          <w:b/>
        </w:rPr>
        <w:t xml:space="preserve"> assessment</w:t>
      </w:r>
      <w:r w:rsidRPr="00FD022E">
        <w:rPr>
          <w:rFonts w:cs="Arial"/>
        </w:rPr>
        <w:t>: Wildlife Trade Operation approval granted for 21 November 2007 – 20 November 2010, subject to three conditions and three recommendations. Approval was subsequently extended twice via the List of Exempt Native Specimens until 19 August 2011.</w:t>
      </w:r>
    </w:p>
    <w:p w14:paraId="6DE38238" w14:textId="67CFADE8" w:rsidR="00CF4293" w:rsidRPr="00FD022E" w:rsidRDefault="00CF4293" w:rsidP="007F171B">
      <w:pPr>
        <w:spacing w:line="276" w:lineRule="auto"/>
        <w:rPr>
          <w:rFonts w:cs="Arial"/>
        </w:rPr>
      </w:pPr>
      <w:r w:rsidRPr="00FD022E">
        <w:rPr>
          <w:rFonts w:cs="Arial"/>
          <w:b/>
        </w:rPr>
        <w:t>3</w:t>
      </w:r>
      <w:r w:rsidRPr="00FD022E">
        <w:rPr>
          <w:rFonts w:cs="Arial"/>
          <w:b/>
          <w:vertAlign w:val="superscript"/>
        </w:rPr>
        <w:t>rd</w:t>
      </w:r>
      <w:r w:rsidRPr="00FD022E">
        <w:rPr>
          <w:rFonts w:cs="Arial"/>
          <w:b/>
        </w:rPr>
        <w:t xml:space="preserve"> assessment</w:t>
      </w:r>
      <w:r w:rsidRPr="00FD022E">
        <w:rPr>
          <w:rFonts w:cs="Arial"/>
        </w:rPr>
        <w:t>: Wildlife Trade Operation approval granted for 16 August 2011 – 15 August 2014, subject to three conditions and one recommendation (with two additional sub-parts). Approval was subsequently extended three times via the List of Exempt Native Specimens until 16</w:t>
      </w:r>
      <w:r w:rsidR="0063332C" w:rsidRPr="00FD022E">
        <w:rPr>
          <w:rFonts w:cs="Arial"/>
        </w:rPr>
        <w:t> </w:t>
      </w:r>
      <w:r w:rsidRPr="00FD022E">
        <w:rPr>
          <w:rFonts w:cs="Arial"/>
        </w:rPr>
        <w:t>February 2017.</w:t>
      </w:r>
    </w:p>
    <w:p w14:paraId="4C07A12B" w14:textId="254F9551" w:rsidR="00CF4293" w:rsidRPr="00FD022E" w:rsidRDefault="00CF4293" w:rsidP="007F171B">
      <w:pPr>
        <w:spacing w:line="276" w:lineRule="auto"/>
        <w:rPr>
          <w:rFonts w:cs="Arial"/>
        </w:rPr>
      </w:pPr>
      <w:r w:rsidRPr="00FD022E">
        <w:rPr>
          <w:rFonts w:cs="Arial"/>
          <w:b/>
        </w:rPr>
        <w:t>4</w:t>
      </w:r>
      <w:r w:rsidRPr="00FD022E">
        <w:rPr>
          <w:rFonts w:cs="Arial"/>
          <w:b/>
          <w:vertAlign w:val="superscript"/>
        </w:rPr>
        <w:t>th</w:t>
      </w:r>
      <w:r w:rsidRPr="00FD022E">
        <w:rPr>
          <w:rFonts w:cs="Arial"/>
          <w:b/>
        </w:rPr>
        <w:t xml:space="preserve"> assessment</w:t>
      </w:r>
      <w:r w:rsidRPr="00FD022E">
        <w:rPr>
          <w:rFonts w:cs="Arial"/>
        </w:rPr>
        <w:t>: Wildlife Trade Operation approval granted for 15 February 2017 – 14 February 2020, subject to six conditions. Approval was subsequently extended three times via the List of Exempt Native Specimens</w:t>
      </w:r>
      <w:r w:rsidR="00584456" w:rsidRPr="00FD022E">
        <w:rPr>
          <w:rFonts w:cs="Arial"/>
        </w:rPr>
        <w:t>, most recently</w:t>
      </w:r>
      <w:r w:rsidRPr="00FD022E">
        <w:rPr>
          <w:rFonts w:cs="Arial"/>
        </w:rPr>
        <w:t xml:space="preserve"> until </w:t>
      </w:r>
      <w:r w:rsidR="00584456" w:rsidRPr="00FD022E">
        <w:rPr>
          <w:rFonts w:cs="Arial"/>
        </w:rPr>
        <w:t>31 August 2020</w:t>
      </w:r>
      <w:r w:rsidRPr="00FD022E">
        <w:rPr>
          <w:rFonts w:cs="Arial"/>
        </w:rPr>
        <w:t>.</w:t>
      </w:r>
    </w:p>
    <w:p w14:paraId="058987D4" w14:textId="77777777" w:rsidR="00227603" w:rsidRPr="00FD022E" w:rsidRDefault="00227603" w:rsidP="007F171B">
      <w:pPr>
        <w:spacing w:before="0" w:after="0" w:line="276" w:lineRule="auto"/>
        <w:rPr>
          <w:rFonts w:cs="Arial"/>
        </w:rPr>
        <w:sectPr w:rsidR="00227603" w:rsidRPr="00FD022E" w:rsidSect="001955CD">
          <w:footerReference w:type="default" r:id="rId22"/>
          <w:footerReference w:type="first" r:id="rId23"/>
          <w:pgSz w:w="16838" w:h="11906" w:orient="landscape"/>
          <w:pgMar w:top="1021" w:right="1021" w:bottom="1021" w:left="1021" w:header="709" w:footer="709" w:gutter="0"/>
          <w:cols w:space="708"/>
          <w:docGrid w:linePitch="360"/>
        </w:sectPr>
      </w:pPr>
    </w:p>
    <w:p w14:paraId="104F2B01" w14:textId="53FB7CC2" w:rsidR="00885298" w:rsidRPr="00FD022E" w:rsidRDefault="0027415B" w:rsidP="007F171B">
      <w:pPr>
        <w:pStyle w:val="Heading1"/>
        <w:rPr>
          <w:rFonts w:ascii="Arial" w:hAnsi="Arial"/>
          <w:u w:val="single"/>
        </w:rPr>
      </w:pPr>
      <w:bookmarkStart w:id="13" w:name="_Toc48212731"/>
      <w:r w:rsidRPr="00FD022E">
        <w:rPr>
          <w:rFonts w:ascii="Arial" w:hAnsi="Arial"/>
        </w:rPr>
        <w:lastRenderedPageBreak/>
        <w:t>Section</w:t>
      </w:r>
      <w:r w:rsidR="0027138D" w:rsidRPr="00FD022E">
        <w:rPr>
          <w:rFonts w:ascii="Arial" w:hAnsi="Arial"/>
        </w:rPr>
        <w:t xml:space="preserve"> </w:t>
      </w:r>
      <w:r w:rsidR="00690755">
        <w:rPr>
          <w:rFonts w:ascii="Arial" w:hAnsi="Arial"/>
        </w:rPr>
        <w:t>3</w:t>
      </w:r>
      <w:r w:rsidR="0027138D" w:rsidRPr="00FD022E">
        <w:rPr>
          <w:rFonts w:ascii="Arial" w:hAnsi="Arial"/>
        </w:rPr>
        <w:t xml:space="preserve">: </w:t>
      </w:r>
      <w:r w:rsidRPr="00FD022E">
        <w:rPr>
          <w:rFonts w:ascii="Arial" w:hAnsi="Arial"/>
        </w:rPr>
        <w:t xml:space="preserve">Detailed </w:t>
      </w:r>
      <w:r w:rsidR="00534237" w:rsidRPr="00FD022E">
        <w:rPr>
          <w:rFonts w:ascii="Arial" w:hAnsi="Arial"/>
        </w:rPr>
        <w:t xml:space="preserve">analysis </w:t>
      </w:r>
      <w:r w:rsidR="00DA3A36" w:rsidRPr="00FD022E">
        <w:rPr>
          <w:rFonts w:ascii="Arial" w:hAnsi="Arial"/>
        </w:rPr>
        <w:t xml:space="preserve">against </w:t>
      </w:r>
      <w:r w:rsidRPr="00FD022E">
        <w:rPr>
          <w:rFonts w:ascii="Arial" w:hAnsi="Arial"/>
        </w:rPr>
        <w:t>the Guidelines</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5"/>
        <w:gridCol w:w="95"/>
        <w:gridCol w:w="10256"/>
      </w:tblGrid>
      <w:tr w:rsidR="00885298" w:rsidRPr="000900EC" w14:paraId="48EAFFFA" w14:textId="77777777" w:rsidTr="002F0C8B">
        <w:trPr>
          <w:cantSplit/>
        </w:trPr>
        <w:tc>
          <w:tcPr>
            <w:tcW w:w="1500" w:type="pct"/>
            <w:shd w:val="clear" w:color="auto" w:fill="auto"/>
            <w:vAlign w:val="center"/>
          </w:tcPr>
          <w:p w14:paraId="48317278" w14:textId="165C73C2" w:rsidR="00885298" w:rsidRPr="00E21AE7" w:rsidRDefault="00885298" w:rsidP="007F171B">
            <w:pPr>
              <w:spacing w:before="80" w:after="80" w:line="276" w:lineRule="auto"/>
              <w:jc w:val="center"/>
              <w:rPr>
                <w:rFonts w:cs="Arial"/>
              </w:rPr>
            </w:pPr>
            <w:r w:rsidRPr="00E21AE7">
              <w:rPr>
                <w:rFonts w:cs="Arial"/>
                <w:lang w:eastAsia="en-AU"/>
              </w:rPr>
              <w:br w:type="page"/>
            </w:r>
            <w:r w:rsidRPr="00E21AE7">
              <w:rPr>
                <w:rFonts w:cs="Arial"/>
                <w:b/>
              </w:rPr>
              <w:t>Guidelines</w:t>
            </w:r>
            <w:r w:rsidR="0027415B" w:rsidRPr="00E21AE7">
              <w:rPr>
                <w:rFonts w:cs="Arial"/>
                <w:b/>
              </w:rPr>
              <w:t xml:space="preserve"> criteria</w:t>
            </w:r>
          </w:p>
        </w:tc>
        <w:tc>
          <w:tcPr>
            <w:tcW w:w="3500" w:type="pct"/>
            <w:gridSpan w:val="2"/>
            <w:shd w:val="clear" w:color="auto" w:fill="FFFFFF"/>
            <w:vAlign w:val="center"/>
          </w:tcPr>
          <w:p w14:paraId="2C014CC6" w14:textId="77777777" w:rsidR="00885298" w:rsidRPr="00E21AE7" w:rsidRDefault="00885298" w:rsidP="007F171B">
            <w:pPr>
              <w:spacing w:before="80" w:after="80" w:line="276" w:lineRule="auto"/>
              <w:jc w:val="center"/>
              <w:rPr>
                <w:rFonts w:cs="Arial"/>
                <w:b/>
              </w:rPr>
            </w:pPr>
            <w:r w:rsidRPr="00E21AE7">
              <w:rPr>
                <w:rFonts w:cs="Arial"/>
                <w:b/>
              </w:rPr>
              <w:t>Comment</w:t>
            </w:r>
          </w:p>
        </w:tc>
      </w:tr>
      <w:tr w:rsidR="00885298" w:rsidRPr="000900EC" w14:paraId="734EF4DC" w14:textId="77777777" w:rsidTr="002F0C8B">
        <w:trPr>
          <w:cantSplit/>
        </w:trPr>
        <w:tc>
          <w:tcPr>
            <w:tcW w:w="5000" w:type="pct"/>
            <w:gridSpan w:val="3"/>
            <w:shd w:val="clear" w:color="auto" w:fill="FFFF66"/>
          </w:tcPr>
          <w:p w14:paraId="7A6AEE90" w14:textId="77777777" w:rsidR="00885298" w:rsidRPr="00E21AE7" w:rsidRDefault="00885298" w:rsidP="007F171B">
            <w:pPr>
              <w:spacing w:before="80" w:after="80" w:line="276" w:lineRule="auto"/>
              <w:rPr>
                <w:rFonts w:cs="Arial"/>
                <w:b/>
              </w:rPr>
            </w:pPr>
            <w:r w:rsidRPr="00E21AE7">
              <w:rPr>
                <w:rFonts w:cs="Arial"/>
                <w:b/>
              </w:rPr>
              <w:t>THE MANAGEMENT REGIME</w:t>
            </w:r>
          </w:p>
        </w:tc>
      </w:tr>
      <w:tr w:rsidR="00885298" w:rsidRPr="000900EC" w14:paraId="28AB77EE" w14:textId="77777777" w:rsidTr="002F0C8B">
        <w:trPr>
          <w:cantSplit/>
        </w:trPr>
        <w:tc>
          <w:tcPr>
            <w:tcW w:w="5000" w:type="pct"/>
            <w:gridSpan w:val="3"/>
            <w:shd w:val="clear" w:color="auto" w:fill="FFFF99"/>
          </w:tcPr>
          <w:p w14:paraId="37148127" w14:textId="52B97022" w:rsidR="00885298" w:rsidRPr="00E21AE7" w:rsidRDefault="00885298" w:rsidP="007F171B">
            <w:pPr>
              <w:spacing w:before="80" w:after="80" w:line="276" w:lineRule="auto"/>
              <w:rPr>
                <w:rFonts w:cs="Arial"/>
                <w:b/>
              </w:rPr>
            </w:pPr>
            <w:r w:rsidRPr="00E21AE7">
              <w:rPr>
                <w:rFonts w:cs="Arial"/>
              </w:rPr>
              <w:t xml:space="preserve">The management regime </w:t>
            </w:r>
            <w:r w:rsidR="008A365C" w:rsidRPr="00E21AE7">
              <w:rPr>
                <w:rFonts w:cs="Arial"/>
              </w:rPr>
              <w:t xml:space="preserve">may include a </w:t>
            </w:r>
            <w:r w:rsidRPr="00E21AE7">
              <w:rPr>
                <w:rFonts w:cs="Arial"/>
              </w:rPr>
              <w:t xml:space="preserve">statutory </w:t>
            </w:r>
            <w:r w:rsidR="008A365C" w:rsidRPr="00E21AE7">
              <w:rPr>
                <w:rFonts w:cs="Arial"/>
              </w:rPr>
              <w:t>or</w:t>
            </w:r>
            <w:r w:rsidRPr="00E21AE7">
              <w:rPr>
                <w:rFonts w:cs="Arial"/>
              </w:rPr>
              <w:t xml:space="preserve"> non-statutory management arrangements</w:t>
            </w:r>
            <w:r w:rsidR="008D2B65" w:rsidRPr="00E21AE7">
              <w:rPr>
                <w:rFonts w:cs="Arial"/>
              </w:rPr>
              <w:t>,</w:t>
            </w:r>
            <w:r w:rsidRPr="00E21AE7">
              <w:rPr>
                <w:rFonts w:cs="Arial"/>
              </w:rPr>
              <w:t xml:space="preserve"> </w:t>
            </w:r>
            <w:proofErr w:type="gramStart"/>
            <w:r w:rsidRPr="00E21AE7">
              <w:rPr>
                <w:rFonts w:cs="Arial"/>
              </w:rPr>
              <w:t>policies</w:t>
            </w:r>
            <w:proofErr w:type="gramEnd"/>
            <w:r w:rsidRPr="00E21AE7">
              <w:rPr>
                <w:rFonts w:cs="Arial"/>
              </w:rPr>
              <w:t xml:space="preserve"> and programs. The regime should:</w:t>
            </w:r>
          </w:p>
        </w:tc>
      </w:tr>
      <w:tr w:rsidR="00885298" w:rsidRPr="000900EC" w14:paraId="72AABFAD" w14:textId="77777777" w:rsidTr="008903BD">
        <w:trPr>
          <w:cantSplit/>
        </w:trPr>
        <w:tc>
          <w:tcPr>
            <w:tcW w:w="1500" w:type="pct"/>
            <w:shd w:val="clear" w:color="auto" w:fill="92D050"/>
          </w:tcPr>
          <w:p w14:paraId="5524B93B" w14:textId="5006AF27" w:rsidR="004649FA" w:rsidRPr="00E21AE7" w:rsidRDefault="00885298" w:rsidP="007F171B">
            <w:pPr>
              <w:spacing w:before="80" w:after="80" w:line="276" w:lineRule="auto"/>
              <w:rPr>
                <w:rFonts w:cs="Arial"/>
              </w:rPr>
            </w:pPr>
            <w:r w:rsidRPr="00E21AE7">
              <w:rPr>
                <w:rFonts w:cs="Arial"/>
              </w:rPr>
              <w:t>Be documented, publicly available and transparent</w:t>
            </w:r>
            <w:r w:rsidR="006B6EF9" w:rsidRPr="00E21AE7">
              <w:rPr>
                <w:rFonts w:cs="Arial"/>
              </w:rPr>
              <w:t>.</w:t>
            </w:r>
          </w:p>
        </w:tc>
        <w:tc>
          <w:tcPr>
            <w:tcW w:w="3500" w:type="pct"/>
            <w:gridSpan w:val="2"/>
            <w:shd w:val="clear" w:color="auto" w:fill="auto"/>
          </w:tcPr>
          <w:p w14:paraId="4091F23E" w14:textId="39B0DEE8" w:rsidR="00A20C8E" w:rsidRPr="00E21AE7" w:rsidRDefault="003F5989" w:rsidP="007F171B">
            <w:pPr>
              <w:spacing w:before="80" w:after="80" w:line="276" w:lineRule="auto"/>
              <w:rPr>
                <w:rFonts w:cs="Arial"/>
                <w:b/>
              </w:rPr>
            </w:pPr>
            <w:r w:rsidRPr="00E21AE7">
              <w:rPr>
                <w:rFonts w:cs="Arial"/>
                <w:b/>
              </w:rPr>
              <w:t>M</w:t>
            </w:r>
            <w:r w:rsidR="00A20C8E" w:rsidRPr="00E21AE7">
              <w:rPr>
                <w:rFonts w:cs="Arial"/>
                <w:b/>
              </w:rPr>
              <w:t>eets –</w:t>
            </w:r>
            <w:r w:rsidRPr="00E21AE7">
              <w:rPr>
                <w:rFonts w:cs="Arial"/>
                <w:b/>
              </w:rPr>
              <w:t xml:space="preserve"> </w:t>
            </w:r>
            <w:r w:rsidR="001B427F" w:rsidRPr="00E21AE7">
              <w:rPr>
                <w:rFonts w:cs="Arial"/>
                <w:b/>
              </w:rPr>
              <w:t xml:space="preserve">Arrangements </w:t>
            </w:r>
            <w:r w:rsidR="00A20C8E" w:rsidRPr="00E21AE7">
              <w:rPr>
                <w:rFonts w:cs="Arial"/>
                <w:b/>
              </w:rPr>
              <w:t>a</w:t>
            </w:r>
            <w:bookmarkStart w:id="14" w:name="_Hlk38981159"/>
            <w:r w:rsidR="00A20C8E" w:rsidRPr="00E21AE7">
              <w:rPr>
                <w:rFonts w:cs="Arial"/>
                <w:b/>
              </w:rPr>
              <w:t>re documented, publicly available and transparent</w:t>
            </w:r>
          </w:p>
          <w:p w14:paraId="28161830" w14:textId="218C96F4" w:rsidR="00F945BC" w:rsidRPr="00E21AE7" w:rsidRDefault="002B6310" w:rsidP="007F171B">
            <w:pPr>
              <w:spacing w:before="80" w:after="80" w:line="276" w:lineRule="auto"/>
              <w:rPr>
                <w:rFonts w:cs="Arial"/>
              </w:rPr>
            </w:pPr>
            <w:r w:rsidRPr="00E21AE7">
              <w:rPr>
                <w:rFonts w:cs="Arial"/>
              </w:rPr>
              <w:t>T</w:t>
            </w:r>
            <w:r w:rsidR="00490EF0" w:rsidRPr="00E21AE7">
              <w:rPr>
                <w:rFonts w:cs="Arial"/>
              </w:rPr>
              <w:t>he m</w:t>
            </w:r>
            <w:r w:rsidR="005163D7" w:rsidRPr="00E21AE7">
              <w:rPr>
                <w:rFonts w:cs="Arial"/>
              </w:rPr>
              <w:t xml:space="preserve">anagement arrangements for the </w:t>
            </w:r>
            <w:r w:rsidR="00711469" w:rsidRPr="00E21AE7">
              <w:rPr>
                <w:rFonts w:cs="Arial"/>
              </w:rPr>
              <w:t xml:space="preserve">Commercial Trawl (Fin Fish) Fishery (CTFFF) </w:t>
            </w:r>
            <w:r w:rsidR="005163D7" w:rsidRPr="00E21AE7">
              <w:rPr>
                <w:rFonts w:cs="Arial"/>
              </w:rPr>
              <w:t xml:space="preserve">are </w:t>
            </w:r>
            <w:r w:rsidR="007D406F" w:rsidRPr="00E21AE7">
              <w:rPr>
                <w:rFonts w:cs="Arial"/>
              </w:rPr>
              <w:t xml:space="preserve">contained </w:t>
            </w:r>
            <w:r w:rsidR="005163D7" w:rsidRPr="00E21AE7">
              <w:rPr>
                <w:rFonts w:cs="Arial"/>
              </w:rPr>
              <w:t xml:space="preserve">in </w:t>
            </w:r>
            <w:r w:rsidR="00E04B56" w:rsidRPr="00E21AE7">
              <w:rPr>
                <w:rFonts w:cs="Arial"/>
              </w:rPr>
              <w:t>publicly</w:t>
            </w:r>
            <w:r w:rsidR="005163D7" w:rsidRPr="00E21AE7">
              <w:rPr>
                <w:rFonts w:cs="Arial"/>
              </w:rPr>
              <w:t xml:space="preserve"> available legislation: the Queensland </w:t>
            </w:r>
            <w:r w:rsidR="005163D7" w:rsidRPr="00E21AE7">
              <w:rPr>
                <w:rFonts w:cs="Arial"/>
                <w:i/>
              </w:rPr>
              <w:t>Fisheries Act 1994</w:t>
            </w:r>
            <w:r w:rsidR="005163D7" w:rsidRPr="00E21AE7">
              <w:rPr>
                <w:rFonts w:cs="Arial"/>
              </w:rPr>
              <w:t>, Fisheries (General) Regulation 2019, Fisheries (Commercial Fisheries) Regulation 2019, Fisheries Declaration 2019, and the Fisheries Quota Declaration 2019</w:t>
            </w:r>
            <w:r w:rsidR="005B5F6F" w:rsidRPr="00E21AE7">
              <w:rPr>
                <w:rFonts w:cs="Arial"/>
              </w:rPr>
              <w:t>.</w:t>
            </w:r>
            <w:bookmarkEnd w:id="14"/>
          </w:p>
        </w:tc>
      </w:tr>
      <w:tr w:rsidR="00885298" w:rsidRPr="000900EC" w14:paraId="4513BEBB" w14:textId="77777777" w:rsidTr="00A5177C">
        <w:trPr>
          <w:cantSplit/>
        </w:trPr>
        <w:tc>
          <w:tcPr>
            <w:tcW w:w="1500" w:type="pct"/>
            <w:shd w:val="clear" w:color="auto" w:fill="92D050"/>
          </w:tcPr>
          <w:p w14:paraId="1B8852AD" w14:textId="42977189" w:rsidR="004649FA" w:rsidRPr="00E21AE7" w:rsidRDefault="00885298" w:rsidP="007F171B">
            <w:pPr>
              <w:spacing w:before="80" w:after="80" w:line="276" w:lineRule="auto"/>
              <w:rPr>
                <w:rFonts w:cs="Arial"/>
              </w:rPr>
            </w:pPr>
            <w:r w:rsidRPr="00E21AE7">
              <w:rPr>
                <w:rFonts w:cs="Arial"/>
              </w:rPr>
              <w:t xml:space="preserve">Be developed through a consultative process providing opportunity to all interested and affected parties, including the </w:t>
            </w:r>
            <w:proofErr w:type="gramStart"/>
            <w:r w:rsidRPr="00E21AE7">
              <w:rPr>
                <w:rFonts w:cs="Arial"/>
              </w:rPr>
              <w:t>general public</w:t>
            </w:r>
            <w:proofErr w:type="gramEnd"/>
            <w:r w:rsidR="006B6EF9" w:rsidRPr="00E21AE7">
              <w:rPr>
                <w:rFonts w:cs="Arial"/>
              </w:rPr>
              <w:t>.</w:t>
            </w:r>
          </w:p>
        </w:tc>
        <w:tc>
          <w:tcPr>
            <w:tcW w:w="3500" w:type="pct"/>
            <w:gridSpan w:val="2"/>
            <w:shd w:val="clear" w:color="auto" w:fill="auto"/>
          </w:tcPr>
          <w:p w14:paraId="2CB0D6EA" w14:textId="71417325" w:rsidR="00636969" w:rsidRPr="00E21AE7" w:rsidRDefault="000C5B26" w:rsidP="007F171B">
            <w:pPr>
              <w:spacing w:before="80" w:after="80" w:line="276" w:lineRule="auto"/>
              <w:rPr>
                <w:rFonts w:cs="Arial"/>
                <w:b/>
              </w:rPr>
            </w:pPr>
            <w:r>
              <w:rPr>
                <w:rFonts w:cs="Arial"/>
                <w:b/>
              </w:rPr>
              <w:t>M</w:t>
            </w:r>
            <w:r w:rsidR="003316AE" w:rsidRPr="00E21AE7">
              <w:rPr>
                <w:rFonts w:cs="Arial"/>
                <w:b/>
              </w:rPr>
              <w:t xml:space="preserve">eets </w:t>
            </w:r>
            <w:r w:rsidR="00636969" w:rsidRPr="00E21AE7">
              <w:rPr>
                <w:rFonts w:cs="Arial"/>
                <w:b/>
              </w:rPr>
              <w:t xml:space="preserve">– </w:t>
            </w:r>
            <w:r w:rsidR="00C571D8" w:rsidRPr="00E21AE7">
              <w:rPr>
                <w:rFonts w:cs="Arial"/>
                <w:b/>
              </w:rPr>
              <w:t>C</w:t>
            </w:r>
            <w:r w:rsidR="003316AE" w:rsidRPr="00E21AE7">
              <w:rPr>
                <w:rFonts w:cs="Arial"/>
                <w:b/>
              </w:rPr>
              <w:t xml:space="preserve">onsultative processes </w:t>
            </w:r>
            <w:r w:rsidR="00E9217E">
              <w:rPr>
                <w:rFonts w:cs="Arial"/>
                <w:b/>
              </w:rPr>
              <w:t xml:space="preserve">involve a wide range of stakeholders and the </w:t>
            </w:r>
            <w:proofErr w:type="gramStart"/>
            <w:r w:rsidR="00E9217E">
              <w:rPr>
                <w:rFonts w:cs="Arial"/>
                <w:b/>
              </w:rPr>
              <w:t>general public</w:t>
            </w:r>
            <w:proofErr w:type="gramEnd"/>
          </w:p>
          <w:p w14:paraId="5790B54C" w14:textId="1B6A54AD" w:rsidR="0007405B" w:rsidRPr="00E21AE7" w:rsidRDefault="0007405B" w:rsidP="007F171B">
            <w:pPr>
              <w:spacing w:before="80" w:after="80" w:line="276" w:lineRule="auto"/>
              <w:rPr>
                <w:rFonts w:cs="Arial"/>
              </w:rPr>
            </w:pPr>
            <w:r w:rsidRPr="00E21AE7">
              <w:rPr>
                <w:rFonts w:cs="Arial"/>
              </w:rPr>
              <w:t xml:space="preserve">The management arrangements for the CTFFF </w:t>
            </w:r>
            <w:r w:rsidR="00485522" w:rsidRPr="00E21AE7">
              <w:rPr>
                <w:rFonts w:cs="Arial"/>
              </w:rPr>
              <w:t xml:space="preserve">have been </w:t>
            </w:r>
            <w:r w:rsidRPr="00E21AE7">
              <w:rPr>
                <w:rFonts w:cs="Arial"/>
              </w:rPr>
              <w:t>developed in consultation with industry and other stakeholders</w:t>
            </w:r>
            <w:r w:rsidR="003316AE" w:rsidRPr="00E21AE7">
              <w:rPr>
                <w:rFonts w:cs="Arial"/>
              </w:rPr>
              <w:t xml:space="preserve">, and where </w:t>
            </w:r>
            <w:r w:rsidRPr="00E21AE7">
              <w:rPr>
                <w:rFonts w:cs="Arial"/>
              </w:rPr>
              <w:t>substantive management change</w:t>
            </w:r>
            <w:r w:rsidR="00485522" w:rsidRPr="00E21AE7">
              <w:rPr>
                <w:rFonts w:cs="Arial"/>
              </w:rPr>
              <w:t>s</w:t>
            </w:r>
            <w:r w:rsidRPr="00E21AE7">
              <w:rPr>
                <w:rFonts w:cs="Arial"/>
              </w:rPr>
              <w:t xml:space="preserve"> </w:t>
            </w:r>
            <w:r w:rsidR="00485522" w:rsidRPr="00E21AE7">
              <w:rPr>
                <w:rFonts w:cs="Arial"/>
              </w:rPr>
              <w:t>are</w:t>
            </w:r>
            <w:r w:rsidRPr="00E21AE7">
              <w:rPr>
                <w:rFonts w:cs="Arial"/>
              </w:rPr>
              <w:t xml:space="preserve"> proposed</w:t>
            </w:r>
            <w:r w:rsidR="003316AE" w:rsidRPr="00E21AE7">
              <w:rPr>
                <w:rFonts w:cs="Arial"/>
              </w:rPr>
              <w:t>,</w:t>
            </w:r>
            <w:r w:rsidRPr="00E21AE7">
              <w:rPr>
                <w:rFonts w:cs="Arial"/>
              </w:rPr>
              <w:t xml:space="preserve"> Regulatory Impact Statement</w:t>
            </w:r>
            <w:r w:rsidR="003316AE" w:rsidRPr="00E21AE7">
              <w:rPr>
                <w:rFonts w:cs="Arial"/>
              </w:rPr>
              <w:t xml:space="preserve">s are </w:t>
            </w:r>
            <w:r w:rsidRPr="00E21AE7">
              <w:rPr>
                <w:rFonts w:cs="Arial"/>
              </w:rPr>
              <w:t>released for public comment</w:t>
            </w:r>
            <w:r w:rsidR="003316AE" w:rsidRPr="00E21AE7">
              <w:rPr>
                <w:rFonts w:cs="Arial"/>
              </w:rPr>
              <w:t>. These statements set</w:t>
            </w:r>
            <w:r w:rsidRPr="00E21AE7" w:rsidDel="003316AE">
              <w:rPr>
                <w:rFonts w:cs="Arial"/>
              </w:rPr>
              <w:t xml:space="preserve"> out</w:t>
            </w:r>
            <w:r w:rsidRPr="00E21AE7">
              <w:rPr>
                <w:rFonts w:cs="Arial"/>
              </w:rPr>
              <w:t xml:space="preserve"> proposed changes, their </w:t>
            </w:r>
            <w:proofErr w:type="gramStart"/>
            <w:r w:rsidRPr="00E21AE7">
              <w:rPr>
                <w:rFonts w:cs="Arial"/>
              </w:rPr>
              <w:t>justification</w:t>
            </w:r>
            <w:proofErr w:type="gramEnd"/>
            <w:r w:rsidRPr="00E21AE7">
              <w:rPr>
                <w:rFonts w:cs="Arial"/>
              </w:rPr>
              <w:t xml:space="preserve"> and alternative options.</w:t>
            </w:r>
          </w:p>
          <w:p w14:paraId="254E39FF" w14:textId="68859EC2" w:rsidR="001A793D" w:rsidRPr="00E21AE7" w:rsidRDefault="0007405B" w:rsidP="007F171B">
            <w:pPr>
              <w:spacing w:before="80" w:after="80" w:line="276" w:lineRule="auto"/>
              <w:rPr>
                <w:rFonts w:cs="Arial"/>
              </w:rPr>
            </w:pPr>
            <w:r w:rsidRPr="00E21AE7">
              <w:rPr>
                <w:rFonts w:cs="Arial"/>
              </w:rPr>
              <w:t xml:space="preserve">Unlike some other Queensland-managed fisheries, there is no established </w:t>
            </w:r>
            <w:hyperlink r:id="rId24" w:history="1">
              <w:r w:rsidRPr="00E21AE7">
                <w:rPr>
                  <w:rStyle w:val="Hyperlink"/>
                  <w:rFonts w:cs="Arial"/>
                </w:rPr>
                <w:t>fisheries working group</w:t>
              </w:r>
            </w:hyperlink>
            <w:r w:rsidRPr="00E21AE7">
              <w:rPr>
                <w:rFonts w:cs="Arial"/>
              </w:rPr>
              <w:t xml:space="preserve"> </w:t>
            </w:r>
            <w:r w:rsidR="00485522" w:rsidRPr="00E21AE7">
              <w:rPr>
                <w:rFonts w:cs="Arial"/>
              </w:rPr>
              <w:t>for the CTFFF</w:t>
            </w:r>
            <w:r w:rsidRPr="00E21AE7">
              <w:rPr>
                <w:rFonts w:cs="Arial"/>
              </w:rPr>
              <w:t xml:space="preserve">. </w:t>
            </w:r>
            <w:r w:rsidR="00E04D5B">
              <w:rPr>
                <w:rFonts w:cs="Arial"/>
              </w:rPr>
              <w:t xml:space="preserve">However, the fishery utilises the expertise of the </w:t>
            </w:r>
            <w:hyperlink r:id="rId25" w:history="1">
              <w:r w:rsidR="00E04D5B" w:rsidRPr="00E04D5B">
                <w:rPr>
                  <w:rStyle w:val="Hyperlink"/>
                  <w:rFonts w:cs="Arial"/>
                </w:rPr>
                <w:t>Trawl Fishery Working Group</w:t>
              </w:r>
            </w:hyperlink>
            <w:r w:rsidR="00E04D5B">
              <w:rPr>
                <w:rFonts w:cs="Arial"/>
              </w:rPr>
              <w:t xml:space="preserve"> (the working group for the Queensland East Coast Otter Trawl Fishery (ECOT)) to inform certain management decisions in the CTFFF. </w:t>
            </w:r>
            <w:r w:rsidR="002A571C" w:rsidRPr="00E21AE7">
              <w:rPr>
                <w:rFonts w:cs="Arial"/>
              </w:rPr>
              <w:t xml:space="preserve">QDAF </w:t>
            </w:r>
            <w:r w:rsidR="00E04D5B">
              <w:rPr>
                <w:rFonts w:cs="Arial"/>
              </w:rPr>
              <w:t xml:space="preserve">also </w:t>
            </w:r>
            <w:r w:rsidR="002A571C" w:rsidRPr="00E21AE7">
              <w:rPr>
                <w:rFonts w:cs="Arial"/>
              </w:rPr>
              <w:t xml:space="preserve">consult directly with </w:t>
            </w:r>
            <w:r w:rsidR="00885058" w:rsidRPr="00E21AE7">
              <w:rPr>
                <w:rFonts w:cs="Arial"/>
              </w:rPr>
              <w:t xml:space="preserve">CTFFF licence </w:t>
            </w:r>
            <w:r w:rsidR="002A571C" w:rsidRPr="00E21AE7">
              <w:rPr>
                <w:rFonts w:cs="Arial"/>
              </w:rPr>
              <w:t>holders.</w:t>
            </w:r>
            <w:r w:rsidR="00E9217E">
              <w:rPr>
                <w:rFonts w:cs="Arial"/>
              </w:rPr>
              <w:t xml:space="preserve"> The Trawl Fishery Working Group includes commercial fishers, recreational fishers, conservation sector representatives, members of the Great Barrier Reef Marine Park Authority and QDAF. </w:t>
            </w:r>
          </w:p>
        </w:tc>
      </w:tr>
      <w:tr w:rsidR="00885298" w:rsidRPr="000900EC" w14:paraId="064DC322" w14:textId="77777777" w:rsidTr="00A5177C">
        <w:trPr>
          <w:cantSplit/>
        </w:trPr>
        <w:tc>
          <w:tcPr>
            <w:tcW w:w="1500" w:type="pct"/>
            <w:shd w:val="clear" w:color="auto" w:fill="92D050"/>
          </w:tcPr>
          <w:p w14:paraId="2188F6A2" w14:textId="736ED5D8" w:rsidR="004649FA" w:rsidRPr="00E21AE7" w:rsidRDefault="00885298" w:rsidP="007F171B">
            <w:pPr>
              <w:spacing w:before="80" w:after="80" w:line="276" w:lineRule="auto"/>
              <w:rPr>
                <w:rFonts w:cs="Arial"/>
              </w:rPr>
            </w:pPr>
            <w:r w:rsidRPr="00E21AE7">
              <w:rPr>
                <w:rFonts w:cs="Arial"/>
              </w:rPr>
              <w:lastRenderedPageBreak/>
              <w:t>Ensure that a range of expertise and community interests are involved in individual fishery management committees and during the stock assessment process</w:t>
            </w:r>
            <w:r w:rsidR="006B6EF9" w:rsidRPr="00E21AE7">
              <w:rPr>
                <w:rFonts w:cs="Arial"/>
              </w:rPr>
              <w:t>.</w:t>
            </w:r>
          </w:p>
        </w:tc>
        <w:tc>
          <w:tcPr>
            <w:tcW w:w="3500" w:type="pct"/>
            <w:gridSpan w:val="2"/>
            <w:shd w:val="clear" w:color="auto" w:fill="auto"/>
          </w:tcPr>
          <w:p w14:paraId="2775BFB6" w14:textId="4278B6EC" w:rsidR="00636969" w:rsidRPr="00E21AE7" w:rsidRDefault="00411230" w:rsidP="007F171B">
            <w:pPr>
              <w:spacing w:before="80" w:after="80" w:line="276" w:lineRule="auto"/>
              <w:rPr>
                <w:rFonts w:cs="Arial"/>
                <w:b/>
              </w:rPr>
            </w:pPr>
            <w:r>
              <w:rPr>
                <w:rFonts w:cs="Arial"/>
                <w:b/>
              </w:rPr>
              <w:t>M</w:t>
            </w:r>
            <w:r w:rsidR="009128B5" w:rsidRPr="00E21AE7">
              <w:rPr>
                <w:rFonts w:cs="Arial"/>
                <w:b/>
              </w:rPr>
              <w:t xml:space="preserve">eets </w:t>
            </w:r>
            <w:r w:rsidR="00636969" w:rsidRPr="00E21AE7">
              <w:rPr>
                <w:rFonts w:cs="Arial"/>
                <w:b/>
              </w:rPr>
              <w:t xml:space="preserve">– </w:t>
            </w:r>
            <w:r w:rsidR="00C571D8" w:rsidRPr="00E21AE7">
              <w:rPr>
                <w:rFonts w:cs="Arial"/>
                <w:b/>
              </w:rPr>
              <w:t>E</w:t>
            </w:r>
            <w:r w:rsidR="003316AE" w:rsidRPr="00E21AE7">
              <w:rPr>
                <w:rFonts w:cs="Arial"/>
                <w:b/>
              </w:rPr>
              <w:t>xpert</w:t>
            </w:r>
            <w:r w:rsidR="009128B5" w:rsidRPr="00E21AE7">
              <w:rPr>
                <w:rFonts w:cs="Arial"/>
                <w:b/>
              </w:rPr>
              <w:t xml:space="preserve"> panel with </w:t>
            </w:r>
            <w:r>
              <w:rPr>
                <w:rFonts w:cs="Arial"/>
                <w:b/>
              </w:rPr>
              <w:t xml:space="preserve">a </w:t>
            </w:r>
            <w:r w:rsidR="009128B5" w:rsidRPr="00E21AE7">
              <w:rPr>
                <w:rFonts w:cs="Arial"/>
                <w:b/>
              </w:rPr>
              <w:t xml:space="preserve">range of interests </w:t>
            </w:r>
            <w:r>
              <w:rPr>
                <w:rFonts w:cs="Arial"/>
                <w:b/>
              </w:rPr>
              <w:t xml:space="preserve">oversees </w:t>
            </w:r>
            <w:r w:rsidR="009128B5" w:rsidRPr="00E21AE7">
              <w:rPr>
                <w:rFonts w:cs="Arial"/>
                <w:b/>
              </w:rPr>
              <w:t xml:space="preserve">matters including </w:t>
            </w:r>
            <w:r w:rsidR="003316AE" w:rsidRPr="00E21AE7">
              <w:rPr>
                <w:rFonts w:cs="Arial"/>
                <w:b/>
              </w:rPr>
              <w:t>stock assessments</w:t>
            </w:r>
          </w:p>
          <w:p w14:paraId="3D92996D" w14:textId="39080C52" w:rsidR="00F835C5" w:rsidRPr="00E21AE7" w:rsidRDefault="001A793D" w:rsidP="007F171B">
            <w:pPr>
              <w:spacing w:before="80" w:after="80" w:line="276" w:lineRule="auto"/>
              <w:rPr>
                <w:rFonts w:cs="Arial"/>
              </w:rPr>
            </w:pPr>
            <w:r w:rsidRPr="00E21AE7">
              <w:rPr>
                <w:rFonts w:cs="Arial"/>
              </w:rPr>
              <w:t xml:space="preserve">Stock assessments are undertaken by experienced </w:t>
            </w:r>
            <w:r w:rsidR="00334354" w:rsidRPr="00E21AE7">
              <w:rPr>
                <w:rFonts w:cs="Arial"/>
              </w:rPr>
              <w:t xml:space="preserve">QDAF </w:t>
            </w:r>
            <w:r w:rsidRPr="00E21AE7">
              <w:rPr>
                <w:rFonts w:cs="Arial"/>
              </w:rPr>
              <w:t>stock assessment scientists</w:t>
            </w:r>
            <w:r w:rsidR="00B160B7" w:rsidRPr="00E21AE7">
              <w:rPr>
                <w:rFonts w:cs="Arial"/>
              </w:rPr>
              <w:t>.</w:t>
            </w:r>
          </w:p>
          <w:p w14:paraId="3835444A" w14:textId="24612FD1" w:rsidR="009128B5" w:rsidRPr="00E21AE7" w:rsidRDefault="0009297C" w:rsidP="007F171B">
            <w:pPr>
              <w:spacing w:before="80" w:after="80" w:line="276" w:lineRule="auto"/>
              <w:rPr>
                <w:rFonts w:cs="Arial"/>
              </w:rPr>
            </w:pPr>
            <w:r w:rsidRPr="00E21AE7">
              <w:rPr>
                <w:rFonts w:cs="Arial"/>
              </w:rPr>
              <w:t xml:space="preserve">A </w:t>
            </w:r>
            <w:hyperlink r:id="rId26" w:history="1">
              <w:r w:rsidRPr="00E21AE7">
                <w:rPr>
                  <w:rStyle w:val="Hyperlink"/>
                  <w:rFonts w:cs="Arial"/>
                </w:rPr>
                <w:t>Sustainable Fisheries Exp</w:t>
              </w:r>
              <w:r w:rsidR="002472A7" w:rsidRPr="00E21AE7">
                <w:rPr>
                  <w:rStyle w:val="Hyperlink"/>
                  <w:rFonts w:cs="Arial"/>
                </w:rPr>
                <w:t>e</w:t>
              </w:r>
              <w:r w:rsidRPr="00E21AE7">
                <w:rPr>
                  <w:rStyle w:val="Hyperlink"/>
                  <w:rFonts w:cs="Arial"/>
                </w:rPr>
                <w:t>rt Panel</w:t>
              </w:r>
            </w:hyperlink>
            <w:r w:rsidRPr="00E21AE7">
              <w:rPr>
                <w:rFonts w:cs="Arial"/>
              </w:rPr>
              <w:t xml:space="preserve"> was established in July 2017</w:t>
            </w:r>
            <w:r w:rsidR="009128B5" w:rsidRPr="00E21AE7">
              <w:rPr>
                <w:rFonts w:cs="Arial"/>
              </w:rPr>
              <w:t>. The panel includes an independent chair and members selected based on their expertise in stock assessment, fish biology, fisheries management</w:t>
            </w:r>
            <w:r w:rsidR="004638DE" w:rsidRPr="00E21AE7">
              <w:rPr>
                <w:rFonts w:cs="Arial"/>
              </w:rPr>
              <w:t xml:space="preserve"> and or </w:t>
            </w:r>
            <w:r w:rsidR="009128B5" w:rsidRPr="00E21AE7">
              <w:rPr>
                <w:rFonts w:cs="Arial"/>
              </w:rPr>
              <w:t>resource allocation, threatened species, economics and social and</w:t>
            </w:r>
            <w:r w:rsidR="004638DE" w:rsidRPr="00E21AE7">
              <w:rPr>
                <w:rFonts w:cs="Arial"/>
              </w:rPr>
              <w:t xml:space="preserve"> </w:t>
            </w:r>
            <w:r w:rsidR="009128B5" w:rsidRPr="00E21AE7">
              <w:rPr>
                <w:rFonts w:cs="Arial"/>
              </w:rPr>
              <w:t>or cultural matters.</w:t>
            </w:r>
          </w:p>
          <w:p w14:paraId="0858A9ED" w14:textId="3BD56F01" w:rsidR="0009297C" w:rsidRDefault="009128B5" w:rsidP="007F171B">
            <w:pPr>
              <w:spacing w:before="80" w:after="80" w:line="276" w:lineRule="auto"/>
              <w:rPr>
                <w:rFonts w:cs="Arial"/>
              </w:rPr>
            </w:pPr>
            <w:r w:rsidRPr="00E21AE7">
              <w:rPr>
                <w:rFonts w:cs="Arial"/>
              </w:rPr>
              <w:t xml:space="preserve">The panel provides </w:t>
            </w:r>
            <w:r w:rsidR="0009297C" w:rsidRPr="00E21AE7">
              <w:rPr>
                <w:rFonts w:cs="Arial"/>
                <w:lang w:val="en"/>
              </w:rPr>
              <w:t>independent expert advice to QDAF on best practice fisheries management and implementation of the Sustainable Fisheries Strategy</w:t>
            </w:r>
            <w:r w:rsidR="00B160B7" w:rsidRPr="00E21AE7">
              <w:rPr>
                <w:rFonts w:cs="Arial"/>
                <w:lang w:val="en"/>
              </w:rPr>
              <w:t xml:space="preserve"> for all Queensland fisheries</w:t>
            </w:r>
            <w:r w:rsidR="0009297C" w:rsidRPr="00E21AE7">
              <w:rPr>
                <w:rFonts w:cs="Arial"/>
                <w:lang w:val="en"/>
              </w:rPr>
              <w:t xml:space="preserve">. The panel also </w:t>
            </w:r>
            <w:r w:rsidR="0009297C" w:rsidRPr="00E21AE7">
              <w:rPr>
                <w:rFonts w:cs="Arial"/>
              </w:rPr>
              <w:t>advi</w:t>
            </w:r>
            <w:r w:rsidR="00B160B7" w:rsidRPr="00E21AE7">
              <w:rPr>
                <w:rFonts w:cs="Arial"/>
              </w:rPr>
              <w:t>ses</w:t>
            </w:r>
            <w:r w:rsidR="0009297C" w:rsidRPr="00E21AE7">
              <w:rPr>
                <w:rFonts w:cs="Arial"/>
              </w:rPr>
              <w:t xml:space="preserve"> on</w:t>
            </w:r>
            <w:r w:rsidR="00B160B7" w:rsidRPr="00E21AE7">
              <w:rPr>
                <w:rFonts w:cs="Arial"/>
              </w:rPr>
              <w:t xml:space="preserve"> </w:t>
            </w:r>
            <w:r w:rsidR="0009297C" w:rsidRPr="00E21AE7">
              <w:rPr>
                <w:rFonts w:cs="Arial"/>
              </w:rPr>
              <w:t>sustainable limits and reference points for individual fisheries/species</w:t>
            </w:r>
            <w:r w:rsidR="00B160B7" w:rsidRPr="00E21AE7">
              <w:rPr>
                <w:rFonts w:cs="Arial"/>
              </w:rPr>
              <w:t xml:space="preserve">, </w:t>
            </w:r>
            <w:r w:rsidR="0009297C" w:rsidRPr="00E21AE7">
              <w:rPr>
                <w:rFonts w:cs="Arial"/>
              </w:rPr>
              <w:t>the adequacy of proposed fishery harvest strategies</w:t>
            </w:r>
            <w:r w:rsidR="00B160B7" w:rsidRPr="00E21AE7">
              <w:rPr>
                <w:rFonts w:cs="Arial"/>
              </w:rPr>
              <w:t xml:space="preserve">, and </w:t>
            </w:r>
            <w:r w:rsidR="0009297C" w:rsidRPr="00E21AE7">
              <w:rPr>
                <w:rFonts w:cs="Arial"/>
              </w:rPr>
              <w:t xml:space="preserve">data, </w:t>
            </w:r>
            <w:proofErr w:type="gramStart"/>
            <w:r w:rsidR="0009297C" w:rsidRPr="00E21AE7">
              <w:rPr>
                <w:rFonts w:cs="Arial"/>
              </w:rPr>
              <w:t>research</w:t>
            </w:r>
            <w:proofErr w:type="gramEnd"/>
            <w:r w:rsidR="0009297C" w:rsidRPr="00E21AE7">
              <w:rPr>
                <w:rFonts w:cs="Arial"/>
              </w:rPr>
              <w:t xml:space="preserve"> and monitoring needs</w:t>
            </w:r>
            <w:r w:rsidR="00B160B7" w:rsidRPr="00E21AE7">
              <w:rPr>
                <w:rFonts w:cs="Arial"/>
              </w:rPr>
              <w:t>.</w:t>
            </w:r>
          </w:p>
          <w:p w14:paraId="3063EE93" w14:textId="77777777" w:rsidR="00927BD9" w:rsidRDefault="00F835C5" w:rsidP="00927BD9">
            <w:pPr>
              <w:spacing w:before="80" w:after="80" w:line="276" w:lineRule="auto"/>
              <w:rPr>
                <w:rFonts w:cs="Arial"/>
              </w:rPr>
            </w:pPr>
            <w:r w:rsidRPr="00F835C5">
              <w:rPr>
                <w:rFonts w:cs="Arial"/>
              </w:rPr>
              <w:t xml:space="preserve">The </w:t>
            </w:r>
            <w:r>
              <w:rPr>
                <w:rFonts w:cs="Arial"/>
              </w:rPr>
              <w:t>p</w:t>
            </w:r>
            <w:r w:rsidRPr="00F835C5">
              <w:rPr>
                <w:rFonts w:cs="Arial"/>
              </w:rPr>
              <w:t xml:space="preserve">anel provided input into the methods </w:t>
            </w:r>
            <w:r w:rsidR="00927BD9">
              <w:rPr>
                <w:rFonts w:cs="Arial"/>
              </w:rPr>
              <w:t>for</w:t>
            </w:r>
            <w:r w:rsidRPr="00F835C5">
              <w:rPr>
                <w:rFonts w:cs="Arial"/>
              </w:rPr>
              <w:t xml:space="preserve"> stock assessments and subsequently endorsed the proposed stock assessment program</w:t>
            </w:r>
            <w:r w:rsidR="00927BD9">
              <w:rPr>
                <w:rFonts w:cs="Arial"/>
              </w:rPr>
              <w:t xml:space="preserve">. </w:t>
            </w:r>
          </w:p>
          <w:p w14:paraId="14A7D973" w14:textId="4BBCD225" w:rsidR="005C00D6" w:rsidRPr="00E21AE7" w:rsidRDefault="00927BD9" w:rsidP="007F171B">
            <w:pPr>
              <w:spacing w:before="80" w:after="80" w:line="276" w:lineRule="auto"/>
              <w:rPr>
                <w:rFonts w:cs="Arial"/>
              </w:rPr>
            </w:pPr>
            <w:r>
              <w:t>E</w:t>
            </w:r>
            <w:r>
              <w:rPr>
                <w:rFonts w:cs="Arial"/>
              </w:rPr>
              <w:t>ach</w:t>
            </w:r>
            <w:r w:rsidRPr="00F835C5">
              <w:rPr>
                <w:rFonts w:cs="Arial"/>
              </w:rPr>
              <w:t xml:space="preserve"> stock assessment is supported by a project team including members with specific expertise for the target species, relevant fishery managers, the QDAF data team, and members of the QDAF stock assessment team</w:t>
            </w:r>
            <w:r>
              <w:rPr>
                <w:rFonts w:cs="Arial"/>
              </w:rPr>
              <w:t xml:space="preserve">. </w:t>
            </w:r>
            <w:r w:rsidR="00F835C5" w:rsidRPr="00F835C5">
              <w:rPr>
                <w:rFonts w:cs="Arial"/>
              </w:rPr>
              <w:t xml:space="preserve">Project team meetings follow a specific agenda to consider and endorse all aspects of each stock assessment including; data sources, data limitations, fishing history, species life history data, suitable model types, management objectives, report content, required outputs and timelines. </w:t>
            </w:r>
            <w:r w:rsidR="00F835C5">
              <w:rPr>
                <w:rFonts w:cs="Arial"/>
              </w:rPr>
              <w:t xml:space="preserve">The </w:t>
            </w:r>
            <w:r w:rsidR="00F835C5" w:rsidRPr="00F835C5">
              <w:rPr>
                <w:rFonts w:cs="Arial"/>
              </w:rPr>
              <w:t xml:space="preserve">project team </w:t>
            </w:r>
            <w:r w:rsidR="00F835C5">
              <w:rPr>
                <w:rFonts w:cs="Arial"/>
              </w:rPr>
              <w:t xml:space="preserve">that </w:t>
            </w:r>
            <w:r w:rsidR="00F835C5" w:rsidRPr="00F835C5">
              <w:rPr>
                <w:rFonts w:cs="Arial"/>
              </w:rPr>
              <w:t>oversee</w:t>
            </w:r>
            <w:r w:rsidR="00F835C5">
              <w:rPr>
                <w:rFonts w:cs="Arial"/>
              </w:rPr>
              <w:t>s</w:t>
            </w:r>
            <w:r w:rsidR="00F835C5" w:rsidRPr="00F835C5">
              <w:rPr>
                <w:rFonts w:cs="Arial"/>
              </w:rPr>
              <w:t xml:space="preserve"> </w:t>
            </w:r>
            <w:r w:rsidR="00F835C5">
              <w:rPr>
                <w:rFonts w:cs="Arial"/>
              </w:rPr>
              <w:t>S</w:t>
            </w:r>
            <w:r w:rsidR="00F835C5" w:rsidRPr="00F835C5">
              <w:rPr>
                <w:rFonts w:cs="Arial"/>
              </w:rPr>
              <w:t xml:space="preserve">tout </w:t>
            </w:r>
            <w:r w:rsidR="00F835C5">
              <w:rPr>
                <w:rFonts w:cs="Arial"/>
              </w:rPr>
              <w:t>W</w:t>
            </w:r>
            <w:r w:rsidR="00F835C5" w:rsidRPr="00F835C5">
              <w:rPr>
                <w:rFonts w:cs="Arial"/>
              </w:rPr>
              <w:t xml:space="preserve">hiting stock assessments and annual catch rate analyses. This team includes a member representing </w:t>
            </w:r>
            <w:r w:rsidR="00F835C5">
              <w:rPr>
                <w:rFonts w:cs="Arial"/>
              </w:rPr>
              <w:t xml:space="preserve">New South Wales </w:t>
            </w:r>
            <w:r w:rsidR="00F835C5" w:rsidRPr="00F835C5">
              <w:rPr>
                <w:rFonts w:cs="Arial"/>
              </w:rPr>
              <w:t>Fisheries</w:t>
            </w:r>
            <w:r>
              <w:rPr>
                <w:rFonts w:cs="Arial"/>
              </w:rPr>
              <w:t xml:space="preserve"> (QDAF pers comm. 3 July 2020).</w:t>
            </w:r>
          </w:p>
        </w:tc>
      </w:tr>
      <w:tr w:rsidR="00885298" w:rsidRPr="000900EC" w14:paraId="434A9161" w14:textId="77777777" w:rsidTr="008903BD">
        <w:trPr>
          <w:cantSplit/>
        </w:trPr>
        <w:tc>
          <w:tcPr>
            <w:tcW w:w="1500" w:type="pct"/>
            <w:shd w:val="clear" w:color="auto" w:fill="FF0000"/>
          </w:tcPr>
          <w:p w14:paraId="7043B0B9" w14:textId="3AA0A409" w:rsidR="004649FA" w:rsidRPr="00E21AE7" w:rsidRDefault="00885298" w:rsidP="007F171B">
            <w:pPr>
              <w:spacing w:before="80" w:after="80" w:line="276" w:lineRule="auto"/>
              <w:rPr>
                <w:rFonts w:cs="Arial"/>
              </w:rPr>
            </w:pPr>
            <w:r w:rsidRPr="00E21AE7">
              <w:rPr>
                <w:rFonts w:cs="Arial"/>
              </w:rPr>
              <w:t xml:space="preserve">Be strategic, containing objectives and performance criteria by which the effectiveness of the management arrangements </w:t>
            </w:r>
            <w:proofErr w:type="gramStart"/>
            <w:r w:rsidRPr="00E21AE7">
              <w:rPr>
                <w:rFonts w:cs="Arial"/>
              </w:rPr>
              <w:t>are</w:t>
            </w:r>
            <w:proofErr w:type="gramEnd"/>
            <w:r w:rsidRPr="00E21AE7">
              <w:rPr>
                <w:rFonts w:cs="Arial"/>
              </w:rPr>
              <w:t xml:space="preserve"> measured</w:t>
            </w:r>
            <w:r w:rsidR="006B6EF9" w:rsidRPr="00E21AE7">
              <w:rPr>
                <w:rFonts w:cs="Arial"/>
              </w:rPr>
              <w:t>.</w:t>
            </w:r>
          </w:p>
        </w:tc>
        <w:tc>
          <w:tcPr>
            <w:tcW w:w="3500" w:type="pct"/>
            <w:gridSpan w:val="2"/>
            <w:shd w:val="clear" w:color="auto" w:fill="auto"/>
          </w:tcPr>
          <w:p w14:paraId="4A3EFAAE" w14:textId="66C06E08" w:rsidR="00014183" w:rsidRPr="00E21AE7" w:rsidRDefault="00F8472A" w:rsidP="007F171B">
            <w:pPr>
              <w:pStyle w:val="BodyText1"/>
              <w:spacing w:before="80" w:after="80" w:line="276" w:lineRule="auto"/>
              <w:jc w:val="left"/>
              <w:rPr>
                <w:rFonts w:cs="Arial"/>
                <w:b/>
                <w:szCs w:val="22"/>
              </w:rPr>
            </w:pPr>
            <w:r w:rsidRPr="00E21AE7">
              <w:rPr>
                <w:rFonts w:cs="Arial"/>
                <w:b/>
                <w:szCs w:val="22"/>
              </w:rPr>
              <w:t>Does not meet</w:t>
            </w:r>
            <w:r w:rsidR="008D2B65" w:rsidRPr="00E21AE7">
              <w:rPr>
                <w:rFonts w:cs="Arial"/>
                <w:b/>
                <w:szCs w:val="22"/>
              </w:rPr>
              <w:t xml:space="preserve"> – </w:t>
            </w:r>
            <w:r w:rsidR="005869AD" w:rsidRPr="00E21AE7">
              <w:rPr>
                <w:rFonts w:cs="Arial"/>
                <w:b/>
                <w:szCs w:val="22"/>
              </w:rPr>
              <w:t xml:space="preserve">Inadequate or non-existent objectives and performance criteria. </w:t>
            </w:r>
            <w:r w:rsidR="001203F4" w:rsidRPr="00E21AE7">
              <w:rPr>
                <w:rFonts w:cs="Arial"/>
                <w:b/>
                <w:szCs w:val="22"/>
              </w:rPr>
              <w:t xml:space="preserve">The </w:t>
            </w:r>
            <w:r w:rsidR="005869AD" w:rsidRPr="00E21AE7">
              <w:rPr>
                <w:rFonts w:cs="Arial"/>
                <w:b/>
                <w:szCs w:val="22"/>
              </w:rPr>
              <w:t xml:space="preserve">effectiveness </w:t>
            </w:r>
            <w:r w:rsidR="001203F4" w:rsidRPr="00E21AE7">
              <w:rPr>
                <w:rFonts w:cs="Arial"/>
                <w:b/>
                <w:szCs w:val="22"/>
              </w:rPr>
              <w:t xml:space="preserve">of management is </w:t>
            </w:r>
            <w:r w:rsidR="005869AD" w:rsidRPr="00E21AE7">
              <w:rPr>
                <w:rFonts w:cs="Arial"/>
                <w:b/>
                <w:szCs w:val="22"/>
              </w:rPr>
              <w:t>not measured</w:t>
            </w:r>
            <w:r w:rsidR="00313570" w:rsidRPr="00E21AE7">
              <w:rPr>
                <w:rFonts w:cs="Arial"/>
                <w:b/>
                <w:szCs w:val="22"/>
              </w:rPr>
              <w:t>.</w:t>
            </w:r>
          </w:p>
          <w:p w14:paraId="7B43EB50" w14:textId="18450E6A" w:rsidR="00014183" w:rsidRPr="00E21AE7" w:rsidRDefault="00014183" w:rsidP="007F171B">
            <w:pPr>
              <w:pStyle w:val="BodyText1"/>
              <w:spacing w:before="80" w:after="80" w:line="276" w:lineRule="auto"/>
              <w:rPr>
                <w:rFonts w:cs="Arial"/>
                <w:szCs w:val="22"/>
              </w:rPr>
            </w:pPr>
            <w:r w:rsidRPr="00E21AE7">
              <w:rPr>
                <w:rFonts w:cs="Arial"/>
                <w:szCs w:val="22"/>
              </w:rPr>
              <w:t xml:space="preserve">A </w:t>
            </w:r>
            <w:hyperlink r:id="rId27" w:history="1">
              <w:r w:rsidRPr="00E21AE7">
                <w:rPr>
                  <w:rStyle w:val="Hyperlink"/>
                  <w:rFonts w:cs="Arial"/>
                  <w:szCs w:val="22"/>
                </w:rPr>
                <w:t>performance measurement system</w:t>
              </w:r>
            </w:hyperlink>
            <w:r w:rsidRPr="00E21AE7">
              <w:rPr>
                <w:rFonts w:cs="Arial"/>
                <w:szCs w:val="22"/>
              </w:rPr>
              <w:t xml:space="preserve"> </w:t>
            </w:r>
            <w:r w:rsidR="001D1BF0" w:rsidRPr="00E21AE7">
              <w:rPr>
                <w:rFonts w:cs="Arial"/>
                <w:szCs w:val="22"/>
              </w:rPr>
              <w:t xml:space="preserve">was published </w:t>
            </w:r>
            <w:r w:rsidRPr="00E21AE7">
              <w:rPr>
                <w:rFonts w:cs="Arial"/>
                <w:szCs w:val="22"/>
              </w:rPr>
              <w:t>for the CTFFF</w:t>
            </w:r>
            <w:r w:rsidR="001D1BF0" w:rsidRPr="00E21AE7">
              <w:rPr>
                <w:rFonts w:cs="Arial"/>
                <w:szCs w:val="22"/>
              </w:rPr>
              <w:t xml:space="preserve"> in 2007</w:t>
            </w:r>
            <w:r w:rsidRPr="00E21AE7">
              <w:rPr>
                <w:rFonts w:cs="Arial"/>
                <w:szCs w:val="22"/>
              </w:rPr>
              <w:t>, but is no longer in effect.</w:t>
            </w:r>
          </w:p>
          <w:p w14:paraId="40D7EE54" w14:textId="56991790" w:rsidR="00F753F4" w:rsidRPr="00E21AE7" w:rsidRDefault="00014183" w:rsidP="007F171B">
            <w:pPr>
              <w:pStyle w:val="BodyText1"/>
              <w:spacing w:before="80" w:after="80" w:line="276" w:lineRule="auto"/>
              <w:rPr>
                <w:rFonts w:cs="Arial"/>
                <w:szCs w:val="22"/>
              </w:rPr>
            </w:pPr>
            <w:r w:rsidRPr="00E21AE7">
              <w:rPr>
                <w:rFonts w:cs="Arial"/>
                <w:szCs w:val="22"/>
              </w:rPr>
              <w:t>Catch and other information is periodically assessed by QDAF</w:t>
            </w:r>
            <w:r w:rsidR="003B7047" w:rsidRPr="00E21AE7">
              <w:rPr>
                <w:rFonts w:cs="Arial"/>
                <w:szCs w:val="22"/>
              </w:rPr>
              <w:t xml:space="preserve"> but</w:t>
            </w:r>
            <w:r w:rsidRPr="00E21AE7">
              <w:rPr>
                <w:rFonts w:cs="Arial"/>
                <w:szCs w:val="22"/>
              </w:rPr>
              <w:t xml:space="preserve"> there is no formal process for monitoring or managing fishery performance.</w:t>
            </w:r>
          </w:p>
          <w:p w14:paraId="1DAE5048" w14:textId="6B1D8CB9" w:rsidR="00885298" w:rsidRPr="00E21AE7" w:rsidRDefault="00014183" w:rsidP="007F171B">
            <w:pPr>
              <w:pStyle w:val="BodyText1"/>
              <w:spacing w:before="80" w:after="80" w:line="276" w:lineRule="auto"/>
              <w:jc w:val="left"/>
              <w:rPr>
                <w:rFonts w:cs="Arial"/>
                <w:szCs w:val="22"/>
              </w:rPr>
            </w:pPr>
            <w:r w:rsidRPr="00E21AE7">
              <w:rPr>
                <w:rFonts w:cs="Arial"/>
                <w:szCs w:val="22"/>
              </w:rPr>
              <w:t xml:space="preserve">QDAF has advised that a harvest strategy containing strategic objectives and performance criteria, by which the effectiveness of the management arrangements can be measured, will be </w:t>
            </w:r>
            <w:r w:rsidR="00EF3AD0" w:rsidRPr="00E21AE7">
              <w:rPr>
                <w:rFonts w:cs="Arial"/>
                <w:szCs w:val="22"/>
              </w:rPr>
              <w:t>developed</w:t>
            </w:r>
            <w:r w:rsidR="000F6D58" w:rsidRPr="00E21AE7">
              <w:rPr>
                <w:rFonts w:cs="Arial"/>
                <w:szCs w:val="22"/>
              </w:rPr>
              <w:t>,</w:t>
            </w:r>
            <w:r w:rsidR="00EF3AD0" w:rsidRPr="00E21AE7">
              <w:rPr>
                <w:rFonts w:cs="Arial"/>
                <w:szCs w:val="22"/>
              </w:rPr>
              <w:t xml:space="preserve"> and </w:t>
            </w:r>
            <w:r w:rsidRPr="00E21AE7">
              <w:rPr>
                <w:rFonts w:cs="Arial"/>
                <w:szCs w:val="22"/>
              </w:rPr>
              <w:t xml:space="preserve">implemented </w:t>
            </w:r>
            <w:r w:rsidR="00EF3AD0" w:rsidRPr="00E21AE7">
              <w:rPr>
                <w:rFonts w:cs="Arial"/>
                <w:szCs w:val="22"/>
              </w:rPr>
              <w:t xml:space="preserve">in </w:t>
            </w:r>
            <w:r w:rsidR="003D48FD" w:rsidRPr="00E21AE7">
              <w:rPr>
                <w:rFonts w:cs="Arial"/>
                <w:szCs w:val="22"/>
              </w:rPr>
              <w:t>2021</w:t>
            </w:r>
            <w:r w:rsidRPr="00E21AE7">
              <w:rPr>
                <w:rFonts w:cs="Arial"/>
                <w:szCs w:val="22"/>
              </w:rPr>
              <w:t>.</w:t>
            </w:r>
            <w:r w:rsidR="005C00D6" w:rsidRPr="00E21AE7">
              <w:rPr>
                <w:rFonts w:cs="Arial"/>
                <w:szCs w:val="22"/>
              </w:rPr>
              <w:t xml:space="preserve"> </w:t>
            </w:r>
            <w:r w:rsidR="002D7E89">
              <w:rPr>
                <w:rFonts w:cs="Arial"/>
                <w:szCs w:val="22"/>
              </w:rPr>
              <w:t>T</w:t>
            </w:r>
            <w:r w:rsidR="00B127FE">
              <w:rPr>
                <w:rFonts w:cs="Arial"/>
                <w:szCs w:val="22"/>
              </w:rPr>
              <w:t xml:space="preserve">he </w:t>
            </w:r>
            <w:r w:rsidR="00BA6453">
              <w:rPr>
                <w:rFonts w:cs="Arial"/>
                <w:szCs w:val="22"/>
              </w:rPr>
              <w:t xml:space="preserve">existing </w:t>
            </w:r>
            <w:r w:rsidR="00B127FE">
              <w:rPr>
                <w:rFonts w:cs="Arial"/>
                <w:szCs w:val="22"/>
              </w:rPr>
              <w:t>management arrangements are likely to be effective until a harvest strategy is implemented.</w:t>
            </w:r>
          </w:p>
        </w:tc>
      </w:tr>
      <w:tr w:rsidR="00885298" w:rsidRPr="000900EC" w14:paraId="73791D4D" w14:textId="77777777" w:rsidTr="008903BD">
        <w:trPr>
          <w:cantSplit/>
        </w:trPr>
        <w:tc>
          <w:tcPr>
            <w:tcW w:w="1500" w:type="pct"/>
            <w:shd w:val="clear" w:color="auto" w:fill="92D050"/>
          </w:tcPr>
          <w:p w14:paraId="1EB80B0F" w14:textId="109601B0" w:rsidR="004649FA" w:rsidRPr="00E21AE7" w:rsidRDefault="00885298" w:rsidP="007F171B">
            <w:pPr>
              <w:spacing w:before="80" w:after="80" w:line="276" w:lineRule="auto"/>
              <w:rPr>
                <w:rFonts w:cs="Arial"/>
              </w:rPr>
            </w:pPr>
            <w:r w:rsidRPr="00E21AE7">
              <w:rPr>
                <w:rFonts w:cs="Arial"/>
              </w:rPr>
              <w:lastRenderedPageBreak/>
              <w:t>Be capable of controlling the level of harvest in the fishery using input and/or output controls</w:t>
            </w:r>
            <w:r w:rsidR="006B6EF9" w:rsidRPr="00E21AE7">
              <w:rPr>
                <w:rFonts w:cs="Arial"/>
              </w:rPr>
              <w:t>.</w:t>
            </w:r>
          </w:p>
        </w:tc>
        <w:tc>
          <w:tcPr>
            <w:tcW w:w="3500" w:type="pct"/>
            <w:gridSpan w:val="2"/>
            <w:shd w:val="clear" w:color="auto" w:fill="auto"/>
          </w:tcPr>
          <w:p w14:paraId="32568A02" w14:textId="01C3D916" w:rsidR="005869AD" w:rsidRPr="00E21AE7" w:rsidRDefault="00F8472A" w:rsidP="007F171B">
            <w:pPr>
              <w:spacing w:before="80" w:after="80" w:line="276" w:lineRule="auto"/>
              <w:rPr>
                <w:rFonts w:cs="Arial"/>
                <w:b/>
              </w:rPr>
            </w:pPr>
            <w:r w:rsidRPr="00E21AE7">
              <w:rPr>
                <w:rFonts w:cs="Arial"/>
                <w:b/>
              </w:rPr>
              <w:t xml:space="preserve">Meets </w:t>
            </w:r>
            <w:r w:rsidR="00636969" w:rsidRPr="00E21AE7">
              <w:rPr>
                <w:rFonts w:cs="Arial"/>
                <w:b/>
              </w:rPr>
              <w:t xml:space="preserve">– </w:t>
            </w:r>
            <w:r w:rsidR="005C00D6" w:rsidRPr="00E21AE7">
              <w:rPr>
                <w:rFonts w:cs="Arial"/>
                <w:b/>
              </w:rPr>
              <w:t xml:space="preserve">The level of harvest is effectively controlled using </w:t>
            </w:r>
            <w:r w:rsidR="00755D3F" w:rsidRPr="00E21AE7">
              <w:rPr>
                <w:rFonts w:cs="Arial"/>
                <w:b/>
              </w:rPr>
              <w:t>catch limits and quotas</w:t>
            </w:r>
          </w:p>
          <w:p w14:paraId="1CD45643" w14:textId="0ABCD882" w:rsidR="0099502E" w:rsidRPr="00E21AE7" w:rsidRDefault="001D1BF0" w:rsidP="007F171B">
            <w:pPr>
              <w:spacing w:before="80" w:after="80" w:line="276" w:lineRule="auto"/>
              <w:rPr>
                <w:rFonts w:cs="Arial"/>
              </w:rPr>
            </w:pPr>
            <w:r w:rsidRPr="00E21AE7">
              <w:rPr>
                <w:rFonts w:cs="Arial"/>
              </w:rPr>
              <w:t xml:space="preserve">The harvest of target species </w:t>
            </w:r>
            <w:r w:rsidR="00E03E1F" w:rsidRPr="00E21AE7">
              <w:rPr>
                <w:rFonts w:cs="Arial"/>
              </w:rPr>
              <w:t xml:space="preserve">and certain </w:t>
            </w:r>
            <w:r w:rsidR="0033540A" w:rsidRPr="00E21AE7">
              <w:rPr>
                <w:rFonts w:cs="Arial"/>
              </w:rPr>
              <w:t>by-product</w:t>
            </w:r>
            <w:r w:rsidR="00E03E1F" w:rsidRPr="00E21AE7">
              <w:rPr>
                <w:rFonts w:cs="Arial"/>
              </w:rPr>
              <w:t xml:space="preserve"> species </w:t>
            </w:r>
            <w:r w:rsidRPr="00E21AE7">
              <w:rPr>
                <w:rFonts w:cs="Arial"/>
              </w:rPr>
              <w:t xml:space="preserve">is controlled through </w:t>
            </w:r>
            <w:r w:rsidR="00C7658A" w:rsidRPr="00E21AE7">
              <w:rPr>
                <w:rFonts w:cs="Arial"/>
              </w:rPr>
              <w:t xml:space="preserve">annual </w:t>
            </w:r>
            <w:r w:rsidRPr="00E21AE7">
              <w:rPr>
                <w:rFonts w:cs="Arial"/>
              </w:rPr>
              <w:t xml:space="preserve">total allowable </w:t>
            </w:r>
            <w:r w:rsidR="0058468B" w:rsidRPr="00E21AE7">
              <w:rPr>
                <w:rFonts w:cs="Arial"/>
              </w:rPr>
              <w:t xml:space="preserve">commercial </w:t>
            </w:r>
            <w:r w:rsidRPr="00E21AE7">
              <w:rPr>
                <w:rFonts w:cs="Arial"/>
              </w:rPr>
              <w:t>catch limits</w:t>
            </w:r>
            <w:r w:rsidR="0058468B" w:rsidRPr="00E21AE7">
              <w:rPr>
                <w:rFonts w:cs="Arial"/>
              </w:rPr>
              <w:t xml:space="preserve"> (TACCs)</w:t>
            </w:r>
            <w:r w:rsidR="008D2B65" w:rsidRPr="00E21AE7">
              <w:rPr>
                <w:rFonts w:cs="Arial"/>
              </w:rPr>
              <w:t xml:space="preserve">. This fishery-wide limit is </w:t>
            </w:r>
            <w:r w:rsidRPr="00E21AE7">
              <w:rPr>
                <w:rFonts w:cs="Arial"/>
              </w:rPr>
              <w:t xml:space="preserve">allocated </w:t>
            </w:r>
            <w:r w:rsidR="008525E7" w:rsidRPr="00E21AE7">
              <w:rPr>
                <w:rFonts w:cs="Arial"/>
              </w:rPr>
              <w:t xml:space="preserve">amongst </w:t>
            </w:r>
            <w:r w:rsidR="008D2B65" w:rsidRPr="00E21AE7">
              <w:rPr>
                <w:rFonts w:cs="Arial"/>
              </w:rPr>
              <w:t xml:space="preserve">fishery licence-holders </w:t>
            </w:r>
            <w:r w:rsidR="00C7658A" w:rsidRPr="00E21AE7">
              <w:rPr>
                <w:rFonts w:cs="Arial"/>
              </w:rPr>
              <w:t xml:space="preserve">as </w:t>
            </w:r>
            <w:r w:rsidRPr="00E21AE7">
              <w:rPr>
                <w:rFonts w:cs="Arial"/>
              </w:rPr>
              <w:t xml:space="preserve">individual transferable quota </w:t>
            </w:r>
            <w:r w:rsidR="00C7658A" w:rsidRPr="00E21AE7">
              <w:rPr>
                <w:rFonts w:cs="Arial"/>
              </w:rPr>
              <w:t>(ITQ)</w:t>
            </w:r>
            <w:r w:rsidR="008525E7" w:rsidRPr="00E21AE7">
              <w:rPr>
                <w:rFonts w:cs="Arial"/>
              </w:rPr>
              <w:t xml:space="preserve"> and it is these ITQs that govern how much each licence holder can catch</w:t>
            </w:r>
            <w:r w:rsidRPr="00E21AE7">
              <w:rPr>
                <w:rFonts w:cs="Arial"/>
              </w:rPr>
              <w:t>.</w:t>
            </w:r>
            <w:r w:rsidR="0099502E" w:rsidRPr="00E21AE7">
              <w:rPr>
                <w:rFonts w:cs="Arial"/>
              </w:rPr>
              <w:t xml:space="preserve"> </w:t>
            </w:r>
            <w:r w:rsidR="0033540A" w:rsidRPr="00E21AE7">
              <w:rPr>
                <w:rFonts w:cs="Arial"/>
              </w:rPr>
              <w:t>By-product</w:t>
            </w:r>
            <w:r w:rsidR="008525E7" w:rsidRPr="00E21AE7">
              <w:rPr>
                <w:rFonts w:cs="Arial"/>
              </w:rPr>
              <w:t xml:space="preserve"> species that are not subject to TACCs and ITQs are managed using vessel-based </w:t>
            </w:r>
            <w:r w:rsidR="0099502E" w:rsidRPr="00E21AE7">
              <w:rPr>
                <w:rFonts w:cs="Arial"/>
              </w:rPr>
              <w:t>possession limits</w:t>
            </w:r>
            <w:r w:rsidR="007F171B">
              <w:rPr>
                <w:rFonts w:cs="Arial"/>
              </w:rPr>
              <w:t xml:space="preserve">. </w:t>
            </w:r>
            <w:r w:rsidR="0099502E" w:rsidRPr="00E21AE7">
              <w:rPr>
                <w:rFonts w:cs="Arial"/>
              </w:rPr>
              <w:t xml:space="preserve">Other </w:t>
            </w:r>
            <w:r w:rsidR="008525E7" w:rsidRPr="00E21AE7">
              <w:rPr>
                <w:rFonts w:cs="Arial"/>
              </w:rPr>
              <w:t xml:space="preserve">harvest </w:t>
            </w:r>
            <w:r w:rsidR="0099502E" w:rsidRPr="00E21AE7">
              <w:rPr>
                <w:rFonts w:cs="Arial"/>
              </w:rPr>
              <w:t xml:space="preserve">controls include restrictions on </w:t>
            </w:r>
            <w:r w:rsidR="00875A0D" w:rsidRPr="00E21AE7">
              <w:rPr>
                <w:rFonts w:cs="Arial"/>
              </w:rPr>
              <w:t xml:space="preserve">the total number of </w:t>
            </w:r>
            <w:r w:rsidR="008525E7" w:rsidRPr="00E21AE7">
              <w:rPr>
                <w:rFonts w:cs="Arial"/>
              </w:rPr>
              <w:t xml:space="preserve">fishing </w:t>
            </w:r>
            <w:r w:rsidR="00875A0D" w:rsidRPr="00E21AE7">
              <w:rPr>
                <w:rFonts w:cs="Arial"/>
              </w:rPr>
              <w:t xml:space="preserve">licences in the fishery, </w:t>
            </w:r>
            <w:r w:rsidR="0099502E" w:rsidRPr="00E21AE7">
              <w:rPr>
                <w:rFonts w:cs="Arial"/>
              </w:rPr>
              <w:t>where and when fishers can operate, and what boats and gear they can use.</w:t>
            </w:r>
          </w:p>
          <w:p w14:paraId="0FD82E69" w14:textId="5DDE1D9B" w:rsidR="008525E7" w:rsidRPr="00E21AE7" w:rsidRDefault="001342EB" w:rsidP="007F171B">
            <w:pPr>
              <w:spacing w:before="80" w:after="80" w:line="276" w:lineRule="auto"/>
              <w:rPr>
                <w:rFonts w:cs="Arial"/>
              </w:rPr>
            </w:pPr>
            <w:r w:rsidRPr="00E21AE7">
              <w:rPr>
                <w:rFonts w:cs="Arial"/>
              </w:rPr>
              <w:t xml:space="preserve">Species that are subject to </w:t>
            </w:r>
            <w:r w:rsidR="0058468B" w:rsidRPr="00E21AE7">
              <w:rPr>
                <w:rFonts w:cs="Arial"/>
              </w:rPr>
              <w:t>TACCs</w:t>
            </w:r>
            <w:r w:rsidRPr="00E21AE7">
              <w:rPr>
                <w:rFonts w:cs="Arial"/>
              </w:rPr>
              <w:t xml:space="preserve"> </w:t>
            </w:r>
            <w:r w:rsidR="008525E7" w:rsidRPr="00E21AE7">
              <w:rPr>
                <w:rFonts w:cs="Arial"/>
              </w:rPr>
              <w:t xml:space="preserve">and ITQs must </w:t>
            </w:r>
            <w:r w:rsidRPr="00E21AE7">
              <w:rPr>
                <w:rFonts w:cs="Arial"/>
              </w:rPr>
              <w:t>be reported using QDAF’s Automated Integrated Voice Response (AIVR) system</w:t>
            </w:r>
            <w:r w:rsidR="00D0477B" w:rsidRPr="00E21AE7">
              <w:rPr>
                <w:rFonts w:cs="Arial"/>
              </w:rPr>
              <w:t xml:space="preserve">. </w:t>
            </w:r>
            <w:r w:rsidR="00011909" w:rsidRPr="00E21AE7">
              <w:rPr>
                <w:rFonts w:cs="Arial"/>
              </w:rPr>
              <w:t xml:space="preserve">The AIVR system requires </w:t>
            </w:r>
            <w:r w:rsidR="008525E7" w:rsidRPr="00E21AE7">
              <w:rPr>
                <w:rFonts w:cs="Arial"/>
              </w:rPr>
              <w:t xml:space="preserve">fishers to report their </w:t>
            </w:r>
            <w:r w:rsidR="00011909" w:rsidRPr="00E21AE7">
              <w:rPr>
                <w:rFonts w:cs="Arial"/>
              </w:rPr>
              <w:t>catch</w:t>
            </w:r>
            <w:r w:rsidR="00F742AD" w:rsidRPr="00E21AE7">
              <w:rPr>
                <w:rFonts w:cs="Arial"/>
              </w:rPr>
              <w:t xml:space="preserve"> </w:t>
            </w:r>
            <w:r w:rsidR="00011909" w:rsidRPr="00E21AE7">
              <w:rPr>
                <w:rFonts w:cs="Arial"/>
              </w:rPr>
              <w:t>prior to landing</w:t>
            </w:r>
            <w:r w:rsidR="00F742AD" w:rsidRPr="00E21AE7">
              <w:rPr>
                <w:rFonts w:cs="Arial"/>
              </w:rPr>
              <w:t>,</w:t>
            </w:r>
            <w:r w:rsidR="00011909" w:rsidRPr="00E21AE7">
              <w:rPr>
                <w:rFonts w:cs="Arial"/>
              </w:rPr>
              <w:t xml:space="preserve"> and </w:t>
            </w:r>
            <w:r w:rsidR="008525E7" w:rsidRPr="00E21AE7">
              <w:rPr>
                <w:rFonts w:cs="Arial"/>
              </w:rPr>
              <w:t xml:space="preserve">this helps to </w:t>
            </w:r>
            <w:r w:rsidR="00011909" w:rsidRPr="00E21AE7">
              <w:rPr>
                <w:rFonts w:cs="Arial"/>
              </w:rPr>
              <w:t xml:space="preserve">facilitate compliance inspections </w:t>
            </w:r>
            <w:r w:rsidR="008525E7" w:rsidRPr="00E21AE7">
              <w:rPr>
                <w:rFonts w:cs="Arial"/>
              </w:rPr>
              <w:t>and enforcement of catch limits</w:t>
            </w:r>
            <w:r w:rsidR="00011909" w:rsidRPr="00E21AE7">
              <w:rPr>
                <w:rFonts w:cs="Arial"/>
              </w:rPr>
              <w:t>.</w:t>
            </w:r>
            <w:r w:rsidR="008525E7" w:rsidRPr="00E21AE7">
              <w:rPr>
                <w:rFonts w:cs="Arial"/>
              </w:rPr>
              <w:t xml:space="preserve"> </w:t>
            </w:r>
            <w:r w:rsidR="008525E7" w:rsidRPr="00E21AE7">
              <w:rPr>
                <w:rFonts w:cs="Arial"/>
                <w:lang w:val="en"/>
              </w:rPr>
              <w:t xml:space="preserve">Mandatory use of Vessel Monitoring Systems (VMS) also provide information to QDAF about vessel locations and activities. </w:t>
            </w:r>
          </w:p>
        </w:tc>
      </w:tr>
      <w:tr w:rsidR="00885298" w:rsidRPr="000900EC" w14:paraId="1E480671" w14:textId="77777777" w:rsidTr="008903BD">
        <w:trPr>
          <w:cantSplit/>
        </w:trPr>
        <w:tc>
          <w:tcPr>
            <w:tcW w:w="1500" w:type="pct"/>
            <w:shd w:val="clear" w:color="auto" w:fill="FFC000"/>
          </w:tcPr>
          <w:p w14:paraId="086604CB" w14:textId="0085FF83" w:rsidR="00926096" w:rsidRPr="00E21AE7" w:rsidRDefault="00885298" w:rsidP="007F171B">
            <w:pPr>
              <w:spacing w:before="80" w:after="80" w:line="276" w:lineRule="auto"/>
              <w:rPr>
                <w:rFonts w:cs="Arial"/>
              </w:rPr>
            </w:pPr>
            <w:bookmarkStart w:id="15" w:name="_Hlk40432252"/>
            <w:r w:rsidRPr="00E21AE7">
              <w:rPr>
                <w:rFonts w:cs="Arial"/>
              </w:rPr>
              <w:lastRenderedPageBreak/>
              <w:t>Contain the means of enforcing critical aspects of the management arrangements</w:t>
            </w:r>
            <w:r w:rsidR="006B6EF9" w:rsidRPr="00E21AE7">
              <w:rPr>
                <w:rFonts w:cs="Arial"/>
              </w:rPr>
              <w:t>.</w:t>
            </w:r>
            <w:bookmarkEnd w:id="15"/>
          </w:p>
        </w:tc>
        <w:tc>
          <w:tcPr>
            <w:tcW w:w="3500" w:type="pct"/>
            <w:gridSpan w:val="2"/>
            <w:shd w:val="clear" w:color="auto" w:fill="auto"/>
          </w:tcPr>
          <w:p w14:paraId="3B7FF213" w14:textId="6D8D75D9" w:rsidR="005869AD" w:rsidRPr="00E21AE7" w:rsidRDefault="005869AD" w:rsidP="007F171B">
            <w:pPr>
              <w:spacing w:before="80" w:after="80" w:line="276" w:lineRule="auto"/>
              <w:rPr>
                <w:rFonts w:cs="Arial"/>
                <w:b/>
              </w:rPr>
            </w:pPr>
            <w:r w:rsidRPr="00E21AE7">
              <w:rPr>
                <w:rFonts w:cs="Arial"/>
                <w:b/>
              </w:rPr>
              <w:t xml:space="preserve">Partially meets </w:t>
            </w:r>
            <w:r w:rsidR="00636969" w:rsidRPr="00E21AE7">
              <w:rPr>
                <w:rFonts w:cs="Arial"/>
                <w:b/>
              </w:rPr>
              <w:t>–</w:t>
            </w:r>
            <w:r w:rsidRPr="00E21AE7">
              <w:rPr>
                <w:rFonts w:cs="Arial"/>
                <w:b/>
              </w:rPr>
              <w:t xml:space="preserve"> </w:t>
            </w:r>
            <w:r w:rsidR="00755D3F" w:rsidRPr="00E21AE7">
              <w:rPr>
                <w:rFonts w:cs="Arial"/>
                <w:b/>
              </w:rPr>
              <w:t xml:space="preserve">some concerns regarding </w:t>
            </w:r>
            <w:r w:rsidR="0033540A" w:rsidRPr="00E21AE7">
              <w:rPr>
                <w:rFonts w:cs="Arial"/>
                <w:b/>
              </w:rPr>
              <w:t>fishers’</w:t>
            </w:r>
            <w:r w:rsidR="00755D3F" w:rsidRPr="00E21AE7">
              <w:rPr>
                <w:rFonts w:cs="Arial"/>
                <w:b/>
              </w:rPr>
              <w:t xml:space="preserve"> compliance with reporting requirements</w:t>
            </w:r>
          </w:p>
          <w:p w14:paraId="557E168D" w14:textId="2496930D" w:rsidR="007D49AA" w:rsidRPr="00E21AE7" w:rsidRDefault="007D49AA" w:rsidP="007F171B">
            <w:pPr>
              <w:spacing w:before="80" w:after="80" w:line="276" w:lineRule="auto"/>
              <w:rPr>
                <w:rFonts w:cs="Arial"/>
              </w:rPr>
            </w:pPr>
            <w:r w:rsidRPr="00E21AE7">
              <w:rPr>
                <w:rFonts w:cs="Arial"/>
              </w:rPr>
              <w:t xml:space="preserve">QDAF use a Compliance Risk Assessment framework to develop state and regional operation plans and deliver their compliance program. An overview of this program is available on the </w:t>
            </w:r>
            <w:hyperlink r:id="rId28" w:history="1">
              <w:r w:rsidRPr="00E21AE7">
                <w:rPr>
                  <w:rStyle w:val="Hyperlink"/>
                  <w:rFonts w:cs="Arial"/>
                </w:rPr>
                <w:t>QDAF website</w:t>
              </w:r>
            </w:hyperlink>
            <w:r w:rsidRPr="00E21AE7">
              <w:rPr>
                <w:rFonts w:cs="Arial"/>
              </w:rPr>
              <w:t>.</w:t>
            </w:r>
          </w:p>
          <w:p w14:paraId="61405B42" w14:textId="678A7659" w:rsidR="006A5239" w:rsidRPr="00E21AE7" w:rsidRDefault="0099502E" w:rsidP="007F171B">
            <w:pPr>
              <w:spacing w:before="80" w:after="80" w:line="276" w:lineRule="auto"/>
              <w:rPr>
                <w:rFonts w:cs="Arial"/>
                <w:lang w:val="en"/>
              </w:rPr>
            </w:pPr>
            <w:r w:rsidRPr="00E21AE7">
              <w:rPr>
                <w:rFonts w:cs="Arial"/>
              </w:rPr>
              <w:t xml:space="preserve">Vessel Monitoring Systems are used on all </w:t>
            </w:r>
            <w:r w:rsidR="00D10576" w:rsidRPr="00E21AE7">
              <w:rPr>
                <w:rFonts w:cs="Arial"/>
              </w:rPr>
              <w:t xml:space="preserve">Queensland </w:t>
            </w:r>
            <w:r w:rsidRPr="00E21AE7">
              <w:rPr>
                <w:rFonts w:cs="Arial"/>
              </w:rPr>
              <w:t>commercial fishing vessels to track the</w:t>
            </w:r>
            <w:r w:rsidR="00D10576" w:rsidRPr="00E21AE7">
              <w:rPr>
                <w:rFonts w:cs="Arial"/>
              </w:rPr>
              <w:t>ir</w:t>
            </w:r>
            <w:r w:rsidRPr="00E21AE7">
              <w:rPr>
                <w:rFonts w:cs="Arial"/>
              </w:rPr>
              <w:t xml:space="preserve"> location, validate reported fishing activity, and enhance QDAF’s capacity to undertake vessel inspections.</w:t>
            </w:r>
            <w:r w:rsidR="00C0295C" w:rsidRPr="00E21AE7">
              <w:rPr>
                <w:rFonts w:cs="Arial"/>
              </w:rPr>
              <w:t xml:space="preserve"> </w:t>
            </w:r>
            <w:r w:rsidR="006C232B" w:rsidRPr="00E21AE7">
              <w:rPr>
                <w:rFonts w:cs="Arial"/>
              </w:rPr>
              <w:t>F</w:t>
            </w:r>
            <w:r w:rsidR="0026211D" w:rsidRPr="00E21AE7">
              <w:rPr>
                <w:rFonts w:cs="Arial"/>
              </w:rPr>
              <w:t xml:space="preserve">ishers </w:t>
            </w:r>
            <w:r w:rsidR="006D7278" w:rsidRPr="00E21AE7">
              <w:rPr>
                <w:rFonts w:cs="Arial"/>
              </w:rPr>
              <w:t xml:space="preserve">are </w:t>
            </w:r>
            <w:r w:rsidR="00C0295C" w:rsidRPr="00E21AE7">
              <w:rPr>
                <w:rFonts w:cs="Arial"/>
              </w:rPr>
              <w:t xml:space="preserve">also </w:t>
            </w:r>
            <w:r w:rsidR="006D7278" w:rsidRPr="00E21AE7">
              <w:rPr>
                <w:rFonts w:cs="Arial"/>
              </w:rPr>
              <w:t xml:space="preserve">required to </w:t>
            </w:r>
            <w:r w:rsidR="006A5239" w:rsidRPr="00E21AE7">
              <w:rPr>
                <w:rFonts w:cs="Arial"/>
              </w:rPr>
              <w:t xml:space="preserve">report </w:t>
            </w:r>
            <w:r w:rsidR="0026211D" w:rsidRPr="00E21AE7">
              <w:rPr>
                <w:rFonts w:cs="Arial"/>
              </w:rPr>
              <w:t xml:space="preserve">all retained catch of species that are subject to catch limits using QDAF’s AIVR system. This </w:t>
            </w:r>
            <w:r w:rsidR="006D7278" w:rsidRPr="00E21AE7">
              <w:rPr>
                <w:rFonts w:cs="Arial"/>
              </w:rPr>
              <w:t xml:space="preserve">helps </w:t>
            </w:r>
            <w:r w:rsidR="006A5239" w:rsidRPr="00E21AE7">
              <w:rPr>
                <w:rFonts w:cs="Arial"/>
              </w:rPr>
              <w:t>facilitate compliance inspections where necessary.</w:t>
            </w:r>
          </w:p>
          <w:p w14:paraId="0432AF17" w14:textId="02D1A03D" w:rsidR="009C54E5" w:rsidRPr="00E21AE7" w:rsidRDefault="00D10576" w:rsidP="007F171B">
            <w:pPr>
              <w:spacing w:before="80" w:after="80" w:line="276" w:lineRule="auto"/>
              <w:rPr>
                <w:rFonts w:cs="Arial"/>
              </w:rPr>
            </w:pPr>
            <w:r w:rsidRPr="00E21AE7">
              <w:rPr>
                <w:rFonts w:cs="Arial"/>
              </w:rPr>
              <w:t>Once landed, c</w:t>
            </w:r>
            <w:r w:rsidR="006A5239" w:rsidRPr="00E21AE7">
              <w:rPr>
                <w:rFonts w:cs="Arial"/>
              </w:rPr>
              <w:t xml:space="preserve">atches are </w:t>
            </w:r>
            <w:r w:rsidR="0033540A" w:rsidRPr="00E21AE7">
              <w:rPr>
                <w:rFonts w:cs="Arial"/>
              </w:rPr>
              <w:t>weighed,</w:t>
            </w:r>
            <w:r w:rsidR="002B3E7C" w:rsidRPr="00E21AE7">
              <w:rPr>
                <w:rFonts w:cs="Arial"/>
              </w:rPr>
              <w:t xml:space="preserve"> </w:t>
            </w:r>
            <w:r w:rsidR="006A5239" w:rsidRPr="00E21AE7">
              <w:rPr>
                <w:rFonts w:cs="Arial"/>
              </w:rPr>
              <w:t xml:space="preserve">and weighbridge dockets provided to QDAF to verify </w:t>
            </w:r>
            <w:r w:rsidR="0026211D" w:rsidRPr="00E21AE7">
              <w:rPr>
                <w:rFonts w:cs="Arial"/>
              </w:rPr>
              <w:t xml:space="preserve">the </w:t>
            </w:r>
            <w:r w:rsidRPr="00E21AE7">
              <w:rPr>
                <w:rFonts w:cs="Arial"/>
              </w:rPr>
              <w:t xml:space="preserve">catch </w:t>
            </w:r>
            <w:r w:rsidR="006A5239" w:rsidRPr="00E21AE7">
              <w:rPr>
                <w:rFonts w:cs="Arial"/>
              </w:rPr>
              <w:t>weights</w:t>
            </w:r>
            <w:r w:rsidRPr="00E21AE7">
              <w:rPr>
                <w:rFonts w:cs="Arial"/>
              </w:rPr>
              <w:t xml:space="preserve"> reported in fisher</w:t>
            </w:r>
            <w:r w:rsidR="0026211D" w:rsidRPr="00E21AE7">
              <w:rPr>
                <w:rFonts w:cs="Arial"/>
              </w:rPr>
              <w:t>s</w:t>
            </w:r>
            <w:r w:rsidR="0033540A" w:rsidRPr="00E21AE7">
              <w:rPr>
                <w:rFonts w:cs="Arial"/>
              </w:rPr>
              <w:t>’</w:t>
            </w:r>
            <w:r w:rsidRPr="00E21AE7">
              <w:rPr>
                <w:rFonts w:cs="Arial"/>
              </w:rPr>
              <w:t xml:space="preserve"> logbooks</w:t>
            </w:r>
            <w:r w:rsidR="006A5239" w:rsidRPr="00E21AE7">
              <w:rPr>
                <w:rFonts w:cs="Arial"/>
              </w:rPr>
              <w:t xml:space="preserve">. QDAF are seeking to strengthen this </w:t>
            </w:r>
            <w:r w:rsidR="0026211D" w:rsidRPr="00E21AE7">
              <w:rPr>
                <w:rFonts w:cs="Arial"/>
              </w:rPr>
              <w:t xml:space="preserve">catch validation </w:t>
            </w:r>
            <w:r w:rsidR="006A5239" w:rsidRPr="00E21AE7">
              <w:rPr>
                <w:rFonts w:cs="Arial"/>
              </w:rPr>
              <w:t xml:space="preserve">arrangement, by requiring catches to be landed to authorised fish receivers, who will verify landed catch weights and report </w:t>
            </w:r>
            <w:r w:rsidR="0026211D" w:rsidRPr="00E21AE7">
              <w:rPr>
                <w:rFonts w:cs="Arial"/>
              </w:rPr>
              <w:t xml:space="preserve">their </w:t>
            </w:r>
            <w:r w:rsidR="006A5239" w:rsidRPr="00E21AE7">
              <w:rPr>
                <w:rFonts w:cs="Arial"/>
              </w:rPr>
              <w:t>data independently to QDAF.</w:t>
            </w:r>
            <w:r w:rsidR="00913BD7" w:rsidRPr="00E21AE7">
              <w:rPr>
                <w:rFonts w:cs="Arial"/>
              </w:rPr>
              <w:t xml:space="preserve"> </w:t>
            </w:r>
            <w:r w:rsidR="00CC04A8" w:rsidRPr="00E21AE7">
              <w:rPr>
                <w:rFonts w:cs="Arial"/>
              </w:rPr>
              <w:t xml:space="preserve">QDAF’s planned video-based electronic observer program, </w:t>
            </w:r>
            <w:r w:rsidR="00913BD7" w:rsidRPr="00E21AE7">
              <w:rPr>
                <w:rFonts w:cs="Arial"/>
              </w:rPr>
              <w:t>when implemented in this fishery</w:t>
            </w:r>
            <w:r w:rsidR="00CC04A8" w:rsidRPr="00E21AE7">
              <w:rPr>
                <w:rFonts w:cs="Arial"/>
              </w:rPr>
              <w:t>,</w:t>
            </w:r>
            <w:r w:rsidR="00913BD7" w:rsidRPr="00E21AE7">
              <w:rPr>
                <w:rFonts w:cs="Arial"/>
              </w:rPr>
              <w:t xml:space="preserve"> </w:t>
            </w:r>
            <w:r w:rsidR="00BA7FDD" w:rsidRPr="00E21AE7">
              <w:rPr>
                <w:rFonts w:cs="Arial"/>
              </w:rPr>
              <w:t>is also expected to help validate catch and other information reported by commercial fishers.</w:t>
            </w:r>
          </w:p>
          <w:p w14:paraId="1C61038A" w14:textId="5DC2FF2A" w:rsidR="003C086D" w:rsidRPr="00E21AE7" w:rsidRDefault="006D7278" w:rsidP="007F171B">
            <w:pPr>
              <w:spacing w:before="80" w:after="80" w:line="276" w:lineRule="auto"/>
              <w:rPr>
                <w:rFonts w:cs="Arial"/>
              </w:rPr>
            </w:pPr>
            <w:r w:rsidRPr="00E21AE7">
              <w:rPr>
                <w:rFonts w:cs="Arial"/>
              </w:rPr>
              <w:t xml:space="preserve">Specific bycatch logbooks were used in the fishery but were discontinued around the time that the on-board observer program ceased in 2010. QDAF’s current </w:t>
            </w:r>
            <w:hyperlink r:id="rId29" w:history="1">
              <w:r w:rsidRPr="00E21AE7">
                <w:rPr>
                  <w:rStyle w:val="Hyperlink"/>
                  <w:rFonts w:cs="Arial"/>
                </w:rPr>
                <w:t>Stout Whiting Trawl Fishery (T4) Logbook</w:t>
              </w:r>
            </w:hyperlink>
            <w:r w:rsidRPr="00E21AE7">
              <w:rPr>
                <w:rFonts w:cs="Arial"/>
              </w:rPr>
              <w:t xml:space="preserve"> states that “all discarded product must be recorded”</w:t>
            </w:r>
            <w:r w:rsidR="0017722A" w:rsidRPr="00E21AE7">
              <w:rPr>
                <w:rFonts w:cs="Arial"/>
              </w:rPr>
              <w:t xml:space="preserve">, but </w:t>
            </w:r>
            <w:r w:rsidR="003C086D" w:rsidRPr="00E21AE7">
              <w:rPr>
                <w:rFonts w:cs="Arial"/>
              </w:rPr>
              <w:t xml:space="preserve">QDAF </w:t>
            </w:r>
            <w:r w:rsidR="0017722A" w:rsidRPr="00E21AE7">
              <w:rPr>
                <w:rFonts w:cs="Arial"/>
              </w:rPr>
              <w:t xml:space="preserve">only </w:t>
            </w:r>
            <w:r w:rsidR="003C086D" w:rsidRPr="00E21AE7">
              <w:rPr>
                <w:rFonts w:cs="Arial"/>
              </w:rPr>
              <w:t xml:space="preserve">require </w:t>
            </w:r>
            <w:r w:rsidR="00E169F8" w:rsidRPr="00E21AE7">
              <w:rPr>
                <w:rFonts w:cs="Arial"/>
              </w:rPr>
              <w:t xml:space="preserve">a small number of </w:t>
            </w:r>
            <w:r w:rsidR="003C086D" w:rsidRPr="00E21AE7">
              <w:rPr>
                <w:rFonts w:cs="Arial"/>
              </w:rPr>
              <w:t xml:space="preserve">species which are permitted to be landed in the CTFFF </w:t>
            </w:r>
            <w:r w:rsidR="00E169F8" w:rsidRPr="00E21AE7">
              <w:rPr>
                <w:rFonts w:cs="Arial"/>
              </w:rPr>
              <w:t xml:space="preserve">and ECOT </w:t>
            </w:r>
            <w:r w:rsidR="003C086D" w:rsidRPr="00E21AE7">
              <w:rPr>
                <w:rFonts w:cs="Arial"/>
              </w:rPr>
              <w:t xml:space="preserve">to be recorded (QDAF pers comm. 8 May 2020). Despite this requirement and the apparent contradiction in the logbook instructions, the logbook only </w:t>
            </w:r>
            <w:r w:rsidR="0017722A" w:rsidRPr="00E21AE7">
              <w:rPr>
                <w:rFonts w:cs="Arial"/>
              </w:rPr>
              <w:t xml:space="preserve">provides for </w:t>
            </w:r>
            <w:r w:rsidR="00734CA7" w:rsidRPr="00E21AE7">
              <w:rPr>
                <w:rFonts w:cs="Arial"/>
              </w:rPr>
              <w:t xml:space="preserve">fishers to report </w:t>
            </w:r>
            <w:r w:rsidR="003C086D" w:rsidRPr="00E21AE7">
              <w:rPr>
                <w:rFonts w:cs="Arial"/>
              </w:rPr>
              <w:t xml:space="preserve">discards of </w:t>
            </w:r>
            <w:r w:rsidR="0017722A" w:rsidRPr="00E21AE7">
              <w:rPr>
                <w:rFonts w:cs="Arial"/>
              </w:rPr>
              <w:t xml:space="preserve">seven </w:t>
            </w:r>
            <w:r w:rsidR="0033540A" w:rsidRPr="00E21AE7">
              <w:rPr>
                <w:rFonts w:cs="Arial"/>
              </w:rPr>
              <w:t>species</w:t>
            </w:r>
            <w:r w:rsidR="0017722A" w:rsidRPr="00E21AE7">
              <w:rPr>
                <w:rFonts w:cs="Arial"/>
              </w:rPr>
              <w:t xml:space="preserve"> or species groups</w:t>
            </w:r>
            <w:r w:rsidRPr="00E21AE7">
              <w:rPr>
                <w:rFonts w:cs="Arial"/>
              </w:rPr>
              <w:t xml:space="preserve">. </w:t>
            </w:r>
            <w:r w:rsidR="00734CA7" w:rsidRPr="00E21AE7">
              <w:rPr>
                <w:rFonts w:cs="Arial"/>
              </w:rPr>
              <w:t xml:space="preserve">Records of discarded catch </w:t>
            </w:r>
            <w:r w:rsidR="001A281C" w:rsidRPr="00E21AE7">
              <w:rPr>
                <w:rFonts w:cs="Arial"/>
              </w:rPr>
              <w:t xml:space="preserve">(target and non-target species) </w:t>
            </w:r>
            <w:r w:rsidR="00734CA7" w:rsidRPr="00E21AE7">
              <w:rPr>
                <w:rFonts w:cs="Arial"/>
              </w:rPr>
              <w:t xml:space="preserve">since 2010 show that the number of species being reported </w:t>
            </w:r>
            <w:r w:rsidR="00755D3F" w:rsidRPr="00E21AE7">
              <w:rPr>
                <w:rFonts w:cs="Arial"/>
              </w:rPr>
              <w:t xml:space="preserve">by fishers </w:t>
            </w:r>
            <w:r w:rsidR="00734CA7" w:rsidRPr="00E21AE7">
              <w:rPr>
                <w:rFonts w:cs="Arial"/>
              </w:rPr>
              <w:t xml:space="preserve">has fallen </w:t>
            </w:r>
            <w:r w:rsidR="00780763" w:rsidRPr="00E21AE7">
              <w:rPr>
                <w:rFonts w:cs="Arial"/>
              </w:rPr>
              <w:t xml:space="preserve">sharply from </w:t>
            </w:r>
            <w:r w:rsidR="00734CA7" w:rsidRPr="00E21AE7">
              <w:rPr>
                <w:rFonts w:cs="Arial"/>
              </w:rPr>
              <w:t xml:space="preserve">15 </w:t>
            </w:r>
            <w:r w:rsidR="00780763" w:rsidRPr="00E21AE7">
              <w:rPr>
                <w:rFonts w:cs="Arial"/>
              </w:rPr>
              <w:t xml:space="preserve">species </w:t>
            </w:r>
            <w:r w:rsidR="00734CA7" w:rsidRPr="00E21AE7">
              <w:rPr>
                <w:rFonts w:cs="Arial"/>
              </w:rPr>
              <w:t xml:space="preserve">to </w:t>
            </w:r>
            <w:r w:rsidR="00780763" w:rsidRPr="00E21AE7">
              <w:rPr>
                <w:rFonts w:cs="Arial"/>
              </w:rPr>
              <w:t>an average of 3 species over the past five years (QDAF pers comm. 8 May 2020).</w:t>
            </w:r>
            <w:r w:rsidR="00734CA7" w:rsidRPr="00E21AE7">
              <w:rPr>
                <w:rFonts w:cs="Arial"/>
              </w:rPr>
              <w:t xml:space="preserve"> </w:t>
            </w:r>
            <w:r w:rsidR="00780763" w:rsidRPr="00E21AE7">
              <w:rPr>
                <w:rFonts w:cs="Arial"/>
              </w:rPr>
              <w:t>The weight of reported discards has also fallen considerably, from over 105 tonnes in 2010 to as little as 100 kilograms in 2013 (</w:t>
            </w:r>
            <w:r w:rsidR="00755D3F" w:rsidRPr="00E21AE7">
              <w:rPr>
                <w:rFonts w:cs="Arial"/>
              </w:rPr>
              <w:t xml:space="preserve">all of which was </w:t>
            </w:r>
            <w:r w:rsidR="00780763" w:rsidRPr="00E21AE7">
              <w:rPr>
                <w:rFonts w:cs="Arial"/>
              </w:rPr>
              <w:t>Stout Whiting</w:t>
            </w:r>
            <w:r w:rsidR="00755D3F" w:rsidRPr="00E21AE7">
              <w:rPr>
                <w:rFonts w:cs="Arial"/>
              </w:rPr>
              <w:t>; QDAF pers comm. 8 May 2020)</w:t>
            </w:r>
            <w:r w:rsidR="001F596B" w:rsidRPr="00E21AE7">
              <w:rPr>
                <w:rFonts w:cs="Arial"/>
              </w:rPr>
              <w:t>.</w:t>
            </w:r>
            <w:r w:rsidR="00755D3F" w:rsidRPr="00E21AE7">
              <w:rPr>
                <w:rFonts w:cs="Arial"/>
              </w:rPr>
              <w:t xml:space="preserve"> </w:t>
            </w:r>
            <w:r w:rsidR="001F596B" w:rsidRPr="00E21AE7">
              <w:rPr>
                <w:rFonts w:cs="Arial"/>
              </w:rPr>
              <w:t xml:space="preserve">There has also been </w:t>
            </w:r>
            <w:r w:rsidR="00C84397" w:rsidRPr="00E21AE7">
              <w:rPr>
                <w:rFonts w:cs="Arial"/>
              </w:rPr>
              <w:t>no reported discarding of Stout Whiting</w:t>
            </w:r>
            <w:r w:rsidR="00755D3F" w:rsidRPr="00E21AE7">
              <w:rPr>
                <w:rFonts w:cs="Arial"/>
              </w:rPr>
              <w:t xml:space="preserve"> since 2013</w:t>
            </w:r>
            <w:r w:rsidR="00C84397" w:rsidRPr="00E21AE7">
              <w:rPr>
                <w:rFonts w:cs="Arial"/>
              </w:rPr>
              <w:t xml:space="preserve">, despite </w:t>
            </w:r>
            <w:r w:rsidR="00755D3F" w:rsidRPr="00E21AE7">
              <w:rPr>
                <w:rFonts w:cs="Arial"/>
              </w:rPr>
              <w:t xml:space="preserve">trial </w:t>
            </w:r>
            <w:r w:rsidR="00C84397" w:rsidRPr="00E21AE7">
              <w:rPr>
                <w:rFonts w:cs="Arial"/>
              </w:rPr>
              <w:t xml:space="preserve">fishing </w:t>
            </w:r>
            <w:r w:rsidR="00755D3F" w:rsidRPr="00E21AE7">
              <w:rPr>
                <w:rFonts w:cs="Arial"/>
              </w:rPr>
              <w:t xml:space="preserve">commencing in 2017, in </w:t>
            </w:r>
            <w:r w:rsidR="00C84397" w:rsidRPr="00E21AE7">
              <w:rPr>
                <w:rFonts w:cs="Arial"/>
              </w:rPr>
              <w:t>inshore nursery grounds</w:t>
            </w:r>
            <w:r w:rsidR="001F596B" w:rsidRPr="00E21AE7">
              <w:rPr>
                <w:rFonts w:cs="Arial"/>
              </w:rPr>
              <w:t xml:space="preserve"> where </w:t>
            </w:r>
            <w:r w:rsidR="00755D3F" w:rsidRPr="00E21AE7">
              <w:rPr>
                <w:rFonts w:cs="Arial"/>
              </w:rPr>
              <w:t xml:space="preserve">the proportion of unmarketable, </w:t>
            </w:r>
            <w:r w:rsidR="001F596B" w:rsidRPr="00E21AE7">
              <w:rPr>
                <w:rFonts w:cs="Arial"/>
              </w:rPr>
              <w:t xml:space="preserve">juvenile </w:t>
            </w:r>
            <w:r w:rsidR="00755D3F" w:rsidRPr="00E21AE7">
              <w:rPr>
                <w:rFonts w:cs="Arial"/>
              </w:rPr>
              <w:t>Stout Whiting is expected to be higher</w:t>
            </w:r>
            <w:r w:rsidR="00780763" w:rsidRPr="00E21AE7">
              <w:rPr>
                <w:rFonts w:cs="Arial"/>
              </w:rPr>
              <w:t>.</w:t>
            </w:r>
          </w:p>
          <w:p w14:paraId="24461ADE" w14:textId="6B59C0FB" w:rsidR="006D7278" w:rsidRPr="00E21AE7" w:rsidRDefault="006D7278" w:rsidP="007F171B">
            <w:pPr>
              <w:spacing w:before="80" w:after="80" w:line="276" w:lineRule="auto"/>
              <w:rPr>
                <w:rFonts w:cs="Arial"/>
              </w:rPr>
            </w:pPr>
            <w:r w:rsidRPr="00E21AE7">
              <w:rPr>
                <w:rFonts w:cs="Arial"/>
              </w:rPr>
              <w:t xml:space="preserve">QDAF observer reports </w:t>
            </w:r>
            <w:r w:rsidR="0017722A" w:rsidRPr="00E21AE7">
              <w:rPr>
                <w:rFonts w:cs="Arial"/>
              </w:rPr>
              <w:t xml:space="preserve">also </w:t>
            </w:r>
            <w:r w:rsidRPr="00E21AE7">
              <w:rPr>
                <w:rFonts w:cs="Arial"/>
              </w:rPr>
              <w:t xml:space="preserve">raise concerns about the reliability of reporting for non-retained species, and bycatch data </w:t>
            </w:r>
            <w:r w:rsidR="00990015" w:rsidRPr="00E21AE7">
              <w:rPr>
                <w:rFonts w:cs="Arial"/>
              </w:rPr>
              <w:t xml:space="preserve">that </w:t>
            </w:r>
            <w:r w:rsidRPr="00E21AE7">
              <w:rPr>
                <w:rFonts w:cs="Arial"/>
              </w:rPr>
              <w:t xml:space="preserve">has not been published by QDAF since the 2009 fishing season. </w:t>
            </w:r>
            <w:r w:rsidR="0043201F" w:rsidRPr="00E21AE7">
              <w:rPr>
                <w:rFonts w:cs="Arial"/>
              </w:rPr>
              <w:t>T</w:t>
            </w:r>
            <w:r w:rsidRPr="00E21AE7">
              <w:rPr>
                <w:rFonts w:cs="Arial"/>
              </w:rPr>
              <w:t>he on-board observer program which validated records during 2009-2010 is also no-longer operating.</w:t>
            </w:r>
          </w:p>
          <w:p w14:paraId="0D407F4F" w14:textId="2B0DBDB6" w:rsidR="006D7278" w:rsidRPr="00E21AE7" w:rsidRDefault="006D7278" w:rsidP="007F171B">
            <w:pPr>
              <w:spacing w:before="80" w:after="80" w:line="276" w:lineRule="auto"/>
              <w:rPr>
                <w:rFonts w:cs="Arial"/>
              </w:rPr>
            </w:pPr>
            <w:r w:rsidRPr="00E21AE7">
              <w:rPr>
                <w:rFonts w:cs="Arial"/>
              </w:rPr>
              <w:t xml:space="preserve">Further concerns have been raised regarding the accuracy of fishers’ protected species interaction reporting. In part this is due to fishers not having reported any interactions with EPBC Act listed </w:t>
            </w:r>
            <w:proofErr w:type="spellStart"/>
            <w:r w:rsidR="00273EEF">
              <w:rPr>
                <w:rFonts w:cs="Arial"/>
              </w:rPr>
              <w:lastRenderedPageBreak/>
              <w:t>S</w:t>
            </w:r>
            <w:r w:rsidR="00273EEF" w:rsidRPr="00E21AE7">
              <w:rPr>
                <w:rFonts w:cs="Arial"/>
              </w:rPr>
              <w:t>yngnathids</w:t>
            </w:r>
            <w:proofErr w:type="spellEnd"/>
            <w:r w:rsidR="00273EEF" w:rsidRPr="00E21AE7">
              <w:rPr>
                <w:rFonts w:cs="Arial"/>
              </w:rPr>
              <w:t xml:space="preserve"> </w:t>
            </w:r>
            <w:r w:rsidRPr="00E21AE7">
              <w:rPr>
                <w:rFonts w:cs="Arial"/>
              </w:rPr>
              <w:t>to date, despite these species having been reported by QDAF observers when they were onboard during 2009-2010.</w:t>
            </w:r>
          </w:p>
          <w:p w14:paraId="5B5B4822" w14:textId="60C120C8" w:rsidR="00986434" w:rsidRPr="00E21AE7" w:rsidRDefault="009C54E5" w:rsidP="007F171B">
            <w:pPr>
              <w:spacing w:before="80" w:after="80" w:line="276" w:lineRule="auto"/>
              <w:rPr>
                <w:rFonts w:cs="Arial"/>
              </w:rPr>
            </w:pPr>
            <w:r w:rsidRPr="00E21AE7">
              <w:rPr>
                <w:rFonts w:cs="Arial"/>
              </w:rPr>
              <w:t xml:space="preserve">To support </w:t>
            </w:r>
            <w:r w:rsidR="0019159E" w:rsidRPr="00E21AE7">
              <w:rPr>
                <w:rFonts w:cs="Arial"/>
              </w:rPr>
              <w:t>their</w:t>
            </w:r>
            <w:r w:rsidR="00477312" w:rsidRPr="00E21AE7">
              <w:rPr>
                <w:rFonts w:cs="Arial"/>
              </w:rPr>
              <w:t xml:space="preserve"> data validation and compliance efforts, </w:t>
            </w:r>
            <w:r w:rsidR="00F503F0" w:rsidRPr="00E21AE7">
              <w:rPr>
                <w:rFonts w:cs="Arial"/>
              </w:rPr>
              <w:t>QDAF</w:t>
            </w:r>
            <w:r w:rsidR="00477312" w:rsidRPr="00E21AE7">
              <w:rPr>
                <w:rFonts w:cs="Arial"/>
              </w:rPr>
              <w:t xml:space="preserve"> published a </w:t>
            </w:r>
            <w:hyperlink r:id="rId30" w:history="1">
              <w:r w:rsidR="00F503F0" w:rsidRPr="00E21AE7">
                <w:rPr>
                  <w:rStyle w:val="Hyperlink"/>
                  <w:rFonts w:cs="Arial"/>
                </w:rPr>
                <w:t>Data Validation Plan</w:t>
              </w:r>
            </w:hyperlink>
            <w:r w:rsidR="00477312" w:rsidRPr="00E21AE7">
              <w:rPr>
                <w:rFonts w:cs="Arial"/>
              </w:rPr>
              <w:t xml:space="preserve"> in March 2018. This plan is </w:t>
            </w:r>
            <w:r w:rsidR="00373FFE" w:rsidRPr="00E21AE7">
              <w:rPr>
                <w:rFonts w:cs="Arial"/>
              </w:rPr>
              <w:t xml:space="preserve">expected to be delivered by the end of 2020 in accordance with </w:t>
            </w:r>
            <w:r w:rsidR="0019159E" w:rsidRPr="00E21AE7">
              <w:rPr>
                <w:rFonts w:cs="Arial"/>
              </w:rPr>
              <w:t xml:space="preserve">the Queensland Government’s </w:t>
            </w:r>
            <w:hyperlink r:id="rId31" w:history="1">
              <w:r w:rsidR="00373FFE" w:rsidRPr="00E21AE7">
                <w:rPr>
                  <w:rStyle w:val="Hyperlink"/>
                  <w:rFonts w:cs="Arial"/>
                </w:rPr>
                <w:t>Sustainable Fisheries Strategy 2017-2027</w:t>
              </w:r>
            </w:hyperlink>
            <w:r w:rsidR="00373FFE" w:rsidRPr="00E21AE7">
              <w:rPr>
                <w:rFonts w:cs="Arial"/>
              </w:rPr>
              <w:t>.</w:t>
            </w:r>
          </w:p>
          <w:p w14:paraId="44E84912" w14:textId="51A8C660" w:rsidR="00423ED5" w:rsidRPr="00E21AE7" w:rsidRDefault="00423ED5" w:rsidP="007F171B">
            <w:pPr>
              <w:spacing w:before="80" w:after="80" w:line="276" w:lineRule="auto"/>
              <w:rPr>
                <w:rFonts w:cs="Arial"/>
              </w:rPr>
            </w:pPr>
            <w:r w:rsidRPr="00E21AE7">
              <w:rPr>
                <w:rFonts w:cs="Arial"/>
              </w:rPr>
              <w:t>The Department recommends</w:t>
            </w:r>
            <w:r w:rsidR="00466091" w:rsidRPr="00E21AE7">
              <w:rPr>
                <w:rFonts w:cs="Arial"/>
              </w:rPr>
              <w:t xml:space="preserve"> </w:t>
            </w:r>
            <w:r w:rsidR="00401DA3" w:rsidRPr="00E21AE7">
              <w:rPr>
                <w:rFonts w:cs="Arial"/>
              </w:rPr>
              <w:t xml:space="preserve">that </w:t>
            </w:r>
            <w:r w:rsidR="001A528F" w:rsidRPr="00E21AE7">
              <w:rPr>
                <w:rFonts w:cs="Arial"/>
                <w:b/>
              </w:rPr>
              <w:t>condition</w:t>
            </w:r>
            <w:r w:rsidR="003A1E92">
              <w:rPr>
                <w:rFonts w:cs="Arial"/>
                <w:b/>
              </w:rPr>
              <w:t>s</w:t>
            </w:r>
            <w:r w:rsidR="001A528F" w:rsidRPr="00E21AE7">
              <w:rPr>
                <w:rFonts w:cs="Arial"/>
                <w:b/>
              </w:rPr>
              <w:t xml:space="preserve"> </w:t>
            </w:r>
            <w:r w:rsidR="00AA1E16">
              <w:rPr>
                <w:rFonts w:cs="Arial"/>
                <w:b/>
              </w:rPr>
              <w:t>1</w:t>
            </w:r>
            <w:r w:rsidR="00AA1E16" w:rsidRPr="002F7BDB">
              <w:rPr>
                <w:rFonts w:cs="Arial"/>
                <w:b/>
                <w:bCs/>
              </w:rPr>
              <w:t xml:space="preserve"> </w:t>
            </w:r>
            <w:r w:rsidR="003A1E92" w:rsidRPr="002F7BDB">
              <w:rPr>
                <w:rFonts w:cs="Arial"/>
                <w:b/>
                <w:bCs/>
              </w:rPr>
              <w:t xml:space="preserve">and 2 </w:t>
            </w:r>
            <w:r w:rsidR="001A528F" w:rsidRPr="00E21AE7">
              <w:rPr>
                <w:rFonts w:cs="Arial"/>
              </w:rPr>
              <w:t xml:space="preserve">be applied to the Part 13 approval, and </w:t>
            </w:r>
            <w:r w:rsidR="001A528F" w:rsidRPr="00E21AE7">
              <w:rPr>
                <w:rFonts w:cs="Arial"/>
                <w:b/>
              </w:rPr>
              <w:t>condition</w:t>
            </w:r>
            <w:r w:rsidR="003A1E92">
              <w:rPr>
                <w:rFonts w:cs="Arial"/>
                <w:b/>
              </w:rPr>
              <w:t>s</w:t>
            </w:r>
            <w:r w:rsidR="001A528F" w:rsidRPr="00E21AE7">
              <w:rPr>
                <w:rFonts w:cs="Arial"/>
                <w:b/>
              </w:rPr>
              <w:t xml:space="preserve"> </w:t>
            </w:r>
            <w:r w:rsidR="00AA1E16">
              <w:rPr>
                <w:rFonts w:cs="Arial"/>
                <w:b/>
              </w:rPr>
              <w:t>4</w:t>
            </w:r>
            <w:r w:rsidR="003A1E92">
              <w:rPr>
                <w:rFonts w:cs="Arial"/>
                <w:b/>
              </w:rPr>
              <w:t xml:space="preserve"> and 5</w:t>
            </w:r>
            <w:r w:rsidR="00AA1E16" w:rsidRPr="00E21AE7">
              <w:rPr>
                <w:rFonts w:cs="Arial"/>
              </w:rPr>
              <w:t xml:space="preserve"> </w:t>
            </w:r>
            <w:r w:rsidR="001A528F" w:rsidRPr="00E21AE7">
              <w:rPr>
                <w:rFonts w:cs="Arial"/>
              </w:rPr>
              <w:t xml:space="preserve">be applied to the Part 13A approval </w:t>
            </w:r>
            <w:r w:rsidRPr="00E21AE7">
              <w:rPr>
                <w:rFonts w:cs="Arial"/>
              </w:rPr>
              <w:t>to ensure</w:t>
            </w:r>
            <w:r w:rsidR="00466091" w:rsidRPr="00E21AE7">
              <w:rPr>
                <w:rFonts w:cs="Arial"/>
              </w:rPr>
              <w:t xml:space="preserve"> that critical data collection, monitoring and enforcement </w:t>
            </w:r>
            <w:r w:rsidR="00C048B1" w:rsidRPr="00E21AE7">
              <w:rPr>
                <w:rFonts w:cs="Arial"/>
              </w:rPr>
              <w:t xml:space="preserve">actions are </w:t>
            </w:r>
            <w:r w:rsidR="00466091" w:rsidRPr="00E21AE7">
              <w:rPr>
                <w:rFonts w:cs="Arial"/>
              </w:rPr>
              <w:t>delivered</w:t>
            </w:r>
            <w:r w:rsidR="00401DA3" w:rsidRPr="00E21AE7">
              <w:rPr>
                <w:rFonts w:cs="Arial"/>
              </w:rPr>
              <w:t xml:space="preserve"> </w:t>
            </w:r>
            <w:r w:rsidR="00F84B83" w:rsidRPr="00E21AE7">
              <w:rPr>
                <w:rFonts w:cs="Arial"/>
              </w:rPr>
              <w:t xml:space="preserve">by </w:t>
            </w:r>
            <w:r w:rsidR="003A1E92" w:rsidRPr="00E21AE7">
              <w:rPr>
                <w:rFonts w:cs="Arial"/>
                <w:b/>
              </w:rPr>
              <w:t>3</w:t>
            </w:r>
            <w:r w:rsidR="003A1E92">
              <w:rPr>
                <w:rFonts w:cs="Arial"/>
                <w:b/>
              </w:rPr>
              <w:t>1</w:t>
            </w:r>
            <w:r w:rsidR="003A1E92" w:rsidRPr="00E21AE7">
              <w:rPr>
                <w:rFonts w:cs="Arial"/>
                <w:b/>
              </w:rPr>
              <w:t xml:space="preserve"> </w:t>
            </w:r>
            <w:r w:rsidR="003A1E92">
              <w:rPr>
                <w:rFonts w:cs="Arial"/>
                <w:b/>
              </w:rPr>
              <w:t>December</w:t>
            </w:r>
            <w:r w:rsidR="003A1E92" w:rsidRPr="00E21AE7">
              <w:rPr>
                <w:rFonts w:cs="Arial"/>
                <w:b/>
              </w:rPr>
              <w:t xml:space="preserve"> </w:t>
            </w:r>
            <w:r w:rsidR="00F84B83" w:rsidRPr="00E21AE7">
              <w:rPr>
                <w:rFonts w:cs="Arial"/>
                <w:b/>
              </w:rPr>
              <w:t>2021</w:t>
            </w:r>
            <w:r w:rsidR="00466091" w:rsidRPr="00E21AE7">
              <w:rPr>
                <w:rFonts w:cs="Arial"/>
              </w:rPr>
              <w:t>.</w:t>
            </w:r>
          </w:p>
        </w:tc>
      </w:tr>
      <w:tr w:rsidR="00885298" w:rsidRPr="000900EC" w14:paraId="050DB205" w14:textId="77777777" w:rsidTr="008903BD">
        <w:trPr>
          <w:cantSplit/>
        </w:trPr>
        <w:tc>
          <w:tcPr>
            <w:tcW w:w="1500" w:type="pct"/>
            <w:shd w:val="clear" w:color="auto" w:fill="FF0000"/>
          </w:tcPr>
          <w:p w14:paraId="4C2BDACB" w14:textId="546170D7" w:rsidR="004649FA" w:rsidRPr="00E21AE7" w:rsidRDefault="00885298" w:rsidP="007F171B">
            <w:pPr>
              <w:spacing w:before="80" w:after="80" w:line="276" w:lineRule="auto"/>
              <w:rPr>
                <w:rFonts w:cs="Arial"/>
              </w:rPr>
            </w:pPr>
            <w:r w:rsidRPr="00E21AE7">
              <w:rPr>
                <w:rFonts w:cs="Arial"/>
              </w:rPr>
              <w:lastRenderedPageBreak/>
              <w:t xml:space="preserve">Provide for the periodic review of the performance of the fishery management arrangements and the management strategies, </w:t>
            </w:r>
            <w:proofErr w:type="gramStart"/>
            <w:r w:rsidRPr="00E21AE7">
              <w:rPr>
                <w:rFonts w:cs="Arial"/>
              </w:rPr>
              <w:t>objectives</w:t>
            </w:r>
            <w:proofErr w:type="gramEnd"/>
            <w:r w:rsidRPr="00E21AE7">
              <w:rPr>
                <w:rFonts w:cs="Arial"/>
              </w:rPr>
              <w:t xml:space="preserve"> and criteria</w:t>
            </w:r>
            <w:r w:rsidR="006B6EF9" w:rsidRPr="00E21AE7">
              <w:rPr>
                <w:rFonts w:cs="Arial"/>
              </w:rPr>
              <w:t>.</w:t>
            </w:r>
          </w:p>
        </w:tc>
        <w:tc>
          <w:tcPr>
            <w:tcW w:w="3500" w:type="pct"/>
            <w:gridSpan w:val="2"/>
            <w:shd w:val="clear" w:color="auto" w:fill="auto"/>
          </w:tcPr>
          <w:p w14:paraId="41367452" w14:textId="79AA1DF2" w:rsidR="00CF3226" w:rsidRPr="00E21AE7" w:rsidRDefault="00F8472A" w:rsidP="007F171B">
            <w:pPr>
              <w:spacing w:before="80" w:after="80" w:line="276" w:lineRule="auto"/>
              <w:rPr>
                <w:rFonts w:cs="Arial"/>
                <w:b/>
              </w:rPr>
            </w:pPr>
            <w:r w:rsidRPr="00E21AE7">
              <w:rPr>
                <w:rFonts w:cs="Arial"/>
                <w:b/>
              </w:rPr>
              <w:t>Does not meet</w:t>
            </w:r>
            <w:r w:rsidR="005869AD" w:rsidRPr="00E21AE7">
              <w:rPr>
                <w:rFonts w:cs="Arial"/>
                <w:b/>
              </w:rPr>
              <w:t xml:space="preserve"> – </w:t>
            </w:r>
            <w:r w:rsidR="000F6D58" w:rsidRPr="00E21AE7" w:rsidDel="00C571D8">
              <w:rPr>
                <w:rFonts w:cs="Arial"/>
                <w:b/>
              </w:rPr>
              <w:t xml:space="preserve">No </w:t>
            </w:r>
            <w:r w:rsidR="000F6D58" w:rsidRPr="00E21AE7">
              <w:rPr>
                <w:rFonts w:cs="Arial"/>
                <w:b/>
              </w:rPr>
              <w:t>framework for p</w:t>
            </w:r>
            <w:r w:rsidR="005869AD" w:rsidRPr="00E21AE7">
              <w:rPr>
                <w:rFonts w:cs="Arial"/>
                <w:b/>
              </w:rPr>
              <w:t xml:space="preserve">erformance reviews </w:t>
            </w:r>
            <w:r w:rsidR="000F6D58" w:rsidRPr="00E21AE7">
              <w:rPr>
                <w:rFonts w:cs="Arial"/>
                <w:b/>
              </w:rPr>
              <w:t>in place</w:t>
            </w:r>
          </w:p>
          <w:p w14:paraId="12CA730C" w14:textId="77777777" w:rsidR="001B23B4" w:rsidRPr="00E21AE7" w:rsidRDefault="001B23B4" w:rsidP="007F171B">
            <w:pPr>
              <w:pStyle w:val="BodyText1"/>
              <w:spacing w:before="80" w:after="80" w:line="276" w:lineRule="auto"/>
              <w:rPr>
                <w:rFonts w:cs="Arial"/>
                <w:szCs w:val="22"/>
              </w:rPr>
            </w:pPr>
            <w:r w:rsidRPr="00E21AE7">
              <w:rPr>
                <w:rFonts w:cs="Arial"/>
                <w:szCs w:val="22"/>
              </w:rPr>
              <w:t xml:space="preserve">A </w:t>
            </w:r>
            <w:hyperlink r:id="rId32" w:history="1">
              <w:r w:rsidRPr="00E21AE7">
                <w:rPr>
                  <w:rStyle w:val="Hyperlink"/>
                  <w:rFonts w:cs="Arial"/>
                  <w:szCs w:val="22"/>
                </w:rPr>
                <w:t>performance measurement system</w:t>
              </w:r>
            </w:hyperlink>
            <w:r w:rsidRPr="00E21AE7">
              <w:rPr>
                <w:rFonts w:cs="Arial"/>
                <w:szCs w:val="22"/>
              </w:rPr>
              <w:t xml:space="preserve"> was published for the CTFFF in 2007, but is no longer in effect.</w:t>
            </w:r>
          </w:p>
          <w:p w14:paraId="7BAC5C1D" w14:textId="60CA766D" w:rsidR="001B23B4" w:rsidRPr="00E21AE7" w:rsidRDefault="001B23B4" w:rsidP="007F171B">
            <w:pPr>
              <w:pStyle w:val="BodyText1"/>
              <w:spacing w:before="80" w:after="80" w:line="276" w:lineRule="auto"/>
              <w:rPr>
                <w:rFonts w:cs="Arial"/>
                <w:szCs w:val="22"/>
              </w:rPr>
            </w:pPr>
            <w:r w:rsidRPr="00E21AE7">
              <w:rPr>
                <w:rFonts w:cs="Arial"/>
                <w:szCs w:val="22"/>
              </w:rPr>
              <w:t>Catch and other information is periodically assessed by QDAF</w:t>
            </w:r>
            <w:r w:rsidR="0019159E" w:rsidRPr="00E21AE7">
              <w:rPr>
                <w:rFonts w:cs="Arial"/>
                <w:szCs w:val="22"/>
              </w:rPr>
              <w:t xml:space="preserve"> but</w:t>
            </w:r>
            <w:r w:rsidRPr="00E21AE7">
              <w:rPr>
                <w:rFonts w:cs="Arial"/>
                <w:szCs w:val="22"/>
              </w:rPr>
              <w:t xml:space="preserve"> there is no formal process for monitoring or managing fishery performance.</w:t>
            </w:r>
          </w:p>
          <w:p w14:paraId="38969CE4" w14:textId="1B5A3F8E" w:rsidR="002D2183" w:rsidRPr="00E21AE7" w:rsidRDefault="00612F14" w:rsidP="007F171B">
            <w:pPr>
              <w:spacing w:before="80" w:after="80" w:line="276" w:lineRule="auto"/>
              <w:rPr>
                <w:rFonts w:cs="Arial"/>
              </w:rPr>
            </w:pPr>
            <w:r w:rsidRPr="00E21AE7">
              <w:rPr>
                <w:rFonts w:cs="Arial"/>
              </w:rPr>
              <w:t xml:space="preserve">QDAF has advised that a harvest strategy containing strategic objectives and performance criteria, by which the effectiveness of the management arrangements can be measured, will be developed, and </w:t>
            </w:r>
            <w:r w:rsidRPr="00F753F4">
              <w:rPr>
                <w:rFonts w:cs="Arial"/>
              </w:rPr>
              <w:t>implemented in 2021</w:t>
            </w:r>
            <w:r w:rsidRPr="00E21AE7">
              <w:rPr>
                <w:rFonts w:cs="Arial"/>
              </w:rPr>
              <w:t xml:space="preserve">. </w:t>
            </w:r>
            <w:r w:rsidR="002D7E89">
              <w:rPr>
                <w:rFonts w:cs="Arial"/>
              </w:rPr>
              <w:t>T</w:t>
            </w:r>
            <w:r w:rsidR="00B127FE">
              <w:rPr>
                <w:rFonts w:cs="Arial"/>
              </w:rPr>
              <w:t>he management arrangements are likely to be effective until a harvest strategy is implemented.</w:t>
            </w:r>
          </w:p>
        </w:tc>
      </w:tr>
      <w:tr w:rsidR="00885298" w:rsidRPr="000900EC" w14:paraId="7F16FB15" w14:textId="77777777" w:rsidTr="008903BD">
        <w:trPr>
          <w:cantSplit/>
        </w:trPr>
        <w:tc>
          <w:tcPr>
            <w:tcW w:w="1500" w:type="pct"/>
            <w:shd w:val="clear" w:color="auto" w:fill="FFC000"/>
          </w:tcPr>
          <w:p w14:paraId="79731F76" w14:textId="6FA5085A" w:rsidR="004649FA" w:rsidRPr="00E21AE7" w:rsidRDefault="00885298" w:rsidP="007F171B">
            <w:pPr>
              <w:spacing w:before="80" w:after="80" w:line="276" w:lineRule="auto"/>
              <w:rPr>
                <w:rFonts w:cs="Arial"/>
              </w:rPr>
            </w:pPr>
            <w:r w:rsidRPr="00E21AE7">
              <w:rPr>
                <w:rFonts w:cs="Arial"/>
              </w:rPr>
              <w:lastRenderedPageBreak/>
              <w:t xml:space="preserve">Be capable of assessing, monitoring and avoiding, remedying or mitigating any adverse impacts on the wider marine ecosystem in which the target species </w:t>
            </w:r>
            <w:proofErr w:type="gramStart"/>
            <w:r w:rsidRPr="00E21AE7">
              <w:rPr>
                <w:rFonts w:cs="Arial"/>
              </w:rPr>
              <w:t>lives</w:t>
            </w:r>
            <w:proofErr w:type="gramEnd"/>
            <w:r w:rsidRPr="00E21AE7">
              <w:rPr>
                <w:rFonts w:cs="Arial"/>
              </w:rPr>
              <w:t xml:space="preserve"> and the fishery operates</w:t>
            </w:r>
            <w:r w:rsidR="006B6EF9" w:rsidRPr="00E21AE7">
              <w:rPr>
                <w:rFonts w:cs="Arial"/>
              </w:rPr>
              <w:t>.</w:t>
            </w:r>
          </w:p>
        </w:tc>
        <w:tc>
          <w:tcPr>
            <w:tcW w:w="3500" w:type="pct"/>
            <w:gridSpan w:val="2"/>
            <w:shd w:val="clear" w:color="auto" w:fill="auto"/>
          </w:tcPr>
          <w:p w14:paraId="724ED7A2" w14:textId="331B4D27" w:rsidR="00171B1B" w:rsidRPr="00E21AE7" w:rsidRDefault="00F8472A" w:rsidP="007F171B">
            <w:pPr>
              <w:spacing w:before="80" w:after="80" w:line="276" w:lineRule="auto"/>
              <w:rPr>
                <w:rFonts w:cs="Arial"/>
                <w:b/>
              </w:rPr>
            </w:pPr>
            <w:r w:rsidRPr="00E21AE7">
              <w:rPr>
                <w:rFonts w:cs="Arial"/>
                <w:b/>
              </w:rPr>
              <w:t xml:space="preserve">Partially meets </w:t>
            </w:r>
            <w:r w:rsidR="005869AD" w:rsidRPr="00E21AE7">
              <w:rPr>
                <w:rFonts w:cs="Arial"/>
                <w:b/>
              </w:rPr>
              <w:t xml:space="preserve">– </w:t>
            </w:r>
            <w:r w:rsidR="00516DAE" w:rsidRPr="00E21AE7">
              <w:rPr>
                <w:rFonts w:cs="Arial"/>
                <w:b/>
              </w:rPr>
              <w:t>r</w:t>
            </w:r>
            <w:r w:rsidR="00CB6D4C" w:rsidRPr="00E21AE7">
              <w:rPr>
                <w:rFonts w:cs="Arial"/>
                <w:b/>
              </w:rPr>
              <w:t>isk mitigation</w:t>
            </w:r>
            <w:r w:rsidR="00516DAE" w:rsidRPr="00E21AE7">
              <w:rPr>
                <w:rFonts w:cs="Arial"/>
                <w:b/>
              </w:rPr>
              <w:t xml:space="preserve">, monitoring and research commitments </w:t>
            </w:r>
            <w:r w:rsidR="00CB6D4C" w:rsidRPr="00E21AE7">
              <w:rPr>
                <w:rFonts w:cs="Arial"/>
                <w:b/>
              </w:rPr>
              <w:t>require review</w:t>
            </w:r>
          </w:p>
          <w:p w14:paraId="74036720" w14:textId="7483140D" w:rsidR="000E5BFB" w:rsidRPr="00E21AE7" w:rsidRDefault="009D7C50" w:rsidP="007F171B">
            <w:pPr>
              <w:spacing w:before="80" w:after="80" w:line="276" w:lineRule="auto"/>
              <w:rPr>
                <w:rFonts w:cs="Arial"/>
              </w:rPr>
            </w:pPr>
            <w:r w:rsidRPr="00E21AE7">
              <w:rPr>
                <w:rFonts w:cs="Arial"/>
              </w:rPr>
              <w:t>A Level 1</w:t>
            </w:r>
            <w:r w:rsidR="00002ABD" w:rsidRPr="00E21AE7">
              <w:rPr>
                <w:rFonts w:cs="Arial"/>
              </w:rPr>
              <w:t>,</w:t>
            </w:r>
            <w:r w:rsidRPr="00E21AE7">
              <w:rPr>
                <w:rFonts w:cs="Arial"/>
              </w:rPr>
              <w:t xml:space="preserve"> </w:t>
            </w:r>
            <w:r w:rsidR="00477312" w:rsidRPr="00E21AE7">
              <w:rPr>
                <w:rFonts w:cs="Arial"/>
              </w:rPr>
              <w:t xml:space="preserve">qualitative </w:t>
            </w:r>
            <w:r w:rsidRPr="00E21AE7">
              <w:rPr>
                <w:rFonts w:cs="Arial"/>
              </w:rPr>
              <w:t xml:space="preserve">ecological risk assessment </w:t>
            </w:r>
            <w:r w:rsidR="00002ABD" w:rsidRPr="00E21AE7">
              <w:rPr>
                <w:rFonts w:cs="Arial"/>
              </w:rPr>
              <w:t xml:space="preserve">(ERA) </w:t>
            </w:r>
            <w:r w:rsidR="0059234F" w:rsidRPr="00E21AE7">
              <w:rPr>
                <w:rFonts w:cs="Arial"/>
              </w:rPr>
              <w:t>was published</w:t>
            </w:r>
            <w:r w:rsidRPr="00E21AE7">
              <w:rPr>
                <w:rFonts w:cs="Arial"/>
              </w:rPr>
              <w:t xml:space="preserve"> for </w:t>
            </w:r>
            <w:r w:rsidR="00002ABD" w:rsidRPr="00E21AE7">
              <w:rPr>
                <w:rFonts w:cs="Arial"/>
              </w:rPr>
              <w:t>the CTFFF</w:t>
            </w:r>
            <w:r w:rsidR="0059234F" w:rsidRPr="00E21AE7">
              <w:rPr>
                <w:rFonts w:cs="Arial"/>
              </w:rPr>
              <w:t xml:space="preserve"> in </w:t>
            </w:r>
            <w:r w:rsidR="00731CD5" w:rsidRPr="00FD022E">
              <w:rPr>
                <w:rFonts w:cs="Arial"/>
                <w:bCs/>
                <w:iCs/>
                <w:noProof/>
              </w:rPr>
              <w:t>in February 2020</w:t>
            </w:r>
            <w:r w:rsidR="00002ABD" w:rsidRPr="00E21AE7" w:rsidDel="0059234F">
              <w:rPr>
                <w:rFonts w:cs="Arial"/>
              </w:rPr>
              <w:t>.</w:t>
            </w:r>
            <w:r w:rsidR="00334E56" w:rsidRPr="00E21AE7">
              <w:rPr>
                <w:rFonts w:cs="Arial"/>
              </w:rPr>
              <w:t xml:space="preserve"> </w:t>
            </w:r>
            <w:r w:rsidR="00477312" w:rsidRPr="00E21AE7">
              <w:rPr>
                <w:rFonts w:cs="Arial"/>
              </w:rPr>
              <w:t>Th</w:t>
            </w:r>
            <w:r w:rsidR="00002ABD" w:rsidRPr="00E21AE7">
              <w:rPr>
                <w:rFonts w:cs="Arial"/>
              </w:rPr>
              <w:t>e</w:t>
            </w:r>
            <w:r w:rsidR="00477312" w:rsidRPr="00E21AE7">
              <w:rPr>
                <w:rFonts w:cs="Arial"/>
              </w:rPr>
              <w:t xml:space="preserve"> </w:t>
            </w:r>
            <w:r w:rsidR="00002ABD" w:rsidRPr="00E21AE7">
              <w:rPr>
                <w:rFonts w:cs="Arial"/>
              </w:rPr>
              <w:t>ERA</w:t>
            </w:r>
            <w:r w:rsidR="00477312" w:rsidRPr="00E21AE7">
              <w:rPr>
                <w:rFonts w:cs="Arial"/>
              </w:rPr>
              <w:t xml:space="preserve"> </w:t>
            </w:r>
            <w:r w:rsidR="00002ABD" w:rsidRPr="00E21AE7">
              <w:rPr>
                <w:rFonts w:cs="Arial"/>
              </w:rPr>
              <w:t>i</w:t>
            </w:r>
            <w:r w:rsidR="00477312" w:rsidRPr="00E21AE7">
              <w:rPr>
                <w:rFonts w:cs="Arial"/>
              </w:rPr>
              <w:t xml:space="preserve">s designed to guide ecological </w:t>
            </w:r>
            <w:r w:rsidR="00260210" w:rsidRPr="00E21AE7">
              <w:rPr>
                <w:rFonts w:cs="Arial"/>
              </w:rPr>
              <w:t>risk mitigation</w:t>
            </w:r>
            <w:r w:rsidR="009B29B4" w:rsidRPr="00E21AE7">
              <w:rPr>
                <w:rFonts w:cs="Arial"/>
              </w:rPr>
              <w:t xml:space="preserve"> </w:t>
            </w:r>
            <w:r w:rsidR="00477312" w:rsidRPr="00E21AE7">
              <w:rPr>
                <w:rFonts w:cs="Arial"/>
              </w:rPr>
              <w:t xml:space="preserve">in the </w:t>
            </w:r>
            <w:r w:rsidR="000E5BFB" w:rsidRPr="00E21AE7">
              <w:rPr>
                <w:rFonts w:cs="Arial"/>
              </w:rPr>
              <w:t xml:space="preserve">fishery </w:t>
            </w:r>
            <w:r w:rsidR="00002ABD" w:rsidRPr="00E21AE7">
              <w:rPr>
                <w:rFonts w:cs="Arial"/>
              </w:rPr>
              <w:t xml:space="preserve">and </w:t>
            </w:r>
            <w:r w:rsidR="009B29B4" w:rsidRPr="00E21AE7">
              <w:rPr>
                <w:rFonts w:cs="Arial"/>
              </w:rPr>
              <w:t>span</w:t>
            </w:r>
            <w:r w:rsidR="00002ABD" w:rsidRPr="00E21AE7">
              <w:rPr>
                <w:rFonts w:cs="Arial"/>
              </w:rPr>
              <w:t>s</w:t>
            </w:r>
            <w:r w:rsidR="009B29B4" w:rsidRPr="00E21AE7">
              <w:rPr>
                <w:rFonts w:cs="Arial"/>
              </w:rPr>
              <w:t xml:space="preserve"> target, </w:t>
            </w:r>
            <w:r w:rsidR="0033540A" w:rsidRPr="00E21AE7">
              <w:rPr>
                <w:rFonts w:cs="Arial"/>
              </w:rPr>
              <w:t>by-product</w:t>
            </w:r>
            <w:r w:rsidR="009B29B4" w:rsidRPr="00E21AE7">
              <w:rPr>
                <w:rFonts w:cs="Arial"/>
              </w:rPr>
              <w:t xml:space="preserve"> and bycatch species (including protected species), marine habitats and ecosystem processes</w:t>
            </w:r>
            <w:r w:rsidR="0084407A" w:rsidRPr="00E21AE7">
              <w:rPr>
                <w:rFonts w:cs="Arial"/>
              </w:rPr>
              <w:t xml:space="preserve"> </w:t>
            </w:r>
            <w:r w:rsidR="00002ABD" w:rsidRPr="00E21AE7">
              <w:rPr>
                <w:rFonts w:cs="Arial"/>
              </w:rPr>
              <w:t>(</w:t>
            </w:r>
            <w:hyperlink r:id="rId33" w:history="1">
              <w:r w:rsidR="00E450DD" w:rsidRPr="00E21AE7">
                <w:rPr>
                  <w:rStyle w:val="Hyperlink"/>
                  <w:rFonts w:cs="Arial"/>
                  <w:lang w:eastAsia="en-AU"/>
                </w:rPr>
                <w:t>Walton &amp; Jacobsen, 201</w:t>
              </w:r>
              <w:r w:rsidR="00E450DD" w:rsidRPr="00E21AE7">
                <w:rPr>
                  <w:rStyle w:val="Hyperlink"/>
                  <w:rFonts w:cs="Arial"/>
                </w:rPr>
                <w:t>9</w:t>
              </w:r>
            </w:hyperlink>
            <w:r w:rsidR="00002ABD" w:rsidRPr="00E21AE7">
              <w:rPr>
                <w:rFonts w:cs="Arial"/>
                <w:lang w:eastAsia="en-AU"/>
              </w:rPr>
              <w:t>)</w:t>
            </w:r>
            <w:r w:rsidR="0083650F" w:rsidRPr="00E21AE7">
              <w:rPr>
                <w:rFonts w:cs="Arial"/>
              </w:rPr>
              <w:t>.</w:t>
            </w:r>
          </w:p>
          <w:p w14:paraId="7B5FF013" w14:textId="308EDEBB" w:rsidR="00542727" w:rsidRPr="00E21AE7" w:rsidRDefault="00542727" w:rsidP="007F171B">
            <w:pPr>
              <w:spacing w:before="80" w:after="80" w:line="276" w:lineRule="auto"/>
              <w:rPr>
                <w:rFonts w:cs="Arial"/>
              </w:rPr>
            </w:pPr>
            <w:r w:rsidRPr="00E21AE7">
              <w:rPr>
                <w:rFonts w:cs="Arial"/>
              </w:rPr>
              <w:t>Ecological risks in the CTFFF are managed through spatial and temporal restrictions and requirements for fishers to use Turtle Excluder Devices (TEDS) when Otter Trawling. Use of TEDS is not required for fishers using Danish Seine gear. No ecological components were found to be at high risk from the CTFFF.</w:t>
            </w:r>
          </w:p>
          <w:p w14:paraId="162C34D7" w14:textId="1F9CFFBE" w:rsidR="000E5BFB" w:rsidRPr="00E21AE7" w:rsidRDefault="000E5BFB" w:rsidP="007F171B">
            <w:pPr>
              <w:spacing w:before="80" w:after="80" w:line="276" w:lineRule="auto"/>
              <w:rPr>
                <w:rFonts w:cs="Arial"/>
              </w:rPr>
            </w:pPr>
            <w:r w:rsidRPr="00E21AE7">
              <w:rPr>
                <w:rFonts w:cs="Arial"/>
              </w:rPr>
              <w:t xml:space="preserve">The ERA found that risks to </w:t>
            </w:r>
            <w:r w:rsidR="00534090" w:rsidRPr="00E21AE7">
              <w:rPr>
                <w:rFonts w:cs="Arial"/>
              </w:rPr>
              <w:t xml:space="preserve">the wider marine ecosystem were low to intermediate. </w:t>
            </w:r>
            <w:r w:rsidRPr="00E21AE7">
              <w:rPr>
                <w:rFonts w:cs="Arial"/>
              </w:rPr>
              <w:t xml:space="preserve">However, the ERA did not consider the impacts of the four-year fishing trial that has been occurring in inshore Stout Whiting nursery areas. Given these inshore areas were previously closed to help mitigate the ecological risks associated with the CTFFF, they should have been </w:t>
            </w:r>
            <w:r w:rsidR="00534090" w:rsidRPr="00E21AE7">
              <w:rPr>
                <w:rFonts w:cs="Arial"/>
              </w:rPr>
              <w:t>assessed</w:t>
            </w:r>
            <w:r w:rsidR="00EC5CD2">
              <w:rPr>
                <w:rFonts w:cs="Arial"/>
              </w:rPr>
              <w:t xml:space="preserve"> to ensure ecological risks in the fishery are known and effectively managed</w:t>
            </w:r>
            <w:r w:rsidRPr="00E21AE7">
              <w:rPr>
                <w:rFonts w:cs="Arial"/>
              </w:rPr>
              <w:t>.</w:t>
            </w:r>
          </w:p>
          <w:p w14:paraId="4C6811B9" w14:textId="137E657A" w:rsidR="00BE1392" w:rsidRPr="00E21AE7" w:rsidRDefault="0084407A" w:rsidP="007F171B">
            <w:pPr>
              <w:spacing w:before="80" w:after="80" w:line="276" w:lineRule="auto"/>
              <w:rPr>
                <w:rFonts w:cs="Arial"/>
              </w:rPr>
            </w:pPr>
            <w:r w:rsidRPr="00E21AE7">
              <w:rPr>
                <w:rFonts w:cs="Arial"/>
              </w:rPr>
              <w:t xml:space="preserve">The </w:t>
            </w:r>
            <w:r w:rsidR="00002ABD" w:rsidRPr="00E21AE7">
              <w:rPr>
                <w:rFonts w:cs="Arial"/>
              </w:rPr>
              <w:t xml:space="preserve">ERA </w:t>
            </w:r>
            <w:r w:rsidRPr="00E21AE7">
              <w:rPr>
                <w:rFonts w:cs="Arial"/>
              </w:rPr>
              <w:t xml:space="preserve">states that </w:t>
            </w:r>
            <w:r w:rsidR="00542727" w:rsidRPr="00E21AE7">
              <w:rPr>
                <w:rFonts w:cs="Arial"/>
              </w:rPr>
              <w:t xml:space="preserve">the </w:t>
            </w:r>
            <w:r w:rsidRPr="00E21AE7">
              <w:rPr>
                <w:rFonts w:cs="Arial"/>
              </w:rPr>
              <w:t xml:space="preserve">risk </w:t>
            </w:r>
            <w:r w:rsidR="00BE1392" w:rsidRPr="00E21AE7">
              <w:rPr>
                <w:rFonts w:cs="Arial"/>
              </w:rPr>
              <w:t xml:space="preserve">assessment </w:t>
            </w:r>
            <w:r w:rsidR="00CB6D4C" w:rsidRPr="00E21AE7">
              <w:rPr>
                <w:rFonts w:cs="Arial"/>
              </w:rPr>
              <w:t xml:space="preserve">for the CTFFF </w:t>
            </w:r>
            <w:r w:rsidR="00BE1392" w:rsidRPr="00E21AE7">
              <w:rPr>
                <w:rFonts w:cs="Arial"/>
              </w:rPr>
              <w:t xml:space="preserve">would benefit from additional information on the composition of non-target species (bycatch and species of conservation concern) and the effectiveness of the two fishing methods (Danish Seine and Otter Trawl). </w:t>
            </w:r>
            <w:r w:rsidR="006C184E" w:rsidRPr="00E21AE7">
              <w:rPr>
                <w:rFonts w:cs="Arial"/>
              </w:rPr>
              <w:t>Actions</w:t>
            </w:r>
            <w:r w:rsidR="00BE1392" w:rsidRPr="00E21AE7">
              <w:rPr>
                <w:rFonts w:cs="Arial"/>
              </w:rPr>
              <w:t xml:space="preserve"> </w:t>
            </w:r>
            <w:r w:rsidR="00534090" w:rsidRPr="00E21AE7">
              <w:rPr>
                <w:rFonts w:cs="Arial"/>
              </w:rPr>
              <w:t xml:space="preserve">identified in the ERA as necessary to </w:t>
            </w:r>
            <w:r w:rsidR="00BE1392" w:rsidRPr="00E21AE7">
              <w:rPr>
                <w:rFonts w:cs="Arial"/>
              </w:rPr>
              <w:t xml:space="preserve">refine </w:t>
            </w:r>
            <w:r w:rsidR="00534090" w:rsidRPr="00E21AE7">
              <w:rPr>
                <w:rFonts w:cs="Arial"/>
              </w:rPr>
              <w:t xml:space="preserve">the </w:t>
            </w:r>
            <w:r w:rsidR="00BE1392" w:rsidRPr="00E21AE7">
              <w:rPr>
                <w:rFonts w:cs="Arial"/>
              </w:rPr>
              <w:t xml:space="preserve">risk profiles in the </w:t>
            </w:r>
            <w:r w:rsidR="00D5042E" w:rsidRPr="00E21AE7">
              <w:rPr>
                <w:rFonts w:cs="Arial"/>
              </w:rPr>
              <w:t>CTFF</w:t>
            </w:r>
            <w:r w:rsidR="00BE1392" w:rsidRPr="00E21AE7">
              <w:rPr>
                <w:rFonts w:cs="Arial"/>
              </w:rPr>
              <w:t>F include:</w:t>
            </w:r>
          </w:p>
          <w:p w14:paraId="4F7CC943" w14:textId="5303214A" w:rsidR="00BE1392" w:rsidRPr="00E21AE7" w:rsidRDefault="00BE1392" w:rsidP="007F171B">
            <w:pPr>
              <w:pStyle w:val="ListBullet"/>
              <w:spacing w:before="80" w:after="80"/>
              <w:contextualSpacing w:val="0"/>
              <w:rPr>
                <w:sz w:val="22"/>
                <w:szCs w:val="22"/>
              </w:rPr>
            </w:pPr>
            <w:r w:rsidRPr="00E21AE7">
              <w:rPr>
                <w:sz w:val="22"/>
                <w:szCs w:val="22"/>
              </w:rPr>
              <w:t>Improving the level of information on catch compositions for elasmobranchs (e.g. sharks</w:t>
            </w:r>
            <w:r w:rsidR="00D5042E" w:rsidRPr="00E21AE7">
              <w:rPr>
                <w:sz w:val="22"/>
                <w:szCs w:val="22"/>
              </w:rPr>
              <w:t xml:space="preserve"> and rays</w:t>
            </w:r>
            <w:r w:rsidRPr="00E21AE7">
              <w:rPr>
                <w:sz w:val="22"/>
                <w:szCs w:val="22"/>
              </w:rPr>
              <w:t xml:space="preserve">) and other non-target species, with </w:t>
            </w:r>
            <w:r w:rsidR="0033540A" w:rsidRPr="00E21AE7">
              <w:rPr>
                <w:sz w:val="22"/>
                <w:szCs w:val="22"/>
              </w:rPr>
              <w:t>emphasis</w:t>
            </w:r>
            <w:r w:rsidRPr="00E21AE7">
              <w:rPr>
                <w:sz w:val="22"/>
                <w:szCs w:val="22"/>
              </w:rPr>
              <w:t xml:space="preserve"> on bycatch compositions and release fates.</w:t>
            </w:r>
          </w:p>
          <w:p w14:paraId="0141EE21" w14:textId="6B03813D" w:rsidR="00BE1392" w:rsidRPr="00E21AE7" w:rsidRDefault="008C5323" w:rsidP="007F171B">
            <w:pPr>
              <w:pStyle w:val="ListBullet"/>
              <w:spacing w:before="80" w:after="80"/>
              <w:contextualSpacing w:val="0"/>
              <w:rPr>
                <w:sz w:val="22"/>
                <w:szCs w:val="22"/>
              </w:rPr>
            </w:pPr>
            <w:r w:rsidRPr="00E21AE7">
              <w:rPr>
                <w:sz w:val="22"/>
                <w:szCs w:val="22"/>
              </w:rPr>
              <w:t>C</w:t>
            </w:r>
            <w:r w:rsidR="00BE1392" w:rsidRPr="00E21AE7">
              <w:rPr>
                <w:sz w:val="22"/>
                <w:szCs w:val="22"/>
              </w:rPr>
              <w:t xml:space="preserve">ontinued evaluation of the use of </w:t>
            </w:r>
            <w:r w:rsidR="0019159E" w:rsidRPr="00E21AE7">
              <w:rPr>
                <w:sz w:val="22"/>
                <w:szCs w:val="22"/>
              </w:rPr>
              <w:t>O</w:t>
            </w:r>
            <w:r w:rsidR="00BE1392" w:rsidRPr="00E21AE7">
              <w:rPr>
                <w:sz w:val="22"/>
                <w:szCs w:val="22"/>
              </w:rPr>
              <w:t xml:space="preserve">tter </w:t>
            </w:r>
            <w:r w:rsidR="0019159E" w:rsidRPr="00E21AE7">
              <w:rPr>
                <w:sz w:val="22"/>
                <w:szCs w:val="22"/>
              </w:rPr>
              <w:t>T</w:t>
            </w:r>
            <w:r w:rsidR="00BE1392" w:rsidRPr="00E21AE7">
              <w:rPr>
                <w:sz w:val="22"/>
                <w:szCs w:val="22"/>
              </w:rPr>
              <w:t xml:space="preserve">rawl and Danish </w:t>
            </w:r>
            <w:r w:rsidR="0019159E" w:rsidRPr="00E21AE7">
              <w:rPr>
                <w:sz w:val="22"/>
                <w:szCs w:val="22"/>
              </w:rPr>
              <w:t>S</w:t>
            </w:r>
            <w:r w:rsidR="00BE1392" w:rsidRPr="00E21AE7">
              <w:rPr>
                <w:sz w:val="22"/>
                <w:szCs w:val="22"/>
              </w:rPr>
              <w:t xml:space="preserve">eine nets in the </w:t>
            </w:r>
            <w:r w:rsidRPr="00E21AE7">
              <w:rPr>
                <w:sz w:val="22"/>
                <w:szCs w:val="22"/>
              </w:rPr>
              <w:t>fishery</w:t>
            </w:r>
            <w:r w:rsidR="00BE1392" w:rsidRPr="00E21AE7">
              <w:rPr>
                <w:sz w:val="22"/>
                <w:szCs w:val="22"/>
              </w:rPr>
              <w:t>, the economic benefits/constraints of each method, target species retention rates</w:t>
            </w:r>
            <w:r w:rsidRPr="00E21AE7">
              <w:rPr>
                <w:sz w:val="22"/>
                <w:szCs w:val="22"/>
              </w:rPr>
              <w:t>,</w:t>
            </w:r>
            <w:r w:rsidR="00BE1392" w:rsidRPr="00E21AE7">
              <w:rPr>
                <w:sz w:val="22"/>
                <w:szCs w:val="22"/>
              </w:rPr>
              <w:t xml:space="preserve"> and their potential t</w:t>
            </w:r>
            <w:r w:rsidR="005B5F6F" w:rsidRPr="00E21AE7">
              <w:rPr>
                <w:sz w:val="22"/>
                <w:szCs w:val="22"/>
              </w:rPr>
              <w:t>o impact on non-target species.</w:t>
            </w:r>
          </w:p>
          <w:p w14:paraId="3A35E5E5" w14:textId="438C5964" w:rsidR="000B790D" w:rsidRPr="00E21AE7" w:rsidRDefault="00BE1392" w:rsidP="007F171B">
            <w:pPr>
              <w:spacing w:before="80" w:after="80" w:line="276" w:lineRule="auto"/>
              <w:rPr>
                <w:rFonts w:cs="Arial"/>
              </w:rPr>
            </w:pPr>
            <w:r w:rsidRPr="00E21AE7">
              <w:rPr>
                <w:rFonts w:cs="Arial"/>
              </w:rPr>
              <w:t xml:space="preserve">QDAF will </w:t>
            </w:r>
            <w:r w:rsidR="0059234F" w:rsidRPr="00E21AE7">
              <w:rPr>
                <w:rFonts w:cs="Arial"/>
              </w:rPr>
              <w:t xml:space="preserve">be addressing </w:t>
            </w:r>
            <w:r w:rsidRPr="00E21AE7">
              <w:rPr>
                <w:rFonts w:cs="Arial"/>
              </w:rPr>
              <w:t>these knowledge gaps through their Monitoring and Research Plan</w:t>
            </w:r>
            <w:r w:rsidR="0084407A" w:rsidRPr="00E21AE7">
              <w:rPr>
                <w:rFonts w:cs="Arial"/>
              </w:rPr>
              <w:t xml:space="preserve">. </w:t>
            </w:r>
            <w:r w:rsidR="00534090" w:rsidRPr="00E21AE7">
              <w:rPr>
                <w:rFonts w:cs="Arial"/>
              </w:rPr>
              <w:t xml:space="preserve">However, the </w:t>
            </w:r>
            <w:r w:rsidR="00B66D42" w:rsidRPr="00E21AE7">
              <w:rPr>
                <w:rFonts w:cs="Arial"/>
              </w:rPr>
              <w:t>current</w:t>
            </w:r>
            <w:r w:rsidR="0084407A" w:rsidRPr="00E21AE7">
              <w:rPr>
                <w:rFonts w:cs="Arial"/>
              </w:rPr>
              <w:t xml:space="preserve"> </w:t>
            </w:r>
            <w:hyperlink r:id="rId34" w:history="1">
              <w:r w:rsidR="00B66D42" w:rsidRPr="00E21AE7">
                <w:rPr>
                  <w:rStyle w:val="Hyperlink"/>
                  <w:rFonts w:cs="Arial"/>
                </w:rPr>
                <w:t>Monitoring and Research Plan</w:t>
              </w:r>
            </w:hyperlink>
            <w:r w:rsidR="00CF3226" w:rsidRPr="00E21AE7">
              <w:rPr>
                <w:rFonts w:cs="Arial"/>
              </w:rPr>
              <w:t xml:space="preserve"> </w:t>
            </w:r>
            <w:r w:rsidR="0084407A" w:rsidRPr="00E21AE7">
              <w:rPr>
                <w:rFonts w:cs="Arial"/>
              </w:rPr>
              <w:t xml:space="preserve">does not </w:t>
            </w:r>
            <w:r w:rsidR="000B790D" w:rsidRPr="00E21AE7">
              <w:rPr>
                <w:rFonts w:cs="Arial"/>
              </w:rPr>
              <w:t xml:space="preserve">include these measures and does not </w:t>
            </w:r>
            <w:r w:rsidR="0084407A" w:rsidRPr="00E21AE7">
              <w:rPr>
                <w:rFonts w:cs="Arial"/>
              </w:rPr>
              <w:t>extend beyond 2017-2018</w:t>
            </w:r>
            <w:r w:rsidR="000B790D" w:rsidRPr="00E21AE7">
              <w:rPr>
                <w:rFonts w:cs="Arial"/>
              </w:rPr>
              <w:t>. QDAF has advised that the plan is being updated and used on an ongoing basis and that all recommendations from the Level 1 ERA reports have already been included in the plan</w:t>
            </w:r>
            <w:r w:rsidR="00542727" w:rsidRPr="00E21AE7">
              <w:rPr>
                <w:rFonts w:cs="Arial"/>
              </w:rPr>
              <w:t xml:space="preserve"> (</w:t>
            </w:r>
            <w:r w:rsidR="00534090" w:rsidRPr="00E21AE7">
              <w:rPr>
                <w:rFonts w:cs="Arial"/>
              </w:rPr>
              <w:t>QDAF pers comm. 2020</w:t>
            </w:r>
            <w:r w:rsidR="00542727" w:rsidRPr="00E21AE7">
              <w:rPr>
                <w:rFonts w:cs="Arial"/>
              </w:rPr>
              <w:t>)</w:t>
            </w:r>
            <w:r w:rsidR="000B790D" w:rsidRPr="00E21AE7">
              <w:rPr>
                <w:rFonts w:cs="Arial"/>
              </w:rPr>
              <w:t>.</w:t>
            </w:r>
          </w:p>
          <w:p w14:paraId="28A4FD51" w14:textId="3CD0C4A3" w:rsidR="00260210" w:rsidRPr="00E21AE7" w:rsidRDefault="000B790D" w:rsidP="007F171B">
            <w:pPr>
              <w:spacing w:before="80" w:after="80" w:line="276" w:lineRule="auto"/>
              <w:rPr>
                <w:rFonts w:cs="Arial"/>
              </w:rPr>
            </w:pPr>
            <w:r w:rsidRPr="00E21AE7">
              <w:rPr>
                <w:rFonts w:cs="Arial"/>
              </w:rPr>
              <w:t xml:space="preserve">QDAF use the plan to identify priority research and monitoring needs, allocate budget to key projects and engage in collaborations with research partners. </w:t>
            </w:r>
            <w:r w:rsidR="00A90180" w:rsidRPr="00E21AE7">
              <w:rPr>
                <w:rFonts w:cs="Arial"/>
              </w:rPr>
              <w:t>Some</w:t>
            </w:r>
            <w:r w:rsidRPr="00E21AE7">
              <w:rPr>
                <w:rFonts w:cs="Arial"/>
              </w:rPr>
              <w:t xml:space="preserve"> projects </w:t>
            </w:r>
            <w:r w:rsidR="00542727" w:rsidRPr="00E21AE7">
              <w:rPr>
                <w:rFonts w:cs="Arial"/>
              </w:rPr>
              <w:t xml:space="preserve">have been funded by the Fisheries Research and Development Cooperation (FRDC) </w:t>
            </w:r>
            <w:r w:rsidRPr="00E21AE7">
              <w:rPr>
                <w:rFonts w:cs="Arial"/>
              </w:rPr>
              <w:t xml:space="preserve">during the last two years. Research priorities to </w:t>
            </w:r>
            <w:r w:rsidRPr="00E21AE7">
              <w:rPr>
                <w:rFonts w:cs="Arial"/>
              </w:rPr>
              <w:lastRenderedPageBreak/>
              <w:t>improve management and reduce ecological risks in the CTFFF are being considered alongside all the other fisheries where ERAs have been completed. At this stage, timelines for implementing programs specific to the CTFFF are not available and QDAF advise that they are likely to be considered during the harvest strategy development process in cooperation with industry and other stakeholders (QDAF pers comm. 8 May 2020).</w:t>
            </w:r>
          </w:p>
          <w:p w14:paraId="4EB133A4" w14:textId="650BDA49" w:rsidR="00542727" w:rsidRPr="00E21AE7" w:rsidRDefault="00C053DD" w:rsidP="007F171B">
            <w:pPr>
              <w:spacing w:before="80" w:after="80" w:line="276" w:lineRule="auto"/>
              <w:rPr>
                <w:rFonts w:cs="Arial"/>
              </w:rPr>
            </w:pPr>
            <w:r w:rsidRPr="00E21AE7">
              <w:rPr>
                <w:rFonts w:cs="Arial"/>
              </w:rPr>
              <w:t xml:space="preserve">The Department recommends </w:t>
            </w:r>
            <w:r w:rsidR="00434C44" w:rsidRPr="00E21AE7">
              <w:rPr>
                <w:rFonts w:cs="Arial"/>
              </w:rPr>
              <w:t xml:space="preserve">that </w:t>
            </w:r>
            <w:r w:rsidR="00FD12F1" w:rsidRPr="00E21AE7">
              <w:rPr>
                <w:rFonts w:cs="Arial"/>
                <w:b/>
              </w:rPr>
              <w:t>condition</w:t>
            </w:r>
            <w:r w:rsidR="003A1E92">
              <w:rPr>
                <w:rFonts w:cs="Arial"/>
                <w:b/>
              </w:rPr>
              <w:t>s</w:t>
            </w:r>
            <w:r w:rsidR="00FD12F1" w:rsidRPr="00E21AE7">
              <w:rPr>
                <w:rFonts w:cs="Arial"/>
                <w:b/>
              </w:rPr>
              <w:t xml:space="preserve"> 1</w:t>
            </w:r>
            <w:r w:rsidR="003A1E92">
              <w:rPr>
                <w:rFonts w:cs="Arial"/>
                <w:b/>
              </w:rPr>
              <w:t xml:space="preserve"> and 2</w:t>
            </w:r>
            <w:r w:rsidR="00355094">
              <w:rPr>
                <w:rFonts w:cs="Arial"/>
                <w:b/>
              </w:rPr>
              <w:t xml:space="preserve"> </w:t>
            </w:r>
            <w:r w:rsidR="00FD12F1" w:rsidRPr="00E21AE7">
              <w:rPr>
                <w:rFonts w:cs="Arial"/>
              </w:rPr>
              <w:t xml:space="preserve">be applied to the Part 13 approval and </w:t>
            </w:r>
            <w:r w:rsidRPr="00E21AE7">
              <w:rPr>
                <w:rFonts w:cs="Arial"/>
                <w:b/>
              </w:rPr>
              <w:t>condition</w:t>
            </w:r>
            <w:r w:rsidR="00C509DD" w:rsidRPr="00E21AE7">
              <w:rPr>
                <w:rFonts w:cs="Arial"/>
                <w:b/>
              </w:rPr>
              <w:t>s</w:t>
            </w:r>
            <w:r w:rsidR="00FD12F1" w:rsidRPr="00E21AE7">
              <w:rPr>
                <w:rFonts w:cs="Arial"/>
                <w:b/>
              </w:rPr>
              <w:t> </w:t>
            </w:r>
            <w:r w:rsidR="00434C44" w:rsidRPr="00E21AE7">
              <w:rPr>
                <w:rFonts w:cs="Arial"/>
                <w:b/>
              </w:rPr>
              <w:t>4</w:t>
            </w:r>
            <w:r w:rsidR="003A1E92">
              <w:rPr>
                <w:rFonts w:cs="Arial"/>
                <w:b/>
              </w:rPr>
              <w:t>-6</w:t>
            </w:r>
            <w:r w:rsidR="00AA1E16" w:rsidRPr="00E21AE7">
              <w:rPr>
                <w:rFonts w:cs="Arial"/>
                <w:b/>
              </w:rPr>
              <w:t xml:space="preserve"> </w:t>
            </w:r>
            <w:r w:rsidRPr="00E21AE7">
              <w:rPr>
                <w:rFonts w:cs="Arial"/>
              </w:rPr>
              <w:t xml:space="preserve">be applied to </w:t>
            </w:r>
            <w:r w:rsidR="007D043E" w:rsidRPr="00E21AE7">
              <w:rPr>
                <w:rFonts w:cs="Arial"/>
              </w:rPr>
              <w:t xml:space="preserve">the </w:t>
            </w:r>
            <w:r w:rsidRPr="00E21AE7">
              <w:rPr>
                <w:rFonts w:cs="Arial"/>
              </w:rPr>
              <w:t>Part 13A approval</w:t>
            </w:r>
            <w:r w:rsidR="00434C44" w:rsidRPr="00E21AE7">
              <w:rPr>
                <w:rFonts w:cs="Arial"/>
              </w:rPr>
              <w:t xml:space="preserve"> </w:t>
            </w:r>
            <w:r w:rsidRPr="00E21AE7">
              <w:rPr>
                <w:rFonts w:cs="Arial"/>
              </w:rPr>
              <w:t xml:space="preserve">to </w:t>
            </w:r>
            <w:r w:rsidR="00434C44" w:rsidRPr="00E21AE7">
              <w:rPr>
                <w:rFonts w:cs="Arial"/>
              </w:rPr>
              <w:t xml:space="preserve">ensure the necessary </w:t>
            </w:r>
            <w:r w:rsidR="00C22951" w:rsidRPr="00E21AE7">
              <w:rPr>
                <w:rFonts w:cs="Arial"/>
              </w:rPr>
              <w:t xml:space="preserve">information </w:t>
            </w:r>
            <w:r w:rsidR="00434C44" w:rsidRPr="00E21AE7">
              <w:rPr>
                <w:rFonts w:cs="Arial"/>
              </w:rPr>
              <w:t xml:space="preserve">is available </w:t>
            </w:r>
            <w:r w:rsidR="00FD12F1" w:rsidRPr="00E21AE7">
              <w:rPr>
                <w:rFonts w:cs="Arial"/>
              </w:rPr>
              <w:t xml:space="preserve">and processes are established to </w:t>
            </w:r>
            <w:r w:rsidR="00434C44" w:rsidRPr="00E21AE7">
              <w:rPr>
                <w:rFonts w:cs="Arial"/>
              </w:rPr>
              <w:t>monitor and manage the sustainability of the fishery</w:t>
            </w:r>
            <w:r w:rsidR="00D77087" w:rsidRPr="00E21AE7">
              <w:rPr>
                <w:rFonts w:cs="Arial"/>
              </w:rPr>
              <w:t xml:space="preserve"> by </w:t>
            </w:r>
            <w:r w:rsidR="00D77087" w:rsidRPr="00E21AE7">
              <w:rPr>
                <w:rFonts w:cs="Arial"/>
                <w:b/>
              </w:rPr>
              <w:t>31 December 2021</w:t>
            </w:r>
            <w:r w:rsidR="00434C44" w:rsidRPr="00E21AE7">
              <w:rPr>
                <w:rFonts w:cs="Arial"/>
              </w:rPr>
              <w:t xml:space="preserve">. </w:t>
            </w:r>
          </w:p>
        </w:tc>
      </w:tr>
      <w:tr w:rsidR="00885298" w:rsidRPr="000900EC" w14:paraId="257A30C9" w14:textId="77777777" w:rsidTr="008903BD">
        <w:trPr>
          <w:cantSplit/>
        </w:trPr>
        <w:tc>
          <w:tcPr>
            <w:tcW w:w="1500" w:type="pct"/>
            <w:shd w:val="clear" w:color="auto" w:fill="92D050"/>
          </w:tcPr>
          <w:p w14:paraId="2FAB5309" w14:textId="10346679" w:rsidR="004649FA" w:rsidRPr="00E21AE7" w:rsidRDefault="00885298" w:rsidP="007F171B">
            <w:pPr>
              <w:spacing w:before="80" w:after="80" w:line="276" w:lineRule="auto"/>
              <w:rPr>
                <w:rFonts w:cs="Arial"/>
              </w:rPr>
            </w:pPr>
            <w:r w:rsidRPr="00E21AE7">
              <w:rPr>
                <w:rFonts w:cs="Arial"/>
              </w:rPr>
              <w:lastRenderedPageBreak/>
              <w:t>Requires compliance with relevant threat abatement plans, recovery plans, the National Policy on Fisheries Bycatch, and bycatch action strategies developed under the policy</w:t>
            </w:r>
            <w:r w:rsidR="006B6EF9" w:rsidRPr="00E21AE7">
              <w:rPr>
                <w:rFonts w:cs="Arial"/>
              </w:rPr>
              <w:t>.</w:t>
            </w:r>
          </w:p>
        </w:tc>
        <w:tc>
          <w:tcPr>
            <w:tcW w:w="3500" w:type="pct"/>
            <w:gridSpan w:val="2"/>
            <w:shd w:val="clear" w:color="auto" w:fill="auto"/>
          </w:tcPr>
          <w:p w14:paraId="070716E9" w14:textId="5E567B2B" w:rsidR="005869AD" w:rsidRPr="00E21AE7" w:rsidRDefault="00F8472A" w:rsidP="007F171B">
            <w:pPr>
              <w:spacing w:before="80" w:after="80" w:line="276" w:lineRule="auto"/>
              <w:rPr>
                <w:rFonts w:cs="Arial"/>
                <w:b/>
              </w:rPr>
            </w:pPr>
            <w:r w:rsidRPr="00E21AE7">
              <w:rPr>
                <w:rFonts w:cs="Arial"/>
                <w:b/>
              </w:rPr>
              <w:t xml:space="preserve">Meets </w:t>
            </w:r>
            <w:r w:rsidR="005869AD" w:rsidRPr="00E21AE7">
              <w:rPr>
                <w:rFonts w:cs="Arial"/>
                <w:b/>
              </w:rPr>
              <w:t>– Compliant with all relevant plans</w:t>
            </w:r>
          </w:p>
          <w:p w14:paraId="7148773C" w14:textId="313DACFD" w:rsidR="000A46C9" w:rsidRPr="00E21AE7" w:rsidRDefault="00905605" w:rsidP="007F171B">
            <w:pPr>
              <w:spacing w:before="80" w:after="80" w:line="276" w:lineRule="auto"/>
              <w:rPr>
                <w:rFonts w:cs="Arial"/>
              </w:rPr>
            </w:pPr>
            <w:r w:rsidRPr="00E21AE7">
              <w:rPr>
                <w:rFonts w:cs="Arial"/>
              </w:rPr>
              <w:t>Given the CTFFF operates in both state and Commonwealth areas, the management arrangements for the fishery are required to comply with all r</w:t>
            </w:r>
            <w:r w:rsidR="000A46C9" w:rsidRPr="00E21AE7">
              <w:rPr>
                <w:rFonts w:cs="Arial"/>
              </w:rPr>
              <w:t xml:space="preserve">elevant </w:t>
            </w:r>
            <w:r w:rsidRPr="00E21AE7">
              <w:rPr>
                <w:rFonts w:cs="Arial"/>
              </w:rPr>
              <w:t xml:space="preserve">Commonwealth threat abatement plans, recovery plans and bycatch policies or strategies. This includes </w:t>
            </w:r>
            <w:r w:rsidR="000A46C9" w:rsidRPr="00E21AE7">
              <w:rPr>
                <w:rFonts w:cs="Arial"/>
              </w:rPr>
              <w:t>the</w:t>
            </w:r>
            <w:r w:rsidRPr="00E21AE7">
              <w:rPr>
                <w:rFonts w:cs="Arial"/>
              </w:rPr>
              <w:t xml:space="preserve"> </w:t>
            </w:r>
            <w:hyperlink r:id="rId35" w:history="1">
              <w:r w:rsidR="000A46C9" w:rsidRPr="00E21AE7">
                <w:rPr>
                  <w:rStyle w:val="Hyperlink"/>
                  <w:rFonts w:cs="Arial"/>
                </w:rPr>
                <w:t>Threat Abatement Plan for the impacts of marine debris on the vertebrate wildlife of Australia’s coasts and oceans</w:t>
              </w:r>
            </w:hyperlink>
            <w:r w:rsidRPr="00E21AE7">
              <w:rPr>
                <w:rStyle w:val="Hyperlink"/>
                <w:rFonts w:cs="Arial"/>
              </w:rPr>
              <w:t xml:space="preserve"> </w:t>
            </w:r>
            <w:r w:rsidRPr="00E21AE7">
              <w:rPr>
                <w:rFonts w:cs="Arial"/>
              </w:rPr>
              <w:t xml:space="preserve">and the </w:t>
            </w:r>
            <w:hyperlink r:id="rId36" w:history="1">
              <w:r w:rsidR="000A46C9" w:rsidRPr="00E21AE7">
                <w:rPr>
                  <w:rStyle w:val="Hyperlink"/>
                  <w:rFonts w:cs="Arial"/>
                </w:rPr>
                <w:t>Recovery Plan for Marine Turtles in Australia</w:t>
              </w:r>
            </w:hyperlink>
            <w:r w:rsidRPr="00E21AE7">
              <w:rPr>
                <w:rStyle w:val="Hyperlink"/>
                <w:rFonts w:cs="Arial"/>
              </w:rPr>
              <w:t>.</w:t>
            </w:r>
          </w:p>
          <w:p w14:paraId="59B0B5C0" w14:textId="77777777" w:rsidR="00905605" w:rsidRPr="00E21AE7" w:rsidRDefault="000A46C9" w:rsidP="007F171B">
            <w:pPr>
              <w:spacing w:before="80" w:after="80" w:line="276" w:lineRule="auto"/>
              <w:rPr>
                <w:rFonts w:cs="Arial"/>
              </w:rPr>
            </w:pPr>
            <w:r w:rsidRPr="00E21AE7">
              <w:rPr>
                <w:rFonts w:cs="Arial"/>
              </w:rPr>
              <w:t xml:space="preserve">Although </w:t>
            </w:r>
            <w:r w:rsidR="00516DAE" w:rsidRPr="00E21AE7">
              <w:rPr>
                <w:rFonts w:cs="Arial"/>
              </w:rPr>
              <w:t xml:space="preserve">CTFFF </w:t>
            </w:r>
            <w:r w:rsidRPr="00E21AE7">
              <w:rPr>
                <w:rFonts w:cs="Arial"/>
              </w:rPr>
              <w:t>m</w:t>
            </w:r>
            <w:r w:rsidR="00260210" w:rsidRPr="00E21AE7">
              <w:rPr>
                <w:rFonts w:cs="Arial"/>
              </w:rPr>
              <w:t xml:space="preserve">anagement arrangements </w:t>
            </w:r>
            <w:r w:rsidRPr="00E21AE7">
              <w:rPr>
                <w:rFonts w:cs="Arial"/>
              </w:rPr>
              <w:t xml:space="preserve">are not </w:t>
            </w:r>
            <w:r w:rsidRPr="00E21AE7">
              <w:rPr>
                <w:rFonts w:cs="Arial"/>
                <w:i/>
              </w:rPr>
              <w:t>inconsistent</w:t>
            </w:r>
            <w:r w:rsidRPr="00E21AE7">
              <w:rPr>
                <w:rFonts w:cs="Arial"/>
              </w:rPr>
              <w:t xml:space="preserve"> with these plans, they </w:t>
            </w:r>
            <w:r w:rsidR="00260210" w:rsidRPr="00E21AE7">
              <w:rPr>
                <w:rFonts w:cs="Arial"/>
              </w:rPr>
              <w:t>do not</w:t>
            </w:r>
            <w:r w:rsidR="00D5780F" w:rsidRPr="00E21AE7">
              <w:rPr>
                <w:rFonts w:cs="Arial"/>
              </w:rPr>
              <w:t xml:space="preserve"> specifically </w:t>
            </w:r>
            <w:r w:rsidR="00260210" w:rsidRPr="00E21AE7">
              <w:rPr>
                <w:rFonts w:cs="Arial"/>
              </w:rPr>
              <w:t>require fishers to comply with plans</w:t>
            </w:r>
            <w:r w:rsidR="00905605" w:rsidRPr="00E21AE7">
              <w:rPr>
                <w:rFonts w:cs="Arial"/>
              </w:rPr>
              <w:t xml:space="preserve">, </w:t>
            </w:r>
            <w:proofErr w:type="gramStart"/>
            <w:r w:rsidR="00260210" w:rsidRPr="00E21AE7">
              <w:rPr>
                <w:rFonts w:cs="Arial"/>
              </w:rPr>
              <w:t>policies</w:t>
            </w:r>
            <w:proofErr w:type="gramEnd"/>
            <w:r w:rsidR="00260210" w:rsidRPr="00E21AE7">
              <w:rPr>
                <w:rFonts w:cs="Arial"/>
              </w:rPr>
              <w:t xml:space="preserve"> or strategies.</w:t>
            </w:r>
          </w:p>
          <w:p w14:paraId="23F75A48" w14:textId="3C6788A1" w:rsidR="00434C44" w:rsidRPr="00E21AE7" w:rsidRDefault="00260210" w:rsidP="007F171B">
            <w:pPr>
              <w:spacing w:before="80" w:after="80" w:line="276" w:lineRule="auto"/>
              <w:rPr>
                <w:rFonts w:cs="Arial"/>
              </w:rPr>
            </w:pPr>
            <w:r w:rsidRPr="00E21AE7">
              <w:rPr>
                <w:rFonts w:cs="Arial"/>
              </w:rPr>
              <w:t xml:space="preserve">Management arrangements </w:t>
            </w:r>
            <w:r w:rsidR="0019159E" w:rsidRPr="00E21AE7">
              <w:rPr>
                <w:rFonts w:cs="Arial"/>
              </w:rPr>
              <w:t xml:space="preserve">for the fishery </w:t>
            </w:r>
            <w:r w:rsidRPr="00E21AE7">
              <w:rPr>
                <w:rFonts w:cs="Arial"/>
              </w:rPr>
              <w:t xml:space="preserve">prohibit the retention of species listed under the EPBC Act, and all interactions with these species are required to be reported using </w:t>
            </w:r>
            <w:r w:rsidR="0019159E" w:rsidRPr="00E21AE7">
              <w:rPr>
                <w:rFonts w:cs="Arial"/>
              </w:rPr>
              <w:t xml:space="preserve">QDAF </w:t>
            </w:r>
            <w:r w:rsidRPr="00E21AE7">
              <w:rPr>
                <w:rFonts w:cs="Arial"/>
              </w:rPr>
              <w:t>approved logbooks.</w:t>
            </w:r>
            <w:r w:rsidR="006C2BA0" w:rsidRPr="00E21AE7">
              <w:rPr>
                <w:rFonts w:cs="Arial"/>
              </w:rPr>
              <w:t xml:space="preserve"> There are some concerns that reporting </w:t>
            </w:r>
            <w:r w:rsidR="006048CC" w:rsidRPr="00E21AE7">
              <w:rPr>
                <w:rFonts w:cs="Arial"/>
              </w:rPr>
              <w:t xml:space="preserve">interactions with protected species </w:t>
            </w:r>
            <w:r w:rsidR="006C2BA0" w:rsidRPr="00E21AE7">
              <w:rPr>
                <w:rFonts w:cs="Arial"/>
              </w:rPr>
              <w:t>may not be accurate</w:t>
            </w:r>
            <w:r w:rsidR="00152EC5" w:rsidRPr="00E21AE7">
              <w:rPr>
                <w:rFonts w:cs="Arial"/>
              </w:rPr>
              <w:t>.</w:t>
            </w:r>
            <w:r w:rsidR="006C2BA0" w:rsidRPr="00E21AE7">
              <w:rPr>
                <w:rFonts w:cs="Arial"/>
              </w:rPr>
              <w:t xml:space="preserve"> </w:t>
            </w:r>
            <w:r w:rsidR="00152EC5" w:rsidRPr="00E21AE7">
              <w:rPr>
                <w:rFonts w:cs="Arial"/>
              </w:rPr>
              <w:t>T</w:t>
            </w:r>
            <w:r w:rsidR="006C2BA0" w:rsidRPr="00E21AE7">
              <w:rPr>
                <w:rFonts w:cs="Arial"/>
              </w:rPr>
              <w:t>he Department</w:t>
            </w:r>
            <w:r w:rsidR="00152EC5" w:rsidRPr="00E21AE7">
              <w:rPr>
                <w:rFonts w:cs="Arial"/>
              </w:rPr>
              <w:t xml:space="preserve"> </w:t>
            </w:r>
            <w:r w:rsidR="006C2BA0" w:rsidRPr="00E21AE7">
              <w:rPr>
                <w:rFonts w:cs="Arial"/>
              </w:rPr>
              <w:t xml:space="preserve">recommends </w:t>
            </w:r>
            <w:r w:rsidR="005F6330" w:rsidRPr="00E21AE7">
              <w:rPr>
                <w:rFonts w:cs="Arial"/>
              </w:rPr>
              <w:t xml:space="preserve">that </w:t>
            </w:r>
            <w:r w:rsidR="005F6330" w:rsidRPr="00E21AE7">
              <w:rPr>
                <w:rFonts w:cs="Arial"/>
                <w:b/>
              </w:rPr>
              <w:t>condition</w:t>
            </w:r>
            <w:r w:rsidR="003A1E92">
              <w:rPr>
                <w:rFonts w:cs="Arial"/>
                <w:b/>
              </w:rPr>
              <w:t>s</w:t>
            </w:r>
            <w:r w:rsidR="005F6330" w:rsidRPr="00E21AE7">
              <w:rPr>
                <w:rFonts w:cs="Arial"/>
                <w:b/>
              </w:rPr>
              <w:t xml:space="preserve"> 1</w:t>
            </w:r>
            <w:r w:rsidR="003A1E92">
              <w:rPr>
                <w:rFonts w:cs="Arial"/>
                <w:b/>
              </w:rPr>
              <w:t xml:space="preserve"> and 2</w:t>
            </w:r>
            <w:r w:rsidR="005F6330" w:rsidRPr="00E21AE7">
              <w:rPr>
                <w:rFonts w:cs="Arial"/>
                <w:b/>
              </w:rPr>
              <w:t xml:space="preserve"> </w:t>
            </w:r>
            <w:r w:rsidR="005F6330" w:rsidRPr="00E21AE7">
              <w:rPr>
                <w:rFonts w:cs="Arial"/>
              </w:rPr>
              <w:t>be applied to the Part 13 approval</w:t>
            </w:r>
            <w:r w:rsidR="005F6330" w:rsidRPr="00E21AE7">
              <w:rPr>
                <w:rFonts w:cs="Arial"/>
                <w:b/>
              </w:rPr>
              <w:t xml:space="preserve"> </w:t>
            </w:r>
            <w:r w:rsidR="005F6330" w:rsidRPr="00E21AE7">
              <w:rPr>
                <w:rFonts w:cs="Arial"/>
              </w:rPr>
              <w:t>and</w:t>
            </w:r>
            <w:r w:rsidR="005F6330" w:rsidRPr="00E21AE7">
              <w:rPr>
                <w:rFonts w:cs="Arial"/>
                <w:b/>
              </w:rPr>
              <w:t xml:space="preserve"> </w:t>
            </w:r>
            <w:r w:rsidR="006C2BA0" w:rsidRPr="00E21AE7">
              <w:rPr>
                <w:rFonts w:cs="Arial"/>
                <w:b/>
              </w:rPr>
              <w:t>condition</w:t>
            </w:r>
            <w:r w:rsidR="003A1E92">
              <w:rPr>
                <w:rFonts w:cs="Arial"/>
                <w:b/>
              </w:rPr>
              <w:t>s</w:t>
            </w:r>
            <w:r w:rsidR="006C2BA0" w:rsidRPr="00E21AE7">
              <w:rPr>
                <w:rFonts w:cs="Arial"/>
                <w:b/>
              </w:rPr>
              <w:t xml:space="preserve"> </w:t>
            </w:r>
            <w:r w:rsidR="00434C44" w:rsidRPr="00E21AE7">
              <w:rPr>
                <w:rFonts w:cs="Arial"/>
                <w:b/>
              </w:rPr>
              <w:t>4</w:t>
            </w:r>
            <w:r w:rsidR="003A1E92">
              <w:rPr>
                <w:rFonts w:cs="Arial"/>
                <w:b/>
              </w:rPr>
              <w:t xml:space="preserve"> and 5</w:t>
            </w:r>
            <w:r w:rsidR="003D3477" w:rsidRPr="00E21AE7">
              <w:rPr>
                <w:rFonts w:cs="Arial"/>
                <w:b/>
              </w:rPr>
              <w:t xml:space="preserve"> </w:t>
            </w:r>
            <w:r w:rsidR="006C2BA0" w:rsidRPr="00E21AE7">
              <w:rPr>
                <w:rFonts w:cs="Arial"/>
              </w:rPr>
              <w:t xml:space="preserve">be applied to </w:t>
            </w:r>
            <w:r w:rsidR="007D043E" w:rsidRPr="00E21AE7">
              <w:rPr>
                <w:rFonts w:cs="Arial"/>
              </w:rPr>
              <w:t xml:space="preserve">the </w:t>
            </w:r>
            <w:r w:rsidR="006C2BA0" w:rsidRPr="00E21AE7">
              <w:rPr>
                <w:rFonts w:cs="Arial"/>
              </w:rPr>
              <w:t xml:space="preserve">Part 13A approval to </w:t>
            </w:r>
            <w:r w:rsidR="00434C44" w:rsidRPr="00E21AE7">
              <w:rPr>
                <w:rFonts w:cs="Arial"/>
              </w:rPr>
              <w:t>strengthen and improve confidence in the data for the fishery</w:t>
            </w:r>
            <w:r w:rsidR="005F6330" w:rsidRPr="00E21AE7">
              <w:rPr>
                <w:rFonts w:cs="Arial"/>
              </w:rPr>
              <w:t xml:space="preserve"> by </w:t>
            </w:r>
            <w:r w:rsidR="003A1E92" w:rsidRPr="00E21AE7">
              <w:rPr>
                <w:rFonts w:cs="Arial"/>
                <w:b/>
              </w:rPr>
              <w:t>3</w:t>
            </w:r>
            <w:r w:rsidR="003A1E92">
              <w:rPr>
                <w:rFonts w:cs="Arial"/>
                <w:b/>
              </w:rPr>
              <w:t>1</w:t>
            </w:r>
            <w:r w:rsidR="003A1E92" w:rsidRPr="00E21AE7">
              <w:rPr>
                <w:rFonts w:cs="Arial"/>
                <w:b/>
              </w:rPr>
              <w:t xml:space="preserve"> </w:t>
            </w:r>
            <w:r w:rsidR="003A1E92">
              <w:rPr>
                <w:rFonts w:cs="Arial"/>
                <w:b/>
              </w:rPr>
              <w:t>December</w:t>
            </w:r>
            <w:r w:rsidR="003A1E92" w:rsidRPr="00E21AE7">
              <w:rPr>
                <w:rFonts w:cs="Arial"/>
                <w:b/>
              </w:rPr>
              <w:t xml:space="preserve"> </w:t>
            </w:r>
            <w:r w:rsidR="005F6330" w:rsidRPr="00E21AE7">
              <w:rPr>
                <w:rFonts w:cs="Arial"/>
                <w:b/>
              </w:rPr>
              <w:t>2021</w:t>
            </w:r>
            <w:r w:rsidR="002B2D4F" w:rsidRPr="00E21AE7">
              <w:rPr>
                <w:rFonts w:cs="Arial"/>
              </w:rPr>
              <w:t>.</w:t>
            </w:r>
            <w:r w:rsidR="00152EC5" w:rsidRPr="00E21AE7">
              <w:rPr>
                <w:rFonts w:cs="Arial"/>
              </w:rPr>
              <w:t xml:space="preserve"> These conditions seek to broaden the range of expertise and interests involved in management of the fishery and implement an ongoing independent data collection and validation program to ensure there is a high degree of confidence in fishery dependent and fishery-independent data sources.</w:t>
            </w:r>
          </w:p>
          <w:p w14:paraId="5E4F5B9B" w14:textId="5832B11B" w:rsidR="00885298" w:rsidRPr="00E21AE7" w:rsidRDefault="00014775" w:rsidP="007F171B">
            <w:pPr>
              <w:spacing w:before="80" w:after="80" w:line="276" w:lineRule="auto"/>
              <w:rPr>
                <w:rFonts w:cs="Arial"/>
              </w:rPr>
            </w:pPr>
            <w:r w:rsidRPr="00E21AE7">
              <w:rPr>
                <w:rFonts w:cs="Arial"/>
              </w:rPr>
              <w:t>T</w:t>
            </w:r>
            <w:r w:rsidR="00260210" w:rsidRPr="00E21AE7">
              <w:rPr>
                <w:rFonts w:cs="Arial"/>
              </w:rPr>
              <w:t xml:space="preserve">he Department </w:t>
            </w:r>
            <w:r w:rsidR="00024211" w:rsidRPr="00E21AE7">
              <w:rPr>
                <w:rFonts w:cs="Arial"/>
              </w:rPr>
              <w:t xml:space="preserve">recommends </w:t>
            </w:r>
            <w:r w:rsidR="00260210" w:rsidRPr="00E21AE7">
              <w:rPr>
                <w:rFonts w:cs="Arial"/>
              </w:rPr>
              <w:t>that all relevant threat abatement plans, recovery plans, bycatch policies and action strategies be considered in developing the harvest strategies and assessing and mitigating ecological risks.</w:t>
            </w:r>
            <w:r w:rsidR="00DB7B11" w:rsidRPr="00E21AE7">
              <w:rPr>
                <w:rFonts w:cs="Arial"/>
              </w:rPr>
              <w:t xml:space="preserve"> </w:t>
            </w:r>
            <w:r w:rsidR="002D7E89">
              <w:rPr>
                <w:rFonts w:cs="Arial"/>
              </w:rPr>
              <w:t>T</w:t>
            </w:r>
            <w:r w:rsidR="00B127FE">
              <w:rPr>
                <w:rFonts w:cs="Arial"/>
              </w:rPr>
              <w:t>he management arrangements are likely to be effective until a harvest strategy is implemented</w:t>
            </w:r>
            <w:r w:rsidR="004D318A">
              <w:rPr>
                <w:rFonts w:cs="Arial"/>
              </w:rPr>
              <w:t xml:space="preserve"> in 2021</w:t>
            </w:r>
            <w:r w:rsidR="00B127FE">
              <w:rPr>
                <w:rFonts w:cs="Arial"/>
              </w:rPr>
              <w:t>.</w:t>
            </w:r>
          </w:p>
        </w:tc>
      </w:tr>
      <w:tr w:rsidR="0002308E" w:rsidRPr="000900EC" w14:paraId="58A55DC1" w14:textId="77777777" w:rsidTr="00796D99">
        <w:trPr>
          <w:cantSplit/>
        </w:trPr>
        <w:tc>
          <w:tcPr>
            <w:tcW w:w="5000" w:type="pct"/>
            <w:gridSpan w:val="3"/>
            <w:shd w:val="clear" w:color="auto" w:fill="92CDDC"/>
          </w:tcPr>
          <w:p w14:paraId="7D95031D" w14:textId="77777777" w:rsidR="0002308E" w:rsidRPr="00E21AE7" w:rsidRDefault="0002308E" w:rsidP="007F171B">
            <w:pPr>
              <w:keepNext/>
              <w:autoSpaceDE w:val="0"/>
              <w:autoSpaceDN w:val="0"/>
              <w:adjustRightInd w:val="0"/>
              <w:spacing w:before="80" w:after="80" w:line="276" w:lineRule="auto"/>
              <w:rPr>
                <w:rFonts w:cs="Arial"/>
                <w:b/>
              </w:rPr>
            </w:pPr>
            <w:r w:rsidRPr="00E21AE7">
              <w:rPr>
                <w:rFonts w:cs="Arial"/>
                <w:b/>
              </w:rPr>
              <w:lastRenderedPageBreak/>
              <w:t xml:space="preserve">PRINCIPLE 1 - </w:t>
            </w:r>
            <w:r w:rsidRPr="00E21AE7">
              <w:rPr>
                <w:rFonts w:cs="Arial"/>
              </w:rPr>
              <w:t>A fishery must be conducted in a manner that does not lead to over-fishing, or for those stocks that are over-fished, the fishery must be conducted such that there is a high degree of probability the stock(s) will recover</w:t>
            </w:r>
            <w:r w:rsidRPr="00E21AE7">
              <w:rPr>
                <w:rFonts w:cs="Arial"/>
                <w:b/>
              </w:rPr>
              <w:t xml:space="preserve">. </w:t>
            </w:r>
          </w:p>
        </w:tc>
      </w:tr>
      <w:tr w:rsidR="0002308E" w:rsidRPr="000900EC" w14:paraId="403A6B61" w14:textId="77777777" w:rsidTr="00796D99">
        <w:trPr>
          <w:cantSplit/>
        </w:trPr>
        <w:tc>
          <w:tcPr>
            <w:tcW w:w="5000" w:type="pct"/>
            <w:gridSpan w:val="3"/>
            <w:shd w:val="clear" w:color="auto" w:fill="B6DDE8"/>
          </w:tcPr>
          <w:p w14:paraId="5B0A9672" w14:textId="77777777" w:rsidR="0002308E" w:rsidRPr="00E21AE7" w:rsidRDefault="0002308E" w:rsidP="007F171B">
            <w:pPr>
              <w:keepNext/>
              <w:spacing w:before="80" w:after="80" w:line="276" w:lineRule="auto"/>
              <w:rPr>
                <w:rFonts w:cs="Arial"/>
                <w:b/>
              </w:rPr>
            </w:pPr>
            <w:r w:rsidRPr="00E21AE7">
              <w:rPr>
                <w:rFonts w:cs="Arial"/>
                <w:b/>
              </w:rPr>
              <w:t xml:space="preserve">Objective 1 - </w:t>
            </w:r>
            <w:r w:rsidRPr="00E21AE7">
              <w:rPr>
                <w:rFonts w:cs="Arial"/>
              </w:rPr>
              <w:t>The fishery shall be conducted at catch levels that maintain ecologically viable stock levels at an agreed point or range, with acceptable levels of probability.</w:t>
            </w:r>
          </w:p>
        </w:tc>
      </w:tr>
      <w:tr w:rsidR="0002308E" w:rsidRPr="000900EC" w14:paraId="69FBFAA4" w14:textId="77777777" w:rsidTr="00796D99">
        <w:trPr>
          <w:cantSplit/>
        </w:trPr>
        <w:tc>
          <w:tcPr>
            <w:tcW w:w="5000" w:type="pct"/>
            <w:gridSpan w:val="3"/>
            <w:shd w:val="clear" w:color="auto" w:fill="DAEEF3"/>
          </w:tcPr>
          <w:p w14:paraId="1C364B85" w14:textId="77777777" w:rsidR="0002308E" w:rsidRPr="00E21AE7" w:rsidRDefault="0002308E" w:rsidP="007F171B">
            <w:pPr>
              <w:keepNext/>
              <w:spacing w:before="80" w:after="80" w:line="276" w:lineRule="auto"/>
              <w:rPr>
                <w:rFonts w:cs="Arial"/>
                <w:b/>
                <w:i/>
              </w:rPr>
            </w:pPr>
            <w:r w:rsidRPr="00E21AE7">
              <w:rPr>
                <w:rFonts w:cs="Arial"/>
                <w:b/>
                <w:i/>
              </w:rPr>
              <w:t xml:space="preserve">Information requirements </w:t>
            </w:r>
          </w:p>
        </w:tc>
      </w:tr>
      <w:tr w:rsidR="009006AC" w:rsidRPr="000900EC" w14:paraId="6FF483AC" w14:textId="77777777" w:rsidTr="009006AC">
        <w:trPr>
          <w:cantSplit/>
        </w:trPr>
        <w:tc>
          <w:tcPr>
            <w:tcW w:w="1532" w:type="pct"/>
            <w:gridSpan w:val="2"/>
            <w:shd w:val="clear" w:color="auto" w:fill="FF0000"/>
          </w:tcPr>
          <w:p w14:paraId="19E914A8" w14:textId="1D417BBA" w:rsidR="009006AC" w:rsidRPr="00E21AE7" w:rsidRDefault="009006AC" w:rsidP="007F171B">
            <w:pPr>
              <w:keepNext/>
              <w:spacing w:before="80" w:after="80" w:line="276" w:lineRule="auto"/>
              <w:rPr>
                <w:rFonts w:cs="Arial"/>
                <w:b/>
                <w:i/>
              </w:rPr>
            </w:pPr>
            <w:r w:rsidRPr="00E21AE7">
              <w:rPr>
                <w:rFonts w:cs="Arial"/>
                <w:b/>
                <w:i/>
              </w:rPr>
              <w:lastRenderedPageBreak/>
              <w:t xml:space="preserve">1.1.1 </w:t>
            </w:r>
            <w:r w:rsidRPr="00E21AE7">
              <w:rPr>
                <w:rFonts w:cs="Arial"/>
              </w:rPr>
              <w:t>There is a reliable information collection system in place appropriate to the scale of the fishery. The level of data collection should be based upon an appropriate mix of fishery independent and dependent research and monitoring.</w:t>
            </w:r>
          </w:p>
        </w:tc>
        <w:tc>
          <w:tcPr>
            <w:tcW w:w="3468" w:type="pct"/>
            <w:shd w:val="clear" w:color="auto" w:fill="auto"/>
          </w:tcPr>
          <w:p w14:paraId="2AB24E53" w14:textId="77777777" w:rsidR="009006AC" w:rsidRPr="00E21AE7" w:rsidRDefault="009006AC" w:rsidP="009006AC">
            <w:pPr>
              <w:spacing w:before="80" w:after="80" w:line="276" w:lineRule="auto"/>
              <w:rPr>
                <w:rFonts w:cs="Arial"/>
                <w:b/>
              </w:rPr>
            </w:pPr>
            <w:r w:rsidRPr="00E21AE7">
              <w:rPr>
                <w:rFonts w:cs="Arial"/>
                <w:b/>
              </w:rPr>
              <w:t>Does not meet – Limited data collection with insufficient independent research or monitoring</w:t>
            </w:r>
          </w:p>
          <w:p w14:paraId="15739428" w14:textId="77777777" w:rsidR="009006AC" w:rsidRPr="00E21AE7" w:rsidRDefault="009006AC" w:rsidP="009006AC">
            <w:pPr>
              <w:spacing w:before="80" w:after="80" w:line="276" w:lineRule="auto"/>
              <w:rPr>
                <w:rFonts w:cs="Arial"/>
              </w:rPr>
            </w:pPr>
            <w:r w:rsidRPr="00E21AE7">
              <w:rPr>
                <w:rFonts w:cs="Arial"/>
              </w:rPr>
              <w:t xml:space="preserve">All commercial fishers in the CTFFF are required to report retained and discarded catch, fishing effort and interactions with protected species in </w:t>
            </w:r>
            <w:hyperlink r:id="rId37" w:history="1">
              <w:hyperlink r:id="rId38" w:history="1">
                <w:r w:rsidRPr="00E21AE7">
                  <w:rPr>
                    <w:rStyle w:val="Hyperlink"/>
                    <w:rFonts w:cs="Arial"/>
                    <w:lang w:val="en" w:eastAsia="en-AU"/>
                  </w:rPr>
                  <w:t>Stout Whiting Trawl Fishery (T4) logbook</w:t>
                </w:r>
              </w:hyperlink>
            </w:hyperlink>
            <w:r w:rsidRPr="00E21AE7">
              <w:rPr>
                <w:rStyle w:val="Hyperlink"/>
                <w:rFonts w:cs="Arial"/>
                <w:lang w:val="en" w:eastAsia="en-AU"/>
              </w:rPr>
              <w:t>s</w:t>
            </w:r>
            <w:r w:rsidRPr="00E21AE7">
              <w:rPr>
                <w:rFonts w:cs="Arial"/>
              </w:rPr>
              <w:t xml:space="preserve">. Vessel Monitoring Systems are also used on all commercial fishing vessels to track vessel location. While the VMS validates reported fishing activity and enhance QDAF’s capacity to undertake inspections. It does not provide adequate independent data to validate the fishery’s catch, </w:t>
            </w:r>
            <w:proofErr w:type="gramStart"/>
            <w:r w:rsidRPr="00E21AE7">
              <w:rPr>
                <w:rFonts w:cs="Arial"/>
              </w:rPr>
              <w:t>bycatch</w:t>
            </w:r>
            <w:proofErr w:type="gramEnd"/>
            <w:r w:rsidRPr="00E21AE7">
              <w:rPr>
                <w:rFonts w:cs="Arial"/>
              </w:rPr>
              <w:t xml:space="preserve"> and discards. </w:t>
            </w:r>
          </w:p>
          <w:p w14:paraId="0E077962" w14:textId="77777777" w:rsidR="009006AC" w:rsidRPr="00E21AE7" w:rsidRDefault="009006AC" w:rsidP="009006AC">
            <w:pPr>
              <w:spacing w:before="80" w:after="80" w:line="276" w:lineRule="auto"/>
              <w:rPr>
                <w:rFonts w:cs="Arial"/>
                <w:lang w:val="en"/>
              </w:rPr>
            </w:pPr>
            <w:r w:rsidRPr="00E21AE7">
              <w:rPr>
                <w:rFonts w:cs="Arial"/>
              </w:rPr>
              <w:t>Species that are subject to catch limits must be reported using QDAF’s AIVR system. This system requires catches to be reported prior to landing and facilitates compliance inspections where necessary.</w:t>
            </w:r>
          </w:p>
          <w:p w14:paraId="4FC85694" w14:textId="77777777" w:rsidR="009006AC" w:rsidRPr="00A5177C" w:rsidRDefault="009006AC" w:rsidP="009006AC">
            <w:pPr>
              <w:spacing w:before="80" w:after="80" w:line="276" w:lineRule="auto"/>
              <w:rPr>
                <w:rFonts w:cs="Arial"/>
              </w:rPr>
            </w:pPr>
            <w:r w:rsidRPr="00E21AE7">
              <w:rPr>
                <w:rFonts w:cs="Arial"/>
              </w:rPr>
              <w:t xml:space="preserve">Once landed, catches are weighed, and weighbridge dockets provided to QDAF to verify catch weights reported in fisher logbooks. QDAF are seeking to strengthen this arrangement, by requiring catches to be landed to authorised fish receivers, who will verify landed catch weights and report this data </w:t>
            </w:r>
            <w:r w:rsidRPr="00A5177C">
              <w:rPr>
                <w:rFonts w:cs="Arial"/>
              </w:rPr>
              <w:t>independently to QDAF.</w:t>
            </w:r>
          </w:p>
          <w:p w14:paraId="53AE4B86" w14:textId="77777777" w:rsidR="009006AC" w:rsidRPr="00A5177C" w:rsidRDefault="009006AC" w:rsidP="009006AC">
            <w:pPr>
              <w:spacing w:before="80" w:after="80" w:line="276" w:lineRule="auto"/>
              <w:rPr>
                <w:rFonts w:cs="Arial"/>
              </w:rPr>
            </w:pPr>
            <w:r w:rsidRPr="00A5177C">
              <w:rPr>
                <w:rFonts w:cs="Arial"/>
              </w:rPr>
              <w:t>Questions have been raised about the accuracy of reported catch data. This stems from research on Stout Whiting undertaken by QDAF (Ovenden &amp; Butcher, 1999). The research found that 25 per cent of the fish that were thought to be Stout Whiting, were in fact Bay Whiting (</w:t>
            </w:r>
            <w:r w:rsidRPr="00A5177C">
              <w:rPr>
                <w:rFonts w:cs="Arial"/>
                <w:i/>
              </w:rPr>
              <w:t>S. </w:t>
            </w:r>
            <w:proofErr w:type="spellStart"/>
            <w:r w:rsidRPr="00A5177C">
              <w:rPr>
                <w:rFonts w:cs="Arial"/>
                <w:i/>
              </w:rPr>
              <w:t>ingenuua</w:t>
            </w:r>
            <w:proofErr w:type="spellEnd"/>
            <w:r w:rsidRPr="00A5177C">
              <w:rPr>
                <w:rFonts w:cs="Arial"/>
              </w:rPr>
              <w:t>). It is unclear whether the potential mix of whiting species is accounted for in assessing the stocks and determining sustainable catch limits. No stock assessment or ecological risk assessment has been undertaken for Bay Whiting.</w:t>
            </w:r>
          </w:p>
          <w:p w14:paraId="609432C3" w14:textId="77777777" w:rsidR="009006AC" w:rsidRPr="00E21AE7" w:rsidRDefault="009006AC" w:rsidP="009006AC">
            <w:pPr>
              <w:spacing w:before="80" w:after="80" w:line="276" w:lineRule="auto"/>
              <w:rPr>
                <w:rFonts w:cs="Arial"/>
              </w:rPr>
            </w:pPr>
            <w:r w:rsidRPr="00A5177C">
              <w:rPr>
                <w:rFonts w:cs="Arial"/>
              </w:rPr>
              <w:t>Until recently, commercial fishers provided</w:t>
            </w:r>
            <w:r w:rsidRPr="00E21AE7">
              <w:rPr>
                <w:rFonts w:cs="Arial"/>
              </w:rPr>
              <w:t xml:space="preserve"> QDAF with samples of fish from each fishing trip. These samples</w:t>
            </w:r>
            <w:r w:rsidRPr="00E21AE7" w:rsidDel="00986781">
              <w:rPr>
                <w:rFonts w:cs="Arial"/>
              </w:rPr>
              <w:t xml:space="preserve"> </w:t>
            </w:r>
            <w:r w:rsidRPr="00E21AE7">
              <w:rPr>
                <w:rFonts w:cs="Arial"/>
              </w:rPr>
              <w:t>were used to determine the age and length of the fish and to inform stock assessments (</w:t>
            </w:r>
            <w:hyperlink r:id="rId39" w:history="1">
              <w:r w:rsidRPr="00E21AE7">
                <w:rPr>
                  <w:rStyle w:val="Hyperlink"/>
                  <w:rFonts w:cs="Arial"/>
                  <w:lang w:val="en" w:eastAsia="en-AU"/>
                </w:rPr>
                <w:t>Wortmann &amp; O’Neill, 2016</w:t>
              </w:r>
            </w:hyperlink>
            <w:r w:rsidRPr="00E21AE7">
              <w:rPr>
                <w:rFonts w:cs="Arial"/>
              </w:rPr>
              <w:t>). QDAF has advised</w:t>
            </w:r>
            <w:r w:rsidRPr="00E21AE7" w:rsidDel="009E1944">
              <w:rPr>
                <w:rFonts w:cs="Arial"/>
              </w:rPr>
              <w:t xml:space="preserve"> that </w:t>
            </w:r>
            <w:r w:rsidRPr="00E21AE7">
              <w:rPr>
                <w:rFonts w:cs="Arial"/>
              </w:rPr>
              <w:t>this data is no-longer being collected or used and now only catch rate data is considered in stock assessments (QDAF pers. comm., 2020). It is unclear what impact it has had on stock assessment outcomes.</w:t>
            </w:r>
          </w:p>
          <w:p w14:paraId="6A5C7366" w14:textId="77777777" w:rsidR="009006AC" w:rsidRDefault="009006AC" w:rsidP="009006AC">
            <w:pPr>
              <w:keepNext/>
              <w:spacing w:before="80" w:after="80" w:line="276" w:lineRule="auto"/>
              <w:rPr>
                <w:rFonts w:cs="Arial"/>
              </w:rPr>
            </w:pPr>
            <w:r w:rsidRPr="00E21AE7">
              <w:rPr>
                <w:rFonts w:cs="Arial"/>
              </w:rPr>
              <w:t xml:space="preserve">Specific bycatch logbooks used in the fishery were discontinued around the time that the on-board observer program ceased in 2010. Bycatch reporting is now facilitated through QDAF’s </w:t>
            </w:r>
            <w:hyperlink r:id="rId40" w:history="1">
              <w:r w:rsidRPr="00E21AE7">
                <w:rPr>
                  <w:rStyle w:val="Hyperlink"/>
                  <w:rFonts w:cs="Arial"/>
                  <w:lang w:val="en" w:eastAsia="en-AU"/>
                </w:rPr>
                <w:t>T4 logbook</w:t>
              </w:r>
            </w:hyperlink>
            <w:r w:rsidRPr="00E21AE7">
              <w:rPr>
                <w:rStyle w:val="Hyperlink"/>
                <w:rFonts w:cs="Arial"/>
                <w:color w:val="auto"/>
              </w:rPr>
              <w:t>.</w:t>
            </w:r>
            <w:r w:rsidRPr="00E21AE7">
              <w:rPr>
                <w:rFonts w:cs="Arial"/>
              </w:rPr>
              <w:t xml:space="preserve"> The </w:t>
            </w:r>
            <w:hyperlink r:id="rId41" w:history="1">
              <w:r w:rsidRPr="00E21AE7">
                <w:rPr>
                  <w:rFonts w:cs="Arial"/>
                </w:rPr>
                <w:t>logbook</w:t>
              </w:r>
            </w:hyperlink>
            <w:r w:rsidRPr="00E21AE7">
              <w:rPr>
                <w:rFonts w:cs="Arial"/>
              </w:rPr>
              <w:t xml:space="preserve"> states that “all discarded product must be recorded”, but only provides for seven species or species groups to be recorded. Since 2010, the number of species and weight of discarded catch being reported has fallen markedly. Given the relatively high bycatch rates associated with the fishing methods used in the CTFFF, the Department is concerned that this change reflects a change in reporting behaviour rather than a change to the amount of bycatch being caught</w:t>
            </w:r>
            <w:r>
              <w:rPr>
                <w:rFonts w:cs="Arial"/>
              </w:rPr>
              <w:t>.</w:t>
            </w:r>
          </w:p>
          <w:p w14:paraId="77C3FE6C" w14:textId="77777777" w:rsidR="009006AC" w:rsidRPr="00E21AE7" w:rsidRDefault="009006AC" w:rsidP="009006AC">
            <w:pPr>
              <w:spacing w:before="80" w:after="80" w:line="276" w:lineRule="auto"/>
              <w:rPr>
                <w:rFonts w:cs="Arial"/>
              </w:rPr>
            </w:pPr>
            <w:r w:rsidRPr="00E21AE7">
              <w:rPr>
                <w:rFonts w:cs="Arial"/>
              </w:rPr>
              <w:lastRenderedPageBreak/>
              <w:t>Actual levels of bycatch cannot be verified since the on-board observer program which validated records during 2009-2010 is no-longer operating. However, when this program was operating in 2009-2010, it also raised concerns about the accuracy of CTFFF-fishers’ reporting.</w:t>
            </w:r>
          </w:p>
          <w:p w14:paraId="3504646E" w14:textId="2BC141DC" w:rsidR="009006AC" w:rsidRPr="00E21AE7" w:rsidRDefault="009006AC" w:rsidP="009006AC">
            <w:pPr>
              <w:spacing w:before="80" w:after="80" w:line="276" w:lineRule="auto"/>
              <w:rPr>
                <w:rFonts w:cs="Arial"/>
              </w:rPr>
            </w:pPr>
            <w:r w:rsidRPr="00E21AE7">
              <w:rPr>
                <w:rFonts w:cs="Arial"/>
              </w:rPr>
              <w:t xml:space="preserve">Analysing observer records from that time also </w:t>
            </w:r>
            <w:r w:rsidR="002D7E89">
              <w:rPr>
                <w:rFonts w:cs="Arial"/>
              </w:rPr>
              <w:t>indicates</w:t>
            </w:r>
            <w:r w:rsidR="002D7E89" w:rsidRPr="00E21AE7">
              <w:rPr>
                <w:rFonts w:cs="Arial"/>
              </w:rPr>
              <w:t xml:space="preserve"> </w:t>
            </w:r>
            <w:r w:rsidRPr="00E21AE7">
              <w:rPr>
                <w:rFonts w:cs="Arial"/>
              </w:rPr>
              <w:t xml:space="preserve">that there has been inaccurate reporting of protected species by fishers. Fishers to date have not reported any interactions with EPBC Act listed </w:t>
            </w:r>
            <w:proofErr w:type="spellStart"/>
            <w:r w:rsidRPr="00E21AE7">
              <w:rPr>
                <w:rFonts w:cs="Arial"/>
              </w:rPr>
              <w:t>Syngnathids</w:t>
            </w:r>
            <w:proofErr w:type="spellEnd"/>
            <w:r w:rsidRPr="00E21AE7">
              <w:rPr>
                <w:rFonts w:cs="Arial"/>
              </w:rPr>
              <w:t xml:space="preserve">, despite these species having been reported by on-board observers during their limited trips in 2009-2010. </w:t>
            </w:r>
          </w:p>
          <w:p w14:paraId="048D98B8" w14:textId="77777777" w:rsidR="009006AC" w:rsidRPr="00E21AE7" w:rsidRDefault="009006AC" w:rsidP="009006AC">
            <w:pPr>
              <w:spacing w:before="80" w:after="80" w:line="276" w:lineRule="auto"/>
              <w:rPr>
                <w:rFonts w:cs="Arial"/>
              </w:rPr>
            </w:pPr>
            <w:r w:rsidRPr="00E21AE7">
              <w:rPr>
                <w:rFonts w:cs="Arial"/>
              </w:rPr>
              <w:t>QDAF</w:t>
            </w:r>
            <w:r w:rsidRPr="00E21AE7" w:rsidDel="00552DB8">
              <w:rPr>
                <w:rFonts w:cs="Arial"/>
              </w:rPr>
              <w:t xml:space="preserve"> </w:t>
            </w:r>
            <w:r w:rsidRPr="00E21AE7">
              <w:rPr>
                <w:rFonts w:cs="Arial"/>
              </w:rPr>
              <w:t xml:space="preserve">plans to implement a video-based electronic observer program in the CTFFF and other Queensland fisheries which will help validate catch and other information reported by commercial fishers, including records of interactions with protected species. To support their data validation and compliance efforts, QDAF published a </w:t>
            </w:r>
            <w:hyperlink r:id="rId42" w:history="1">
              <w:r w:rsidRPr="00E21AE7">
                <w:rPr>
                  <w:rStyle w:val="Hyperlink"/>
                  <w:rFonts w:cs="Arial"/>
                  <w:lang w:val="en" w:eastAsia="en-AU"/>
                </w:rPr>
                <w:t>Data Validation Plan</w:t>
              </w:r>
            </w:hyperlink>
            <w:r w:rsidRPr="00E21AE7">
              <w:rPr>
                <w:rFonts w:cs="Arial"/>
              </w:rPr>
              <w:t xml:space="preserve"> in March 2018. This plan is expected to be delivered by the end of 2020 in accordance with the Queensland Government’s </w:t>
            </w:r>
            <w:hyperlink r:id="rId43" w:history="1">
              <w:r w:rsidRPr="00E21AE7">
                <w:rPr>
                  <w:rStyle w:val="Hyperlink"/>
                  <w:rFonts w:cs="Arial"/>
                  <w:lang w:val="en" w:eastAsia="en-AU"/>
                </w:rPr>
                <w:t>Sustainable Fisheries Strategy 2017-2027</w:t>
              </w:r>
            </w:hyperlink>
            <w:r w:rsidRPr="00E21AE7">
              <w:rPr>
                <w:rFonts w:cs="Arial"/>
              </w:rPr>
              <w:t xml:space="preserve">. </w:t>
            </w:r>
          </w:p>
          <w:p w14:paraId="47288CA1" w14:textId="77777777" w:rsidR="009006AC" w:rsidRPr="00E21AE7" w:rsidRDefault="009006AC" w:rsidP="009006AC">
            <w:pPr>
              <w:spacing w:before="80" w:after="80" w:line="276" w:lineRule="auto"/>
              <w:rPr>
                <w:rFonts w:cs="Arial"/>
              </w:rPr>
            </w:pPr>
            <w:r w:rsidRPr="00E21AE7">
              <w:rPr>
                <w:rFonts w:cs="Arial"/>
              </w:rPr>
              <w:t xml:space="preserve">QDAF also plans to determine minimum data standards for all commercial fisheries under the Sustainable Fisheries Strategy. This includes defining the minimum data requirements to set catch limits and determining how to divide the fishery into smaller units (e.g. fish stocks and/or regions) </w:t>
            </w:r>
            <w:proofErr w:type="gramStart"/>
            <w:r w:rsidRPr="00E21AE7">
              <w:rPr>
                <w:rFonts w:cs="Arial"/>
              </w:rPr>
              <w:t>in order to</w:t>
            </w:r>
            <w:proofErr w:type="gramEnd"/>
            <w:r w:rsidRPr="00E21AE7">
              <w:rPr>
                <w:rFonts w:cs="Arial"/>
              </w:rPr>
              <w:t xml:space="preserve"> apply management arrangements at the appropriate scale.</w:t>
            </w:r>
          </w:p>
          <w:p w14:paraId="28C385E6" w14:textId="4C99D704" w:rsidR="009006AC" w:rsidRPr="00E21AE7" w:rsidRDefault="009006AC" w:rsidP="009006AC">
            <w:pPr>
              <w:keepNext/>
              <w:spacing w:before="80" w:after="80" w:line="276" w:lineRule="auto"/>
              <w:rPr>
                <w:rFonts w:cs="Arial"/>
                <w:b/>
                <w:i/>
              </w:rPr>
            </w:pPr>
            <w:r w:rsidRPr="00E21AE7">
              <w:rPr>
                <w:rFonts w:cs="Arial"/>
              </w:rPr>
              <w:t xml:space="preserve">The Department recommends that </w:t>
            </w:r>
            <w:r w:rsidRPr="00E21AE7">
              <w:rPr>
                <w:rFonts w:cs="Arial"/>
                <w:b/>
              </w:rPr>
              <w:t>condition</w:t>
            </w:r>
            <w:r w:rsidR="003A1E92">
              <w:rPr>
                <w:rFonts w:cs="Arial"/>
                <w:b/>
              </w:rPr>
              <w:t>s</w:t>
            </w:r>
            <w:r w:rsidRPr="00E21AE7">
              <w:rPr>
                <w:rFonts w:cs="Arial"/>
                <w:b/>
              </w:rPr>
              <w:t xml:space="preserve"> 1</w:t>
            </w:r>
            <w:r w:rsidR="003A1E92">
              <w:rPr>
                <w:rFonts w:cs="Arial"/>
                <w:b/>
              </w:rPr>
              <w:t xml:space="preserve"> and 2</w:t>
            </w:r>
            <w:r w:rsidRPr="00E21AE7">
              <w:rPr>
                <w:rFonts w:cs="Arial"/>
                <w:b/>
              </w:rPr>
              <w:t xml:space="preserve"> </w:t>
            </w:r>
            <w:r w:rsidRPr="00E21AE7">
              <w:rPr>
                <w:rFonts w:cs="Arial"/>
              </w:rPr>
              <w:t xml:space="preserve">be applied to the Part 13 approval and </w:t>
            </w:r>
            <w:r w:rsidRPr="00E21AE7">
              <w:rPr>
                <w:rFonts w:cs="Arial"/>
                <w:b/>
              </w:rPr>
              <w:t>condition</w:t>
            </w:r>
            <w:r w:rsidR="003A1E92">
              <w:rPr>
                <w:rFonts w:cs="Arial"/>
                <w:b/>
              </w:rPr>
              <w:t>s</w:t>
            </w:r>
            <w:r w:rsidRPr="00E21AE7">
              <w:rPr>
                <w:rFonts w:cs="Arial"/>
                <w:b/>
              </w:rPr>
              <w:t xml:space="preserve"> 4</w:t>
            </w:r>
            <w:r w:rsidR="003A1E92">
              <w:rPr>
                <w:rFonts w:cs="Arial"/>
                <w:b/>
              </w:rPr>
              <w:t xml:space="preserve"> and 5</w:t>
            </w:r>
            <w:r w:rsidRPr="00E21AE7">
              <w:rPr>
                <w:rFonts w:cs="Arial"/>
                <w:b/>
              </w:rPr>
              <w:t xml:space="preserve"> </w:t>
            </w:r>
            <w:r w:rsidRPr="00E21AE7">
              <w:rPr>
                <w:rFonts w:cs="Arial"/>
              </w:rPr>
              <w:t xml:space="preserve">be applied to the Part 13A approval to ensure the necessary information is available to monitor and manage the sustainability of the fishery by </w:t>
            </w:r>
            <w:r w:rsidR="003A1E92" w:rsidRPr="00E21AE7">
              <w:rPr>
                <w:rFonts w:cs="Arial"/>
                <w:b/>
              </w:rPr>
              <w:t>3</w:t>
            </w:r>
            <w:r w:rsidR="003A1E92">
              <w:rPr>
                <w:rFonts w:cs="Arial"/>
                <w:b/>
              </w:rPr>
              <w:t>1</w:t>
            </w:r>
            <w:r w:rsidR="003A1E92" w:rsidRPr="00E21AE7">
              <w:rPr>
                <w:rFonts w:cs="Arial"/>
                <w:b/>
              </w:rPr>
              <w:t xml:space="preserve"> </w:t>
            </w:r>
            <w:r w:rsidR="003A1E92">
              <w:rPr>
                <w:rFonts w:cs="Arial"/>
                <w:b/>
              </w:rPr>
              <w:t>December</w:t>
            </w:r>
            <w:r w:rsidR="003A1E92" w:rsidRPr="00E21AE7">
              <w:rPr>
                <w:rFonts w:cs="Arial"/>
                <w:b/>
              </w:rPr>
              <w:t xml:space="preserve"> </w:t>
            </w:r>
            <w:r w:rsidRPr="00E21AE7">
              <w:rPr>
                <w:rFonts w:cs="Arial"/>
                <w:b/>
              </w:rPr>
              <w:t>2021</w:t>
            </w:r>
            <w:r w:rsidRPr="00E21AE7">
              <w:rPr>
                <w:rFonts w:cs="Arial"/>
              </w:rPr>
              <w:t>.</w:t>
            </w:r>
          </w:p>
        </w:tc>
      </w:tr>
      <w:tr w:rsidR="0002308E" w:rsidRPr="000900EC" w14:paraId="4C395F12" w14:textId="77777777" w:rsidTr="00796D99">
        <w:trPr>
          <w:cantSplit/>
        </w:trPr>
        <w:tc>
          <w:tcPr>
            <w:tcW w:w="5000" w:type="pct"/>
            <w:gridSpan w:val="3"/>
            <w:shd w:val="clear" w:color="auto" w:fill="DAEEF3"/>
          </w:tcPr>
          <w:p w14:paraId="36D95FB4" w14:textId="77777777" w:rsidR="0002308E" w:rsidRPr="00E21AE7" w:rsidRDefault="0002308E" w:rsidP="007F171B">
            <w:pPr>
              <w:keepNext/>
              <w:spacing w:before="80" w:after="80" w:line="276" w:lineRule="auto"/>
              <w:rPr>
                <w:rFonts w:cs="Arial"/>
                <w:b/>
                <w:i/>
              </w:rPr>
            </w:pPr>
            <w:r w:rsidRPr="00E21AE7">
              <w:rPr>
                <w:rFonts w:cs="Arial"/>
                <w:b/>
                <w:i/>
              </w:rPr>
              <w:lastRenderedPageBreak/>
              <w:t xml:space="preserve">Assessment </w:t>
            </w:r>
          </w:p>
        </w:tc>
      </w:tr>
      <w:tr w:rsidR="009006AC" w:rsidRPr="000900EC" w14:paraId="254AA319" w14:textId="77777777" w:rsidTr="009006AC">
        <w:trPr>
          <w:cantSplit/>
        </w:trPr>
        <w:tc>
          <w:tcPr>
            <w:tcW w:w="1532" w:type="pct"/>
            <w:gridSpan w:val="2"/>
            <w:shd w:val="clear" w:color="auto" w:fill="FFC000"/>
          </w:tcPr>
          <w:p w14:paraId="0339E9C5" w14:textId="26BBC384" w:rsidR="009006AC" w:rsidRPr="00E21AE7" w:rsidRDefault="009006AC" w:rsidP="007F171B">
            <w:pPr>
              <w:keepNext/>
              <w:spacing w:before="80" w:after="80" w:line="276" w:lineRule="auto"/>
              <w:rPr>
                <w:rFonts w:cs="Arial"/>
                <w:b/>
                <w:i/>
              </w:rPr>
            </w:pPr>
            <w:r w:rsidRPr="00E21AE7">
              <w:rPr>
                <w:rFonts w:cs="Arial"/>
                <w:b/>
                <w:i/>
              </w:rPr>
              <w:lastRenderedPageBreak/>
              <w:t xml:space="preserve">1.1.2 </w:t>
            </w:r>
            <w:r w:rsidRPr="00E21AE7">
              <w:rPr>
                <w:rFonts w:cs="Arial"/>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468" w:type="pct"/>
            <w:shd w:val="clear" w:color="auto" w:fill="auto"/>
          </w:tcPr>
          <w:p w14:paraId="755D3EBD" w14:textId="77777777" w:rsidR="009006AC" w:rsidRPr="00E21AE7" w:rsidRDefault="009006AC" w:rsidP="009006AC">
            <w:pPr>
              <w:spacing w:before="80" w:after="80" w:line="276" w:lineRule="auto"/>
              <w:rPr>
                <w:rFonts w:cs="Arial"/>
                <w:b/>
              </w:rPr>
            </w:pPr>
            <w:r w:rsidRPr="00E21AE7">
              <w:rPr>
                <w:rFonts w:cs="Arial"/>
                <w:b/>
              </w:rPr>
              <w:t>Partially meets – Stock assessments irregular, or pending, precautionary management</w:t>
            </w:r>
          </w:p>
          <w:p w14:paraId="153CC0E3" w14:textId="3E589C0A" w:rsidR="009006AC" w:rsidRPr="00E21AE7" w:rsidRDefault="009006AC" w:rsidP="009006AC">
            <w:pPr>
              <w:spacing w:before="80" w:after="80" w:line="276" w:lineRule="auto"/>
              <w:rPr>
                <w:rFonts w:cs="Arial"/>
              </w:rPr>
            </w:pPr>
            <w:r w:rsidRPr="00E21AE7">
              <w:rPr>
                <w:rFonts w:cs="Arial"/>
              </w:rPr>
              <w:t>QDAF typically undertake triennial stock assessments of Stout Whiting biomass and use these estimates to inform their setting of TACC limits for the commercial fishery. QDAF then review the annual commercial catch rates from Queensland and New South Wales commercial vessels each year and adjust the TACCs where necessary (</w:t>
            </w:r>
            <w:hyperlink r:id="rId44" w:history="1">
              <w:r w:rsidRPr="00E21AE7">
                <w:rPr>
                  <w:rStyle w:val="Hyperlink"/>
                  <w:rFonts w:cs="Arial"/>
                </w:rPr>
                <w:t>Wortmann &amp; O’Neill, 2016</w:t>
              </w:r>
            </w:hyperlink>
            <w:r w:rsidRPr="00E21AE7">
              <w:rPr>
                <w:rFonts w:cs="Arial"/>
              </w:rPr>
              <w:t xml:space="preserve">). More recently the </w:t>
            </w:r>
            <w:hyperlink r:id="rId45" w:history="1">
              <w:r w:rsidRPr="00E21AE7">
                <w:rPr>
                  <w:rStyle w:val="Hyperlink"/>
                  <w:rFonts w:cs="Arial"/>
                </w:rPr>
                <w:t>Queensland Sustainable Fisheries Strategy 2017-2027</w:t>
              </w:r>
            </w:hyperlink>
            <w:r w:rsidRPr="00E21AE7">
              <w:rPr>
                <w:rFonts w:cs="Arial"/>
              </w:rPr>
              <w:t xml:space="preserve"> has specified that stock assessments will be undertaken annually or at least every two years for key stocks (Action 2.2). QDAF’s last TACC analysis was undertaken four years ago in 2016 and TACCs have not been adjusted since that time. </w:t>
            </w:r>
            <w:r w:rsidR="008F4A25">
              <w:rPr>
                <w:rFonts w:cs="Arial"/>
              </w:rPr>
              <w:t xml:space="preserve">QDAF has advised that the CTFFF will undertake their next stock assessment for Stout Whiting by March 2021 and then repeat the assessment every three years thereafter (QDAF pers. comm. 3 July 2020). </w:t>
            </w:r>
            <w:r w:rsidRPr="00E21AE7">
              <w:rPr>
                <w:rFonts w:cs="Arial"/>
              </w:rPr>
              <w:t>There have also been no stock assessments or TACC setting processes since fishing was extended into waters shallower than 20 fathoms, that are known to be important nursery grounds for Stout Whiting.</w:t>
            </w:r>
          </w:p>
          <w:p w14:paraId="56C0916A" w14:textId="4454F090" w:rsidR="009006AC" w:rsidRPr="00E21AE7" w:rsidRDefault="009006AC" w:rsidP="009006AC">
            <w:pPr>
              <w:spacing w:before="80" w:after="80" w:line="276" w:lineRule="auto"/>
              <w:rPr>
                <w:rFonts w:cs="Arial"/>
              </w:rPr>
            </w:pPr>
            <w:r w:rsidRPr="00E21AE7">
              <w:rPr>
                <w:rFonts w:cs="Arial"/>
              </w:rPr>
              <w:t>An updated stock assessment for the CTFFF is being prepared and QDAF anticipate the revised assessment will include updated biomass estimates and additional data from trial areas, along with NSW catch and effort data (QDAF pers comm. 8 May 2020). The next TACC analysis is also expected to be completed in August 2020</w:t>
            </w:r>
            <w:r w:rsidR="00A5177C">
              <w:rPr>
                <w:rFonts w:cs="Arial"/>
              </w:rPr>
              <w:t xml:space="preserve"> and will help </w:t>
            </w:r>
            <w:r w:rsidRPr="00E21AE7">
              <w:rPr>
                <w:rFonts w:cs="Arial"/>
              </w:rPr>
              <w:t>determine the TACC for fishing in 2021.</w:t>
            </w:r>
          </w:p>
          <w:p w14:paraId="4F361835" w14:textId="075E3C56" w:rsidR="008F4A25" w:rsidRDefault="009006AC" w:rsidP="009006AC">
            <w:pPr>
              <w:spacing w:before="80" w:after="80" w:line="276" w:lineRule="auto"/>
              <w:rPr>
                <w:rFonts w:cs="Arial"/>
              </w:rPr>
            </w:pPr>
            <w:r w:rsidRPr="00E21AE7">
              <w:rPr>
                <w:rFonts w:cs="Arial"/>
              </w:rPr>
              <w:t xml:space="preserve">QDAF (pers comm. 8 May 2020) has advised that stock assessments and TACC setting processes for Stout Whiting typically use retained and discarded catch data, standardised catch rates, length-frequency and age-length-otolith data, as well as estimates of stock productivity and survival. </w:t>
            </w:r>
            <w:r w:rsidR="008F4A25" w:rsidRPr="008F4A25">
              <w:rPr>
                <w:rFonts w:cs="Arial"/>
              </w:rPr>
              <w:t>Fishery dependent age-length data are no longer being collected for th</w:t>
            </w:r>
            <w:r w:rsidR="008F4A25">
              <w:rPr>
                <w:rFonts w:cs="Arial"/>
              </w:rPr>
              <w:t>e</w:t>
            </w:r>
            <w:r w:rsidR="008F4A25" w:rsidRPr="008F4A25">
              <w:rPr>
                <w:rFonts w:cs="Arial"/>
              </w:rPr>
              <w:t xml:space="preserve"> fishery</w:t>
            </w:r>
            <w:r w:rsidR="008F4A25" w:rsidRPr="00E21AE7">
              <w:rPr>
                <w:rFonts w:cs="Arial"/>
              </w:rPr>
              <w:t xml:space="preserve"> </w:t>
            </w:r>
            <w:r w:rsidR="008F4A25">
              <w:rPr>
                <w:rFonts w:cs="Arial"/>
              </w:rPr>
              <w:t xml:space="preserve">and </w:t>
            </w:r>
            <w:r w:rsidRPr="00E21AE7">
              <w:rPr>
                <w:rFonts w:cs="Arial"/>
              </w:rPr>
              <w:t>recent analyses have been limited to catch rates only</w:t>
            </w:r>
            <w:r w:rsidR="008F4A25">
              <w:rPr>
                <w:rFonts w:cs="Arial"/>
              </w:rPr>
              <w:t xml:space="preserve">. QDAF has advised that, following </w:t>
            </w:r>
            <w:r w:rsidR="008F4A25" w:rsidRPr="008F4A25">
              <w:rPr>
                <w:rFonts w:cs="Arial"/>
              </w:rPr>
              <w:t>empirical test</w:t>
            </w:r>
            <w:r w:rsidR="008F4A25">
              <w:rPr>
                <w:rFonts w:cs="Arial"/>
              </w:rPr>
              <w:t xml:space="preserve">ing, they have determined that </w:t>
            </w:r>
            <w:r w:rsidR="008F4A25" w:rsidRPr="008F4A25">
              <w:rPr>
                <w:rFonts w:cs="Arial"/>
              </w:rPr>
              <w:t>stock assessments can still be prepared without this additional information</w:t>
            </w:r>
            <w:r w:rsidR="008F4A25">
              <w:rPr>
                <w:rFonts w:cs="Arial"/>
              </w:rPr>
              <w:t xml:space="preserve"> (QDAF pers comm. 3 July 2020)</w:t>
            </w:r>
            <w:r w:rsidR="008F4A25" w:rsidRPr="008F4A25">
              <w:rPr>
                <w:rFonts w:cs="Arial"/>
              </w:rPr>
              <w:t>.</w:t>
            </w:r>
          </w:p>
          <w:p w14:paraId="3FF63AE9" w14:textId="77777777" w:rsidR="009006AC" w:rsidRPr="00E21AE7" w:rsidRDefault="009006AC" w:rsidP="009006AC">
            <w:pPr>
              <w:spacing w:before="80" w:after="80" w:line="276" w:lineRule="auto"/>
              <w:rPr>
                <w:rFonts w:cs="Arial"/>
                <w:lang w:eastAsia="en-AU"/>
              </w:rPr>
            </w:pPr>
            <w:r w:rsidRPr="00E21AE7">
              <w:rPr>
                <w:rFonts w:cs="Arial"/>
              </w:rPr>
              <w:t xml:space="preserve">QDAF contribute to biennial reviews of national stock status as part of the Fisheries Research and Development Corporation (FRDC) Status of Australian Fish Stocks (SAFS) reporting process. </w:t>
            </w:r>
            <w:r w:rsidRPr="00E21AE7">
              <w:rPr>
                <w:rFonts w:cs="Arial"/>
                <w:lang w:val="en" w:eastAsia="en-AU"/>
              </w:rPr>
              <w:t>This process considers commercial and non-commercial fishing sectors when determining stock status.</w:t>
            </w:r>
            <w:r w:rsidRPr="00E21AE7">
              <w:rPr>
                <w:rFonts w:cs="Arial"/>
              </w:rPr>
              <w:t xml:space="preserve"> </w:t>
            </w:r>
            <w:r w:rsidRPr="00E21AE7">
              <w:rPr>
                <w:rFonts w:cs="Arial"/>
                <w:lang w:val="en" w:eastAsia="en-AU"/>
              </w:rPr>
              <w:t xml:space="preserve">There is thought to be little non-commercial fishing for Stout Whiting, but information is either limited or unavailable. </w:t>
            </w:r>
            <w:r w:rsidRPr="00E21AE7">
              <w:rPr>
                <w:rFonts w:cs="Arial"/>
                <w:lang w:eastAsia="en-AU"/>
              </w:rPr>
              <w:t>Non-commercial sectors are thought to have a negligible impact on the Stout Whiting stock (</w:t>
            </w:r>
            <w:proofErr w:type="spellStart"/>
            <w:r w:rsidR="00661B8B">
              <w:fldChar w:fldCharType="begin"/>
            </w:r>
            <w:r w:rsidR="00661B8B">
              <w:instrText xml:space="preserve"> HYPERLINK "http://fish.gov.au/report/211-Stout-Whiting-2018" </w:instrText>
            </w:r>
            <w:r w:rsidR="00661B8B">
              <w:fldChar w:fldCharType="separate"/>
            </w:r>
            <w:r w:rsidRPr="00E21AE7">
              <w:rPr>
                <w:rStyle w:val="Hyperlink"/>
                <w:rFonts w:cs="Arial"/>
                <w:lang w:eastAsia="en-AU"/>
              </w:rPr>
              <w:t>Roelofs</w:t>
            </w:r>
            <w:proofErr w:type="spellEnd"/>
            <w:r w:rsidRPr="00E21AE7">
              <w:rPr>
                <w:rStyle w:val="Hyperlink"/>
                <w:rFonts w:cs="Arial"/>
                <w:lang w:eastAsia="en-AU"/>
              </w:rPr>
              <w:t> &amp; Hall, 2018</w:t>
            </w:r>
            <w:r w:rsidR="00661B8B">
              <w:rPr>
                <w:rStyle w:val="Hyperlink"/>
                <w:rFonts w:cs="Arial"/>
                <w:lang w:eastAsia="en-AU"/>
              </w:rPr>
              <w:fldChar w:fldCharType="end"/>
            </w:r>
            <w:r w:rsidRPr="00E21AE7">
              <w:rPr>
                <w:rFonts w:cs="Arial"/>
              </w:rPr>
              <w:t>;</w:t>
            </w:r>
            <w:r w:rsidRPr="00E21AE7">
              <w:rPr>
                <w:rFonts w:cs="Arial"/>
                <w:lang w:eastAsia="en-AU"/>
              </w:rPr>
              <w:t xml:space="preserve"> </w:t>
            </w:r>
            <w:hyperlink r:id="rId46" w:history="1">
              <w:r w:rsidRPr="00E21AE7">
                <w:rPr>
                  <w:rStyle w:val="Hyperlink"/>
                  <w:rFonts w:cs="Arial"/>
                  <w:lang w:eastAsia="en-AU"/>
                </w:rPr>
                <w:t>QDAF, 2019</w:t>
              </w:r>
            </w:hyperlink>
            <w:r w:rsidRPr="00E21AE7">
              <w:rPr>
                <w:rFonts w:cs="Arial"/>
                <w:lang w:eastAsia="en-AU"/>
              </w:rPr>
              <w:t xml:space="preserve">). </w:t>
            </w:r>
          </w:p>
          <w:p w14:paraId="643ED761" w14:textId="0BD1103D" w:rsidR="009006AC" w:rsidRPr="00E21AE7" w:rsidRDefault="009006AC" w:rsidP="009006AC">
            <w:pPr>
              <w:spacing w:before="80" w:after="80" w:line="276" w:lineRule="auto"/>
              <w:rPr>
                <w:rFonts w:cs="Arial"/>
                <w:lang w:eastAsia="en-AU"/>
              </w:rPr>
            </w:pPr>
            <w:r w:rsidRPr="00E21AE7">
              <w:rPr>
                <w:rFonts w:cs="Arial"/>
                <w:lang w:eastAsia="en-AU"/>
              </w:rPr>
              <w:lastRenderedPageBreak/>
              <w:t>The Department is concerned that</w:t>
            </w:r>
            <w:r>
              <w:rPr>
                <w:rFonts w:cs="Arial"/>
                <w:lang w:eastAsia="en-AU"/>
              </w:rPr>
              <w:t>,</w:t>
            </w:r>
            <w:r w:rsidRPr="00E21AE7">
              <w:rPr>
                <w:rFonts w:cs="Arial"/>
                <w:lang w:eastAsia="en-AU"/>
              </w:rPr>
              <w:t xml:space="preserve"> in addition to stock reviews not being completed on time, the stock assessments do not appear to account for all sources of mortality. These issues are detailed further at item 1.1.4.</w:t>
            </w:r>
          </w:p>
          <w:p w14:paraId="2DF82FB3" w14:textId="0DBA3A21" w:rsidR="009006AC" w:rsidRPr="00E21AE7" w:rsidRDefault="009006AC" w:rsidP="009006AC">
            <w:pPr>
              <w:keepNext/>
              <w:spacing w:before="80" w:after="80" w:line="276" w:lineRule="auto"/>
              <w:rPr>
                <w:rFonts w:cs="Arial"/>
                <w:b/>
                <w:i/>
              </w:rPr>
            </w:pPr>
            <w:r w:rsidRPr="00E21AE7">
              <w:rPr>
                <w:rFonts w:cs="Arial"/>
              </w:rPr>
              <w:t xml:space="preserve">The Department </w:t>
            </w:r>
            <w:r w:rsidRPr="00E21AE7">
              <w:rPr>
                <w:rFonts w:cs="Arial"/>
                <w:lang w:eastAsia="en-AU"/>
              </w:rPr>
              <w:t xml:space="preserve">recommends that </w:t>
            </w:r>
            <w:r w:rsidRPr="00E21AE7">
              <w:rPr>
                <w:rFonts w:cs="Arial"/>
                <w:b/>
                <w:lang w:eastAsia="en-AU"/>
              </w:rPr>
              <w:t xml:space="preserve">condition </w:t>
            </w:r>
            <w:r w:rsidR="003A1E92">
              <w:rPr>
                <w:rFonts w:cs="Arial"/>
                <w:b/>
                <w:lang w:eastAsia="en-AU"/>
              </w:rPr>
              <w:t>6</w:t>
            </w:r>
            <w:r w:rsidR="003A1E92" w:rsidRPr="00E21AE7">
              <w:rPr>
                <w:rFonts w:cs="Arial"/>
                <w:b/>
                <w:lang w:eastAsia="en-AU"/>
              </w:rPr>
              <w:t xml:space="preserve"> </w:t>
            </w:r>
            <w:r w:rsidRPr="00E21AE7">
              <w:rPr>
                <w:rFonts w:cs="Arial"/>
                <w:lang w:eastAsia="en-AU"/>
              </w:rPr>
              <w:t>be applied to the Part 13</w:t>
            </w:r>
            <w:r w:rsidR="00355094">
              <w:rPr>
                <w:rFonts w:cs="Arial"/>
                <w:lang w:eastAsia="en-AU"/>
              </w:rPr>
              <w:t>A</w:t>
            </w:r>
            <w:r w:rsidRPr="00E21AE7">
              <w:rPr>
                <w:rFonts w:cs="Arial"/>
                <w:lang w:eastAsia="en-AU"/>
              </w:rPr>
              <w:t xml:space="preserve"> approval to ensure there is a regular and robust assessment of stocks in the fishery to identify any reductions in stock levels.</w:t>
            </w:r>
          </w:p>
        </w:tc>
      </w:tr>
      <w:tr w:rsidR="0002308E" w:rsidRPr="000900EC" w14:paraId="292476D3" w14:textId="77777777" w:rsidTr="008903BD">
        <w:trPr>
          <w:cantSplit/>
          <w:trHeight w:val="854"/>
        </w:trPr>
        <w:tc>
          <w:tcPr>
            <w:tcW w:w="1500" w:type="pct"/>
            <w:shd w:val="clear" w:color="auto" w:fill="FFC000"/>
          </w:tcPr>
          <w:p w14:paraId="76B9CD09" w14:textId="77777777" w:rsidR="0002308E" w:rsidRPr="00E21AE7" w:rsidRDefault="0002308E" w:rsidP="007F171B">
            <w:pPr>
              <w:spacing w:before="80" w:after="80" w:line="276" w:lineRule="auto"/>
              <w:rPr>
                <w:rFonts w:cs="Arial"/>
                <w:i/>
              </w:rPr>
            </w:pPr>
            <w:r w:rsidRPr="00E21AE7">
              <w:rPr>
                <w:rFonts w:cs="Arial"/>
                <w:b/>
                <w:i/>
              </w:rPr>
              <w:lastRenderedPageBreak/>
              <w:t xml:space="preserve">1.1.3 </w:t>
            </w:r>
            <w:r w:rsidRPr="00E21AE7">
              <w:rPr>
                <w:rFonts w:cs="Arial"/>
              </w:rPr>
              <w:t>The distribution and spatial structure of the stock(s) has been established and factored into management responses</w:t>
            </w:r>
            <w:r w:rsidRPr="00E21AE7">
              <w:rPr>
                <w:rFonts w:cs="Arial"/>
                <w:i/>
              </w:rPr>
              <w:t>.</w:t>
            </w:r>
          </w:p>
        </w:tc>
        <w:tc>
          <w:tcPr>
            <w:tcW w:w="3500" w:type="pct"/>
            <w:gridSpan w:val="2"/>
            <w:shd w:val="clear" w:color="auto" w:fill="auto"/>
          </w:tcPr>
          <w:p w14:paraId="50FBDA1D" w14:textId="77777777" w:rsidR="0002308E" w:rsidRPr="00E21AE7" w:rsidRDefault="0002308E" w:rsidP="007F171B">
            <w:pPr>
              <w:spacing w:before="80" w:after="80" w:line="276" w:lineRule="auto"/>
              <w:rPr>
                <w:rFonts w:cs="Arial"/>
                <w:b/>
              </w:rPr>
            </w:pPr>
            <w:r w:rsidRPr="00E21AE7">
              <w:rPr>
                <w:rFonts w:cs="Arial"/>
                <w:b/>
              </w:rPr>
              <w:t>Partially meets – Stock structure understood but management does not consider all relevant impacts</w:t>
            </w:r>
          </w:p>
          <w:p w14:paraId="68EB7083" w14:textId="77777777" w:rsidR="0002308E" w:rsidRPr="00E21AE7" w:rsidRDefault="0002308E" w:rsidP="007F171B">
            <w:pPr>
              <w:spacing w:before="80" w:after="80" w:line="276" w:lineRule="auto"/>
              <w:rPr>
                <w:rFonts w:cs="Arial"/>
                <w:lang w:val="en"/>
              </w:rPr>
            </w:pPr>
            <w:r w:rsidRPr="00E21AE7">
              <w:rPr>
                <w:rFonts w:cs="Arial"/>
                <w:lang w:val="en"/>
              </w:rPr>
              <w:t>Stout Whiting are thought to comprise a single biological stock on Australia’s east coast, spanning southern Queensland and northern New South Wales waters (</w:t>
            </w:r>
            <w:r w:rsidRPr="00E21AE7">
              <w:rPr>
                <w:rFonts w:cs="Arial"/>
              </w:rPr>
              <w:t>Ovenden &amp; Butcher, 1999</w:t>
            </w:r>
            <w:r w:rsidRPr="00E21AE7">
              <w:rPr>
                <w:rFonts w:cs="Arial"/>
                <w:lang w:val="en"/>
              </w:rPr>
              <w:t>).</w:t>
            </w:r>
          </w:p>
          <w:p w14:paraId="2B483399" w14:textId="77777777" w:rsidR="0002308E" w:rsidRPr="00E21AE7" w:rsidRDefault="0002308E" w:rsidP="007F171B">
            <w:pPr>
              <w:spacing w:before="80" w:after="80" w:line="276" w:lineRule="auto"/>
              <w:rPr>
                <w:rFonts w:cs="Arial"/>
                <w:lang w:val="en"/>
              </w:rPr>
            </w:pPr>
            <w:r w:rsidRPr="00E21AE7">
              <w:rPr>
                <w:rFonts w:cs="Arial"/>
                <w:lang w:val="en"/>
              </w:rPr>
              <w:t>Up until</w:t>
            </w:r>
            <w:r w:rsidRPr="00E21AE7" w:rsidDel="00E45D16">
              <w:rPr>
                <w:rFonts w:cs="Arial"/>
                <w:lang w:val="en"/>
              </w:rPr>
              <w:t xml:space="preserve"> </w:t>
            </w:r>
            <w:r w:rsidRPr="00E21AE7">
              <w:rPr>
                <w:rFonts w:cs="Arial"/>
                <w:lang w:val="en"/>
              </w:rPr>
              <w:t xml:space="preserve">a fishing trial commenced in late 2017, the CTFFF was restricted to fishing waters deeper than 20 fathoms. This restriction was to avoid resource </w:t>
            </w:r>
            <w:r w:rsidRPr="00E21AE7">
              <w:rPr>
                <w:rFonts w:cs="Arial"/>
              </w:rPr>
              <w:t>competition</w:t>
            </w:r>
            <w:r w:rsidRPr="00E21AE7">
              <w:rPr>
                <w:rFonts w:cs="Arial"/>
                <w:lang w:val="en"/>
              </w:rPr>
              <w:t xml:space="preserve"> with other commercial fishers and other stakeholders (including recreational users), and to protect juvenile Stout Whiting. </w:t>
            </w:r>
          </w:p>
          <w:p w14:paraId="0BF03E8A" w14:textId="77777777" w:rsidR="0002308E" w:rsidRPr="00E21AE7" w:rsidRDefault="0002308E" w:rsidP="007F171B">
            <w:pPr>
              <w:spacing w:before="80" w:after="80" w:line="276" w:lineRule="auto"/>
              <w:rPr>
                <w:rFonts w:cs="Arial"/>
                <w:lang w:val="en"/>
              </w:rPr>
            </w:pPr>
            <w:r w:rsidRPr="00E21AE7">
              <w:rPr>
                <w:rFonts w:cs="Arial"/>
                <w:lang w:val="en"/>
              </w:rPr>
              <w:t>Juvenile Stout Whiting are known to occupy shallow waters, especially during warmer months, and move to deeper offshore waters as they mature (</w:t>
            </w:r>
            <w:hyperlink r:id="rId47" w:history="1">
              <w:proofErr w:type="spellStart"/>
              <w:r w:rsidRPr="00E21AE7">
                <w:rPr>
                  <w:rStyle w:val="Hyperlink"/>
                  <w:rFonts w:cs="Arial"/>
                </w:rPr>
                <w:t>Hyndes</w:t>
              </w:r>
              <w:proofErr w:type="spellEnd"/>
              <w:r w:rsidRPr="00E21AE7">
                <w:rPr>
                  <w:rStyle w:val="Hyperlink"/>
                  <w:rFonts w:cs="Arial"/>
                </w:rPr>
                <w:t xml:space="preserve"> et al. 1999</w:t>
              </w:r>
            </w:hyperlink>
            <w:r w:rsidRPr="00E21AE7">
              <w:rPr>
                <w:rFonts w:cs="Arial"/>
              </w:rPr>
              <w:t>;</w:t>
            </w:r>
            <w:r w:rsidRPr="00E21AE7">
              <w:rPr>
                <w:rFonts w:cs="Arial"/>
                <w:i/>
              </w:rPr>
              <w:t xml:space="preserve"> </w:t>
            </w:r>
            <w:r w:rsidRPr="00E21AE7">
              <w:rPr>
                <w:rFonts w:cs="Arial"/>
              </w:rPr>
              <w:t>Ovenden &amp; Butcher, 1999</w:t>
            </w:r>
            <w:r w:rsidRPr="00E21AE7">
              <w:rPr>
                <w:rFonts w:cs="Arial"/>
                <w:lang w:val="en"/>
              </w:rPr>
              <w:t>). Researchers (</w:t>
            </w:r>
            <w:r w:rsidRPr="00E21AE7">
              <w:rPr>
                <w:rFonts w:cs="Arial"/>
              </w:rPr>
              <w:t xml:space="preserve">Ovenden &amp; Butcher, </w:t>
            </w:r>
            <w:r w:rsidRPr="00E21AE7" w:rsidDel="00E45D16">
              <w:rPr>
                <w:rFonts w:cs="Arial"/>
              </w:rPr>
              <w:t>1999</w:t>
            </w:r>
            <w:r w:rsidRPr="00E21AE7" w:rsidDel="00E45D16">
              <w:rPr>
                <w:rFonts w:cs="Arial"/>
                <w:lang w:val="en"/>
              </w:rPr>
              <w:t>)</w:t>
            </w:r>
            <w:r w:rsidRPr="00E21AE7">
              <w:rPr>
                <w:rFonts w:cs="Arial"/>
                <w:lang w:val="en"/>
              </w:rPr>
              <w:t xml:space="preserve"> have cautioned that if these nursery stocks are supplying recruits into the 20-50 fathom part of the CTFFF, then the fishing mortality associated with those inshore fisheries could have a major impact on future catches by the CTFFF. </w:t>
            </w:r>
          </w:p>
          <w:p w14:paraId="1A9BF253" w14:textId="77777777" w:rsidR="0002308E" w:rsidRPr="00E21AE7" w:rsidRDefault="0002308E" w:rsidP="007F171B">
            <w:pPr>
              <w:spacing w:before="80" w:after="80" w:line="276" w:lineRule="auto"/>
              <w:rPr>
                <w:rFonts w:cs="Arial"/>
                <w:lang w:val="en"/>
              </w:rPr>
            </w:pPr>
            <w:r w:rsidRPr="00E21AE7">
              <w:rPr>
                <w:rFonts w:cs="Arial"/>
                <w:lang w:val="en"/>
              </w:rPr>
              <w:t>It is likely that the increased fishing effort in inshore waters that has been occurring under trial arrangements since 2017 has had some impact on Stout Whiting stocks in the broader CTFFF. It is also likely to have had some impact on other inshore species.</w:t>
            </w:r>
          </w:p>
          <w:p w14:paraId="6BAC2AD9" w14:textId="77777777" w:rsidR="0002308E" w:rsidRPr="00E21AE7" w:rsidRDefault="0002308E" w:rsidP="007F171B">
            <w:pPr>
              <w:spacing w:before="80" w:after="80" w:line="276" w:lineRule="auto"/>
              <w:rPr>
                <w:rFonts w:cs="Arial"/>
                <w:lang w:val="en"/>
              </w:rPr>
            </w:pPr>
            <w:r w:rsidRPr="00E21AE7">
              <w:rPr>
                <w:rFonts w:cs="Arial"/>
                <w:lang w:val="en"/>
              </w:rPr>
              <w:t>Determining the sustainability of impacts on Stout Whiting stocks due to the inshore trial is likely to be difficult given the lack of discarded catch reporting for this species (none since 2013), the relative abundance of juvenile fish in inshore areas, and difficulties detecting changes in catch rates (as an index of stock abundance) as the fishery changes fishing areas, fishing seasons and fishing technologies over time.</w:t>
            </w:r>
          </w:p>
          <w:p w14:paraId="46F4B8B9" w14:textId="7CA7E7C7" w:rsidR="0002308E" w:rsidRPr="00E21AE7" w:rsidRDefault="005446D9" w:rsidP="007F171B">
            <w:pPr>
              <w:spacing w:before="80" w:after="80" w:line="276" w:lineRule="auto"/>
              <w:rPr>
                <w:rFonts w:cs="Arial"/>
              </w:rPr>
            </w:pPr>
            <w:r>
              <w:rPr>
                <w:rFonts w:cs="Arial"/>
                <w:lang w:val="en"/>
              </w:rPr>
              <w:t>I</w:t>
            </w:r>
            <w:r w:rsidR="00423621">
              <w:rPr>
                <w:rFonts w:cs="Arial"/>
                <w:lang w:val="en"/>
              </w:rPr>
              <w:t>t important that</w:t>
            </w:r>
            <w:r w:rsidR="0002308E" w:rsidRPr="00E21AE7">
              <w:rPr>
                <w:rFonts w:cs="Arial"/>
              </w:rPr>
              <w:t xml:space="preserve"> assessments </w:t>
            </w:r>
            <w:r w:rsidR="00423621">
              <w:rPr>
                <w:rFonts w:cs="Arial"/>
              </w:rPr>
              <w:t>must</w:t>
            </w:r>
            <w:r w:rsidR="0002308E" w:rsidRPr="00E21AE7">
              <w:rPr>
                <w:rFonts w:cs="Arial"/>
              </w:rPr>
              <w:t xml:space="preserve"> consider the full extent of the fishery and all sources of mortality, including any trial arrangements, and that scheduled assessments should be completed on time and with all necessary information, to ensure stocks can be managed sustainably. Where assessments are not undertaken</w:t>
            </w:r>
            <w:r w:rsidR="00423621">
              <w:rPr>
                <w:rFonts w:cs="Arial"/>
              </w:rPr>
              <w:t>,</w:t>
            </w:r>
            <w:r w:rsidR="0002308E" w:rsidRPr="00E21AE7">
              <w:rPr>
                <w:rFonts w:cs="Arial"/>
              </w:rPr>
              <w:t xml:space="preserve"> or the veracity of the processes is diminished, this should be reflected in more precautionary management.</w:t>
            </w:r>
          </w:p>
          <w:p w14:paraId="355F6EA5" w14:textId="0441F6FD" w:rsidR="0002308E" w:rsidRPr="00E21AE7" w:rsidRDefault="0002308E" w:rsidP="007F171B">
            <w:pPr>
              <w:spacing w:before="80" w:after="80" w:line="276" w:lineRule="auto"/>
              <w:rPr>
                <w:rFonts w:cs="Arial"/>
              </w:rPr>
            </w:pPr>
            <w:r w:rsidRPr="00E21AE7">
              <w:rPr>
                <w:rFonts w:cs="Arial"/>
              </w:rPr>
              <w:t xml:space="preserve">The Department </w:t>
            </w:r>
            <w:r w:rsidRPr="00E21AE7">
              <w:rPr>
                <w:rFonts w:cs="Arial"/>
                <w:lang w:eastAsia="en-AU"/>
              </w:rPr>
              <w:t xml:space="preserve">recommends that </w:t>
            </w:r>
            <w:r w:rsidRPr="00E21AE7">
              <w:rPr>
                <w:rFonts w:cs="Arial"/>
                <w:b/>
                <w:lang w:eastAsia="en-AU"/>
              </w:rPr>
              <w:t xml:space="preserve">condition </w:t>
            </w:r>
            <w:r w:rsidR="003A1E92">
              <w:rPr>
                <w:rFonts w:cs="Arial"/>
                <w:b/>
                <w:lang w:eastAsia="en-AU"/>
              </w:rPr>
              <w:t>6</w:t>
            </w:r>
            <w:r w:rsidR="003A1E92" w:rsidRPr="00E21AE7">
              <w:rPr>
                <w:rFonts w:cs="Arial"/>
                <w:b/>
                <w:lang w:eastAsia="en-AU"/>
              </w:rPr>
              <w:t xml:space="preserve"> </w:t>
            </w:r>
            <w:r w:rsidRPr="00E21AE7">
              <w:rPr>
                <w:rFonts w:cs="Arial"/>
                <w:lang w:eastAsia="en-AU"/>
              </w:rPr>
              <w:t>be applied to the Part 13A approval to ensure there is a regular and robust assessment of stocks in the fishery, and that the spatial structure of the stock is managed in a precautionary way.</w:t>
            </w:r>
          </w:p>
        </w:tc>
      </w:tr>
      <w:tr w:rsidR="0002308E" w:rsidRPr="000900EC" w14:paraId="4AFE5B4A" w14:textId="77777777" w:rsidTr="008903BD">
        <w:trPr>
          <w:cantSplit/>
        </w:trPr>
        <w:tc>
          <w:tcPr>
            <w:tcW w:w="1500" w:type="pct"/>
            <w:shd w:val="clear" w:color="auto" w:fill="FFC000"/>
          </w:tcPr>
          <w:p w14:paraId="76EF500B" w14:textId="77777777" w:rsidR="0002308E" w:rsidRPr="00E21AE7" w:rsidRDefault="0002308E" w:rsidP="007F171B">
            <w:pPr>
              <w:spacing w:before="80" w:after="80" w:line="276" w:lineRule="auto"/>
              <w:rPr>
                <w:rFonts w:cs="Arial"/>
              </w:rPr>
            </w:pPr>
            <w:r w:rsidRPr="00E21AE7">
              <w:rPr>
                <w:rFonts w:cs="Arial"/>
                <w:b/>
                <w:i/>
              </w:rPr>
              <w:lastRenderedPageBreak/>
              <w:t xml:space="preserve">1.1.4 </w:t>
            </w:r>
            <w:r w:rsidRPr="00E21AE7">
              <w:rPr>
                <w:rFonts w:cs="Arial"/>
              </w:rPr>
              <w:t>There are reliable estimates of all removals, including commercial (landings and discards), recreational and indigenous, from the fished stock. These estimates have been factored into stock assessments and target species catch levels.</w:t>
            </w:r>
          </w:p>
        </w:tc>
        <w:tc>
          <w:tcPr>
            <w:tcW w:w="3500" w:type="pct"/>
            <w:gridSpan w:val="2"/>
            <w:shd w:val="clear" w:color="auto" w:fill="auto"/>
          </w:tcPr>
          <w:p w14:paraId="55DEBC91" w14:textId="46C7193D" w:rsidR="0002308E" w:rsidRPr="00E21AE7" w:rsidRDefault="0002308E" w:rsidP="007F171B">
            <w:pPr>
              <w:spacing w:before="80" w:after="80" w:line="276" w:lineRule="auto"/>
              <w:rPr>
                <w:rFonts w:cs="Arial"/>
                <w:b/>
              </w:rPr>
            </w:pPr>
            <w:r w:rsidRPr="00E21AE7">
              <w:rPr>
                <w:rFonts w:cs="Arial"/>
                <w:b/>
              </w:rPr>
              <w:t>Partially meets –</w:t>
            </w:r>
            <w:r w:rsidR="001D5AF9">
              <w:rPr>
                <w:rFonts w:cs="Arial"/>
                <w:b/>
              </w:rPr>
              <w:t xml:space="preserve"> </w:t>
            </w:r>
            <w:r w:rsidRPr="00E21AE7">
              <w:rPr>
                <w:rFonts w:cs="Arial"/>
                <w:b/>
              </w:rPr>
              <w:t>data availability and reliability concerns, not all relevant information considered in assessing and managing stocks</w:t>
            </w:r>
          </w:p>
          <w:p w14:paraId="5CF4E934" w14:textId="77777777" w:rsidR="0002308E" w:rsidRPr="00E21AE7" w:rsidRDefault="0002308E" w:rsidP="007F171B">
            <w:pPr>
              <w:spacing w:before="80" w:after="80" w:line="276" w:lineRule="auto"/>
              <w:rPr>
                <w:rFonts w:cs="Arial"/>
              </w:rPr>
            </w:pPr>
            <w:r w:rsidRPr="00E21AE7">
              <w:rPr>
                <w:rFonts w:cs="Arial"/>
              </w:rPr>
              <w:t>The CTFFF targets Stout Whiting and Red Spot Whiting and retains various by-product species in state and Commonwealth waters off Queensland’s southern coast. Stout Whiting on Australia’s east coast are thought to comprise a single stock. This stock is targeted commercially by the New South Wales Ocean Trawl Fishery as well as the Queensland CTFFF.</w:t>
            </w:r>
          </w:p>
          <w:p w14:paraId="3AA36AA0" w14:textId="77777777" w:rsidR="0002308E" w:rsidRPr="00423621" w:rsidRDefault="0002308E" w:rsidP="00423621">
            <w:pPr>
              <w:spacing w:before="80" w:after="80" w:line="276" w:lineRule="auto"/>
              <w:rPr>
                <w:rFonts w:cs="Arial"/>
                <w:bCs/>
                <w:i/>
              </w:rPr>
            </w:pPr>
            <w:r w:rsidRPr="00423621">
              <w:rPr>
                <w:rFonts w:cs="Arial"/>
                <w:bCs/>
                <w:i/>
              </w:rPr>
              <w:t>Estimates of all removals from the fished stock</w:t>
            </w:r>
          </w:p>
          <w:p w14:paraId="2A3E43D5" w14:textId="77777777" w:rsidR="0002308E" w:rsidRPr="00E21AE7" w:rsidRDefault="0002308E" w:rsidP="007F171B">
            <w:pPr>
              <w:spacing w:before="80" w:after="80" w:line="276" w:lineRule="auto"/>
              <w:rPr>
                <w:rFonts w:cs="Arial"/>
              </w:rPr>
            </w:pPr>
            <w:r w:rsidRPr="00E21AE7">
              <w:rPr>
                <w:rFonts w:cs="Arial"/>
              </w:rPr>
              <w:t xml:space="preserve">Commercial fishers in the CTFFF are required to report all retained catch in QDAF’s </w:t>
            </w:r>
            <w:hyperlink r:id="rId48" w:history="1">
              <w:r w:rsidRPr="00E21AE7">
                <w:rPr>
                  <w:rStyle w:val="Hyperlink"/>
                  <w:rFonts w:cs="Arial"/>
                </w:rPr>
                <w:t>Stout Whiting Trawl Fishery (T4) Logbook</w:t>
              </w:r>
            </w:hyperlink>
            <w:r w:rsidRPr="00E21AE7">
              <w:rPr>
                <w:rStyle w:val="Hyperlink"/>
                <w:rFonts w:cs="Arial"/>
              </w:rPr>
              <w:t>.</w:t>
            </w:r>
            <w:r w:rsidRPr="00E21AE7">
              <w:rPr>
                <w:rFonts w:cs="Arial"/>
              </w:rPr>
              <w:t xml:space="preserve"> However, concerns have been raised about the reliability of reported discard catch data and protected species interactions. The on-board observer program which validated records during 2009-2010 is no-longer operating.</w:t>
            </w:r>
          </w:p>
          <w:p w14:paraId="31BD15B3" w14:textId="77777777" w:rsidR="0002308E" w:rsidRPr="00E21AE7" w:rsidRDefault="0002308E" w:rsidP="007F171B">
            <w:pPr>
              <w:spacing w:before="80" w:after="80" w:line="276" w:lineRule="auto"/>
              <w:rPr>
                <w:rFonts w:cs="Arial"/>
              </w:rPr>
            </w:pPr>
            <w:r w:rsidRPr="00E21AE7">
              <w:rPr>
                <w:rFonts w:cs="Arial"/>
              </w:rPr>
              <w:t>QDAF plan to implement a video-based electronic observer program in the CTFFF and other Queensland fisheries, which will help validate catch and other information reported by commercial fishers. To support their data validation and compliance efforts, QDAF published a Data Validation Plan in March 2018. This plan is expected to be delivered by the end of 2020 in accordance with the Queensland Government’s Sustainable Fisheries Strategy 2017-2027.</w:t>
            </w:r>
          </w:p>
          <w:p w14:paraId="3DF64D44" w14:textId="77777777" w:rsidR="0002308E" w:rsidRPr="00E21AE7" w:rsidRDefault="0002308E" w:rsidP="007F171B">
            <w:pPr>
              <w:spacing w:before="80" w:after="80" w:line="276" w:lineRule="auto"/>
              <w:rPr>
                <w:rFonts w:cs="Arial"/>
                <w:lang w:eastAsia="en-AU"/>
              </w:rPr>
            </w:pPr>
            <w:r w:rsidRPr="00E21AE7">
              <w:rPr>
                <w:rFonts w:cs="Arial"/>
                <w:lang w:val="en" w:eastAsia="en-AU"/>
              </w:rPr>
              <w:t xml:space="preserve">There is thought to be little non-commercial fishing for Stout Whiting, but information is either limited or unavailable. </w:t>
            </w:r>
            <w:r w:rsidRPr="00E21AE7">
              <w:rPr>
                <w:rFonts w:cs="Arial"/>
                <w:lang w:eastAsia="en-AU"/>
              </w:rPr>
              <w:t>Non-commercial sectors are thought to have a negligible impact on the Stout Whiting stock (</w:t>
            </w:r>
            <w:proofErr w:type="spellStart"/>
            <w:r w:rsidR="00661B8B">
              <w:fldChar w:fldCharType="begin"/>
            </w:r>
            <w:r w:rsidR="00661B8B">
              <w:instrText xml:space="preserve"> HYPERLINK "http://fish.gov.au/rep</w:instrText>
            </w:r>
            <w:r w:rsidR="00661B8B">
              <w:instrText xml:space="preserve">ort/211-Stout-Whiting-2018" </w:instrText>
            </w:r>
            <w:r w:rsidR="00661B8B">
              <w:fldChar w:fldCharType="separate"/>
            </w:r>
            <w:r w:rsidRPr="00E21AE7">
              <w:rPr>
                <w:rStyle w:val="Hyperlink"/>
                <w:rFonts w:cs="Arial"/>
                <w:lang w:eastAsia="en-AU"/>
              </w:rPr>
              <w:t>Roelofs</w:t>
            </w:r>
            <w:proofErr w:type="spellEnd"/>
            <w:r w:rsidRPr="00E21AE7">
              <w:rPr>
                <w:rStyle w:val="Hyperlink"/>
                <w:rFonts w:cs="Arial"/>
                <w:lang w:eastAsia="en-AU"/>
              </w:rPr>
              <w:t> &amp; Hall, 2018</w:t>
            </w:r>
            <w:r w:rsidR="00661B8B">
              <w:rPr>
                <w:rStyle w:val="Hyperlink"/>
                <w:rFonts w:cs="Arial"/>
                <w:lang w:eastAsia="en-AU"/>
              </w:rPr>
              <w:fldChar w:fldCharType="end"/>
            </w:r>
            <w:r w:rsidRPr="00E21AE7">
              <w:rPr>
                <w:rFonts w:cs="Arial"/>
              </w:rPr>
              <w:t>;</w:t>
            </w:r>
            <w:r w:rsidRPr="00E21AE7">
              <w:rPr>
                <w:rFonts w:cs="Arial"/>
                <w:lang w:eastAsia="en-AU"/>
              </w:rPr>
              <w:t xml:space="preserve"> </w:t>
            </w:r>
            <w:hyperlink r:id="rId49" w:history="1">
              <w:r w:rsidRPr="00E21AE7">
                <w:rPr>
                  <w:rStyle w:val="Hyperlink"/>
                  <w:rFonts w:cs="Arial"/>
                  <w:lang w:eastAsia="en-AU"/>
                </w:rPr>
                <w:t>QDAF, 2019</w:t>
              </w:r>
            </w:hyperlink>
            <w:r w:rsidRPr="00E21AE7">
              <w:rPr>
                <w:rFonts w:cs="Arial"/>
                <w:lang w:eastAsia="en-AU"/>
              </w:rPr>
              <w:t xml:space="preserve">). </w:t>
            </w:r>
          </w:p>
          <w:p w14:paraId="2CFF105B" w14:textId="77777777" w:rsidR="0002308E" w:rsidRPr="00423621" w:rsidRDefault="0002308E" w:rsidP="00423621">
            <w:pPr>
              <w:spacing w:before="80" w:after="80" w:line="276" w:lineRule="auto"/>
              <w:rPr>
                <w:rFonts w:cs="Arial"/>
                <w:bCs/>
                <w:i/>
              </w:rPr>
            </w:pPr>
            <w:r w:rsidRPr="00423621">
              <w:rPr>
                <w:rFonts w:cs="Arial"/>
                <w:bCs/>
                <w:i/>
              </w:rPr>
              <w:t>Stout whiting as bycatch</w:t>
            </w:r>
          </w:p>
          <w:p w14:paraId="5023470D" w14:textId="6174CF9B" w:rsidR="0002308E" w:rsidRPr="00E21AE7" w:rsidRDefault="0002308E" w:rsidP="007F171B">
            <w:pPr>
              <w:spacing w:before="80" w:after="80" w:line="276" w:lineRule="auto"/>
              <w:rPr>
                <w:rFonts w:cs="Arial"/>
                <w:lang w:eastAsia="en-AU"/>
              </w:rPr>
            </w:pPr>
            <w:r w:rsidRPr="00E21AE7">
              <w:rPr>
                <w:rFonts w:cs="Arial"/>
                <w:lang w:eastAsia="en-AU"/>
              </w:rPr>
              <w:t>Unmarketable (undersized and or damaged) Stout Whiting have been discarded by the CTFFF in the past, but the fishery has not reported any discarding since 2013 (QDAF pers comm 8 May 2020). Given CTFFF fishers commenced fishing in inshore nursery where the proportion of juvenile fish is expected to be higher, the proportion of unmarketable undersized whiting bycatch is expected to have increased. It is also unlikely that any bycatch reduction methods used could be entirely effective. Without any independent data collection or validation, it is difficult to determine the accuracy of the reported data.</w:t>
            </w:r>
          </w:p>
          <w:p w14:paraId="7469AF50" w14:textId="7A3F1683" w:rsidR="0002308E" w:rsidRPr="00E21AE7" w:rsidRDefault="00521151" w:rsidP="007F171B">
            <w:pPr>
              <w:spacing w:before="80" w:after="80" w:line="276" w:lineRule="auto"/>
              <w:rPr>
                <w:rFonts w:cs="Arial"/>
                <w:lang w:eastAsia="en-AU"/>
              </w:rPr>
            </w:pPr>
            <w:r>
              <w:rPr>
                <w:rFonts w:cs="Arial"/>
                <w:lang w:eastAsia="en-AU"/>
              </w:rPr>
              <w:t>Other c</w:t>
            </w:r>
            <w:r w:rsidR="0002308E" w:rsidRPr="00E21AE7">
              <w:rPr>
                <w:rFonts w:cs="Arial"/>
                <w:lang w:eastAsia="en-AU"/>
              </w:rPr>
              <w:t>ommercial fisheries</w:t>
            </w:r>
            <w:r>
              <w:rPr>
                <w:rFonts w:cs="Arial"/>
                <w:lang w:eastAsia="en-AU"/>
              </w:rPr>
              <w:t>,</w:t>
            </w:r>
            <w:r w:rsidR="0002308E" w:rsidRPr="00E21AE7">
              <w:rPr>
                <w:rFonts w:cs="Arial"/>
                <w:lang w:eastAsia="en-AU"/>
              </w:rPr>
              <w:t xml:space="preserve"> </w:t>
            </w:r>
            <w:r w:rsidR="000F5AED">
              <w:rPr>
                <w:rFonts w:cs="Arial"/>
                <w:lang w:eastAsia="en-AU"/>
              </w:rPr>
              <w:t>such as the East Coast Otter Trawl Fishery</w:t>
            </w:r>
            <w:r>
              <w:rPr>
                <w:rFonts w:cs="Arial"/>
                <w:lang w:eastAsia="en-AU"/>
              </w:rPr>
              <w:t>,</w:t>
            </w:r>
            <w:r w:rsidR="0002308E" w:rsidRPr="00E21AE7">
              <w:rPr>
                <w:rFonts w:cs="Arial"/>
                <w:lang w:eastAsia="en-AU"/>
              </w:rPr>
              <w:t xml:space="preserve"> also catch and discard significant volumes </w:t>
            </w:r>
            <w:r w:rsidR="0002308E" w:rsidRPr="00E21AE7">
              <w:rPr>
                <w:rFonts w:cs="Arial"/>
                <w:lang w:val="en"/>
              </w:rPr>
              <w:t xml:space="preserve">of juvenile and adult Stout Whiting, as well as other CTFFF species, in many of the same areas as the CTFFF. </w:t>
            </w:r>
            <w:r w:rsidR="0002308E" w:rsidRPr="00E21AE7">
              <w:rPr>
                <w:rFonts w:cs="Arial"/>
              </w:rPr>
              <w:t xml:space="preserve">Stout Whiting (at least) are not thought to survive capture and release </w:t>
            </w:r>
            <w:r w:rsidR="0002308E" w:rsidRPr="00E21AE7">
              <w:rPr>
                <w:rFonts w:cs="Arial"/>
                <w:lang w:val="en"/>
              </w:rPr>
              <w:t>(</w:t>
            </w:r>
            <w:r w:rsidR="0002308E" w:rsidRPr="00E21AE7">
              <w:rPr>
                <w:rFonts w:cs="Arial"/>
              </w:rPr>
              <w:t>Ovenden &amp; Butcher, 1999</w:t>
            </w:r>
            <w:r w:rsidR="0002308E" w:rsidRPr="00E21AE7">
              <w:rPr>
                <w:rFonts w:cs="Arial"/>
                <w:lang w:val="en"/>
              </w:rPr>
              <w:t xml:space="preserve">) and this can </w:t>
            </w:r>
            <w:r w:rsidR="0002308E" w:rsidRPr="00E21AE7">
              <w:rPr>
                <w:rFonts w:cs="Arial"/>
                <w:lang w:eastAsia="en-AU"/>
              </w:rPr>
              <w:t>significantly affect stocks (</w:t>
            </w:r>
            <w:hyperlink r:id="rId50" w:history="1">
              <w:r w:rsidR="0002308E" w:rsidRPr="00E21AE7">
                <w:rPr>
                  <w:rStyle w:val="Hyperlink"/>
                  <w:rFonts w:cs="Arial"/>
                  <w:lang w:eastAsia="en-AU"/>
                </w:rPr>
                <w:t>Walton &amp; Jacobsen, 201</w:t>
              </w:r>
              <w:r w:rsidR="0002308E" w:rsidRPr="00E21AE7">
                <w:rPr>
                  <w:rStyle w:val="Hyperlink"/>
                  <w:rFonts w:cs="Arial"/>
                </w:rPr>
                <w:t>9</w:t>
              </w:r>
            </w:hyperlink>
            <w:r w:rsidR="0002308E" w:rsidRPr="00E21AE7">
              <w:rPr>
                <w:rFonts w:cs="Arial"/>
                <w:lang w:eastAsia="en-AU"/>
              </w:rPr>
              <w:t>).</w:t>
            </w:r>
          </w:p>
          <w:p w14:paraId="157777FE" w14:textId="15DB63A1" w:rsidR="0002308E" w:rsidRPr="00E21AE7" w:rsidRDefault="0002308E" w:rsidP="007F171B">
            <w:pPr>
              <w:spacing w:before="80" w:after="80" w:line="276" w:lineRule="auto"/>
              <w:rPr>
                <w:rFonts w:cs="Arial"/>
                <w:lang w:eastAsia="en-AU"/>
              </w:rPr>
            </w:pPr>
            <w:r w:rsidRPr="00E21AE7">
              <w:rPr>
                <w:rFonts w:cs="Arial"/>
                <w:lang w:val="en"/>
              </w:rPr>
              <w:lastRenderedPageBreak/>
              <w:t>CTFFF fishers use very similar gear and methods to these other trawl fisheries and the Department is concerned that significant changes in bycatch reporting may reflect poor compliance with reporting requirements. It is likely that the increased fishing effort in inshore waters, by CTFFF fishers under trial arrangements, increases the risks to Stout Whiting and other species, on top of what has already been forecast for other fisheries (</w:t>
            </w:r>
            <w:r w:rsidRPr="00E21AE7">
              <w:rPr>
                <w:rFonts w:cs="Arial"/>
              </w:rPr>
              <w:t>Ovenden &amp; Butcher, 1999</w:t>
            </w:r>
            <w:r w:rsidRPr="00E21AE7">
              <w:rPr>
                <w:rFonts w:cs="Arial"/>
                <w:lang w:val="en"/>
              </w:rPr>
              <w:t>). However, the ERA for the CTFFF does not consider the impacts of the trial.</w:t>
            </w:r>
            <w:r w:rsidRPr="00E21AE7">
              <w:rPr>
                <w:rFonts w:cs="Arial"/>
                <w:lang w:eastAsia="en-AU"/>
              </w:rPr>
              <w:t xml:space="preserve"> Consideration of </w:t>
            </w:r>
            <w:r w:rsidRPr="00E21AE7">
              <w:rPr>
                <w:rFonts w:cs="Arial"/>
                <w:lang w:val="en"/>
              </w:rPr>
              <w:t xml:space="preserve">impacts </w:t>
            </w:r>
            <w:r w:rsidRPr="00E21AE7">
              <w:rPr>
                <w:rFonts w:cs="Arial"/>
                <w:lang w:eastAsia="en-AU"/>
              </w:rPr>
              <w:t>associated with commercial fisheries outside Queensland’s jurisdiction (e.g. New South Wales) were considered in the ERA process (QDAF pers comm. 8 May 2020) but are not discussed in the ERA (</w:t>
            </w:r>
            <w:hyperlink r:id="rId51"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 xml:space="preserve">). </w:t>
            </w:r>
            <w:r w:rsidR="005446D9">
              <w:rPr>
                <w:rFonts w:cs="Arial"/>
                <w:lang w:eastAsia="en-AU"/>
              </w:rPr>
              <w:t>A</w:t>
            </w:r>
            <w:r w:rsidRPr="00E21AE7">
              <w:rPr>
                <w:rFonts w:cs="Arial"/>
                <w:lang w:eastAsia="en-AU"/>
              </w:rPr>
              <w:t>ll sources of mortality should be considered in managing stocks.</w:t>
            </w:r>
          </w:p>
          <w:p w14:paraId="2342FC5B" w14:textId="1C89D29C" w:rsidR="0002308E" w:rsidRPr="00E21AE7" w:rsidRDefault="0002308E" w:rsidP="007F171B">
            <w:pPr>
              <w:spacing w:before="80" w:after="80" w:line="276" w:lineRule="auto"/>
              <w:rPr>
                <w:rFonts w:cs="Arial"/>
                <w:lang w:eastAsia="en-AU"/>
              </w:rPr>
            </w:pPr>
            <w:r w:rsidRPr="00E21AE7">
              <w:rPr>
                <w:rFonts w:cs="Arial"/>
                <w:lang w:eastAsia="en-AU"/>
              </w:rPr>
              <w:t xml:space="preserve">Recent research in New South Wales </w:t>
            </w:r>
            <w:r w:rsidR="002D7E89">
              <w:rPr>
                <w:rFonts w:cs="Arial"/>
                <w:lang w:eastAsia="en-AU"/>
              </w:rPr>
              <w:t>indicates</w:t>
            </w:r>
            <w:r w:rsidR="002D7E89" w:rsidRPr="00E21AE7">
              <w:rPr>
                <w:rFonts w:cs="Arial"/>
                <w:lang w:eastAsia="en-AU"/>
              </w:rPr>
              <w:t xml:space="preserve"> </w:t>
            </w:r>
            <w:r w:rsidRPr="00E21AE7">
              <w:rPr>
                <w:rFonts w:cs="Arial"/>
                <w:lang w:eastAsia="en-AU"/>
              </w:rPr>
              <w:t xml:space="preserve">that the east-Australian Stout Whiting stock has been significantly impacted by commercial fishing (including </w:t>
            </w:r>
            <w:r w:rsidR="00ED15EF">
              <w:rPr>
                <w:rFonts w:cs="Arial"/>
                <w:lang w:eastAsia="en-AU"/>
              </w:rPr>
              <w:t xml:space="preserve">as </w:t>
            </w:r>
            <w:r w:rsidRPr="00E21AE7">
              <w:rPr>
                <w:rFonts w:cs="Arial"/>
                <w:lang w:eastAsia="en-AU"/>
              </w:rPr>
              <w:t>bycatch) (</w:t>
            </w:r>
            <w:hyperlink r:id="rId52" w:history="1">
              <w:r w:rsidRPr="00E21AE7">
                <w:rPr>
                  <w:rStyle w:val="Hyperlink"/>
                  <w:rFonts w:cs="Arial"/>
                  <w:lang w:eastAsia="en-AU"/>
                </w:rPr>
                <w:t>Gray et al., 2017</w:t>
              </w:r>
            </w:hyperlink>
            <w:r w:rsidRPr="00E21AE7">
              <w:rPr>
                <w:rFonts w:cs="Arial"/>
                <w:lang w:eastAsia="en-AU"/>
              </w:rPr>
              <w:t xml:space="preserve">). In Queensland, </w:t>
            </w:r>
            <w:r w:rsidRPr="00E21AE7">
              <w:rPr>
                <w:rFonts w:cs="Arial"/>
              </w:rPr>
              <w:t>the ECOT, River and Inshore Beam Trawl (RIBT) and other fisheries trawl the same area as the CTFFF and despite not targeting species caught by the CTFFF, kill many of these species as bycatch.</w:t>
            </w:r>
            <w:r w:rsidRPr="00E21AE7">
              <w:rPr>
                <w:rFonts w:cs="Arial"/>
                <w:lang w:eastAsia="en-AU"/>
              </w:rPr>
              <w:t xml:space="preserve"> Stout Whiting is the primary bycatch species in the ECOT (</w:t>
            </w:r>
            <w:hyperlink r:id="rId53" w:history="1">
              <w:r w:rsidRPr="00E21AE7">
                <w:rPr>
                  <w:rStyle w:val="Hyperlink"/>
                  <w:rFonts w:cs="Arial"/>
                  <w:lang w:eastAsia="en-AU"/>
                </w:rPr>
                <w:t>Courtney et al., 2007</w:t>
              </w:r>
            </w:hyperlink>
            <w:r w:rsidRPr="00E21AE7">
              <w:rPr>
                <w:rFonts w:cs="Arial"/>
                <w:lang w:eastAsia="en-AU"/>
              </w:rPr>
              <w:t xml:space="preserve">) and bycatch related mortality is thought to be high </w:t>
            </w:r>
            <w:r w:rsidRPr="00E21AE7">
              <w:rPr>
                <w:rFonts w:cs="Arial"/>
                <w:lang w:val="en"/>
              </w:rPr>
              <w:t>(</w:t>
            </w:r>
            <w:hyperlink r:id="rId54" w:history="1">
              <w:r w:rsidRPr="00E21AE7">
                <w:rPr>
                  <w:rStyle w:val="Hyperlink"/>
                  <w:rFonts w:cs="Arial"/>
                  <w:lang w:val="en"/>
                </w:rPr>
                <w:t>Ovenden &amp; Butcher, 1999</w:t>
              </w:r>
            </w:hyperlink>
            <w:r w:rsidRPr="00E21AE7">
              <w:rPr>
                <w:rFonts w:cs="Arial"/>
                <w:lang w:val="en"/>
              </w:rPr>
              <w:t>)</w:t>
            </w:r>
            <w:r w:rsidRPr="00E21AE7">
              <w:rPr>
                <w:rFonts w:cs="Arial"/>
                <w:lang w:eastAsia="en-AU"/>
              </w:rPr>
              <w:t xml:space="preserve">. </w:t>
            </w:r>
            <w:r w:rsidRPr="00E21AE7">
              <w:rPr>
                <w:rFonts w:cs="Arial"/>
              </w:rPr>
              <w:t xml:space="preserve">The ERA for the CTFFF found </w:t>
            </w:r>
            <w:r w:rsidRPr="00E21AE7">
              <w:rPr>
                <w:rFonts w:cs="Arial"/>
                <w:lang w:eastAsia="en-AU"/>
              </w:rPr>
              <w:t>significant potential for the ECOT to influence Stout Whiting stocks (</w:t>
            </w:r>
            <w:hyperlink r:id="rId55"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 The ERA for the ECOT found the risk from the ECOT to Stout Whiting was ‘intermediate’ but did not outline risk mitigation measures for this species (</w:t>
            </w:r>
            <w:hyperlink r:id="rId56" w:history="1">
              <w:r w:rsidRPr="00E21AE7">
                <w:rPr>
                  <w:rStyle w:val="Hyperlink"/>
                  <w:rFonts w:cs="Arial"/>
                  <w:lang w:eastAsia="en-AU"/>
                </w:rPr>
                <w:t>Jacobsen et al., 2018</w:t>
              </w:r>
            </w:hyperlink>
            <w:r w:rsidRPr="00E21AE7">
              <w:rPr>
                <w:rFonts w:cs="Arial"/>
                <w:lang w:eastAsia="en-AU"/>
              </w:rPr>
              <w:t xml:space="preserve">). The ECOT is thought to be the biggest influence on Stout Whiting stocks, outside of the CTFFF in Queensland’s jurisdiction </w:t>
            </w:r>
            <w:r w:rsidRPr="00E21AE7">
              <w:rPr>
                <w:rFonts w:cs="Arial"/>
              </w:rPr>
              <w:t>(</w:t>
            </w:r>
            <w:hyperlink r:id="rId57"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p>
          <w:p w14:paraId="5BD7E18F" w14:textId="77777777" w:rsidR="0002308E" w:rsidRPr="00423621" w:rsidRDefault="0002308E" w:rsidP="00423621">
            <w:pPr>
              <w:spacing w:before="80" w:after="80" w:line="276" w:lineRule="auto"/>
              <w:rPr>
                <w:rFonts w:cs="Arial"/>
                <w:bCs/>
                <w:i/>
              </w:rPr>
            </w:pPr>
            <w:r w:rsidRPr="00423621">
              <w:rPr>
                <w:rFonts w:cs="Arial"/>
                <w:bCs/>
                <w:i/>
              </w:rPr>
              <w:t>Inshore trial</w:t>
            </w:r>
          </w:p>
          <w:p w14:paraId="03F51520" w14:textId="77777777" w:rsidR="0002308E" w:rsidRPr="00E21AE7" w:rsidRDefault="0002308E" w:rsidP="007F171B">
            <w:pPr>
              <w:spacing w:before="80" w:after="80" w:line="276" w:lineRule="auto"/>
              <w:rPr>
                <w:rFonts w:cs="Arial"/>
              </w:rPr>
            </w:pPr>
            <w:r w:rsidRPr="00E21AE7">
              <w:rPr>
                <w:rFonts w:cs="Arial"/>
              </w:rPr>
              <w:t xml:space="preserve">Since 2017, CTFFF fishers have been permitted to fish in more inshore waters under trial arrangements. The historic restriction of the CTFFF to waters deeper than 20 fathoms was to avoid competition with other trawl fisheries and to minimise impacts on juvenile Stout Whiting. </w:t>
            </w:r>
          </w:p>
          <w:p w14:paraId="6C382EDC" w14:textId="77777777" w:rsidR="0002308E" w:rsidRPr="00E21AE7" w:rsidRDefault="0002308E" w:rsidP="007F171B">
            <w:pPr>
              <w:spacing w:before="80" w:after="80" w:line="276" w:lineRule="auto"/>
              <w:rPr>
                <w:rFonts w:cs="Arial"/>
                <w:b/>
                <w:lang w:eastAsia="en-AU"/>
              </w:rPr>
            </w:pPr>
            <w:r w:rsidRPr="00E21AE7">
              <w:rPr>
                <w:rFonts w:cs="Arial"/>
                <w:lang w:val="en"/>
              </w:rPr>
              <w:t xml:space="preserve">Although QDAF has advised that </w:t>
            </w:r>
            <w:r w:rsidRPr="00E21AE7">
              <w:rPr>
                <w:rFonts w:cs="Arial"/>
              </w:rPr>
              <w:t xml:space="preserve">that there is no information to show that juvenile Stout Whiting only exist in areas less than 20 fathoms, there is </w:t>
            </w:r>
            <w:r w:rsidRPr="00E21AE7">
              <w:rPr>
                <w:rFonts w:cs="Arial"/>
                <w:lang w:val="en"/>
              </w:rPr>
              <w:t xml:space="preserve">considerable evidence to suggest that juvenile Stout Whiting </w:t>
            </w:r>
            <w:r w:rsidRPr="00E21AE7">
              <w:rPr>
                <w:rFonts w:cs="Arial"/>
              </w:rPr>
              <w:t>use protected nearshore waters as nursery areas, and migrate offshore to sandy regions of the inner shelf as they increase in size (</w:t>
            </w:r>
            <w:hyperlink r:id="rId58" w:history="1">
              <w:r w:rsidRPr="00E21AE7">
                <w:rPr>
                  <w:rStyle w:val="Hyperlink"/>
                  <w:rFonts w:cs="Arial"/>
                </w:rPr>
                <w:t>Burchmore et al., 1988</w:t>
              </w:r>
            </w:hyperlink>
            <w:r w:rsidRPr="00E21AE7">
              <w:rPr>
                <w:rFonts w:cs="Arial"/>
              </w:rPr>
              <w:t xml:space="preserve">; </w:t>
            </w:r>
            <w:hyperlink r:id="rId59" w:history="1">
              <w:r w:rsidRPr="00E21AE7">
                <w:rPr>
                  <w:rStyle w:val="Hyperlink"/>
                  <w:rFonts w:cs="Arial"/>
                </w:rPr>
                <w:t>Butcher &amp; Brown, 1995</w:t>
              </w:r>
            </w:hyperlink>
            <w:r w:rsidRPr="00E21AE7">
              <w:rPr>
                <w:rFonts w:cs="Arial"/>
              </w:rPr>
              <w:t xml:space="preserve">; </w:t>
            </w:r>
            <w:hyperlink r:id="rId60" w:history="1">
              <w:proofErr w:type="spellStart"/>
              <w:r w:rsidRPr="00E21AE7">
                <w:rPr>
                  <w:rStyle w:val="Hyperlink"/>
                  <w:rFonts w:cs="Arial"/>
                </w:rPr>
                <w:t>Hyndes</w:t>
              </w:r>
              <w:proofErr w:type="spellEnd"/>
              <w:r w:rsidRPr="00E21AE7">
                <w:rPr>
                  <w:rStyle w:val="Hyperlink"/>
                  <w:rFonts w:cs="Arial"/>
                </w:rPr>
                <w:t> et al., 1997</w:t>
              </w:r>
            </w:hyperlink>
            <w:r w:rsidRPr="00E21AE7">
              <w:rPr>
                <w:rFonts w:cs="Arial"/>
              </w:rPr>
              <w:t>,</w:t>
            </w:r>
            <w:r w:rsidRPr="00E21AE7" w:rsidDel="00166F2F">
              <w:rPr>
                <w:rFonts w:cs="Arial"/>
              </w:rPr>
              <w:t xml:space="preserve"> </w:t>
            </w:r>
            <w:hyperlink r:id="rId61" w:history="1">
              <w:proofErr w:type="spellStart"/>
              <w:r w:rsidRPr="00E21AE7">
                <w:rPr>
                  <w:rStyle w:val="Hyperlink"/>
                  <w:rFonts w:cs="Arial"/>
                </w:rPr>
                <w:t>Hyndes</w:t>
              </w:r>
              <w:proofErr w:type="spellEnd"/>
              <w:r w:rsidRPr="00E21AE7">
                <w:rPr>
                  <w:rStyle w:val="Hyperlink"/>
                  <w:rFonts w:cs="Arial"/>
                </w:rPr>
                <w:t> et al., 1999</w:t>
              </w:r>
            </w:hyperlink>
            <w:r w:rsidRPr="00E21AE7">
              <w:rPr>
                <w:rFonts w:cs="Arial"/>
              </w:rPr>
              <w:t>;</w:t>
            </w:r>
            <w:r w:rsidRPr="00E21AE7">
              <w:rPr>
                <w:rFonts w:cs="Arial"/>
                <w:i/>
              </w:rPr>
              <w:t xml:space="preserve"> </w:t>
            </w:r>
            <w:r w:rsidRPr="00E21AE7">
              <w:rPr>
                <w:rFonts w:cs="Arial"/>
              </w:rPr>
              <w:t>Ovenden &amp; Butcher, 1999</w:t>
            </w:r>
            <w:r w:rsidRPr="00E21AE7">
              <w:rPr>
                <w:rFonts w:cs="Arial"/>
                <w:lang w:val="en"/>
              </w:rPr>
              <w:t>). Researchers have cautioned that if these nursery stocks are supplying recruits into the offshore (20 to 50 fathom non-trial) part of the CTFFF, then the mortality associated with trawling those shallower waters could have a major impact on catches in the CTFFF (</w:t>
            </w:r>
            <w:r w:rsidRPr="00E21AE7">
              <w:rPr>
                <w:rFonts w:cs="Arial"/>
              </w:rPr>
              <w:t>Ovenden &amp; Butcher, 1999)</w:t>
            </w:r>
            <w:r w:rsidRPr="00E21AE7">
              <w:rPr>
                <w:rFonts w:cs="Arial"/>
                <w:lang w:val="en"/>
              </w:rPr>
              <w:t>.</w:t>
            </w:r>
          </w:p>
          <w:p w14:paraId="426A9DA4" w14:textId="77777777" w:rsidR="0002308E" w:rsidRPr="00E21AE7" w:rsidRDefault="0002308E" w:rsidP="007F171B">
            <w:pPr>
              <w:spacing w:before="80" w:after="80" w:line="276" w:lineRule="auto"/>
              <w:rPr>
                <w:rFonts w:cs="Arial"/>
              </w:rPr>
            </w:pPr>
            <w:r w:rsidRPr="00E21AE7">
              <w:rPr>
                <w:rFonts w:cs="Arial"/>
              </w:rPr>
              <w:lastRenderedPageBreak/>
              <w:t>There is evidence to suggest that the fishery has in the past attempted to address the effects of heavy exploitation of stocks through repeated expansion of fishing areas (</w:t>
            </w:r>
            <w:hyperlink r:id="rId62" w:history="1">
              <w:r w:rsidRPr="00E21AE7">
                <w:rPr>
                  <w:rStyle w:val="Hyperlink"/>
                  <w:rFonts w:cs="Arial"/>
                </w:rPr>
                <w:t>Butcher &amp; Brown, 1995</w:t>
              </w:r>
            </w:hyperlink>
            <w:r w:rsidRPr="00E21AE7">
              <w:rPr>
                <w:rFonts w:cs="Arial"/>
              </w:rPr>
              <w:t>). Recent examples of fishery expansion include an extension of the southern fishery limits from Caloundra to the New South Wales border, a four month extension to the fishing season (from April through December, to January through December), removal of the fishing ban that applied from 20 September to 1 November each year, and most recently in 2017, expansion of the fishery into waters shallower than 20 fathoms (as a trial). QDAF advise that one of the key reasons for the trial is to help fishers catch their quotas more efficiently (more catch per unit effort) rather than increase the amount the fishers catch.</w:t>
            </w:r>
          </w:p>
          <w:p w14:paraId="0F2E6FD4" w14:textId="77777777" w:rsidR="0002308E" w:rsidRPr="00E21AE7" w:rsidRDefault="0002308E" w:rsidP="007F171B">
            <w:pPr>
              <w:spacing w:before="80" w:after="80" w:line="276" w:lineRule="auto"/>
              <w:rPr>
                <w:rFonts w:cs="Arial"/>
              </w:rPr>
            </w:pPr>
            <w:r w:rsidRPr="00E21AE7">
              <w:rPr>
                <w:rFonts w:cs="Arial"/>
              </w:rPr>
              <w:t>Given the fishery’s reliance on catch rate information to determine stock status, there is a risk that changes to fishing areas and fishing seasons are affecting catch rates and impacting stock assessments. This may be compounded by improvements in the efficiency and effectiveness of trawl fishing associated with improvements to boats, fishing gear, GPS and mapping software (</w:t>
            </w:r>
            <w:proofErr w:type="spellStart"/>
            <w:r w:rsidR="00661B8B">
              <w:fldChar w:fldCharType="begin"/>
            </w:r>
            <w:r w:rsidR="00661B8B">
              <w:instrText xml:space="preserve"> HYPERLINK "http://era.daf.qld.gov.au/id/eprint/3522/1/1-s2.0-S0165783607000057-main.pdf" </w:instrText>
            </w:r>
            <w:r w:rsidR="00661B8B">
              <w:fldChar w:fldCharType="separate"/>
            </w:r>
            <w:r w:rsidRPr="00E21AE7">
              <w:rPr>
                <w:rStyle w:val="Hyperlink"/>
                <w:rFonts w:cs="Arial"/>
              </w:rPr>
              <w:t>O’Niel</w:t>
            </w:r>
            <w:proofErr w:type="spellEnd"/>
            <w:r w:rsidRPr="00E21AE7">
              <w:rPr>
                <w:rStyle w:val="Hyperlink"/>
                <w:rFonts w:cs="Arial"/>
              </w:rPr>
              <w:t xml:space="preserve"> &amp; Leigh, 2007</w:t>
            </w:r>
            <w:r w:rsidR="00661B8B">
              <w:rPr>
                <w:rStyle w:val="Hyperlink"/>
                <w:rFonts w:cs="Arial"/>
              </w:rPr>
              <w:fldChar w:fldCharType="end"/>
            </w:r>
            <w:r w:rsidRPr="00E21AE7">
              <w:rPr>
                <w:rFonts w:cs="Arial"/>
              </w:rPr>
              <w:t>). These factors do not appear to be considered in the stock assessments for the fishery.</w:t>
            </w:r>
          </w:p>
          <w:p w14:paraId="0384C3ED" w14:textId="77777777" w:rsidR="0002308E" w:rsidRPr="00E21AE7" w:rsidRDefault="0002308E" w:rsidP="007F171B">
            <w:pPr>
              <w:spacing w:before="80" w:after="80" w:line="276" w:lineRule="auto"/>
              <w:rPr>
                <w:rFonts w:cs="Arial"/>
              </w:rPr>
            </w:pPr>
            <w:r w:rsidRPr="00E21AE7">
              <w:rPr>
                <w:rFonts w:cs="Arial"/>
              </w:rPr>
              <w:t>If bycatch is not being accurately reported in Queensland commercial fisheries, it is unlikely this mortality to Stout Whiting is accounted for in stock assessments for other fisheries. It is also unlikely that any discarding of undersized whiting by the CTFFF, especially in the inshore trial area where the proportion of juvenile fish is likely to be higher, is being reported or considered in stock assessments.</w:t>
            </w:r>
          </w:p>
          <w:p w14:paraId="175D1F83" w14:textId="77777777" w:rsidR="0002308E" w:rsidRPr="00423621" w:rsidRDefault="0002308E" w:rsidP="00423621">
            <w:pPr>
              <w:spacing w:before="80" w:after="80" w:line="276" w:lineRule="auto"/>
              <w:rPr>
                <w:rFonts w:cs="Arial"/>
                <w:bCs/>
                <w:i/>
              </w:rPr>
            </w:pPr>
            <w:r w:rsidRPr="00423621">
              <w:rPr>
                <w:rFonts w:cs="Arial"/>
                <w:bCs/>
                <w:i/>
              </w:rPr>
              <w:t>Conclusion</w:t>
            </w:r>
          </w:p>
          <w:p w14:paraId="6A8E91D8" w14:textId="6BE15205" w:rsidR="0002308E" w:rsidRPr="00E21AE7" w:rsidRDefault="005446D9" w:rsidP="007F171B">
            <w:pPr>
              <w:spacing w:before="80" w:after="80" w:line="276" w:lineRule="auto"/>
              <w:rPr>
                <w:rFonts w:cs="Arial"/>
              </w:rPr>
            </w:pPr>
            <w:r>
              <w:rPr>
                <w:rFonts w:cs="Arial"/>
              </w:rPr>
              <w:t>I</w:t>
            </w:r>
            <w:r w:rsidR="00521151">
              <w:rPr>
                <w:rFonts w:cs="Arial"/>
              </w:rPr>
              <w:t>t important that</w:t>
            </w:r>
            <w:r w:rsidR="0002308E" w:rsidRPr="00E21AE7">
              <w:rPr>
                <w:rFonts w:cs="Arial"/>
              </w:rPr>
              <w:t xml:space="preserve"> assessments consider the full extent of the fishery, including any trial arrangements, that the assessments should account for all sources of mortality, and that changes to fishing capacity (technological, spatial and temporal) </w:t>
            </w:r>
            <w:r w:rsidR="00521151">
              <w:rPr>
                <w:rFonts w:cs="Arial"/>
              </w:rPr>
              <w:t>must</w:t>
            </w:r>
            <w:r w:rsidR="0002308E" w:rsidRPr="00E21AE7">
              <w:rPr>
                <w:rFonts w:cs="Arial"/>
              </w:rPr>
              <w:t xml:space="preserve"> be considered and accounted for in the assessments. </w:t>
            </w:r>
            <w:r>
              <w:rPr>
                <w:rFonts w:cs="Arial"/>
              </w:rPr>
              <w:t>S</w:t>
            </w:r>
            <w:r w:rsidR="0002308E" w:rsidRPr="00E21AE7">
              <w:rPr>
                <w:rFonts w:cs="Arial"/>
              </w:rPr>
              <w:t xml:space="preserve">cheduled assessments and management responses should </w:t>
            </w:r>
            <w:r>
              <w:rPr>
                <w:rFonts w:cs="Arial"/>
              </w:rPr>
              <w:t xml:space="preserve">also </w:t>
            </w:r>
            <w:r w:rsidR="0002308E" w:rsidRPr="00E21AE7">
              <w:rPr>
                <w:rFonts w:cs="Arial"/>
              </w:rPr>
              <w:t xml:space="preserve">be completed on time to ensure the stocks remain sustainable. If assessments are to deviate from agreed schedules, the rationale for this deviation should be clearly explained and precautionary management responses taken. </w:t>
            </w:r>
          </w:p>
          <w:p w14:paraId="7A7E0094" w14:textId="77777777" w:rsidR="0002308E" w:rsidRPr="00E21AE7" w:rsidRDefault="0002308E" w:rsidP="007F171B">
            <w:pPr>
              <w:spacing w:before="80" w:after="80" w:line="276" w:lineRule="auto"/>
              <w:rPr>
                <w:rFonts w:cs="Arial"/>
              </w:rPr>
            </w:pPr>
            <w:r w:rsidRPr="00E21AE7">
              <w:rPr>
                <w:rFonts w:cs="Arial"/>
              </w:rPr>
              <w:t xml:space="preserve">The Department notes that QDAF established a </w:t>
            </w:r>
            <w:hyperlink r:id="rId63" w:history="1">
              <w:r w:rsidRPr="00E21AE7">
                <w:rPr>
                  <w:rStyle w:val="Hyperlink"/>
                  <w:rFonts w:cs="Arial"/>
                </w:rPr>
                <w:t>Sustainable Fisheries Expert Panel</w:t>
              </w:r>
            </w:hyperlink>
            <w:r w:rsidRPr="00E21AE7">
              <w:rPr>
                <w:rFonts w:cs="Arial"/>
              </w:rPr>
              <w:t xml:space="preserve"> in 2017 which includes members with expertise in stock assessment, fish biology and fisheries management.</w:t>
            </w:r>
          </w:p>
          <w:p w14:paraId="4EE92A4C" w14:textId="77777777" w:rsidR="0002308E" w:rsidRPr="00E21AE7" w:rsidRDefault="0002308E" w:rsidP="007F171B">
            <w:pPr>
              <w:spacing w:before="80" w:after="80" w:line="276" w:lineRule="auto"/>
              <w:rPr>
                <w:rFonts w:cs="Arial"/>
              </w:rPr>
            </w:pPr>
            <w:r w:rsidRPr="00E21AE7">
              <w:rPr>
                <w:rFonts w:cs="Arial"/>
              </w:rPr>
              <w:t xml:space="preserve">The panel provides </w:t>
            </w:r>
            <w:r w:rsidRPr="00E21AE7">
              <w:rPr>
                <w:rFonts w:cs="Arial"/>
                <w:lang w:val="en"/>
              </w:rPr>
              <w:t xml:space="preserve">independent expert advice to QDAF on best practice fisheries management, </w:t>
            </w:r>
            <w:r w:rsidRPr="00E21AE7">
              <w:rPr>
                <w:rFonts w:cs="Arial"/>
              </w:rPr>
              <w:t xml:space="preserve">sustainable limits and reference points for individual fisheries and species, the adequacy of proposed fishery harvest strategies, and data, </w:t>
            </w:r>
            <w:proofErr w:type="gramStart"/>
            <w:r w:rsidRPr="00E21AE7">
              <w:rPr>
                <w:rFonts w:cs="Arial"/>
              </w:rPr>
              <w:t>research</w:t>
            </w:r>
            <w:proofErr w:type="gramEnd"/>
            <w:r w:rsidRPr="00E21AE7">
              <w:rPr>
                <w:rFonts w:cs="Arial"/>
              </w:rPr>
              <w:t xml:space="preserve"> and monitoring needs.</w:t>
            </w:r>
          </w:p>
          <w:p w14:paraId="74BFB5FA" w14:textId="77777777" w:rsidR="00ED15EF" w:rsidRDefault="0002308E" w:rsidP="007F171B">
            <w:pPr>
              <w:spacing w:before="80" w:after="80" w:line="276" w:lineRule="auto"/>
              <w:rPr>
                <w:rFonts w:cs="Arial"/>
              </w:rPr>
            </w:pPr>
            <w:r w:rsidRPr="00E21AE7">
              <w:rPr>
                <w:rFonts w:cs="Arial"/>
              </w:rPr>
              <w:t xml:space="preserve">The Department also notes that QDAF plans to determine minimum data standards for all commercial fisheries under the Sustainable Fisheries Strategy. This includes developing guidelines for how </w:t>
            </w:r>
            <w:r w:rsidRPr="00E21AE7">
              <w:rPr>
                <w:rFonts w:cs="Arial"/>
              </w:rPr>
              <w:lastRenderedPageBreak/>
              <w:t>sustainable catch limits should be set as part of a harvest strategy, determining how to divide fisheries into smaller units to apply management arrangements at the appropriate scale, setting catch limits and defining the minimum data requirements to set catch limits, using improved data to undertake regular stock assessments</w:t>
            </w:r>
            <w:r w:rsidR="00DA7DE6">
              <w:rPr>
                <w:rFonts w:cs="Arial"/>
              </w:rPr>
              <w:t>.</w:t>
            </w:r>
            <w:r w:rsidRPr="00E21AE7">
              <w:rPr>
                <w:rFonts w:cs="Arial"/>
              </w:rPr>
              <w:t xml:space="preserve"> </w:t>
            </w:r>
          </w:p>
          <w:p w14:paraId="7A6D37B0" w14:textId="303FCA32" w:rsidR="0002308E" w:rsidRPr="00E21AE7" w:rsidRDefault="0002308E" w:rsidP="007F171B">
            <w:pPr>
              <w:spacing w:before="80" w:after="80" w:line="276" w:lineRule="auto"/>
              <w:rPr>
                <w:rFonts w:cs="Arial"/>
              </w:rPr>
            </w:pPr>
            <w:r w:rsidRPr="00E21AE7">
              <w:rPr>
                <w:rFonts w:cs="Arial"/>
              </w:rPr>
              <w:t xml:space="preserve">The Department </w:t>
            </w:r>
            <w:r w:rsidRPr="00E21AE7">
              <w:rPr>
                <w:rFonts w:cs="Arial"/>
                <w:lang w:eastAsia="en-AU"/>
              </w:rPr>
              <w:t xml:space="preserve">recommends that </w:t>
            </w:r>
            <w:r w:rsidRPr="00E21AE7">
              <w:rPr>
                <w:rFonts w:cs="Arial"/>
                <w:b/>
                <w:lang w:eastAsia="en-AU"/>
              </w:rPr>
              <w:t>condition </w:t>
            </w:r>
            <w:r w:rsidR="003A1E92">
              <w:rPr>
                <w:rFonts w:cs="Arial"/>
                <w:b/>
                <w:lang w:eastAsia="en-AU"/>
              </w:rPr>
              <w:t>6</w:t>
            </w:r>
            <w:r w:rsidR="003A1E92" w:rsidRPr="00E21AE7">
              <w:rPr>
                <w:rFonts w:cs="Arial"/>
                <w:lang w:eastAsia="en-AU"/>
              </w:rPr>
              <w:t xml:space="preserve"> </w:t>
            </w:r>
            <w:r w:rsidRPr="00E21AE7">
              <w:rPr>
                <w:rFonts w:cs="Arial"/>
                <w:lang w:eastAsia="en-AU"/>
              </w:rPr>
              <w:t>be applied to the Part 13A approval to ensure there is a regular and robust assessment of stocks in the fishery, and that all species are managed in a precautionary.</w:t>
            </w:r>
          </w:p>
        </w:tc>
      </w:tr>
      <w:tr w:rsidR="0002308E" w:rsidRPr="000900EC" w14:paraId="3C35EEA9" w14:textId="77777777" w:rsidTr="00392AB9">
        <w:trPr>
          <w:cantSplit/>
        </w:trPr>
        <w:tc>
          <w:tcPr>
            <w:tcW w:w="1500" w:type="pct"/>
            <w:shd w:val="clear" w:color="auto" w:fill="FFC000"/>
          </w:tcPr>
          <w:p w14:paraId="1B010592" w14:textId="77777777" w:rsidR="0002308E" w:rsidRPr="00E21AE7" w:rsidRDefault="0002308E" w:rsidP="007F171B">
            <w:pPr>
              <w:spacing w:before="80" w:after="80" w:line="276" w:lineRule="auto"/>
              <w:rPr>
                <w:rFonts w:cs="Arial"/>
              </w:rPr>
            </w:pPr>
            <w:r w:rsidRPr="00E21AE7">
              <w:rPr>
                <w:rFonts w:cs="Arial"/>
                <w:b/>
                <w:i/>
              </w:rPr>
              <w:lastRenderedPageBreak/>
              <w:t xml:space="preserve">1.1.5 </w:t>
            </w:r>
            <w:r w:rsidRPr="00E21AE7">
              <w:rPr>
                <w:rFonts w:cs="Arial"/>
              </w:rPr>
              <w:t>There is a sound estimate of the potential productivity of the fished stock/s and the proportion that could be harvested.</w:t>
            </w:r>
          </w:p>
        </w:tc>
        <w:tc>
          <w:tcPr>
            <w:tcW w:w="3500" w:type="pct"/>
            <w:gridSpan w:val="2"/>
            <w:shd w:val="clear" w:color="auto" w:fill="auto"/>
          </w:tcPr>
          <w:p w14:paraId="113F63CB" w14:textId="4457918E" w:rsidR="0002308E" w:rsidRPr="00E21AE7" w:rsidRDefault="000C7501" w:rsidP="007F171B">
            <w:pPr>
              <w:spacing w:before="80" w:after="80" w:line="276" w:lineRule="auto"/>
              <w:rPr>
                <w:rFonts w:cs="Arial"/>
                <w:b/>
              </w:rPr>
            </w:pPr>
            <w:r>
              <w:rPr>
                <w:rFonts w:cs="Arial"/>
                <w:b/>
              </w:rPr>
              <w:t xml:space="preserve">Partially </w:t>
            </w:r>
            <w:r w:rsidR="0002308E" w:rsidRPr="00E21AE7">
              <w:rPr>
                <w:rFonts w:cs="Arial"/>
                <w:b/>
              </w:rPr>
              <w:t>meet</w:t>
            </w:r>
            <w:r>
              <w:rPr>
                <w:rFonts w:cs="Arial"/>
                <w:b/>
              </w:rPr>
              <w:t>s</w:t>
            </w:r>
            <w:r w:rsidR="0002308E" w:rsidRPr="00E21AE7">
              <w:rPr>
                <w:rFonts w:cs="Arial"/>
                <w:b/>
              </w:rPr>
              <w:t xml:space="preserve"> – poor estimates of potential productivity and proportion that can be harvested</w:t>
            </w:r>
          </w:p>
          <w:p w14:paraId="47E42D99" w14:textId="15499EA3" w:rsidR="0002308E" w:rsidRPr="00E21AE7" w:rsidRDefault="0002308E" w:rsidP="007F171B">
            <w:pPr>
              <w:spacing w:before="80" w:after="80" w:line="276" w:lineRule="auto"/>
              <w:rPr>
                <w:rFonts w:cs="Arial"/>
              </w:rPr>
            </w:pPr>
            <w:r w:rsidRPr="00E21AE7">
              <w:rPr>
                <w:rFonts w:cs="Arial"/>
              </w:rPr>
              <w:t>Stock assessments have been conducted for Stout Whiting, as well as two of the eight by-product species or species groups (Yellowtail Scad, Balmain and Moreton Bay Bugs) and found these stocks to be sustainable (</w:t>
            </w:r>
            <w:hyperlink r:id="rId64" w:history="1">
              <w:r w:rsidRPr="00E21AE7">
                <w:rPr>
                  <w:rStyle w:val="Hyperlink"/>
                  <w:rFonts w:cs="Arial"/>
                </w:rPr>
                <w:t>FRDC, 2018</w:t>
              </w:r>
            </w:hyperlink>
            <w:r w:rsidRPr="00E21AE7">
              <w:rPr>
                <w:rFonts w:cs="Arial"/>
              </w:rPr>
              <w:t xml:space="preserve">). </w:t>
            </w:r>
            <w:r w:rsidR="000C7501">
              <w:rPr>
                <w:rFonts w:cs="Arial"/>
              </w:rPr>
              <w:t>However, t</w:t>
            </w:r>
            <w:r w:rsidRPr="00E21AE7">
              <w:rPr>
                <w:rFonts w:cs="Arial"/>
              </w:rPr>
              <w:t>hese assessments do not appear to use estimates of stock productivity, and do not account for fishing in the trial areas (waters</w:t>
            </w:r>
            <w:r w:rsidRPr="00E21AE7" w:rsidDel="00D463C6">
              <w:rPr>
                <w:rFonts w:cs="Arial"/>
              </w:rPr>
              <w:t xml:space="preserve"> </w:t>
            </w:r>
            <w:r w:rsidRPr="00E21AE7">
              <w:rPr>
                <w:rFonts w:cs="Arial"/>
              </w:rPr>
              <w:t>shallower than 20 fathoms) which are important nursery areas, at least for Stout Whiting.</w:t>
            </w:r>
          </w:p>
          <w:p w14:paraId="17B63208" w14:textId="01B04F79" w:rsidR="0002308E" w:rsidRPr="00E21AE7" w:rsidRDefault="0002308E" w:rsidP="007F171B">
            <w:pPr>
              <w:spacing w:before="80" w:after="80" w:line="276" w:lineRule="auto"/>
              <w:rPr>
                <w:rFonts w:cs="Arial"/>
              </w:rPr>
            </w:pPr>
            <w:r w:rsidRPr="00E21AE7">
              <w:rPr>
                <w:rFonts w:cs="Arial"/>
              </w:rPr>
              <w:t xml:space="preserve">Stocks of remaining by-product species (Threadfin Bream, </w:t>
            </w:r>
            <w:r w:rsidR="00D15C4E">
              <w:rPr>
                <w:rFonts w:cs="Arial"/>
              </w:rPr>
              <w:t>G</w:t>
            </w:r>
            <w:r w:rsidRPr="00E21AE7">
              <w:rPr>
                <w:rFonts w:cs="Arial"/>
              </w:rPr>
              <w:t xml:space="preserve">oatfish, </w:t>
            </w:r>
            <w:r w:rsidR="00D15C4E">
              <w:rPr>
                <w:rFonts w:cs="Arial"/>
              </w:rPr>
              <w:t>C</w:t>
            </w:r>
            <w:r w:rsidRPr="00E21AE7">
              <w:rPr>
                <w:rFonts w:cs="Arial"/>
              </w:rPr>
              <w:t xml:space="preserve">uttlefish, </w:t>
            </w:r>
            <w:r w:rsidR="00D15C4E">
              <w:rPr>
                <w:rFonts w:cs="Arial"/>
              </w:rPr>
              <w:t>O</w:t>
            </w:r>
            <w:r w:rsidRPr="00E21AE7">
              <w:rPr>
                <w:rFonts w:cs="Arial"/>
              </w:rPr>
              <w:t xml:space="preserve">ctopus and </w:t>
            </w:r>
            <w:r w:rsidR="00D15C4E">
              <w:rPr>
                <w:rFonts w:cs="Arial"/>
              </w:rPr>
              <w:t>S</w:t>
            </w:r>
            <w:r w:rsidRPr="00E21AE7">
              <w:rPr>
                <w:rFonts w:cs="Arial"/>
              </w:rPr>
              <w:t xml:space="preserve">quid) and bycatch species have not been assessed. Although these species were found to be at ‘low’ risk from the CTFFF in the ERA for the fishery </w:t>
            </w:r>
            <w:r w:rsidRPr="00E21AE7" w:rsidDel="00D463C6">
              <w:rPr>
                <w:rFonts w:cs="Arial"/>
              </w:rPr>
              <w:t>(</w:t>
            </w:r>
            <w:hyperlink r:id="rId65"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 xml:space="preserve">. </w:t>
            </w:r>
          </w:p>
          <w:p w14:paraId="43AA2284" w14:textId="77777777" w:rsidR="0002308E" w:rsidRPr="00E21AE7" w:rsidRDefault="0002308E" w:rsidP="007F171B">
            <w:pPr>
              <w:spacing w:before="80" w:after="80" w:line="276" w:lineRule="auto"/>
              <w:rPr>
                <w:rFonts w:cs="Arial"/>
              </w:rPr>
            </w:pPr>
            <w:r w:rsidRPr="00E21AE7">
              <w:rPr>
                <w:rFonts w:cs="Arial"/>
              </w:rPr>
              <w:t>It is likely that catch composition in the inshore trial areas differs to that in the rest of the CTFFF. However, the impacts of the trial on CTFFF stocks were not considered in the ERA for the CTFFF.</w:t>
            </w:r>
          </w:p>
          <w:p w14:paraId="70FAF1F9" w14:textId="59FD22B2" w:rsidR="0002308E" w:rsidRPr="00E21AE7" w:rsidRDefault="005446D9" w:rsidP="007F171B">
            <w:pPr>
              <w:spacing w:before="80" w:after="80" w:line="276" w:lineRule="auto"/>
              <w:rPr>
                <w:rFonts w:cs="Arial"/>
              </w:rPr>
            </w:pPr>
            <w:r>
              <w:rPr>
                <w:rFonts w:cs="Arial"/>
              </w:rPr>
              <w:t>A</w:t>
            </w:r>
            <w:r w:rsidR="00F4297C">
              <w:rPr>
                <w:rFonts w:cs="Arial"/>
              </w:rPr>
              <w:t>l</w:t>
            </w:r>
            <w:r w:rsidR="000828DC">
              <w:rPr>
                <w:rFonts w:cs="Arial"/>
              </w:rPr>
              <w:t>l</w:t>
            </w:r>
            <w:r w:rsidR="0002308E" w:rsidRPr="00E21AE7">
              <w:rPr>
                <w:rFonts w:cs="Arial"/>
              </w:rPr>
              <w:t xml:space="preserve"> future ERAs </w:t>
            </w:r>
            <w:r w:rsidR="00F4297C">
              <w:rPr>
                <w:rFonts w:cs="Arial"/>
              </w:rPr>
              <w:t xml:space="preserve">must </w:t>
            </w:r>
            <w:r w:rsidR="0002308E" w:rsidRPr="00E21AE7">
              <w:rPr>
                <w:rFonts w:cs="Arial"/>
              </w:rPr>
              <w:t xml:space="preserve">ensure that all target, </w:t>
            </w:r>
            <w:proofErr w:type="gramStart"/>
            <w:r w:rsidR="0002308E" w:rsidRPr="00E21AE7">
              <w:rPr>
                <w:rFonts w:cs="Arial"/>
              </w:rPr>
              <w:t>by-product</w:t>
            </w:r>
            <w:proofErr w:type="gramEnd"/>
            <w:r w:rsidR="0002308E" w:rsidRPr="00E21AE7">
              <w:rPr>
                <w:rFonts w:cs="Arial"/>
              </w:rPr>
              <w:t xml:space="preserve"> and bycatch species throughout the fishery (CTFFF and trial) are assessed so they can be managed in a precautionary way.</w:t>
            </w:r>
          </w:p>
          <w:p w14:paraId="6621DD5C" w14:textId="3D481166" w:rsidR="0002308E" w:rsidRPr="00E21AE7" w:rsidRDefault="0002308E" w:rsidP="007F171B">
            <w:pPr>
              <w:spacing w:before="80" w:after="80" w:line="276" w:lineRule="auto"/>
              <w:rPr>
                <w:rFonts w:cs="Arial"/>
              </w:rPr>
            </w:pPr>
            <w:r w:rsidRPr="00E21AE7">
              <w:rPr>
                <w:rFonts w:cs="Arial"/>
              </w:rPr>
              <w:t xml:space="preserve">The Department </w:t>
            </w:r>
            <w:r w:rsidRPr="00E21AE7">
              <w:rPr>
                <w:rFonts w:cs="Arial"/>
                <w:lang w:eastAsia="en-AU"/>
              </w:rPr>
              <w:t xml:space="preserve">recommends that </w:t>
            </w:r>
            <w:r w:rsidRPr="00E21AE7">
              <w:rPr>
                <w:rFonts w:cs="Arial"/>
                <w:b/>
                <w:lang w:eastAsia="en-AU"/>
              </w:rPr>
              <w:t>condition </w:t>
            </w:r>
            <w:r w:rsidR="003A1E92">
              <w:rPr>
                <w:rFonts w:cs="Arial"/>
                <w:b/>
                <w:lang w:eastAsia="en-AU"/>
              </w:rPr>
              <w:t>6</w:t>
            </w:r>
            <w:r w:rsidR="003A1E92" w:rsidRPr="00E21AE7">
              <w:rPr>
                <w:rFonts w:cs="Arial"/>
                <w:lang w:eastAsia="en-AU"/>
              </w:rPr>
              <w:t xml:space="preserve"> </w:t>
            </w:r>
            <w:r w:rsidRPr="00E21AE7">
              <w:rPr>
                <w:rFonts w:cs="Arial"/>
                <w:lang w:eastAsia="en-AU"/>
              </w:rPr>
              <w:t>be applied to the Part 13A approval to ensure there is a regular and robust assessment of stocks in the fishery, and that all species are managed in a precautionary way.</w:t>
            </w:r>
          </w:p>
        </w:tc>
      </w:tr>
      <w:tr w:rsidR="0002308E" w:rsidRPr="000900EC" w14:paraId="4962C0FB" w14:textId="77777777" w:rsidTr="00796D99">
        <w:trPr>
          <w:cantSplit/>
        </w:trPr>
        <w:tc>
          <w:tcPr>
            <w:tcW w:w="5000" w:type="pct"/>
            <w:gridSpan w:val="3"/>
            <w:shd w:val="clear" w:color="auto" w:fill="DAEEF3"/>
          </w:tcPr>
          <w:p w14:paraId="7C1193DF" w14:textId="77777777" w:rsidR="0002308E" w:rsidRPr="00E21AE7" w:rsidRDefault="0002308E" w:rsidP="00F4297C">
            <w:pPr>
              <w:keepNext/>
              <w:spacing w:before="80" w:after="80" w:line="276" w:lineRule="auto"/>
              <w:rPr>
                <w:rFonts w:cs="Arial"/>
                <w:b/>
                <w:i/>
              </w:rPr>
            </w:pPr>
            <w:r w:rsidRPr="00E21AE7">
              <w:rPr>
                <w:rFonts w:cs="Arial"/>
                <w:b/>
                <w:i/>
              </w:rPr>
              <w:lastRenderedPageBreak/>
              <w:t xml:space="preserve">Management responses </w:t>
            </w:r>
          </w:p>
        </w:tc>
      </w:tr>
      <w:tr w:rsidR="0002308E" w:rsidRPr="000900EC" w14:paraId="5F9ADEFF" w14:textId="77777777" w:rsidTr="008903BD">
        <w:trPr>
          <w:cantSplit/>
        </w:trPr>
        <w:tc>
          <w:tcPr>
            <w:tcW w:w="1500" w:type="pct"/>
            <w:shd w:val="clear" w:color="auto" w:fill="FF0000"/>
          </w:tcPr>
          <w:p w14:paraId="6C923778" w14:textId="77777777" w:rsidR="0002308E" w:rsidRPr="00E21AE7" w:rsidRDefault="0002308E" w:rsidP="007F171B">
            <w:pPr>
              <w:spacing w:before="80" w:after="80" w:line="276" w:lineRule="auto"/>
              <w:rPr>
                <w:rFonts w:cs="Arial"/>
              </w:rPr>
            </w:pPr>
            <w:r w:rsidRPr="00E21AE7">
              <w:rPr>
                <w:rFonts w:cs="Arial"/>
                <w:b/>
                <w:i/>
              </w:rPr>
              <w:t xml:space="preserve">1.1.6 </w:t>
            </w:r>
            <w:r w:rsidRPr="00E21AE7">
              <w:rPr>
                <w:rFonts w:cs="Arial"/>
              </w:rPr>
              <w:t>There are reference points (target and/or limit), that trigger management actions including a biological bottom line and/or a catch or effort upper limit beyond which the stock should not be taken.</w:t>
            </w:r>
          </w:p>
        </w:tc>
        <w:tc>
          <w:tcPr>
            <w:tcW w:w="3500" w:type="pct"/>
            <w:gridSpan w:val="2"/>
            <w:shd w:val="clear" w:color="auto" w:fill="auto"/>
          </w:tcPr>
          <w:p w14:paraId="4066F213" w14:textId="77777777" w:rsidR="0002308E" w:rsidRPr="00E21AE7" w:rsidRDefault="0002308E" w:rsidP="007F171B">
            <w:pPr>
              <w:spacing w:before="80" w:after="80" w:line="276" w:lineRule="auto"/>
              <w:rPr>
                <w:rFonts w:cs="Arial"/>
                <w:b/>
              </w:rPr>
            </w:pPr>
            <w:r w:rsidRPr="00E21AE7">
              <w:rPr>
                <w:rFonts w:cs="Arial"/>
                <w:b/>
              </w:rPr>
              <w:t>Does not meet – No reference points that trigger management actions</w:t>
            </w:r>
          </w:p>
          <w:p w14:paraId="4861A9EE" w14:textId="77777777" w:rsidR="0002308E" w:rsidRPr="00E21AE7" w:rsidRDefault="0002308E" w:rsidP="007F171B">
            <w:pPr>
              <w:spacing w:before="80" w:after="80" w:line="276" w:lineRule="auto"/>
              <w:rPr>
                <w:rFonts w:cs="Arial"/>
              </w:rPr>
            </w:pPr>
            <w:r w:rsidRPr="00E21AE7">
              <w:rPr>
                <w:rFonts w:cs="Arial"/>
              </w:rPr>
              <w:t>Annual TACC limits provide a threshold beyond which additional catch cannot be retained. However, there are no reference points or management triggers in the CTFFF that guide management when stock levels or risks change.</w:t>
            </w:r>
          </w:p>
          <w:p w14:paraId="65C0DFEF" w14:textId="77777777" w:rsidR="0002308E" w:rsidRPr="00E21AE7" w:rsidRDefault="0002308E" w:rsidP="007F171B">
            <w:pPr>
              <w:spacing w:before="80" w:after="80" w:line="276" w:lineRule="auto"/>
              <w:rPr>
                <w:rFonts w:cs="Arial"/>
              </w:rPr>
            </w:pPr>
            <w:r w:rsidRPr="00E21AE7">
              <w:rPr>
                <w:rFonts w:cs="Arial"/>
              </w:rPr>
              <w:t>A harvest strategy for the CTFFF is expected to be developed as part of the Queensland Government’s Sustainable Fisheries Strategy 2017–2027. This harvest strategy is expected to include target and limit reference points that trigger management actions and be implemented in 2021.</w:t>
            </w:r>
          </w:p>
          <w:p w14:paraId="335BB0D0" w14:textId="1232944B" w:rsidR="0002308E" w:rsidRPr="00E21AE7" w:rsidRDefault="00CE6128" w:rsidP="007F171B">
            <w:pPr>
              <w:spacing w:before="80" w:after="80" w:line="276" w:lineRule="auto"/>
              <w:rPr>
                <w:rFonts w:cs="Arial"/>
              </w:rPr>
            </w:pPr>
            <w:r>
              <w:rPr>
                <w:rFonts w:cs="Arial"/>
              </w:rPr>
              <w:t xml:space="preserve">Considering the scale of the fishery, </w:t>
            </w:r>
            <w:r w:rsidR="00B127FE">
              <w:rPr>
                <w:rFonts w:cs="Arial"/>
              </w:rPr>
              <w:t>the management arrangements are likely to be effective until a harvest strategy is implemented.</w:t>
            </w:r>
          </w:p>
        </w:tc>
      </w:tr>
      <w:tr w:rsidR="0002308E" w:rsidRPr="000900EC" w14:paraId="0E049826" w14:textId="77777777" w:rsidTr="008903BD">
        <w:trPr>
          <w:cantSplit/>
        </w:trPr>
        <w:tc>
          <w:tcPr>
            <w:tcW w:w="1500" w:type="pct"/>
            <w:shd w:val="clear" w:color="auto" w:fill="92D050"/>
          </w:tcPr>
          <w:p w14:paraId="5369C8C2" w14:textId="77777777" w:rsidR="0002308E" w:rsidRPr="00E21AE7" w:rsidRDefault="0002308E" w:rsidP="007F171B">
            <w:pPr>
              <w:spacing w:before="80" w:after="80" w:line="276" w:lineRule="auto"/>
              <w:rPr>
                <w:rFonts w:cs="Arial"/>
              </w:rPr>
            </w:pPr>
            <w:r w:rsidRPr="00E21AE7">
              <w:rPr>
                <w:rFonts w:cs="Arial"/>
                <w:b/>
                <w:i/>
              </w:rPr>
              <w:t xml:space="preserve">1.1.7 </w:t>
            </w:r>
            <w:r w:rsidRPr="00E21AE7">
              <w:rPr>
                <w:rFonts w:cs="Arial"/>
              </w:rPr>
              <w:t>There are management strategies in place capable of controlling the level of take.</w:t>
            </w:r>
          </w:p>
        </w:tc>
        <w:tc>
          <w:tcPr>
            <w:tcW w:w="3500" w:type="pct"/>
            <w:gridSpan w:val="2"/>
            <w:shd w:val="clear" w:color="auto" w:fill="auto"/>
          </w:tcPr>
          <w:p w14:paraId="1C479870" w14:textId="77777777" w:rsidR="0002308E" w:rsidRPr="00E21AE7" w:rsidRDefault="0002308E" w:rsidP="007F171B">
            <w:pPr>
              <w:spacing w:before="80" w:after="80" w:line="276" w:lineRule="auto"/>
              <w:rPr>
                <w:rFonts w:cs="Arial"/>
                <w:b/>
              </w:rPr>
            </w:pPr>
            <w:r w:rsidRPr="00E21AE7">
              <w:rPr>
                <w:rFonts w:cs="Arial"/>
                <w:b/>
              </w:rPr>
              <w:t>Meets – effective strategies are in place to control the level of take</w:t>
            </w:r>
          </w:p>
          <w:p w14:paraId="01AFD1FD" w14:textId="77777777" w:rsidR="0002308E" w:rsidRPr="00E21AE7" w:rsidRDefault="0002308E" w:rsidP="007F171B">
            <w:pPr>
              <w:spacing w:before="80" w:after="80" w:line="276" w:lineRule="auto"/>
              <w:rPr>
                <w:rFonts w:cs="Arial"/>
              </w:rPr>
            </w:pPr>
            <w:r w:rsidRPr="00E21AE7">
              <w:rPr>
                <w:rFonts w:cs="Arial"/>
              </w:rPr>
              <w:t>The harvest of target species and certain by-product species is controlled through TACCs, which are allocated as ITQs to permit holders within the fishery. The harvest of remaining by-product species is controlled through possession limits, which are prescribed in regulation.</w:t>
            </w:r>
          </w:p>
          <w:p w14:paraId="51178D75" w14:textId="77777777" w:rsidR="0002308E" w:rsidRPr="00E21AE7" w:rsidRDefault="0002308E" w:rsidP="007F171B">
            <w:pPr>
              <w:spacing w:before="80" w:after="80" w:line="276" w:lineRule="auto"/>
              <w:rPr>
                <w:rFonts w:cs="Arial"/>
              </w:rPr>
            </w:pPr>
            <w:r w:rsidRPr="00E21AE7">
              <w:rPr>
                <w:rFonts w:cs="Arial"/>
              </w:rPr>
              <w:t>Other controls include restrictions on the total number of licences in the fishery, where and when fishers can operate, and what boats and gear they can use.</w:t>
            </w:r>
          </w:p>
          <w:p w14:paraId="0F9AA457" w14:textId="77777777" w:rsidR="0002308E" w:rsidRPr="00E21AE7" w:rsidRDefault="0002308E" w:rsidP="007F171B">
            <w:pPr>
              <w:spacing w:before="80" w:after="80" w:line="276" w:lineRule="auto"/>
              <w:rPr>
                <w:rFonts w:cs="Arial"/>
                <w:lang w:val="en"/>
              </w:rPr>
            </w:pPr>
            <w:r w:rsidRPr="00E21AE7">
              <w:rPr>
                <w:rFonts w:cs="Arial"/>
              </w:rPr>
              <w:t xml:space="preserve">Species that are subject to TACCs are required to be reported using QDAF’s AIVR system and </w:t>
            </w:r>
            <w:r w:rsidRPr="00E21AE7">
              <w:rPr>
                <w:rFonts w:cs="Arial"/>
                <w:lang w:val="en"/>
              </w:rPr>
              <w:t>commercial fishers are required to check their available quota before departing on a commercial fishing trip. Once the TACC or an individual’s ITQs have been exhausted, commercial access to those species is closed for the remainder of the year.</w:t>
            </w:r>
          </w:p>
          <w:p w14:paraId="3A9F5820" w14:textId="77777777" w:rsidR="0002308E" w:rsidRPr="00E21AE7" w:rsidRDefault="0002308E" w:rsidP="007F171B">
            <w:pPr>
              <w:spacing w:before="80" w:after="80" w:line="276" w:lineRule="auto"/>
              <w:rPr>
                <w:rFonts w:cs="Arial"/>
              </w:rPr>
            </w:pPr>
            <w:r w:rsidRPr="00E21AE7">
              <w:rPr>
                <w:rFonts w:cs="Arial"/>
              </w:rPr>
              <w:t>QDAF use VMS to monitor vessel activity and enforce compliance with catch and other management controls.</w:t>
            </w:r>
          </w:p>
        </w:tc>
      </w:tr>
      <w:tr w:rsidR="0002308E" w:rsidRPr="000900EC" w14:paraId="100A4FFE" w14:textId="77777777" w:rsidTr="008903BD">
        <w:trPr>
          <w:cantSplit/>
        </w:trPr>
        <w:tc>
          <w:tcPr>
            <w:tcW w:w="1500" w:type="pct"/>
            <w:shd w:val="clear" w:color="auto" w:fill="FFC000"/>
          </w:tcPr>
          <w:p w14:paraId="614D9915" w14:textId="77777777" w:rsidR="0002308E" w:rsidRPr="00E21AE7" w:rsidRDefault="0002308E" w:rsidP="007F171B">
            <w:pPr>
              <w:spacing w:before="80" w:after="80" w:line="276" w:lineRule="auto"/>
              <w:rPr>
                <w:rFonts w:cs="Arial"/>
              </w:rPr>
            </w:pPr>
            <w:r w:rsidRPr="00E21AE7">
              <w:rPr>
                <w:rFonts w:cs="Arial"/>
                <w:b/>
                <w:i/>
              </w:rPr>
              <w:lastRenderedPageBreak/>
              <w:t xml:space="preserve">1.1.8 </w:t>
            </w:r>
            <w:r w:rsidRPr="00E21AE7">
              <w:rPr>
                <w:rFonts w:cs="Arial"/>
              </w:rPr>
              <w:t>Fishing is conducted in a manner that does not threaten stocks of by-product species.</w:t>
            </w:r>
          </w:p>
        </w:tc>
        <w:tc>
          <w:tcPr>
            <w:tcW w:w="3500" w:type="pct"/>
            <w:gridSpan w:val="2"/>
            <w:shd w:val="clear" w:color="auto" w:fill="auto"/>
          </w:tcPr>
          <w:p w14:paraId="78F6AC11" w14:textId="77777777" w:rsidR="0002308E" w:rsidRPr="00E21AE7" w:rsidRDefault="0002308E" w:rsidP="007F171B">
            <w:pPr>
              <w:spacing w:before="80" w:after="80" w:line="276" w:lineRule="auto"/>
              <w:rPr>
                <w:rFonts w:cs="Arial"/>
                <w:b/>
              </w:rPr>
            </w:pPr>
            <w:r w:rsidRPr="00E21AE7">
              <w:rPr>
                <w:rFonts w:cs="Arial"/>
                <w:b/>
              </w:rPr>
              <w:t>Partially meets –strategies exist in part of the fishery</w:t>
            </w:r>
          </w:p>
          <w:p w14:paraId="2A340888" w14:textId="77777777" w:rsidR="0002308E" w:rsidRPr="00E21AE7" w:rsidRDefault="0002308E" w:rsidP="007F171B">
            <w:pPr>
              <w:spacing w:before="80" w:after="80" w:line="276" w:lineRule="auto"/>
              <w:rPr>
                <w:rFonts w:cs="Arial"/>
              </w:rPr>
            </w:pPr>
            <w:r w:rsidRPr="00E21AE7">
              <w:rPr>
                <w:rFonts w:cs="Arial"/>
                <w:lang w:eastAsia="en-AU"/>
              </w:rPr>
              <w:t xml:space="preserve">The ERA for the CTFFF found the current management arrangements in the fishery pose a ‘low’ risk to by-product species </w:t>
            </w:r>
            <w:r w:rsidRPr="00E21AE7">
              <w:rPr>
                <w:rFonts w:cs="Arial"/>
              </w:rPr>
              <w:t>(</w:t>
            </w:r>
            <w:hyperlink r:id="rId66"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 xml:space="preserve">). However, the </w:t>
            </w:r>
            <w:r w:rsidRPr="00E21AE7">
              <w:rPr>
                <w:rFonts w:cs="Arial"/>
              </w:rPr>
              <w:t>ERA did not consider the impacts of fishing in waters shallower than 20 fathoms which is being undertaken as part of a four-year trial. This is significant given the trial fishing areas were historically closed to fishing as an ecological risk mitigation measure for the CTFFF.</w:t>
            </w:r>
          </w:p>
          <w:p w14:paraId="293802BA" w14:textId="77777777" w:rsidR="0002308E" w:rsidRPr="00E21AE7" w:rsidRDefault="0002308E" w:rsidP="007F171B">
            <w:pPr>
              <w:spacing w:before="80" w:after="80" w:line="276" w:lineRule="auto"/>
              <w:rPr>
                <w:rFonts w:cs="Arial"/>
                <w:lang w:val="en" w:eastAsia="en-AU"/>
              </w:rPr>
            </w:pPr>
            <w:r w:rsidRPr="00E21AE7">
              <w:rPr>
                <w:rFonts w:cs="Arial"/>
              </w:rPr>
              <w:t>The harvest of by-product species is controlled through catch limits (TACCs and ITQs, or possession limits). QDAF advise that there is little fishing pressure directed at these species and the catch levels are monitored each year (QDAF pers comm. 8 May 2020). It is unclear however what the catch limits are based on and therefore difficult to comment on their sustainability. Only five of the eight by-product species have had their stock status assessed</w:t>
            </w:r>
            <w:r w:rsidRPr="00E21AE7">
              <w:rPr>
                <w:rFonts w:cs="Arial"/>
                <w:lang w:val="en" w:eastAsia="en-AU"/>
              </w:rPr>
              <w:t>.</w:t>
            </w:r>
          </w:p>
          <w:p w14:paraId="64CD71AF" w14:textId="77777777" w:rsidR="0002308E" w:rsidRPr="00E21AE7" w:rsidRDefault="0002308E" w:rsidP="007F171B">
            <w:pPr>
              <w:spacing w:before="80" w:after="80" w:line="276" w:lineRule="auto"/>
              <w:rPr>
                <w:rFonts w:cs="Arial"/>
              </w:rPr>
            </w:pPr>
            <w:r w:rsidRPr="00E21AE7">
              <w:rPr>
                <w:rFonts w:cs="Arial"/>
              </w:rPr>
              <w:t>Other controls include restrictions on the total number of licences in the fishery, where and when fishers can operate, and what boats and gear they can use.</w:t>
            </w:r>
          </w:p>
          <w:p w14:paraId="388F37CB" w14:textId="77777777" w:rsidR="0002308E" w:rsidRPr="00E21AE7" w:rsidRDefault="0002308E" w:rsidP="007F171B">
            <w:pPr>
              <w:spacing w:before="80" w:after="80" w:line="276" w:lineRule="auto"/>
              <w:rPr>
                <w:rFonts w:cs="Arial"/>
              </w:rPr>
            </w:pPr>
            <w:r w:rsidRPr="00E21AE7">
              <w:rPr>
                <w:rFonts w:cs="Arial"/>
              </w:rPr>
              <w:t xml:space="preserve">Fishers must report all catch of species that are subject to TACCs using QDAF’s AIVR system and </w:t>
            </w:r>
            <w:r w:rsidRPr="00E21AE7">
              <w:rPr>
                <w:rFonts w:cs="Arial"/>
                <w:lang w:val="en"/>
              </w:rPr>
              <w:t>check</w:t>
            </w:r>
            <w:r w:rsidRPr="00E21AE7" w:rsidDel="00A75CA5">
              <w:rPr>
                <w:rFonts w:cs="Arial"/>
                <w:lang w:val="en"/>
              </w:rPr>
              <w:t xml:space="preserve"> </w:t>
            </w:r>
            <w:r w:rsidRPr="00E21AE7">
              <w:rPr>
                <w:rFonts w:cs="Arial"/>
                <w:lang w:val="en"/>
              </w:rPr>
              <w:t>available quota holdings before departing on a commercial fishing trip. Once the TACC or an individual’s ITQs have been exhausted, commercial access to those species is closed for the remainder of the year.</w:t>
            </w:r>
            <w:r w:rsidRPr="00E21AE7">
              <w:rPr>
                <w:rFonts w:cs="Arial"/>
              </w:rPr>
              <w:t xml:space="preserve"> QDAF use VMS to monitor vessel activity and enforce compliance with these and other management controls.</w:t>
            </w:r>
          </w:p>
          <w:p w14:paraId="695C2BD4" w14:textId="396FB805" w:rsidR="0002308E" w:rsidRPr="00E21AE7" w:rsidRDefault="0002308E" w:rsidP="007F171B">
            <w:pPr>
              <w:spacing w:before="80" w:after="80" w:line="276" w:lineRule="auto"/>
              <w:rPr>
                <w:rFonts w:cs="Arial"/>
              </w:rPr>
            </w:pPr>
            <w:r w:rsidRPr="00E21AE7">
              <w:rPr>
                <w:rFonts w:cs="Arial"/>
              </w:rPr>
              <w:t xml:space="preserve">The Department </w:t>
            </w:r>
            <w:r w:rsidRPr="00E21AE7">
              <w:rPr>
                <w:rFonts w:cs="Arial"/>
                <w:lang w:eastAsia="en-AU"/>
              </w:rPr>
              <w:t xml:space="preserve">recommends that </w:t>
            </w:r>
            <w:r w:rsidR="008A7550" w:rsidRPr="00E21AE7">
              <w:rPr>
                <w:rFonts w:cs="Arial"/>
                <w:b/>
                <w:lang w:eastAsia="en-AU"/>
              </w:rPr>
              <w:t>condition</w:t>
            </w:r>
            <w:r w:rsidR="003A1E92">
              <w:rPr>
                <w:rFonts w:cs="Arial"/>
                <w:b/>
                <w:lang w:eastAsia="en-AU"/>
              </w:rPr>
              <w:t>s</w:t>
            </w:r>
            <w:r w:rsidR="008A7550">
              <w:rPr>
                <w:rFonts w:cs="Arial"/>
                <w:b/>
                <w:lang w:eastAsia="en-AU"/>
              </w:rPr>
              <w:t xml:space="preserve"> </w:t>
            </w:r>
            <w:r w:rsidR="00EC053E">
              <w:rPr>
                <w:rFonts w:cs="Arial"/>
                <w:b/>
                <w:lang w:eastAsia="en-AU"/>
              </w:rPr>
              <w:t>1</w:t>
            </w:r>
            <w:r w:rsidR="003A1E92">
              <w:rPr>
                <w:rFonts w:cs="Arial"/>
                <w:b/>
                <w:lang w:eastAsia="en-AU"/>
              </w:rPr>
              <w:t xml:space="preserve"> and 2</w:t>
            </w:r>
            <w:r w:rsidR="008A7550">
              <w:rPr>
                <w:rFonts w:cs="Arial"/>
                <w:b/>
                <w:lang w:eastAsia="en-AU"/>
              </w:rPr>
              <w:t xml:space="preserve"> </w:t>
            </w:r>
            <w:r w:rsidRPr="00E21AE7">
              <w:rPr>
                <w:rFonts w:cs="Arial"/>
                <w:lang w:eastAsia="en-AU"/>
              </w:rPr>
              <w:t xml:space="preserve">be applied to the Part 13 approval and </w:t>
            </w:r>
            <w:r w:rsidRPr="00E21AE7">
              <w:rPr>
                <w:rFonts w:cs="Arial"/>
                <w:b/>
                <w:lang w:eastAsia="en-AU"/>
              </w:rPr>
              <w:t>conditions 4</w:t>
            </w:r>
            <w:r w:rsidR="003A1E92">
              <w:rPr>
                <w:rFonts w:cs="Arial"/>
                <w:b/>
                <w:lang w:eastAsia="en-AU"/>
              </w:rPr>
              <w:t>-6</w:t>
            </w:r>
            <w:r w:rsidR="00EC053E" w:rsidRPr="00E21AE7">
              <w:rPr>
                <w:rFonts w:cs="Arial"/>
                <w:lang w:eastAsia="en-AU"/>
              </w:rPr>
              <w:t xml:space="preserve"> </w:t>
            </w:r>
            <w:r w:rsidRPr="00E21AE7">
              <w:rPr>
                <w:rFonts w:cs="Arial"/>
                <w:lang w:eastAsia="en-AU"/>
              </w:rPr>
              <w:t xml:space="preserve">be applied to the Part 13A approval to ensure there is reliable data and regular and robust assessments of stocks in the fishery, and that stocks of </w:t>
            </w:r>
            <w:r w:rsidR="001D4526" w:rsidRPr="00E21AE7">
              <w:rPr>
                <w:rFonts w:cs="Arial"/>
                <w:lang w:eastAsia="en-AU"/>
              </w:rPr>
              <w:t>by-product</w:t>
            </w:r>
            <w:r w:rsidRPr="00E21AE7">
              <w:rPr>
                <w:rFonts w:cs="Arial"/>
                <w:lang w:eastAsia="en-AU"/>
              </w:rPr>
              <w:t xml:space="preserve"> species are managed in a precautionary way by </w:t>
            </w:r>
            <w:r w:rsidRPr="00E21AE7">
              <w:rPr>
                <w:rFonts w:cs="Arial"/>
                <w:b/>
                <w:lang w:eastAsia="en-AU"/>
              </w:rPr>
              <w:t>31 December 2021</w:t>
            </w:r>
            <w:r w:rsidRPr="00E21AE7">
              <w:rPr>
                <w:rFonts w:cs="Arial"/>
                <w:lang w:eastAsia="en-AU"/>
              </w:rPr>
              <w:t>.</w:t>
            </w:r>
          </w:p>
        </w:tc>
      </w:tr>
      <w:tr w:rsidR="0002308E" w:rsidRPr="000900EC" w14:paraId="4C8262A8" w14:textId="77777777" w:rsidTr="008903BD">
        <w:trPr>
          <w:cantSplit/>
        </w:trPr>
        <w:tc>
          <w:tcPr>
            <w:tcW w:w="1500" w:type="pct"/>
            <w:shd w:val="clear" w:color="auto" w:fill="92D050"/>
          </w:tcPr>
          <w:p w14:paraId="76AB6CEE" w14:textId="77777777" w:rsidR="0002308E" w:rsidRPr="00E21AE7" w:rsidRDefault="0002308E" w:rsidP="007F171B">
            <w:pPr>
              <w:spacing w:before="80" w:after="80" w:line="276" w:lineRule="auto"/>
              <w:rPr>
                <w:rFonts w:cs="Arial"/>
              </w:rPr>
            </w:pPr>
            <w:r w:rsidRPr="00E21AE7">
              <w:rPr>
                <w:rFonts w:cs="Arial"/>
                <w:b/>
                <w:i/>
              </w:rPr>
              <w:t xml:space="preserve">1.1.9 </w:t>
            </w:r>
            <w:r w:rsidRPr="00E21AE7">
              <w:rPr>
                <w:rFonts w:cs="Arial"/>
              </w:rPr>
              <w:t>The management response, considering uncertainties in the assessment and precautionary management actions, has a high chance of achieving the objective.</w:t>
            </w:r>
          </w:p>
        </w:tc>
        <w:tc>
          <w:tcPr>
            <w:tcW w:w="3500" w:type="pct"/>
            <w:gridSpan w:val="2"/>
            <w:shd w:val="clear" w:color="auto" w:fill="auto"/>
          </w:tcPr>
          <w:p w14:paraId="297EE65E" w14:textId="77777777" w:rsidR="0002308E" w:rsidRPr="00E21AE7" w:rsidRDefault="0002308E" w:rsidP="007F171B">
            <w:pPr>
              <w:spacing w:before="80" w:after="80" w:line="276" w:lineRule="auto"/>
              <w:rPr>
                <w:rFonts w:cs="Arial"/>
                <w:b/>
              </w:rPr>
            </w:pPr>
            <w:r w:rsidRPr="00E21AE7">
              <w:rPr>
                <w:rFonts w:cs="Arial"/>
                <w:b/>
              </w:rPr>
              <w:t>Meets – subject to conditions</w:t>
            </w:r>
          </w:p>
          <w:p w14:paraId="04585A07" w14:textId="0DF36931" w:rsidR="0002308E" w:rsidRPr="00E21AE7" w:rsidRDefault="0002308E" w:rsidP="007F171B">
            <w:pPr>
              <w:spacing w:before="80" w:after="80" w:line="276" w:lineRule="auto"/>
              <w:rPr>
                <w:rFonts w:cs="Arial"/>
              </w:rPr>
            </w:pPr>
            <w:r w:rsidRPr="00E21AE7">
              <w:rPr>
                <w:rFonts w:cs="Arial"/>
              </w:rPr>
              <w:t xml:space="preserve">The management arrangements, including stock assessments, catch limits and limited entry, appear reasonably robust, but could be improved by better data collection, validation and monitoring, and more strategic management frameworks, as proposed under a harvest strategy for the fishery. It is important that all species impacted by the fishery are managed in a precautionary way. The Department has proposed </w:t>
            </w:r>
            <w:r w:rsidRPr="00E21AE7">
              <w:rPr>
                <w:rFonts w:cs="Arial"/>
                <w:b/>
              </w:rPr>
              <w:t>condition</w:t>
            </w:r>
            <w:r w:rsidR="003A1E92">
              <w:rPr>
                <w:rFonts w:cs="Arial"/>
                <w:b/>
              </w:rPr>
              <w:t>s</w:t>
            </w:r>
            <w:r w:rsidRPr="00E21AE7">
              <w:rPr>
                <w:rFonts w:cs="Arial"/>
                <w:b/>
              </w:rPr>
              <w:t xml:space="preserve"> </w:t>
            </w:r>
            <w:r w:rsidR="008A7550">
              <w:rPr>
                <w:rFonts w:cs="Arial"/>
                <w:b/>
              </w:rPr>
              <w:t>1</w:t>
            </w:r>
            <w:r w:rsidR="003A1E92">
              <w:rPr>
                <w:rFonts w:cs="Arial"/>
                <w:b/>
              </w:rPr>
              <w:t xml:space="preserve"> and 2</w:t>
            </w:r>
            <w:r w:rsidR="008A7550">
              <w:rPr>
                <w:rFonts w:cs="Arial"/>
                <w:b/>
              </w:rPr>
              <w:t xml:space="preserve"> </w:t>
            </w:r>
            <w:r w:rsidRPr="00E21AE7">
              <w:rPr>
                <w:rFonts w:cs="Arial"/>
              </w:rPr>
              <w:t xml:space="preserve">on the Part 13 approval, and </w:t>
            </w:r>
            <w:r w:rsidRPr="00E21AE7">
              <w:rPr>
                <w:rFonts w:cs="Arial"/>
                <w:b/>
              </w:rPr>
              <w:t>conditions 4</w:t>
            </w:r>
            <w:r w:rsidR="003A1E92">
              <w:rPr>
                <w:rFonts w:cs="Arial"/>
                <w:b/>
              </w:rPr>
              <w:t>-6</w:t>
            </w:r>
            <w:r w:rsidR="00B127FE">
              <w:rPr>
                <w:rFonts w:cs="Arial"/>
                <w:b/>
              </w:rPr>
              <w:t xml:space="preserve"> </w:t>
            </w:r>
            <w:r w:rsidRPr="00E21AE7">
              <w:rPr>
                <w:rFonts w:cs="Arial"/>
              </w:rPr>
              <w:t>on the Part 13A approval to ensure management is precautionary and the fishery remains sustainable.</w:t>
            </w:r>
          </w:p>
        </w:tc>
      </w:tr>
      <w:tr w:rsidR="0002308E" w:rsidRPr="000900EC" w14:paraId="12C5F837" w14:textId="77777777" w:rsidTr="00796D99">
        <w:trPr>
          <w:cantSplit/>
        </w:trPr>
        <w:tc>
          <w:tcPr>
            <w:tcW w:w="5000" w:type="pct"/>
            <w:gridSpan w:val="3"/>
            <w:shd w:val="clear" w:color="auto" w:fill="B6DDE8"/>
          </w:tcPr>
          <w:p w14:paraId="410FB600" w14:textId="77777777" w:rsidR="0002308E" w:rsidRPr="00E21AE7" w:rsidRDefault="0002308E" w:rsidP="007F171B">
            <w:pPr>
              <w:spacing w:before="80" w:after="80" w:line="276" w:lineRule="auto"/>
              <w:rPr>
                <w:rFonts w:cs="Arial"/>
                <w:b/>
              </w:rPr>
            </w:pPr>
            <w:r w:rsidRPr="00E21AE7">
              <w:rPr>
                <w:rFonts w:cs="Arial"/>
                <w:b/>
              </w:rPr>
              <w:lastRenderedPageBreak/>
              <w:t xml:space="preserve">Objective 2 - </w:t>
            </w:r>
            <w:r w:rsidRPr="00E21AE7">
              <w:rPr>
                <w:rFonts w:cs="Arial"/>
              </w:rPr>
              <w:t xml:space="preserve">Where the fished stock(s) are below a defined reference point, the fishery will be managed to promote recovery to ecologically viable stock levels within nominated timeframes. </w:t>
            </w:r>
          </w:p>
        </w:tc>
      </w:tr>
      <w:tr w:rsidR="0002308E" w:rsidRPr="000900EC" w14:paraId="7F06F122" w14:textId="77777777" w:rsidTr="00796D99">
        <w:trPr>
          <w:cantSplit/>
        </w:trPr>
        <w:tc>
          <w:tcPr>
            <w:tcW w:w="5000" w:type="pct"/>
            <w:gridSpan w:val="3"/>
            <w:shd w:val="clear" w:color="auto" w:fill="DAEEF3"/>
          </w:tcPr>
          <w:p w14:paraId="4FD02421" w14:textId="77777777" w:rsidR="0002308E" w:rsidRPr="00E21AE7" w:rsidRDefault="0002308E" w:rsidP="007F171B">
            <w:pPr>
              <w:spacing w:before="80" w:after="80" w:line="276" w:lineRule="auto"/>
              <w:rPr>
                <w:rFonts w:cs="Arial"/>
                <w:b/>
                <w:i/>
              </w:rPr>
            </w:pPr>
            <w:r w:rsidRPr="00E21AE7">
              <w:rPr>
                <w:rFonts w:cs="Arial"/>
                <w:b/>
                <w:i/>
              </w:rPr>
              <w:t xml:space="preserve">Management responses </w:t>
            </w:r>
          </w:p>
        </w:tc>
      </w:tr>
      <w:tr w:rsidR="0002308E" w:rsidRPr="000900EC" w14:paraId="46E816E8" w14:textId="77777777" w:rsidTr="00796D99">
        <w:trPr>
          <w:cantSplit/>
        </w:trPr>
        <w:tc>
          <w:tcPr>
            <w:tcW w:w="1500" w:type="pct"/>
            <w:tcBorders>
              <w:bottom w:val="single" w:sz="4" w:space="0" w:color="auto"/>
            </w:tcBorders>
          </w:tcPr>
          <w:p w14:paraId="485D9BD0" w14:textId="77777777" w:rsidR="0002308E" w:rsidRPr="00E21AE7" w:rsidRDefault="0002308E" w:rsidP="007F171B">
            <w:pPr>
              <w:spacing w:before="80" w:after="80" w:line="276" w:lineRule="auto"/>
              <w:rPr>
                <w:rFonts w:cs="Arial"/>
              </w:rPr>
            </w:pPr>
            <w:r w:rsidRPr="00E21AE7">
              <w:rPr>
                <w:rFonts w:cs="Arial"/>
                <w:b/>
                <w:i/>
              </w:rPr>
              <w:t xml:space="preserve">1.2.1 </w:t>
            </w:r>
            <w:r w:rsidRPr="00E21AE7">
              <w:rPr>
                <w:rFonts w:cs="Arial"/>
              </w:rPr>
              <w:t xml:space="preserve">A precautionary recovery strategy is in place specifying management actions, or staged management responses, which are linked to reference points. The recovery strategy should apply until the stock </w:t>
            </w:r>
            <w:proofErr w:type="gramStart"/>
            <w:r w:rsidRPr="00E21AE7">
              <w:rPr>
                <w:rFonts w:cs="Arial"/>
              </w:rPr>
              <w:t>recovers, and</w:t>
            </w:r>
            <w:proofErr w:type="gramEnd"/>
            <w:r w:rsidRPr="00E21AE7">
              <w:rPr>
                <w:rFonts w:cs="Arial"/>
              </w:rPr>
              <w:t xml:space="preserve"> should aim for recovery within a specific time period appropriate to the biology of the stock.</w:t>
            </w:r>
          </w:p>
        </w:tc>
        <w:tc>
          <w:tcPr>
            <w:tcW w:w="3500" w:type="pct"/>
            <w:gridSpan w:val="2"/>
            <w:vMerge w:val="restart"/>
            <w:shd w:val="clear" w:color="auto" w:fill="auto"/>
          </w:tcPr>
          <w:p w14:paraId="4A2F5B25" w14:textId="77777777" w:rsidR="0002308E" w:rsidRPr="00E21AE7" w:rsidRDefault="0002308E" w:rsidP="007F171B">
            <w:pPr>
              <w:spacing w:before="80" w:after="80" w:line="276" w:lineRule="auto"/>
              <w:rPr>
                <w:rFonts w:cs="Arial"/>
                <w:b/>
              </w:rPr>
            </w:pPr>
            <w:r w:rsidRPr="00E21AE7">
              <w:rPr>
                <w:rFonts w:cs="Arial"/>
                <w:b/>
              </w:rPr>
              <w:t>Not applicable</w:t>
            </w:r>
          </w:p>
          <w:p w14:paraId="15C87974" w14:textId="77777777" w:rsidR="0002308E" w:rsidRPr="00E21AE7" w:rsidRDefault="0002308E" w:rsidP="007F171B">
            <w:pPr>
              <w:spacing w:before="80" w:after="80" w:line="276" w:lineRule="auto"/>
              <w:rPr>
                <w:rFonts w:cs="Arial"/>
              </w:rPr>
            </w:pPr>
            <w:r w:rsidRPr="00E21AE7">
              <w:rPr>
                <w:rFonts w:cs="Arial"/>
              </w:rPr>
              <w:t>No stocks in the CTFFF are overfished.</w:t>
            </w:r>
          </w:p>
        </w:tc>
      </w:tr>
      <w:tr w:rsidR="0002308E" w:rsidRPr="000900EC" w14:paraId="461E41F1" w14:textId="77777777" w:rsidTr="00796D99">
        <w:trPr>
          <w:cantSplit/>
        </w:trPr>
        <w:tc>
          <w:tcPr>
            <w:tcW w:w="1500" w:type="pct"/>
            <w:tcBorders>
              <w:bottom w:val="single" w:sz="4" w:space="0" w:color="auto"/>
            </w:tcBorders>
          </w:tcPr>
          <w:p w14:paraId="50C38BDC" w14:textId="77777777" w:rsidR="0002308E" w:rsidRPr="00E21AE7" w:rsidRDefault="0002308E" w:rsidP="007F171B">
            <w:pPr>
              <w:spacing w:before="80" w:after="80" w:line="276" w:lineRule="auto"/>
              <w:rPr>
                <w:rFonts w:cs="Arial"/>
              </w:rPr>
            </w:pPr>
            <w:r w:rsidRPr="00E21AE7">
              <w:rPr>
                <w:rFonts w:cs="Arial"/>
                <w:b/>
                <w:i/>
              </w:rPr>
              <w:t xml:space="preserve">1.2.2 </w:t>
            </w:r>
            <w:r w:rsidRPr="00E21AE7">
              <w:rPr>
                <w:rFonts w:cs="Arial"/>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gridSpan w:val="2"/>
            <w:vMerge/>
            <w:tcBorders>
              <w:bottom w:val="single" w:sz="4" w:space="0" w:color="auto"/>
            </w:tcBorders>
            <w:shd w:val="clear" w:color="auto" w:fill="auto"/>
          </w:tcPr>
          <w:p w14:paraId="78D95EFE" w14:textId="77777777" w:rsidR="0002308E" w:rsidRPr="00E21AE7" w:rsidRDefault="0002308E" w:rsidP="007F171B">
            <w:pPr>
              <w:spacing w:before="80" w:after="80" w:line="276" w:lineRule="auto"/>
              <w:rPr>
                <w:rFonts w:cs="Arial"/>
              </w:rPr>
            </w:pPr>
          </w:p>
        </w:tc>
      </w:tr>
      <w:tr w:rsidR="0002308E" w:rsidRPr="000900EC" w14:paraId="20E0ADF0" w14:textId="77777777" w:rsidTr="00796D99">
        <w:trPr>
          <w:cantSplit/>
        </w:trPr>
        <w:tc>
          <w:tcPr>
            <w:tcW w:w="5000" w:type="pct"/>
            <w:gridSpan w:val="3"/>
            <w:tcBorders>
              <w:top w:val="single" w:sz="4" w:space="0" w:color="auto"/>
            </w:tcBorders>
            <w:shd w:val="clear" w:color="auto" w:fill="B2A1C7"/>
          </w:tcPr>
          <w:p w14:paraId="11D48435" w14:textId="77777777" w:rsidR="0002308E" w:rsidRPr="00E21AE7" w:rsidRDefault="0002308E" w:rsidP="007F171B">
            <w:pPr>
              <w:autoSpaceDE w:val="0"/>
              <w:autoSpaceDN w:val="0"/>
              <w:adjustRightInd w:val="0"/>
              <w:spacing w:before="80" w:after="80" w:line="276" w:lineRule="auto"/>
              <w:rPr>
                <w:rFonts w:cs="Arial"/>
              </w:rPr>
            </w:pPr>
            <w:r w:rsidRPr="00E21AE7">
              <w:rPr>
                <w:rFonts w:cs="Arial"/>
                <w:b/>
              </w:rPr>
              <w:t xml:space="preserve">PRINCIPLE 2 - </w:t>
            </w:r>
            <w:r w:rsidRPr="00E21AE7">
              <w:rPr>
                <w:rFonts w:cs="Arial"/>
              </w:rPr>
              <w:t xml:space="preserve">Fishing operations should be managed to minimise their impact on the structure, productivity, </w:t>
            </w:r>
            <w:proofErr w:type="gramStart"/>
            <w:r w:rsidRPr="00E21AE7">
              <w:rPr>
                <w:rFonts w:cs="Arial"/>
              </w:rPr>
              <w:t>function</w:t>
            </w:r>
            <w:proofErr w:type="gramEnd"/>
            <w:r w:rsidRPr="00E21AE7">
              <w:rPr>
                <w:rFonts w:cs="Arial"/>
              </w:rPr>
              <w:t xml:space="preserve"> and biological diversity of the ecosystem.</w:t>
            </w:r>
          </w:p>
        </w:tc>
      </w:tr>
      <w:tr w:rsidR="0002308E" w:rsidRPr="000900EC" w14:paraId="794A95C1" w14:textId="77777777" w:rsidTr="00796D99">
        <w:trPr>
          <w:cantSplit/>
        </w:trPr>
        <w:tc>
          <w:tcPr>
            <w:tcW w:w="5000" w:type="pct"/>
            <w:gridSpan w:val="3"/>
            <w:shd w:val="clear" w:color="auto" w:fill="CCC0D9"/>
          </w:tcPr>
          <w:p w14:paraId="667D8B01" w14:textId="77777777" w:rsidR="0002308E" w:rsidRPr="00E21AE7" w:rsidRDefault="0002308E" w:rsidP="007F171B">
            <w:pPr>
              <w:autoSpaceDE w:val="0"/>
              <w:autoSpaceDN w:val="0"/>
              <w:adjustRightInd w:val="0"/>
              <w:spacing w:before="80" w:after="80" w:line="276" w:lineRule="auto"/>
              <w:rPr>
                <w:rFonts w:cs="Arial"/>
              </w:rPr>
            </w:pPr>
            <w:r w:rsidRPr="00E21AE7">
              <w:rPr>
                <w:rFonts w:cs="Arial"/>
                <w:b/>
              </w:rPr>
              <w:t xml:space="preserve">Objective 1 - </w:t>
            </w:r>
            <w:r w:rsidRPr="00E21AE7">
              <w:rPr>
                <w:rFonts w:cs="Arial"/>
              </w:rPr>
              <w:t>The fishery is conducted in a manner that does not threaten bycatch species.</w:t>
            </w:r>
          </w:p>
        </w:tc>
      </w:tr>
      <w:tr w:rsidR="0002308E" w:rsidRPr="000900EC" w14:paraId="25D251DE" w14:textId="77777777" w:rsidTr="00796D99">
        <w:trPr>
          <w:cantSplit/>
        </w:trPr>
        <w:tc>
          <w:tcPr>
            <w:tcW w:w="5000" w:type="pct"/>
            <w:gridSpan w:val="3"/>
            <w:shd w:val="clear" w:color="auto" w:fill="E5DFEC"/>
          </w:tcPr>
          <w:p w14:paraId="3D5FF8A3" w14:textId="77777777" w:rsidR="0002308E" w:rsidRPr="00E21AE7" w:rsidRDefault="0002308E" w:rsidP="007F171B">
            <w:pPr>
              <w:spacing w:before="80" w:after="80" w:line="276" w:lineRule="auto"/>
              <w:rPr>
                <w:rFonts w:cs="Arial"/>
                <w:b/>
                <w:i/>
              </w:rPr>
            </w:pPr>
            <w:r w:rsidRPr="00E21AE7">
              <w:rPr>
                <w:rFonts w:cs="Arial"/>
                <w:b/>
                <w:i/>
              </w:rPr>
              <w:t>Information requirements</w:t>
            </w:r>
          </w:p>
        </w:tc>
      </w:tr>
      <w:tr w:rsidR="0002308E" w:rsidRPr="000900EC" w14:paraId="0F296080" w14:textId="77777777" w:rsidTr="008903BD">
        <w:trPr>
          <w:cantSplit/>
        </w:trPr>
        <w:tc>
          <w:tcPr>
            <w:tcW w:w="1500" w:type="pct"/>
            <w:shd w:val="clear" w:color="auto" w:fill="FF0000"/>
          </w:tcPr>
          <w:p w14:paraId="109B8486" w14:textId="77777777" w:rsidR="0002308E" w:rsidRPr="00E21AE7" w:rsidRDefault="0002308E" w:rsidP="007F171B">
            <w:pPr>
              <w:spacing w:before="80" w:after="80" w:line="276" w:lineRule="auto"/>
              <w:rPr>
                <w:rFonts w:cs="Arial"/>
              </w:rPr>
            </w:pPr>
            <w:r w:rsidRPr="00E21AE7">
              <w:rPr>
                <w:rFonts w:cs="Arial"/>
                <w:b/>
                <w:i/>
              </w:rPr>
              <w:lastRenderedPageBreak/>
              <w:t xml:space="preserve">2.1.1 </w:t>
            </w:r>
            <w:r w:rsidRPr="00E21AE7">
              <w:rPr>
                <w:rFonts w:cs="Arial"/>
              </w:rPr>
              <w:t>Reliable information, appropriate to the scale of the fishery, is collected on the composition and abundance of bycatch.</w:t>
            </w:r>
          </w:p>
        </w:tc>
        <w:tc>
          <w:tcPr>
            <w:tcW w:w="3500" w:type="pct"/>
            <w:gridSpan w:val="2"/>
            <w:shd w:val="clear" w:color="auto" w:fill="auto"/>
          </w:tcPr>
          <w:p w14:paraId="3937B81C" w14:textId="77777777" w:rsidR="0002308E" w:rsidRPr="00E21AE7" w:rsidRDefault="0002308E" w:rsidP="007F171B">
            <w:pPr>
              <w:spacing w:before="80" w:after="80" w:line="276" w:lineRule="auto"/>
              <w:rPr>
                <w:rFonts w:cs="Arial"/>
                <w:b/>
              </w:rPr>
            </w:pPr>
            <w:r w:rsidRPr="00E21AE7">
              <w:rPr>
                <w:rFonts w:cs="Arial"/>
                <w:b/>
              </w:rPr>
              <w:t>Does not meet – reliable information is not collected on composition and abundance of bycatch</w:t>
            </w:r>
          </w:p>
          <w:p w14:paraId="0200C4D5" w14:textId="283135A5" w:rsidR="00CA3A56" w:rsidRDefault="0002308E" w:rsidP="00CA3A56">
            <w:pPr>
              <w:spacing w:before="80" w:after="80" w:line="276" w:lineRule="auto"/>
              <w:rPr>
                <w:rFonts w:cs="Arial"/>
              </w:rPr>
            </w:pPr>
            <w:r w:rsidRPr="00E21AE7">
              <w:rPr>
                <w:rFonts w:cs="Arial"/>
              </w:rPr>
              <w:t>Bycatch information was collected by observers in the CTFFF over 110 sea-days during 2009 and 2010 (</w:t>
            </w:r>
            <w:proofErr w:type="spellStart"/>
            <w:r w:rsidR="00661B8B">
              <w:fldChar w:fldCharType="begin"/>
            </w:r>
            <w:r w:rsidR="00661B8B">
              <w:instrText xml:space="preserve"> HYPERLINK "http://era.daf.qld.gov.au/id/eprint/6552/1/FOP%20Stout%20Whiting%20Report</w:instrText>
            </w:r>
            <w:r w:rsidR="00661B8B">
              <w:instrText xml:space="preserve">%202012%20final.pdf" </w:instrText>
            </w:r>
            <w:r w:rsidR="00661B8B">
              <w:fldChar w:fldCharType="separate"/>
            </w:r>
            <w:r w:rsidRPr="00E21AE7">
              <w:rPr>
                <w:rStyle w:val="Hyperlink"/>
                <w:rFonts w:cs="Arial"/>
              </w:rPr>
              <w:t>Rowsell</w:t>
            </w:r>
            <w:proofErr w:type="spellEnd"/>
            <w:r w:rsidRPr="00E21AE7">
              <w:rPr>
                <w:rStyle w:val="Hyperlink"/>
                <w:rFonts w:cs="Arial"/>
              </w:rPr>
              <w:t xml:space="preserve"> &amp; Davies, 2012</w:t>
            </w:r>
            <w:r w:rsidR="00661B8B">
              <w:rPr>
                <w:rStyle w:val="Hyperlink"/>
                <w:rFonts w:cs="Arial"/>
              </w:rPr>
              <w:fldChar w:fldCharType="end"/>
            </w:r>
            <w:r w:rsidRPr="00E21AE7">
              <w:rPr>
                <w:rFonts w:cs="Arial"/>
              </w:rPr>
              <w:t>). This equated to approximately 16 per cent coverage of fishing days during that period. The use of bycatch logbooks by fishers was also evaluated during this 2009-2010 period, but reporting was found to be poor and the use of these logbooks was subsequently discontinued (</w:t>
            </w:r>
            <w:proofErr w:type="spellStart"/>
            <w:r w:rsidR="00661B8B">
              <w:fldChar w:fldCharType="begin"/>
            </w:r>
            <w:r w:rsidR="00661B8B">
              <w:instrText xml:space="preserve"> HYPERLINK "http://era.daf.qld.gov.au/id/eprint/6552/1/FOP%20Stout%20Whiting%20Report%202012%20final.pdf" </w:instrText>
            </w:r>
            <w:r w:rsidR="00661B8B">
              <w:fldChar w:fldCharType="separate"/>
            </w:r>
            <w:r w:rsidRPr="00E21AE7">
              <w:rPr>
                <w:rStyle w:val="Hyperlink"/>
                <w:rFonts w:cs="Arial"/>
              </w:rPr>
              <w:t>Rowsell</w:t>
            </w:r>
            <w:proofErr w:type="spellEnd"/>
            <w:r w:rsidRPr="00E21AE7">
              <w:rPr>
                <w:rStyle w:val="Hyperlink"/>
                <w:rFonts w:cs="Arial"/>
              </w:rPr>
              <w:t xml:space="preserve"> &amp; Davies, 2012</w:t>
            </w:r>
            <w:r w:rsidR="00661B8B">
              <w:rPr>
                <w:rStyle w:val="Hyperlink"/>
                <w:rFonts w:cs="Arial"/>
              </w:rPr>
              <w:fldChar w:fldCharType="end"/>
            </w:r>
            <w:r w:rsidRPr="00E21AE7">
              <w:rPr>
                <w:rFonts w:cs="Arial"/>
              </w:rPr>
              <w:t xml:space="preserve">). Bycatch reporting is now facilitated through QDAF’s </w:t>
            </w:r>
            <w:hyperlink r:id="rId67" w:history="1">
              <w:r w:rsidRPr="00E21AE7">
                <w:rPr>
                  <w:rStyle w:val="Hyperlink"/>
                  <w:rFonts w:cs="Arial"/>
                  <w:lang w:val="en"/>
                </w:rPr>
                <w:t>Stout Whiting Trawl Fishery (T4) Logbook</w:t>
              </w:r>
            </w:hyperlink>
            <w:r w:rsidRPr="00E21AE7">
              <w:rPr>
                <w:rFonts w:cs="Arial"/>
                <w:u w:val="single"/>
              </w:rPr>
              <w:t>.</w:t>
            </w:r>
            <w:r w:rsidRPr="00E21AE7">
              <w:rPr>
                <w:rFonts w:cs="Arial"/>
              </w:rPr>
              <w:t xml:space="preserve"> The </w:t>
            </w:r>
            <w:hyperlink r:id="rId68" w:history="1">
              <w:r w:rsidRPr="00E21AE7">
                <w:rPr>
                  <w:rStyle w:val="Hyperlink"/>
                  <w:rFonts w:cs="Arial"/>
                </w:rPr>
                <w:t>logbook</w:t>
              </w:r>
            </w:hyperlink>
            <w:r w:rsidRPr="00E21AE7">
              <w:rPr>
                <w:rFonts w:cs="Arial"/>
              </w:rPr>
              <w:t xml:space="preserve"> states that “all discarded product must be recorded”, but only provides for seven species or species groups to be recorded, and has advised that only certain species </w:t>
            </w:r>
            <w:r w:rsidR="00CA3A56" w:rsidRPr="00E21AE7">
              <w:rPr>
                <w:rFonts w:cs="Arial"/>
              </w:rPr>
              <w:t xml:space="preserve">which are permitted to be landed in the CTFFF and ECOT </w:t>
            </w:r>
            <w:r w:rsidRPr="00E21AE7">
              <w:rPr>
                <w:rFonts w:cs="Arial"/>
              </w:rPr>
              <w:t xml:space="preserve">are required to be reported (QDAF, pers comm. 8 May 2020). Since 2010, the number of species and weight of discarded catch being reported has fallen markedly. </w:t>
            </w:r>
          </w:p>
          <w:p w14:paraId="1A5E5662" w14:textId="7040D38D" w:rsidR="00CA3A56" w:rsidRPr="00E21AE7" w:rsidRDefault="00CA3A56" w:rsidP="00CA3A56">
            <w:pPr>
              <w:spacing w:before="80" w:after="80" w:line="276" w:lineRule="auto"/>
              <w:rPr>
                <w:rFonts w:cs="Arial"/>
              </w:rPr>
            </w:pPr>
            <w:r w:rsidRPr="00E21AE7">
              <w:rPr>
                <w:rFonts w:cs="Arial"/>
              </w:rPr>
              <w:t>Records of discarded catch (target and non-target species) since 2010 show that the number of species being reported by fishers has fallen sharply from 15 species to an average of 3 species over the past five years (QDAF pers comm. 8 May 2020). The weight of reported discards has also fallen considerably, from over 105 tonnes in 2010 to as little as 100 kilograms in 2013 (all of which was Stout Whiting; QDAF pers comm. 8 May 2020). There has also been no reported discarding of Stout Whiting since 2013, despite trial fishing commencing in 2017, in inshore nursery grounds where the proportion of unmarketable, juvenile Stout Whiting is expected to be higher.</w:t>
            </w:r>
          </w:p>
          <w:p w14:paraId="30249A7C" w14:textId="77777777" w:rsidR="00CA3A56" w:rsidRPr="00E21AE7" w:rsidRDefault="00CA3A56" w:rsidP="00CA3A56">
            <w:pPr>
              <w:spacing w:before="80" w:after="80" w:line="276" w:lineRule="auto"/>
              <w:rPr>
                <w:rFonts w:cs="Arial"/>
              </w:rPr>
            </w:pPr>
            <w:r w:rsidRPr="00E21AE7">
              <w:rPr>
                <w:rFonts w:cs="Arial"/>
              </w:rPr>
              <w:t>QDAF observer reports also raise concerns about the reliability of reporting for non-retained species, and bycatch data that has not been published by QDAF since the 2009 fishing season. The on-board observer program which validated records during 2009-2010 is also no-longer operating.</w:t>
            </w:r>
          </w:p>
          <w:p w14:paraId="07475952" w14:textId="27CE41E1" w:rsidR="00CA3A56" w:rsidRPr="00CA3A56" w:rsidRDefault="00CA3A56" w:rsidP="00A66F8F">
            <w:pPr>
              <w:spacing w:before="80" w:after="80" w:line="276" w:lineRule="auto"/>
              <w:rPr>
                <w:rFonts w:cs="Arial"/>
              </w:rPr>
            </w:pPr>
            <w:r w:rsidRPr="00CA3A56">
              <w:rPr>
                <w:rFonts w:cs="Arial"/>
              </w:rPr>
              <w:t xml:space="preserve">QDAF report that and that operators have </w:t>
            </w:r>
            <w:r>
              <w:rPr>
                <w:rFonts w:cs="Arial"/>
              </w:rPr>
              <w:t xml:space="preserve">become </w:t>
            </w:r>
            <w:r w:rsidRPr="00CA3A56">
              <w:rPr>
                <w:rFonts w:cs="Arial"/>
              </w:rPr>
              <w:t xml:space="preserve">better </w:t>
            </w:r>
            <w:r>
              <w:rPr>
                <w:rFonts w:cs="Arial"/>
              </w:rPr>
              <w:t xml:space="preserve">at </w:t>
            </w:r>
            <w:r w:rsidRPr="00CA3A56">
              <w:rPr>
                <w:rFonts w:cs="Arial"/>
              </w:rPr>
              <w:t>targeting schools of Stout Whiting, resulting in less discarded catch</w:t>
            </w:r>
            <w:r>
              <w:rPr>
                <w:rFonts w:cs="Arial"/>
              </w:rPr>
              <w:t xml:space="preserve"> </w:t>
            </w:r>
            <w:r w:rsidRPr="00CA3A56">
              <w:rPr>
                <w:rFonts w:cs="Arial"/>
              </w:rPr>
              <w:t>(QDAF pers comm 2020)</w:t>
            </w:r>
            <w:r>
              <w:rPr>
                <w:rFonts w:cs="Arial"/>
              </w:rPr>
              <w:t>. However</w:t>
            </w:r>
            <w:r w:rsidR="00A127EE">
              <w:rPr>
                <w:rFonts w:cs="Arial"/>
              </w:rPr>
              <w:t>,</w:t>
            </w:r>
            <w:r>
              <w:rPr>
                <w:rFonts w:cs="Arial"/>
              </w:rPr>
              <w:t xml:space="preserve"> it is unlikely that the fishery would be able to avoid all bycatch. </w:t>
            </w:r>
            <w:r w:rsidRPr="00CA3A56">
              <w:rPr>
                <w:rFonts w:cs="Arial"/>
              </w:rPr>
              <w:t>The Department is concerned that this reflects a change in reporting rather than the absence of discarding.</w:t>
            </w:r>
          </w:p>
          <w:p w14:paraId="4F7E7A2F" w14:textId="77777777" w:rsidR="0002308E" w:rsidRPr="00E21AE7" w:rsidRDefault="0002308E" w:rsidP="007F171B">
            <w:pPr>
              <w:spacing w:before="80" w:after="80" w:line="276" w:lineRule="auto"/>
              <w:rPr>
                <w:rFonts w:cs="Arial"/>
              </w:rPr>
            </w:pPr>
            <w:r w:rsidRPr="00E21AE7">
              <w:rPr>
                <w:rFonts w:cs="Arial"/>
              </w:rPr>
              <w:t xml:space="preserve">Information on the full extent of bycatch has not been collected for the CTFFF since the 2009-2010 observer coverage, and there is no data available on bycatch from the trial fishing area which has been operating since 2018 and is likely to differ to the offshore part of the fishery as reported in 2009-2010. </w:t>
            </w:r>
          </w:p>
          <w:p w14:paraId="42223D6F" w14:textId="77777777" w:rsidR="0002308E" w:rsidRPr="00E21AE7" w:rsidRDefault="0002308E" w:rsidP="007F171B">
            <w:pPr>
              <w:spacing w:before="80" w:after="80" w:line="276" w:lineRule="auto"/>
              <w:rPr>
                <w:rFonts w:cs="Arial"/>
              </w:rPr>
            </w:pPr>
            <w:r w:rsidRPr="00E21AE7">
              <w:rPr>
                <w:rFonts w:cs="Arial"/>
              </w:rPr>
              <w:t xml:space="preserve">The 2009-2010 observer data from the CTFFF showed bycatch levels and compositions vary between Danish Seine and Otter Trawl methods. Bycatch ranged from 39–49 per cent for Otter Trawl catch, and 24–51 per cent for Danish Seine. Bycatch species diversity was also higher when Otter Trawl gear was </w:t>
            </w:r>
            <w:r w:rsidRPr="00E21AE7">
              <w:rPr>
                <w:rFonts w:cs="Arial"/>
              </w:rPr>
              <w:lastRenderedPageBreak/>
              <w:t>used compared to Danish Seine gear, but larger animals were caught more frequently with Danish seine gear, probably because bycatch exclusion devices are not required to be used when using Danish Seine gear (</w:t>
            </w:r>
            <w:hyperlink r:id="rId69" w:history="1">
              <w:r w:rsidRPr="00E21AE7">
                <w:rPr>
                  <w:rStyle w:val="Hyperlink"/>
                  <w:rFonts w:cs="Arial"/>
                </w:rPr>
                <w:t>Wortmann &amp; O’Neill, 2016</w:t>
              </w:r>
            </w:hyperlink>
            <w:r w:rsidRPr="00E21AE7">
              <w:rPr>
                <w:rFonts w:cs="Arial"/>
              </w:rPr>
              <w:t>).</w:t>
            </w:r>
          </w:p>
          <w:p w14:paraId="369B956E" w14:textId="77777777" w:rsidR="0002308E" w:rsidRPr="00E21AE7" w:rsidRDefault="0002308E" w:rsidP="007F171B">
            <w:pPr>
              <w:spacing w:before="80" w:after="80" w:line="276" w:lineRule="auto"/>
              <w:rPr>
                <w:rFonts w:cs="Arial"/>
              </w:rPr>
            </w:pPr>
            <w:r w:rsidRPr="00E21AE7">
              <w:rPr>
                <w:rFonts w:cs="Arial"/>
              </w:rPr>
              <w:t xml:space="preserve">Of the teleosts (fin fish) and invertebrates that were discarded in the fishery during the trips observed in 2009-2010, Eye Gurnard, Largescale Saury, Spotted Dragonet, </w:t>
            </w:r>
            <w:proofErr w:type="spellStart"/>
            <w:r w:rsidRPr="00E21AE7">
              <w:rPr>
                <w:rFonts w:cs="Arial"/>
              </w:rPr>
              <w:t>Longspine</w:t>
            </w:r>
            <w:proofErr w:type="spellEnd"/>
            <w:r w:rsidRPr="00E21AE7">
              <w:rPr>
                <w:rFonts w:cs="Arial"/>
              </w:rPr>
              <w:t xml:space="preserve"> Flathead, Blue Swimmer Crabs, Three-spotted Crabs and Tailor made up the largest components of bycatch by weight. Of these species, only Blue Swimmer Crabs and Tailor have had their stock status assessed (both are classified as sustainable in Queensland, </w:t>
            </w:r>
            <w:hyperlink r:id="rId70" w:history="1">
              <w:r w:rsidRPr="00E21AE7">
                <w:rPr>
                  <w:rStyle w:val="Hyperlink"/>
                  <w:rFonts w:cs="Arial"/>
                </w:rPr>
                <w:t>FRDC, 2018</w:t>
              </w:r>
            </w:hyperlink>
            <w:r w:rsidRPr="00E21AE7">
              <w:rPr>
                <w:rFonts w:cs="Arial"/>
              </w:rPr>
              <w:t>).</w:t>
            </w:r>
          </w:p>
          <w:p w14:paraId="09C06917" w14:textId="77777777" w:rsidR="0002308E" w:rsidRPr="00E21AE7" w:rsidRDefault="0002308E" w:rsidP="007F171B">
            <w:pPr>
              <w:spacing w:before="80" w:after="80" w:line="276" w:lineRule="auto"/>
              <w:rPr>
                <w:rFonts w:cs="Arial"/>
              </w:rPr>
            </w:pPr>
            <w:r w:rsidRPr="00E21AE7">
              <w:rPr>
                <w:rFonts w:cs="Arial"/>
              </w:rPr>
              <w:t>Bycatch</w:t>
            </w:r>
            <w:r w:rsidRPr="00E21AE7" w:rsidDel="00FE7C0C">
              <w:rPr>
                <w:rFonts w:cs="Arial"/>
              </w:rPr>
              <w:t xml:space="preserve"> </w:t>
            </w:r>
            <w:r w:rsidRPr="00E21AE7">
              <w:rPr>
                <w:rFonts w:cs="Arial"/>
              </w:rPr>
              <w:t xml:space="preserve">mortality rates were only documented for sharks, </w:t>
            </w:r>
            <w:proofErr w:type="gramStart"/>
            <w:r w:rsidRPr="00E21AE7">
              <w:rPr>
                <w:rFonts w:cs="Arial"/>
              </w:rPr>
              <w:t>rays</w:t>
            </w:r>
            <w:proofErr w:type="gramEnd"/>
            <w:r w:rsidRPr="00E21AE7">
              <w:rPr>
                <w:rFonts w:cs="Arial"/>
              </w:rPr>
              <w:t xml:space="preserve"> and protected species, but the majority of bycatch is unlikely to survive capture and release. The bycatch</w:t>
            </w:r>
            <w:r w:rsidRPr="00E21AE7" w:rsidDel="00FE7C0C">
              <w:rPr>
                <w:rFonts w:cs="Arial"/>
              </w:rPr>
              <w:t xml:space="preserve"> </w:t>
            </w:r>
            <w:r w:rsidRPr="00E21AE7">
              <w:rPr>
                <w:rFonts w:cs="Arial"/>
              </w:rPr>
              <w:t>data relating to sharks and rays showed that Otter Trawl fishing had higher rates of direct or in-situ</w:t>
            </w:r>
            <w:r w:rsidRPr="00E21AE7">
              <w:rPr>
                <w:rFonts w:cs="Arial"/>
                <w:i/>
              </w:rPr>
              <w:t xml:space="preserve"> </w:t>
            </w:r>
            <w:r w:rsidRPr="00E21AE7">
              <w:rPr>
                <w:rFonts w:cs="Arial"/>
              </w:rPr>
              <w:t>mortality when compared to Danish Seine fishing and this is thought to be typical for other bycatch species in the CTFFF as well (</w:t>
            </w:r>
            <w:hyperlink r:id="rId71"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 Direct and post-release mortality rates vary depending on the fragility of the species, catch composition (e.g. presence of debris, large animals etc.), catch weight and shot duration (</w:t>
            </w:r>
            <w:proofErr w:type="spellStart"/>
            <w:r w:rsidR="00661B8B">
              <w:fldChar w:fldCharType="begin"/>
            </w:r>
            <w:r w:rsidR="00661B8B">
              <w:instrText xml:space="preserve"> HYPERLINK "http://www.vliz.be/en/imis?module=ref&amp;refid=6412&amp;printversion=1&amp;dropIMIStitle=1" </w:instrText>
            </w:r>
            <w:r w:rsidR="00661B8B">
              <w:fldChar w:fldCharType="separate"/>
            </w:r>
            <w:r w:rsidRPr="00E21AE7">
              <w:rPr>
                <w:rStyle w:val="Hyperlink"/>
                <w:rFonts w:cs="Arial"/>
              </w:rPr>
              <w:t>Lindeboom</w:t>
            </w:r>
            <w:proofErr w:type="spellEnd"/>
            <w:r w:rsidRPr="00E21AE7">
              <w:rPr>
                <w:rStyle w:val="Hyperlink"/>
                <w:rFonts w:cs="Arial"/>
              </w:rPr>
              <w:t xml:space="preserve"> &amp; de Groot, 1998</w:t>
            </w:r>
            <w:r w:rsidR="00661B8B">
              <w:rPr>
                <w:rStyle w:val="Hyperlink"/>
                <w:rFonts w:cs="Arial"/>
              </w:rPr>
              <w:fldChar w:fldCharType="end"/>
            </w:r>
            <w:r w:rsidRPr="00E21AE7">
              <w:rPr>
                <w:rFonts w:cs="Arial"/>
              </w:rPr>
              <w:t>).</w:t>
            </w:r>
          </w:p>
          <w:p w14:paraId="358C5FD0" w14:textId="18C794D6" w:rsidR="0002308E" w:rsidRPr="00E21AE7" w:rsidRDefault="0002308E" w:rsidP="007F171B">
            <w:pPr>
              <w:spacing w:before="80" w:after="80" w:line="276" w:lineRule="auto"/>
              <w:rPr>
                <w:rFonts w:cs="Arial"/>
              </w:rPr>
            </w:pPr>
            <w:r w:rsidRPr="00E21AE7">
              <w:rPr>
                <w:rFonts w:cs="Arial"/>
              </w:rPr>
              <w:t xml:space="preserve">Fishers to date have not reported any interactions with EPBC Act listed </w:t>
            </w:r>
            <w:proofErr w:type="spellStart"/>
            <w:r w:rsidRPr="00E21AE7">
              <w:rPr>
                <w:rFonts w:cs="Arial"/>
              </w:rPr>
              <w:t>Syngnathids</w:t>
            </w:r>
            <w:proofErr w:type="spellEnd"/>
            <w:r w:rsidR="00E45BF7">
              <w:rPr>
                <w:rFonts w:cs="Arial"/>
              </w:rPr>
              <w:t xml:space="preserve"> (seahorses and pipefish)</w:t>
            </w:r>
            <w:r w:rsidRPr="00E21AE7">
              <w:rPr>
                <w:rFonts w:cs="Arial"/>
              </w:rPr>
              <w:t>, despite these species having been reported by on-board observers when they were onboard during 2009-2010. QDAF</w:t>
            </w:r>
            <w:r w:rsidRPr="00E21AE7" w:rsidDel="00552DB8">
              <w:rPr>
                <w:rFonts w:cs="Arial"/>
              </w:rPr>
              <w:t xml:space="preserve"> </w:t>
            </w:r>
            <w:r w:rsidRPr="00E21AE7">
              <w:rPr>
                <w:rFonts w:cs="Arial"/>
              </w:rPr>
              <w:t xml:space="preserve">plans to implement a video-based electronic observer program in the CTFFF and other Queensland fisheries which will help validate catch and other information reported by commercial fishers, including records of interactions with protected species. To support their data validation and compliance efforts, QDAF published a </w:t>
            </w:r>
            <w:hyperlink r:id="rId72" w:history="1">
              <w:r w:rsidRPr="00E21AE7">
                <w:rPr>
                  <w:rStyle w:val="Hyperlink"/>
                  <w:rFonts w:cs="Arial"/>
                  <w:lang w:val="en"/>
                </w:rPr>
                <w:t>Data Validation Plan</w:t>
              </w:r>
            </w:hyperlink>
            <w:r w:rsidRPr="00E21AE7">
              <w:rPr>
                <w:rFonts w:cs="Arial"/>
              </w:rPr>
              <w:t xml:space="preserve"> in March 2018. This plan is expected to be delivered by the end of 2020 in accordance with the Queensland Government’s </w:t>
            </w:r>
            <w:hyperlink r:id="rId73" w:history="1">
              <w:r w:rsidRPr="00E21AE7">
                <w:rPr>
                  <w:rStyle w:val="Hyperlink"/>
                  <w:rFonts w:cs="Arial"/>
                  <w:lang w:val="en"/>
                </w:rPr>
                <w:t>Sustainable Fisheries Strategy 2017-2027</w:t>
              </w:r>
            </w:hyperlink>
            <w:r w:rsidRPr="00E21AE7">
              <w:rPr>
                <w:rFonts w:cs="Arial"/>
              </w:rPr>
              <w:t>.</w:t>
            </w:r>
          </w:p>
          <w:p w14:paraId="65447AD6" w14:textId="4E173A51" w:rsidR="0002308E" w:rsidRPr="00E21AE7" w:rsidRDefault="0002308E" w:rsidP="007F171B">
            <w:pPr>
              <w:spacing w:before="80" w:after="80" w:line="276" w:lineRule="auto"/>
              <w:rPr>
                <w:rFonts w:cs="Arial"/>
              </w:rPr>
            </w:pPr>
            <w:r w:rsidRPr="00E21AE7">
              <w:rPr>
                <w:rFonts w:cs="Arial"/>
              </w:rPr>
              <w:t>It is important that accurate information is available to monitor and manage the impacts of the fishery on bycatch. T</w:t>
            </w:r>
            <w:r w:rsidRPr="00E21AE7">
              <w:rPr>
                <w:rFonts w:cs="Arial"/>
                <w:lang w:eastAsia="en-AU"/>
              </w:rPr>
              <w:t xml:space="preserve">he Department recommends that </w:t>
            </w:r>
            <w:r w:rsidRPr="00E21AE7">
              <w:rPr>
                <w:rFonts w:cs="Arial"/>
                <w:b/>
                <w:lang w:eastAsia="en-AU"/>
              </w:rPr>
              <w:t>condition</w:t>
            </w:r>
            <w:r w:rsidR="003A1E92">
              <w:rPr>
                <w:rFonts w:cs="Arial"/>
                <w:b/>
                <w:lang w:eastAsia="en-AU"/>
              </w:rPr>
              <w:t>s</w:t>
            </w:r>
            <w:r w:rsidRPr="00E21AE7">
              <w:rPr>
                <w:rFonts w:cs="Arial"/>
                <w:b/>
                <w:lang w:eastAsia="en-AU"/>
              </w:rPr>
              <w:t xml:space="preserve"> </w:t>
            </w:r>
            <w:r w:rsidR="00EC053E">
              <w:rPr>
                <w:rFonts w:cs="Arial"/>
                <w:b/>
                <w:lang w:eastAsia="en-AU"/>
              </w:rPr>
              <w:t>1</w:t>
            </w:r>
            <w:r w:rsidR="003A1E92">
              <w:rPr>
                <w:rFonts w:cs="Arial"/>
                <w:b/>
                <w:lang w:eastAsia="en-AU"/>
              </w:rPr>
              <w:t xml:space="preserve"> and 2</w:t>
            </w:r>
            <w:r w:rsidR="00EC053E" w:rsidRPr="00A5177C">
              <w:rPr>
                <w:rFonts w:cs="Arial"/>
                <w:b/>
                <w:lang w:eastAsia="en-AU"/>
              </w:rPr>
              <w:t xml:space="preserve"> </w:t>
            </w:r>
            <w:r w:rsidRPr="00E21AE7">
              <w:rPr>
                <w:rFonts w:cs="Arial"/>
                <w:lang w:eastAsia="en-AU"/>
              </w:rPr>
              <w:t xml:space="preserve">be applied to the Part 13 approval and </w:t>
            </w:r>
            <w:r w:rsidRPr="00E21AE7">
              <w:rPr>
                <w:rFonts w:cs="Arial"/>
                <w:b/>
                <w:lang w:eastAsia="en-AU"/>
              </w:rPr>
              <w:t>condition</w:t>
            </w:r>
            <w:r w:rsidR="003A1E92">
              <w:rPr>
                <w:rFonts w:cs="Arial"/>
                <w:b/>
                <w:lang w:eastAsia="en-AU"/>
              </w:rPr>
              <w:t>s</w:t>
            </w:r>
            <w:r w:rsidRPr="00E21AE7">
              <w:rPr>
                <w:rFonts w:cs="Arial"/>
                <w:b/>
                <w:lang w:eastAsia="en-AU"/>
              </w:rPr>
              <w:t> 4</w:t>
            </w:r>
            <w:r w:rsidR="003A1E92">
              <w:rPr>
                <w:rFonts w:cs="Arial"/>
                <w:b/>
                <w:lang w:eastAsia="en-AU"/>
              </w:rPr>
              <w:t>-6</w:t>
            </w:r>
            <w:r w:rsidR="00B127FE">
              <w:rPr>
                <w:rFonts w:cs="Arial"/>
                <w:b/>
                <w:lang w:eastAsia="en-AU"/>
              </w:rPr>
              <w:t xml:space="preserve"> </w:t>
            </w:r>
            <w:r w:rsidRPr="00E21AE7">
              <w:rPr>
                <w:rFonts w:cs="Arial"/>
                <w:lang w:eastAsia="en-AU"/>
              </w:rPr>
              <w:t>be applied to the Part 13A approval to ensure there is reliable data and regular and robust assessments of all stocks in the fishery, and that bycatch are managed in a precautionary way.</w:t>
            </w:r>
          </w:p>
        </w:tc>
      </w:tr>
      <w:tr w:rsidR="0002308E" w:rsidRPr="000900EC" w14:paraId="4704A8E9" w14:textId="77777777" w:rsidTr="00796D99">
        <w:trPr>
          <w:cantSplit/>
        </w:trPr>
        <w:tc>
          <w:tcPr>
            <w:tcW w:w="5000" w:type="pct"/>
            <w:gridSpan w:val="3"/>
            <w:shd w:val="clear" w:color="auto" w:fill="E5DFEC"/>
          </w:tcPr>
          <w:p w14:paraId="4167D289" w14:textId="77777777" w:rsidR="0002308E" w:rsidRPr="00E21AE7" w:rsidRDefault="0002308E" w:rsidP="00974ECA">
            <w:pPr>
              <w:keepNext/>
              <w:spacing w:before="80" w:after="80" w:line="276" w:lineRule="auto"/>
              <w:rPr>
                <w:rFonts w:cs="Arial"/>
                <w:b/>
                <w:i/>
              </w:rPr>
            </w:pPr>
            <w:r w:rsidRPr="00E21AE7">
              <w:rPr>
                <w:rFonts w:cs="Arial"/>
                <w:b/>
                <w:i/>
              </w:rPr>
              <w:lastRenderedPageBreak/>
              <w:t xml:space="preserve">Assessment </w:t>
            </w:r>
          </w:p>
        </w:tc>
      </w:tr>
      <w:tr w:rsidR="0002308E" w:rsidRPr="000900EC" w14:paraId="5A18D3B6" w14:textId="77777777" w:rsidTr="008903BD">
        <w:trPr>
          <w:cantSplit/>
        </w:trPr>
        <w:tc>
          <w:tcPr>
            <w:tcW w:w="1500" w:type="pct"/>
            <w:shd w:val="clear" w:color="auto" w:fill="FFC000"/>
          </w:tcPr>
          <w:p w14:paraId="18D0D601" w14:textId="77777777" w:rsidR="0002308E" w:rsidRPr="00E21AE7" w:rsidRDefault="0002308E" w:rsidP="007F171B">
            <w:pPr>
              <w:spacing w:before="80" w:after="80" w:line="276" w:lineRule="auto"/>
              <w:rPr>
                <w:rFonts w:cs="Arial"/>
              </w:rPr>
            </w:pPr>
            <w:r w:rsidRPr="00E21AE7">
              <w:rPr>
                <w:rFonts w:cs="Arial"/>
                <w:b/>
                <w:i/>
              </w:rPr>
              <w:t xml:space="preserve">2.1.2 </w:t>
            </w:r>
            <w:r w:rsidRPr="00E21AE7">
              <w:rPr>
                <w:rFonts w:cs="Arial"/>
              </w:rPr>
              <w:t>There is a risk analysis of the bycatch with respect to its vulnerability to fishing.</w:t>
            </w:r>
          </w:p>
        </w:tc>
        <w:tc>
          <w:tcPr>
            <w:tcW w:w="3500" w:type="pct"/>
            <w:gridSpan w:val="2"/>
            <w:shd w:val="clear" w:color="auto" w:fill="auto"/>
          </w:tcPr>
          <w:p w14:paraId="1EAE924C" w14:textId="77777777" w:rsidR="0002308E" w:rsidRPr="00E21AE7" w:rsidRDefault="0002308E" w:rsidP="007F171B">
            <w:pPr>
              <w:spacing w:before="80" w:after="80" w:line="276" w:lineRule="auto"/>
              <w:rPr>
                <w:rFonts w:cs="Arial"/>
                <w:b/>
              </w:rPr>
            </w:pPr>
            <w:r w:rsidRPr="00E21AE7">
              <w:rPr>
                <w:rFonts w:cs="Arial"/>
                <w:b/>
              </w:rPr>
              <w:t>Partially meets – risk analysis complete but extent is poorly defined and there are data quality concerns.</w:t>
            </w:r>
          </w:p>
          <w:p w14:paraId="2A2F2E59" w14:textId="77777777" w:rsidR="0002308E" w:rsidRPr="00E21AE7" w:rsidRDefault="0002308E" w:rsidP="007F171B">
            <w:pPr>
              <w:spacing w:before="80" w:after="80" w:line="276" w:lineRule="auto"/>
              <w:rPr>
                <w:rFonts w:cs="Arial"/>
              </w:rPr>
            </w:pPr>
            <w:r w:rsidRPr="00E21AE7">
              <w:rPr>
                <w:rFonts w:cs="Arial"/>
              </w:rPr>
              <w:t>The ERA for the CTFFF found the current management arrangements in the fishery pose an ‘intermediate’ risk to bycatch species (</w:t>
            </w:r>
            <w:hyperlink r:id="rId74" w:history="1">
              <w:r w:rsidRPr="00E21AE7">
                <w:rPr>
                  <w:rStyle w:val="Hyperlink"/>
                  <w:rFonts w:cs="Arial"/>
                </w:rPr>
                <w:t>Walton &amp; Jacobsen, 2019</w:t>
              </w:r>
            </w:hyperlink>
            <w:r w:rsidRPr="00E21AE7">
              <w:rPr>
                <w:rFonts w:cs="Arial"/>
              </w:rPr>
              <w:t>). However, the ERA did not consider the impacts of fishing in waters shallower than 20 fathoms which is being undertaken as part of a four-year trial. This is significant given the trial fishing areas were historically closed to fishing as an ecological risk mitigation measure for the CTFFF. A separate ERA undertaken for the ECOT and River and Inshore Beam Trawl fisheries that operate in the same inshore areas found numerous ecological components, including bycatch and protected species at high risk from those fisheries (</w:t>
            </w:r>
            <w:hyperlink r:id="rId75" w:history="1">
              <w:r w:rsidRPr="00E21AE7">
                <w:rPr>
                  <w:rStyle w:val="Hyperlink"/>
                  <w:rFonts w:cs="Arial"/>
                </w:rPr>
                <w:t>Jacobsen et al. 2018</w:t>
              </w:r>
            </w:hyperlink>
            <w:r w:rsidRPr="00E21AE7">
              <w:rPr>
                <w:rFonts w:cs="Arial"/>
              </w:rPr>
              <w:t>).</w:t>
            </w:r>
          </w:p>
          <w:p w14:paraId="6F11E3C5" w14:textId="6AF3B2F9" w:rsidR="0002308E" w:rsidRPr="00E21AE7" w:rsidRDefault="0002308E" w:rsidP="007F171B">
            <w:pPr>
              <w:spacing w:before="80" w:after="80" w:line="276" w:lineRule="auto"/>
              <w:rPr>
                <w:rFonts w:cs="Arial"/>
              </w:rPr>
            </w:pPr>
            <w:r w:rsidRPr="00E21AE7">
              <w:rPr>
                <w:rFonts w:cs="Arial"/>
              </w:rPr>
              <w:t xml:space="preserve">The Department also has concerns </w:t>
            </w:r>
            <w:r w:rsidR="00F067EB">
              <w:rPr>
                <w:rFonts w:cs="Arial"/>
              </w:rPr>
              <w:t xml:space="preserve">(discussed under 1.1.4) </w:t>
            </w:r>
            <w:r w:rsidRPr="00E21AE7">
              <w:rPr>
                <w:rFonts w:cs="Arial"/>
              </w:rPr>
              <w:t>about the accuracy of discarded catch data being reported by fishers. Without accurate data the reliability of ERA results may be diminished and capacity to monitor and manage ongoing impacts will be difficult.</w:t>
            </w:r>
          </w:p>
          <w:p w14:paraId="1C5BFBCC" w14:textId="77777777" w:rsidR="0002308E" w:rsidRPr="00E21AE7" w:rsidRDefault="0002308E" w:rsidP="007F171B">
            <w:pPr>
              <w:spacing w:before="80" w:after="80" w:line="276" w:lineRule="auto"/>
              <w:rPr>
                <w:rFonts w:cs="Arial"/>
              </w:rPr>
            </w:pPr>
            <w:r w:rsidRPr="00E21AE7">
              <w:rPr>
                <w:rFonts w:cs="Arial"/>
              </w:rPr>
              <w:t>The intermediate risk rating assigned to bycatch in the CTFFF acknowledged that although Otter Trawl and Danish Seine methods are relatively indiscriminate and have a high potential to interact with a range of non-target species, the overall risk is offset by the relatively small number of licences in the fishery (maximum five) and the low participation rates (average three licences active each year). The</w:t>
            </w:r>
            <w:r w:rsidRPr="00E21AE7" w:rsidDel="004761B8">
              <w:rPr>
                <w:rFonts w:cs="Arial"/>
              </w:rPr>
              <w:t xml:space="preserve"> </w:t>
            </w:r>
            <w:r w:rsidRPr="00E21AE7">
              <w:rPr>
                <w:rFonts w:cs="Arial"/>
              </w:rPr>
              <w:t>risk rating also accounted for the risk mitigation measures in place including gear restrictions (mesh size and requirement to use Turtle Excluder Devices when Otter Trawling), spatial and temporal closures, and</w:t>
            </w:r>
            <w:r w:rsidRPr="00E21AE7" w:rsidDel="009B1D97">
              <w:rPr>
                <w:rFonts w:cs="Arial"/>
              </w:rPr>
              <w:t xml:space="preserve"> </w:t>
            </w:r>
            <w:r w:rsidRPr="00E21AE7">
              <w:rPr>
                <w:rFonts w:cs="Arial"/>
              </w:rPr>
              <w:t>VMS to aid the enforcement of these closures (</w:t>
            </w:r>
            <w:hyperlink r:id="rId76"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w:t>
            </w:r>
          </w:p>
          <w:p w14:paraId="0FD78513" w14:textId="3D127E4C" w:rsidR="0002308E" w:rsidRPr="00E21AE7" w:rsidRDefault="005446D9" w:rsidP="007F171B">
            <w:pPr>
              <w:spacing w:before="80" w:after="80" w:line="276" w:lineRule="auto"/>
              <w:rPr>
                <w:rFonts w:cs="Arial"/>
              </w:rPr>
            </w:pPr>
            <w:r>
              <w:rPr>
                <w:rFonts w:cs="Arial"/>
              </w:rPr>
              <w:t>D</w:t>
            </w:r>
            <w:r w:rsidR="0002308E" w:rsidRPr="00E21AE7">
              <w:rPr>
                <w:rFonts w:cs="Arial"/>
              </w:rPr>
              <w:t xml:space="preserve">ata collection should be reviewed for the fishery and that the ERA for the CTFFF should consider all aspects of the fishery and all influences on its sustainability. </w:t>
            </w:r>
            <w:r w:rsidR="00F067EB">
              <w:rPr>
                <w:rFonts w:cs="Arial"/>
              </w:rPr>
              <w:t xml:space="preserve">Therefore, </w:t>
            </w:r>
            <w:r w:rsidR="00F067EB">
              <w:rPr>
                <w:rFonts w:cs="Arial"/>
                <w:b/>
              </w:rPr>
              <w:t>c</w:t>
            </w:r>
            <w:r w:rsidR="0002308E" w:rsidRPr="00E21AE7">
              <w:rPr>
                <w:rFonts w:cs="Arial"/>
                <w:b/>
              </w:rPr>
              <w:t>ondition</w:t>
            </w:r>
            <w:r w:rsidR="003A1E92">
              <w:rPr>
                <w:rFonts w:cs="Arial"/>
                <w:b/>
              </w:rPr>
              <w:t>s</w:t>
            </w:r>
            <w:r w:rsidR="0002308E" w:rsidRPr="00E21AE7">
              <w:rPr>
                <w:rFonts w:cs="Arial"/>
                <w:b/>
              </w:rPr>
              <w:t xml:space="preserve"> 1</w:t>
            </w:r>
            <w:r w:rsidR="003A1E92">
              <w:rPr>
                <w:rFonts w:cs="Arial"/>
                <w:b/>
              </w:rPr>
              <w:t xml:space="preserve"> and 2</w:t>
            </w:r>
            <w:r w:rsidR="00DC4C98" w:rsidRPr="0075306F">
              <w:rPr>
                <w:rFonts w:cs="Arial"/>
                <w:bCs/>
              </w:rPr>
              <w:t xml:space="preserve"> </w:t>
            </w:r>
            <w:r w:rsidR="003A1E92">
              <w:rPr>
                <w:rFonts w:cs="Arial"/>
                <w:bCs/>
              </w:rPr>
              <w:t>are</w:t>
            </w:r>
            <w:r w:rsidR="003A1E92" w:rsidRPr="00E21AE7">
              <w:rPr>
                <w:rFonts w:cs="Arial"/>
              </w:rPr>
              <w:t xml:space="preserve"> </w:t>
            </w:r>
            <w:r w:rsidR="0002308E" w:rsidRPr="00E21AE7">
              <w:rPr>
                <w:rFonts w:cs="Arial"/>
              </w:rPr>
              <w:t xml:space="preserve">recommended for Part 13 approval, and </w:t>
            </w:r>
            <w:r w:rsidR="0002308E" w:rsidRPr="00E21AE7">
              <w:rPr>
                <w:rFonts w:cs="Arial"/>
                <w:b/>
              </w:rPr>
              <w:t>condition</w:t>
            </w:r>
            <w:r w:rsidR="003A1E92">
              <w:rPr>
                <w:rFonts w:cs="Arial"/>
                <w:b/>
              </w:rPr>
              <w:t>s</w:t>
            </w:r>
            <w:r w:rsidR="0002308E" w:rsidRPr="00E21AE7">
              <w:rPr>
                <w:rFonts w:cs="Arial"/>
                <w:b/>
              </w:rPr>
              <w:t xml:space="preserve"> 4</w:t>
            </w:r>
            <w:r w:rsidR="003A1E92">
              <w:rPr>
                <w:rFonts w:cs="Arial"/>
                <w:b/>
              </w:rPr>
              <w:t xml:space="preserve"> and 5</w:t>
            </w:r>
            <w:r w:rsidR="00DC4C98" w:rsidRPr="0075306F">
              <w:rPr>
                <w:rFonts w:cs="Arial"/>
                <w:bCs/>
              </w:rPr>
              <w:t xml:space="preserve"> </w:t>
            </w:r>
            <w:r w:rsidR="003A1E92">
              <w:rPr>
                <w:rFonts w:cs="Arial"/>
                <w:bCs/>
              </w:rPr>
              <w:t>are</w:t>
            </w:r>
            <w:r w:rsidR="003A1E92" w:rsidRPr="00E21AE7">
              <w:rPr>
                <w:rFonts w:cs="Arial"/>
              </w:rPr>
              <w:t xml:space="preserve"> </w:t>
            </w:r>
            <w:r w:rsidR="0002308E" w:rsidRPr="00E21AE7">
              <w:rPr>
                <w:rFonts w:cs="Arial"/>
              </w:rPr>
              <w:t xml:space="preserve">applied to the Part 13A approval to meet this objective by </w:t>
            </w:r>
            <w:r w:rsidR="00B127FE">
              <w:rPr>
                <w:rFonts w:cs="Arial"/>
                <w:b/>
              </w:rPr>
              <w:t>30</w:t>
            </w:r>
            <w:r w:rsidR="00B127FE" w:rsidRPr="00E21AE7">
              <w:rPr>
                <w:rFonts w:cs="Arial"/>
                <w:b/>
              </w:rPr>
              <w:t xml:space="preserve"> </w:t>
            </w:r>
            <w:r w:rsidR="00B127FE">
              <w:rPr>
                <w:rFonts w:cs="Arial"/>
                <w:b/>
              </w:rPr>
              <w:t>June</w:t>
            </w:r>
            <w:r w:rsidR="00B127FE" w:rsidRPr="00E21AE7">
              <w:rPr>
                <w:rFonts w:cs="Arial"/>
                <w:b/>
              </w:rPr>
              <w:t xml:space="preserve"> </w:t>
            </w:r>
            <w:r w:rsidR="0002308E" w:rsidRPr="00E21AE7">
              <w:rPr>
                <w:rFonts w:cs="Arial"/>
                <w:b/>
              </w:rPr>
              <w:t>2021</w:t>
            </w:r>
            <w:r w:rsidR="0002308E" w:rsidRPr="00E21AE7">
              <w:rPr>
                <w:rFonts w:cs="Arial"/>
              </w:rPr>
              <w:t>.</w:t>
            </w:r>
          </w:p>
        </w:tc>
      </w:tr>
      <w:tr w:rsidR="0002308E" w:rsidRPr="000900EC" w14:paraId="6DAE9F23" w14:textId="77777777" w:rsidTr="00796D99">
        <w:trPr>
          <w:cantSplit/>
        </w:trPr>
        <w:tc>
          <w:tcPr>
            <w:tcW w:w="5000" w:type="pct"/>
            <w:gridSpan w:val="3"/>
            <w:shd w:val="clear" w:color="auto" w:fill="E5DFEC"/>
          </w:tcPr>
          <w:p w14:paraId="057ED499" w14:textId="77777777" w:rsidR="0002308E" w:rsidRPr="00E21AE7" w:rsidRDefault="0002308E" w:rsidP="007F171B">
            <w:pPr>
              <w:spacing w:before="80" w:after="80" w:line="276" w:lineRule="auto"/>
              <w:rPr>
                <w:rFonts w:cs="Arial"/>
                <w:b/>
                <w:i/>
              </w:rPr>
            </w:pPr>
            <w:r w:rsidRPr="00E21AE7">
              <w:rPr>
                <w:rFonts w:cs="Arial"/>
                <w:b/>
                <w:i/>
              </w:rPr>
              <w:t>Management responses</w:t>
            </w:r>
          </w:p>
        </w:tc>
      </w:tr>
      <w:tr w:rsidR="0002308E" w:rsidRPr="000900EC" w14:paraId="6286685D" w14:textId="77777777" w:rsidTr="008903BD">
        <w:trPr>
          <w:cantSplit/>
        </w:trPr>
        <w:tc>
          <w:tcPr>
            <w:tcW w:w="1500" w:type="pct"/>
            <w:shd w:val="clear" w:color="auto" w:fill="FFC000"/>
          </w:tcPr>
          <w:p w14:paraId="5F1BEC56" w14:textId="77777777" w:rsidR="0002308E" w:rsidRPr="00E21AE7" w:rsidRDefault="0002308E" w:rsidP="007F171B">
            <w:pPr>
              <w:spacing w:before="80" w:after="80" w:line="276" w:lineRule="auto"/>
              <w:rPr>
                <w:rFonts w:cs="Arial"/>
              </w:rPr>
            </w:pPr>
            <w:r w:rsidRPr="00E21AE7">
              <w:rPr>
                <w:rFonts w:cs="Arial"/>
                <w:b/>
                <w:i/>
              </w:rPr>
              <w:lastRenderedPageBreak/>
              <w:t xml:space="preserve">2.1.3 </w:t>
            </w:r>
            <w:r w:rsidRPr="00E21AE7">
              <w:rPr>
                <w:rFonts w:cs="Arial"/>
              </w:rPr>
              <w:t xml:space="preserve">Measures are in place to avoid capture and mortality of bycatch species unless it is determined that the level of catch is sustainable (except in relation to endangered, </w:t>
            </w:r>
            <w:proofErr w:type="gramStart"/>
            <w:r w:rsidRPr="00E21AE7">
              <w:rPr>
                <w:rFonts w:cs="Arial"/>
              </w:rPr>
              <w:t>threatened</w:t>
            </w:r>
            <w:proofErr w:type="gramEnd"/>
            <w:r w:rsidRPr="00E21AE7">
              <w:rPr>
                <w:rFonts w:cs="Arial"/>
              </w:rPr>
              <w:t xml:space="preserve"> or protected species). Steps must be taken to develop suitable technology if none is available.</w:t>
            </w:r>
          </w:p>
        </w:tc>
        <w:tc>
          <w:tcPr>
            <w:tcW w:w="3500" w:type="pct"/>
            <w:gridSpan w:val="2"/>
            <w:shd w:val="clear" w:color="auto" w:fill="auto"/>
          </w:tcPr>
          <w:p w14:paraId="4D468B5D" w14:textId="77777777" w:rsidR="0002308E" w:rsidRPr="00E21AE7" w:rsidRDefault="0002308E" w:rsidP="007F171B">
            <w:pPr>
              <w:spacing w:before="80" w:after="80" w:line="276" w:lineRule="auto"/>
              <w:rPr>
                <w:rFonts w:cs="Arial"/>
                <w:b/>
              </w:rPr>
            </w:pPr>
            <w:r w:rsidRPr="00E21AE7">
              <w:rPr>
                <w:rFonts w:cs="Arial"/>
                <w:b/>
              </w:rPr>
              <w:t>Partially meets – some risk mitigation measures are in place, but may be insufficient</w:t>
            </w:r>
          </w:p>
          <w:p w14:paraId="265D4CBF" w14:textId="77777777" w:rsidR="0002308E" w:rsidRPr="00E21AE7" w:rsidRDefault="0002308E" w:rsidP="007F171B">
            <w:pPr>
              <w:spacing w:before="80" w:after="80" w:line="276" w:lineRule="auto"/>
              <w:rPr>
                <w:rFonts w:cs="Arial"/>
              </w:rPr>
            </w:pPr>
            <w:r w:rsidRPr="00E21AE7">
              <w:rPr>
                <w:rFonts w:cs="Arial"/>
              </w:rPr>
              <w:t>Otter Trawl and Danish Seine methods are known to be relatively indiscriminate fishing methods that result in large volumes of bycatch. However, QDAF advise that the mesh-size used in the CTFFF and fishers’ ability to target Stout Whiting reduce the amount of bycatch (QDAF pers comm. 8 May 2020). QDAF’s ERA for the CTFFF suggests these measures are probably appropriate (</w:t>
            </w:r>
            <w:hyperlink r:id="rId77" w:history="1">
              <w:r w:rsidRPr="00E21AE7">
                <w:rPr>
                  <w:rStyle w:val="Hyperlink"/>
                  <w:rFonts w:cs="Arial"/>
                  <w:lang w:eastAsia="en-AU"/>
                </w:rPr>
                <w:t>Walton &amp; Jacobsen, 201</w:t>
              </w:r>
              <w:r w:rsidRPr="00E21AE7">
                <w:rPr>
                  <w:rStyle w:val="Hyperlink"/>
                  <w:rFonts w:cs="Arial"/>
                </w:rPr>
                <w:t>9</w:t>
              </w:r>
            </w:hyperlink>
            <w:r w:rsidRPr="00E21AE7">
              <w:rPr>
                <w:rFonts w:cs="Arial"/>
              </w:rPr>
              <w:t>).</w:t>
            </w:r>
          </w:p>
          <w:p w14:paraId="64560CAF" w14:textId="1695EEF5" w:rsidR="0002308E" w:rsidRPr="00E21AE7" w:rsidRDefault="0002308E" w:rsidP="007F171B">
            <w:pPr>
              <w:spacing w:before="80" w:after="80" w:line="276" w:lineRule="auto"/>
              <w:rPr>
                <w:rFonts w:cs="Arial"/>
              </w:rPr>
            </w:pPr>
            <w:r w:rsidRPr="00E21AE7">
              <w:rPr>
                <w:rFonts w:cs="Arial"/>
              </w:rPr>
              <w:t>There is</w:t>
            </w:r>
            <w:r w:rsidR="00F067EB">
              <w:rPr>
                <w:rFonts w:cs="Arial"/>
              </w:rPr>
              <w:t>,</w:t>
            </w:r>
            <w:r w:rsidRPr="00E21AE7">
              <w:rPr>
                <w:rFonts w:cs="Arial"/>
              </w:rPr>
              <w:t xml:space="preserve"> however</w:t>
            </w:r>
            <w:r w:rsidR="00F067EB">
              <w:rPr>
                <w:rFonts w:cs="Arial"/>
              </w:rPr>
              <w:t>,</w:t>
            </w:r>
            <w:r w:rsidRPr="00E21AE7">
              <w:rPr>
                <w:rFonts w:cs="Arial"/>
              </w:rPr>
              <w:t xml:space="preserve"> very little information available on bycatch in the CTFFF and QDAF require very limited data be reported by fishers. Available data </w:t>
            </w:r>
            <w:r w:rsidR="002D7E89">
              <w:rPr>
                <w:rFonts w:cs="Arial"/>
              </w:rPr>
              <w:t>indicates</w:t>
            </w:r>
            <w:r w:rsidR="002D7E89" w:rsidRPr="00E21AE7">
              <w:rPr>
                <w:rFonts w:cs="Arial"/>
              </w:rPr>
              <w:t xml:space="preserve"> </w:t>
            </w:r>
            <w:r w:rsidRPr="00E21AE7">
              <w:rPr>
                <w:rFonts w:cs="Arial"/>
              </w:rPr>
              <w:t xml:space="preserve">that reporting may not be accurate. </w:t>
            </w:r>
            <w:r w:rsidR="005446D9">
              <w:rPr>
                <w:rFonts w:cs="Arial"/>
              </w:rPr>
              <w:t>R</w:t>
            </w:r>
            <w:r w:rsidRPr="00E21AE7">
              <w:rPr>
                <w:rFonts w:cs="Arial"/>
              </w:rPr>
              <w:t>eliable data should be available to monitor the impacts of bycatch and ensure the impacts of fishing remain ecologically sustainable.</w:t>
            </w:r>
          </w:p>
          <w:p w14:paraId="5431727C" w14:textId="2943A69A" w:rsidR="0002308E" w:rsidRPr="00E21AE7" w:rsidRDefault="0002308E" w:rsidP="007F171B">
            <w:pPr>
              <w:spacing w:before="80" w:after="80" w:line="276" w:lineRule="auto"/>
              <w:rPr>
                <w:rFonts w:cs="Arial"/>
              </w:rPr>
            </w:pPr>
            <w:r w:rsidRPr="00E21AE7">
              <w:rPr>
                <w:rFonts w:cs="Arial"/>
              </w:rPr>
              <w:t>Turtle Excluder Devices (TEDs) and Bycatch Reduction Devices (BRDs) have been shown to significantly reduce bycatch volumes in trawl fisheries; particularly for many large marine species (</w:t>
            </w:r>
            <w:hyperlink r:id="rId78" w:history="1">
              <w:r w:rsidRPr="00E21AE7">
                <w:rPr>
                  <w:rStyle w:val="Hyperlink"/>
                  <w:rFonts w:cs="Arial"/>
                </w:rPr>
                <w:t>Brewer et al., 2006</w:t>
              </w:r>
            </w:hyperlink>
            <w:r w:rsidRPr="00E21AE7">
              <w:rPr>
                <w:rFonts w:cs="Arial"/>
              </w:rPr>
              <w:t xml:space="preserve">). In Queensland, the use of a TED and BRD is mandatory for all fishers in the </w:t>
            </w:r>
            <w:r w:rsidRPr="00E21AE7">
              <w:rPr>
                <w:rFonts w:cs="Arial"/>
                <w:lang w:eastAsia="en-AU"/>
              </w:rPr>
              <w:t xml:space="preserve">ECOT, </w:t>
            </w:r>
            <w:r w:rsidRPr="00E21AE7">
              <w:rPr>
                <w:rFonts w:cs="Arial"/>
              </w:rPr>
              <w:t xml:space="preserve">and for fishers operating outside creeks and rivers in the River and Inshore Beam Trawl Fishery. However, in the CTFFF the use of a TED is only mandatory when using Otter Trawl gear (not Danish Seine gear), and BRDs are optional and not used on either gear type (QDAF pers. comm., 2020). QDAF states that the main reason for this is that a high proportion of the target catch will be </w:t>
            </w:r>
            <w:r w:rsidR="009D1744">
              <w:rPr>
                <w:rFonts w:cs="Arial"/>
              </w:rPr>
              <w:t>lost</w:t>
            </w:r>
            <w:r w:rsidR="009D1744" w:rsidRPr="00E21AE7">
              <w:rPr>
                <w:rFonts w:cs="Arial"/>
              </w:rPr>
              <w:t xml:space="preserve"> </w:t>
            </w:r>
            <w:r w:rsidRPr="00E21AE7">
              <w:rPr>
                <w:rFonts w:cs="Arial"/>
              </w:rPr>
              <w:t xml:space="preserve">through the BRD along with the unwanted teleosts and invertebrates (Brewer et al., 1998 in </w:t>
            </w:r>
            <w:hyperlink r:id="rId79" w:history="1">
              <w:r w:rsidRPr="00E21AE7">
                <w:rPr>
                  <w:rStyle w:val="Hyperlink"/>
                  <w:rFonts w:cs="Arial"/>
                  <w:lang w:eastAsia="en-AU"/>
                </w:rPr>
                <w:t>Walton &amp; Jacobsen, 201</w:t>
              </w:r>
              <w:r w:rsidRPr="00E21AE7">
                <w:rPr>
                  <w:rStyle w:val="Hyperlink"/>
                  <w:rFonts w:cs="Arial"/>
                </w:rPr>
                <w:t>9</w:t>
              </w:r>
            </w:hyperlink>
            <w:r w:rsidRPr="00E21AE7">
              <w:rPr>
                <w:rFonts w:cs="Arial"/>
              </w:rPr>
              <w:t xml:space="preserve">). Subsequent studies </w:t>
            </w:r>
            <w:r w:rsidR="009D1744">
              <w:rPr>
                <w:rFonts w:cs="Arial"/>
              </w:rPr>
              <w:t xml:space="preserve">in prawn and scallop trawl fisheries </w:t>
            </w:r>
            <w:r w:rsidRPr="00E21AE7">
              <w:rPr>
                <w:rFonts w:cs="Arial"/>
              </w:rPr>
              <w:t>found that the use of a TED and or a BRD was unlikely to have any effect on whiting catch rates, or on most of the other bycatch species, with the possible exception of large species such as turtles, sharks and rays (</w:t>
            </w:r>
            <w:hyperlink r:id="rId80" w:history="1">
              <w:r w:rsidRPr="00E21AE7">
                <w:rPr>
                  <w:rStyle w:val="Hyperlink"/>
                  <w:rFonts w:cs="Arial"/>
                  <w:lang w:eastAsia="en-AU"/>
                </w:rPr>
                <w:t>Courtney et al., 2007</w:t>
              </w:r>
            </w:hyperlink>
            <w:r w:rsidRPr="00E21AE7">
              <w:rPr>
                <w:rFonts w:cs="Arial"/>
                <w:lang w:eastAsia="en-AU"/>
              </w:rPr>
              <w:t xml:space="preserve">). </w:t>
            </w:r>
            <w:r w:rsidRPr="00E21AE7">
              <w:rPr>
                <w:rFonts w:cs="Arial"/>
              </w:rPr>
              <w:t>A study in the Commonwealth Northern Prawn Fishery reported that the use of TED and or BRD resulted in only a six per cent reduction in target catch, significant reduction in bycatch, and benefits to quality of retained catch (</w:t>
            </w:r>
            <w:hyperlink r:id="rId81" w:history="1">
              <w:r w:rsidRPr="00E21AE7">
                <w:rPr>
                  <w:rStyle w:val="Hyperlink"/>
                  <w:rFonts w:cs="Arial"/>
                </w:rPr>
                <w:t>Brewer et al., 2006</w:t>
              </w:r>
            </w:hyperlink>
            <w:r w:rsidRPr="00E21AE7">
              <w:rPr>
                <w:rFonts w:cs="Arial"/>
              </w:rPr>
              <w:t xml:space="preserve">). </w:t>
            </w:r>
          </w:p>
          <w:p w14:paraId="6FDDC6A6" w14:textId="2FB5EA7D" w:rsidR="00974464" w:rsidRDefault="0002308E" w:rsidP="009D1744">
            <w:pPr>
              <w:spacing w:before="80" w:after="80" w:line="276" w:lineRule="auto"/>
              <w:rPr>
                <w:rFonts w:cs="Arial"/>
                <w:lang w:eastAsia="en-AU"/>
              </w:rPr>
            </w:pPr>
            <w:r w:rsidRPr="00E21AE7">
              <w:rPr>
                <w:rFonts w:cs="Arial"/>
              </w:rPr>
              <w:t>QDAF report that the use of TEDS and BRDs in Danish Seine gear has proven challenging, but also state that there is less need due to Danish Seine as this method is more selective than Otter Trawl (</w:t>
            </w:r>
            <w:proofErr w:type="spellStart"/>
            <w:r w:rsidR="00661B8B">
              <w:fldChar w:fldCharType="begin"/>
            </w:r>
            <w:r w:rsidR="00661B8B">
              <w:instrText xml:space="preserve"> HYPERLINK "http://era.daf.qld.gov.au/id/eprint/6552/1/FOP%</w:instrText>
            </w:r>
            <w:r w:rsidR="00661B8B">
              <w:instrText xml:space="preserve">20Stout%20Whiting%20Report%202012%20final.pdf" </w:instrText>
            </w:r>
            <w:r w:rsidR="00661B8B">
              <w:fldChar w:fldCharType="separate"/>
            </w:r>
            <w:r w:rsidRPr="00E21AE7">
              <w:rPr>
                <w:rStyle w:val="Hyperlink"/>
                <w:rFonts w:cs="Arial"/>
              </w:rPr>
              <w:t>Rowsell</w:t>
            </w:r>
            <w:proofErr w:type="spellEnd"/>
            <w:r w:rsidRPr="00E21AE7">
              <w:rPr>
                <w:rStyle w:val="Hyperlink"/>
                <w:rFonts w:cs="Arial"/>
              </w:rPr>
              <w:t xml:space="preserve"> &amp; Davies, 2012</w:t>
            </w:r>
            <w:r w:rsidR="00661B8B">
              <w:rPr>
                <w:rStyle w:val="Hyperlink"/>
                <w:rFonts w:cs="Arial"/>
              </w:rPr>
              <w:fldChar w:fldCharType="end"/>
            </w:r>
            <w:r w:rsidRPr="00E21AE7">
              <w:rPr>
                <w:rFonts w:cs="Arial"/>
              </w:rPr>
              <w:t xml:space="preserve">; </w:t>
            </w:r>
            <w:hyperlink r:id="rId82"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 xml:space="preserve">). </w:t>
            </w:r>
          </w:p>
          <w:p w14:paraId="19EBBCA1" w14:textId="18F7AAC2" w:rsidR="009D1744" w:rsidRPr="00F8421E" w:rsidRDefault="009D1744" w:rsidP="009D1744">
            <w:pPr>
              <w:spacing w:before="80" w:after="80" w:line="276" w:lineRule="auto"/>
              <w:rPr>
                <w:rFonts w:cs="Arial"/>
                <w:lang w:eastAsia="en-AU"/>
              </w:rPr>
            </w:pPr>
            <w:r w:rsidRPr="00F8421E">
              <w:rPr>
                <w:rFonts w:cs="Arial"/>
                <w:lang w:eastAsia="en-AU"/>
              </w:rPr>
              <w:t xml:space="preserve">QDAF advise that the Danish Seine method uses a slow retrieval which herds certain schooling species, including whiting, and has shorter shot times than other methods. For these reasons </w:t>
            </w:r>
            <w:r w:rsidR="007C386F" w:rsidRPr="00F8421E">
              <w:rPr>
                <w:rFonts w:cs="Arial"/>
                <w:lang w:eastAsia="en-AU"/>
              </w:rPr>
              <w:t>Danish Seine</w:t>
            </w:r>
            <w:r w:rsidRPr="00F8421E">
              <w:rPr>
                <w:rFonts w:cs="Arial"/>
                <w:lang w:eastAsia="en-AU"/>
              </w:rPr>
              <w:t xml:space="preserve"> is considered more selective than other trawl methods and the slow net retrieval and use of on-board hoppers also increase bycatch survival (QDAF pers comm. 3 July 2020).</w:t>
            </w:r>
          </w:p>
          <w:p w14:paraId="0801E1E2" w14:textId="235B3D82" w:rsidR="0002308E" w:rsidRPr="00A5177C" w:rsidRDefault="009D1744" w:rsidP="009D1744">
            <w:pPr>
              <w:spacing w:before="80" w:after="80" w:line="276" w:lineRule="auto"/>
              <w:rPr>
                <w:rFonts w:cs="Arial"/>
                <w:highlight w:val="yellow"/>
                <w:lang w:eastAsia="en-AU"/>
              </w:rPr>
            </w:pPr>
            <w:r w:rsidRPr="00F8421E">
              <w:rPr>
                <w:rFonts w:cs="Arial"/>
                <w:lang w:eastAsia="en-AU"/>
              </w:rPr>
              <w:lastRenderedPageBreak/>
              <w:t xml:space="preserve">QDAF has advised that BRD design and use requires consideration of swimming capacity of target stock. Stout whiting are more effective swimmers than prawns and thus have higher escape rates when BRD are deployed. Studies conducted on prawn trawling operations are therefore not directly transferable to methods that target schooling finfish (QDAF pers comm. 3 July 2020). </w:t>
            </w:r>
            <w:r w:rsidR="007C386F">
              <w:rPr>
                <w:rFonts w:cs="Arial"/>
                <w:lang w:eastAsia="en-AU"/>
              </w:rPr>
              <w:t xml:space="preserve">Notwithstanding, </w:t>
            </w:r>
            <w:r w:rsidR="00974464" w:rsidRPr="00E21AE7">
              <w:rPr>
                <w:rFonts w:cs="Arial"/>
                <w:lang w:eastAsia="en-AU"/>
              </w:rPr>
              <w:t>Danish Seine does catch much more bycatch than other</w:t>
            </w:r>
            <w:r w:rsidR="007C386F">
              <w:rPr>
                <w:rFonts w:cs="Arial"/>
                <w:lang w:eastAsia="en-AU"/>
              </w:rPr>
              <w:t>,</w:t>
            </w:r>
            <w:r w:rsidR="00974464" w:rsidRPr="00E21AE7">
              <w:rPr>
                <w:rFonts w:cs="Arial"/>
                <w:lang w:eastAsia="en-AU"/>
              </w:rPr>
              <w:t xml:space="preserve"> non-trawl</w:t>
            </w:r>
            <w:r w:rsidR="007C386F">
              <w:rPr>
                <w:rFonts w:cs="Arial"/>
                <w:lang w:eastAsia="en-AU"/>
              </w:rPr>
              <w:t>,</w:t>
            </w:r>
            <w:r w:rsidR="00974464" w:rsidRPr="00E21AE7">
              <w:rPr>
                <w:rFonts w:cs="Arial"/>
                <w:lang w:eastAsia="en-AU"/>
              </w:rPr>
              <w:t xml:space="preserve"> methods.</w:t>
            </w:r>
          </w:p>
          <w:p w14:paraId="4B433E9E" w14:textId="77777777" w:rsidR="0002308E" w:rsidRPr="00E21AE7" w:rsidRDefault="0002308E" w:rsidP="007F171B">
            <w:pPr>
              <w:spacing w:before="80" w:after="80" w:line="276" w:lineRule="auto"/>
              <w:rPr>
                <w:rFonts w:cs="Arial"/>
              </w:rPr>
            </w:pPr>
            <w:r w:rsidRPr="00E21AE7">
              <w:rPr>
                <w:rFonts w:cs="Arial"/>
              </w:rPr>
              <w:t>QDAF has listed spatial and temporal closures and limited licence numbers (maximum five) as measures that also contribute to reducing risk to bycatch. However, it is unclear how the risks are affected given areas that were previously closed to fishing for ecological risk mitigation, are now fished under the trial arrangements.</w:t>
            </w:r>
          </w:p>
          <w:p w14:paraId="6DC610FB" w14:textId="4BCD628E" w:rsidR="0002308E" w:rsidRPr="00E21AE7" w:rsidRDefault="0002308E" w:rsidP="007F171B">
            <w:pPr>
              <w:spacing w:before="80" w:after="80" w:line="276" w:lineRule="auto"/>
              <w:rPr>
                <w:rFonts w:cs="Arial"/>
                <w:lang w:eastAsia="en-AU"/>
              </w:rPr>
            </w:pPr>
            <w:r w:rsidRPr="00E21AE7">
              <w:rPr>
                <w:rFonts w:cs="Arial"/>
              </w:rPr>
              <w:t xml:space="preserve">With bycatch reduction technologies continuing to evolve, the fishery should continue to explore ways to manage its impact on bycatch species and take all reasonable steps to minimise its ecological impacts. </w:t>
            </w:r>
            <w:r w:rsidR="005446D9">
              <w:rPr>
                <w:rFonts w:cs="Arial"/>
              </w:rPr>
              <w:t>F</w:t>
            </w:r>
            <w:r w:rsidRPr="00E21AE7">
              <w:rPr>
                <w:rFonts w:cs="Arial"/>
                <w:lang w:eastAsia="en-AU"/>
              </w:rPr>
              <w:t xml:space="preserve">urther work is </w:t>
            </w:r>
            <w:r w:rsidR="005446D9">
              <w:rPr>
                <w:rFonts w:cs="Arial"/>
                <w:lang w:eastAsia="en-AU"/>
              </w:rPr>
              <w:t>also</w:t>
            </w:r>
            <w:r w:rsidRPr="00E21AE7">
              <w:rPr>
                <w:rFonts w:cs="Arial"/>
                <w:lang w:eastAsia="en-AU"/>
              </w:rPr>
              <w:t xml:space="preserve"> required to determine the effectiveness of current bycatch reduction technologies and recommends that </w:t>
            </w:r>
            <w:r w:rsidRPr="00E21AE7">
              <w:rPr>
                <w:rFonts w:cs="Arial"/>
                <w:b/>
              </w:rPr>
              <w:t>condition</w:t>
            </w:r>
            <w:r w:rsidR="005446D9">
              <w:rPr>
                <w:rFonts w:cs="Arial"/>
                <w:b/>
              </w:rPr>
              <w:t>s</w:t>
            </w:r>
            <w:r w:rsidRPr="00E21AE7">
              <w:rPr>
                <w:rFonts w:cs="Arial"/>
                <w:b/>
              </w:rPr>
              <w:t xml:space="preserve"> 1</w:t>
            </w:r>
            <w:r w:rsidR="00DC4C98">
              <w:rPr>
                <w:rFonts w:cs="Arial"/>
                <w:b/>
              </w:rPr>
              <w:t xml:space="preserve"> </w:t>
            </w:r>
            <w:r w:rsidR="00DB6A39">
              <w:rPr>
                <w:rFonts w:cs="Arial"/>
                <w:b/>
              </w:rPr>
              <w:t xml:space="preserve">and 2 </w:t>
            </w:r>
            <w:r w:rsidRPr="00E21AE7">
              <w:rPr>
                <w:rFonts w:cs="Arial"/>
              </w:rPr>
              <w:t xml:space="preserve">be applied to the Part 13 approval, and </w:t>
            </w:r>
            <w:r w:rsidRPr="00E21AE7">
              <w:rPr>
                <w:rFonts w:cs="Arial"/>
                <w:b/>
              </w:rPr>
              <w:t>condition</w:t>
            </w:r>
            <w:r w:rsidR="00DB6A39">
              <w:rPr>
                <w:rFonts w:cs="Arial"/>
                <w:b/>
              </w:rPr>
              <w:t>s</w:t>
            </w:r>
            <w:r w:rsidRPr="00E21AE7">
              <w:rPr>
                <w:rFonts w:cs="Arial"/>
                <w:b/>
              </w:rPr>
              <w:t xml:space="preserve"> 4</w:t>
            </w:r>
            <w:r w:rsidR="00DB6A39">
              <w:rPr>
                <w:rFonts w:cs="Arial"/>
                <w:b/>
              </w:rPr>
              <w:t xml:space="preserve"> and 5</w:t>
            </w:r>
            <w:r w:rsidR="00DC4C98" w:rsidRPr="0075306F">
              <w:rPr>
                <w:rFonts w:cs="Arial"/>
                <w:bCs/>
              </w:rPr>
              <w:t xml:space="preserve"> </w:t>
            </w:r>
            <w:r w:rsidRPr="00E21AE7">
              <w:rPr>
                <w:rFonts w:cs="Arial"/>
              </w:rPr>
              <w:t>be applied to the Part 13A approval to ensure all reasonable steps are taken to minimise bycatch and ensure the fishery remains sustainable.</w:t>
            </w:r>
          </w:p>
        </w:tc>
      </w:tr>
      <w:tr w:rsidR="0002308E" w:rsidRPr="000900EC" w14:paraId="55AA6AED" w14:textId="77777777" w:rsidTr="008903BD">
        <w:trPr>
          <w:cantSplit/>
        </w:trPr>
        <w:tc>
          <w:tcPr>
            <w:tcW w:w="1500" w:type="pct"/>
            <w:shd w:val="clear" w:color="auto" w:fill="FF0000"/>
          </w:tcPr>
          <w:p w14:paraId="595EA94D" w14:textId="77777777" w:rsidR="0002308E" w:rsidRPr="00E21AE7" w:rsidRDefault="0002308E" w:rsidP="007F171B">
            <w:pPr>
              <w:spacing w:before="80" w:after="80" w:line="276" w:lineRule="auto"/>
              <w:rPr>
                <w:rFonts w:cs="Arial"/>
              </w:rPr>
            </w:pPr>
            <w:r w:rsidRPr="00E21AE7">
              <w:rPr>
                <w:rFonts w:cs="Arial"/>
                <w:b/>
                <w:i/>
              </w:rPr>
              <w:lastRenderedPageBreak/>
              <w:t xml:space="preserve">2.1.4 </w:t>
            </w:r>
            <w:r w:rsidRPr="00E21AE7">
              <w:rPr>
                <w:rFonts w:cs="Arial"/>
              </w:rPr>
              <w:t xml:space="preserve">An indicator group of bycatch species is monitored. </w:t>
            </w:r>
          </w:p>
        </w:tc>
        <w:tc>
          <w:tcPr>
            <w:tcW w:w="3500" w:type="pct"/>
            <w:gridSpan w:val="2"/>
            <w:shd w:val="clear" w:color="auto" w:fill="auto"/>
          </w:tcPr>
          <w:p w14:paraId="1F91CFEF" w14:textId="77777777" w:rsidR="0002308E" w:rsidRPr="00E21AE7" w:rsidRDefault="0002308E" w:rsidP="007F171B">
            <w:pPr>
              <w:spacing w:before="80" w:after="80" w:line="276" w:lineRule="auto"/>
              <w:rPr>
                <w:rFonts w:cs="Arial"/>
                <w:b/>
              </w:rPr>
            </w:pPr>
            <w:r w:rsidRPr="00E21AE7">
              <w:rPr>
                <w:rFonts w:cs="Arial"/>
                <w:b/>
              </w:rPr>
              <w:t>Does not meet – no monitoring of any indicator group of bycatch species is in place</w:t>
            </w:r>
          </w:p>
          <w:p w14:paraId="37E2B8F3" w14:textId="77777777" w:rsidR="0002308E" w:rsidRPr="00E21AE7" w:rsidRDefault="0002308E" w:rsidP="007F171B">
            <w:pPr>
              <w:spacing w:before="80" w:after="80" w:line="276" w:lineRule="auto"/>
              <w:rPr>
                <w:rFonts w:cs="Arial"/>
              </w:rPr>
            </w:pPr>
            <w:r w:rsidRPr="00E21AE7">
              <w:rPr>
                <w:rFonts w:cs="Arial"/>
              </w:rPr>
              <w:t>No indicator species or species groups have been identified for monitoring and bycatch data collection and monitoring is also limited and may not be accurate.</w:t>
            </w:r>
          </w:p>
          <w:p w14:paraId="0FDE13CD" w14:textId="214AC2EC" w:rsidR="0002308E" w:rsidRPr="00E21AE7" w:rsidRDefault="0002308E" w:rsidP="007F171B">
            <w:pPr>
              <w:spacing w:before="80" w:after="80" w:line="276" w:lineRule="auto"/>
              <w:rPr>
                <w:rFonts w:cs="Arial"/>
              </w:rPr>
            </w:pPr>
            <w:r w:rsidRPr="00E21AE7">
              <w:rPr>
                <w:rFonts w:cs="Arial"/>
              </w:rPr>
              <w:t>T</w:t>
            </w:r>
            <w:r w:rsidRPr="00E21AE7">
              <w:rPr>
                <w:rFonts w:cs="Arial"/>
                <w:lang w:eastAsia="en-AU"/>
              </w:rPr>
              <w:t xml:space="preserve">he Department recommends that </w:t>
            </w:r>
            <w:r w:rsidRPr="00E21AE7">
              <w:rPr>
                <w:rFonts w:cs="Arial"/>
                <w:b/>
                <w:lang w:eastAsia="en-AU"/>
              </w:rPr>
              <w:t>condition</w:t>
            </w:r>
            <w:r w:rsidR="00DB6A39">
              <w:rPr>
                <w:rFonts w:cs="Arial"/>
                <w:b/>
                <w:lang w:eastAsia="en-AU"/>
              </w:rPr>
              <w:t>s</w:t>
            </w:r>
            <w:r w:rsidRPr="00E21AE7">
              <w:rPr>
                <w:rFonts w:cs="Arial"/>
                <w:b/>
                <w:lang w:eastAsia="en-AU"/>
              </w:rPr>
              <w:t xml:space="preserve"> </w:t>
            </w:r>
            <w:r w:rsidR="00024D69">
              <w:rPr>
                <w:rFonts w:cs="Arial"/>
                <w:b/>
                <w:lang w:eastAsia="en-AU"/>
              </w:rPr>
              <w:t>1</w:t>
            </w:r>
            <w:r w:rsidR="00DB6A39">
              <w:rPr>
                <w:rFonts w:cs="Arial"/>
                <w:b/>
                <w:lang w:eastAsia="en-AU"/>
              </w:rPr>
              <w:t xml:space="preserve"> and 2</w:t>
            </w:r>
            <w:r w:rsidR="003475B0" w:rsidRPr="0075306F">
              <w:rPr>
                <w:rFonts w:cs="Arial"/>
                <w:bCs/>
                <w:lang w:eastAsia="en-AU"/>
              </w:rPr>
              <w:t xml:space="preserve"> </w:t>
            </w:r>
            <w:r w:rsidRPr="00E21AE7">
              <w:rPr>
                <w:rFonts w:cs="Arial"/>
                <w:lang w:eastAsia="en-AU"/>
              </w:rPr>
              <w:t xml:space="preserve">be applied to the Part 13 approval and </w:t>
            </w:r>
            <w:r w:rsidRPr="00E21AE7">
              <w:rPr>
                <w:rFonts w:cs="Arial"/>
                <w:b/>
                <w:lang w:eastAsia="en-AU"/>
              </w:rPr>
              <w:t>condition</w:t>
            </w:r>
            <w:r w:rsidR="003475B0">
              <w:rPr>
                <w:rFonts w:cs="Arial"/>
                <w:b/>
                <w:lang w:eastAsia="en-AU"/>
              </w:rPr>
              <w:t>s</w:t>
            </w:r>
            <w:r w:rsidRPr="00E21AE7">
              <w:rPr>
                <w:rFonts w:cs="Arial"/>
                <w:b/>
                <w:lang w:eastAsia="en-AU"/>
              </w:rPr>
              <w:t> 4</w:t>
            </w:r>
            <w:r w:rsidR="00DB6A39">
              <w:rPr>
                <w:rFonts w:cs="Arial"/>
                <w:b/>
                <w:lang w:eastAsia="en-AU"/>
              </w:rPr>
              <w:t>-6</w:t>
            </w:r>
            <w:r w:rsidR="00024D69" w:rsidRPr="00E21AE7">
              <w:rPr>
                <w:rFonts w:cs="Arial"/>
                <w:lang w:eastAsia="en-AU"/>
              </w:rPr>
              <w:t xml:space="preserve"> </w:t>
            </w:r>
            <w:r w:rsidRPr="00E21AE7">
              <w:rPr>
                <w:rFonts w:cs="Arial"/>
                <w:lang w:eastAsia="en-AU"/>
              </w:rPr>
              <w:t>be applied to the Part 13A approval to ensure there is reliable data and regular and robust assessments of stocks, including bycatch in the fishery, and that all species are managed in a precautionary way.</w:t>
            </w:r>
          </w:p>
        </w:tc>
      </w:tr>
      <w:tr w:rsidR="0002308E" w:rsidRPr="000900EC" w14:paraId="030CA347" w14:textId="77777777" w:rsidTr="008903BD">
        <w:trPr>
          <w:cantSplit/>
        </w:trPr>
        <w:tc>
          <w:tcPr>
            <w:tcW w:w="1500" w:type="pct"/>
            <w:shd w:val="clear" w:color="auto" w:fill="FF0000"/>
          </w:tcPr>
          <w:p w14:paraId="05D4DC92" w14:textId="77777777" w:rsidR="0002308E" w:rsidRPr="00E21AE7" w:rsidRDefault="0002308E" w:rsidP="007F171B">
            <w:pPr>
              <w:spacing w:before="80" w:after="80" w:line="276" w:lineRule="auto"/>
              <w:rPr>
                <w:rFonts w:cs="Arial"/>
                <w:i/>
              </w:rPr>
            </w:pPr>
            <w:r w:rsidRPr="00E21AE7">
              <w:rPr>
                <w:rFonts w:cs="Arial"/>
                <w:b/>
                <w:i/>
              </w:rPr>
              <w:t xml:space="preserve">2.1.5 </w:t>
            </w:r>
            <w:r w:rsidRPr="00E21AE7">
              <w:rPr>
                <w:rFonts w:cs="Arial"/>
              </w:rPr>
              <w:t>There are decision rules that trigger additional management measures when there are significant perturbations in the indicator species numbers</w:t>
            </w:r>
            <w:r w:rsidRPr="00E21AE7">
              <w:rPr>
                <w:rFonts w:cs="Arial"/>
                <w:i/>
              </w:rPr>
              <w:t xml:space="preserve">. </w:t>
            </w:r>
          </w:p>
        </w:tc>
        <w:tc>
          <w:tcPr>
            <w:tcW w:w="3500" w:type="pct"/>
            <w:gridSpan w:val="2"/>
            <w:shd w:val="clear" w:color="auto" w:fill="auto"/>
          </w:tcPr>
          <w:p w14:paraId="521E71AE" w14:textId="77777777" w:rsidR="0002308E" w:rsidRPr="00E21AE7" w:rsidRDefault="0002308E" w:rsidP="007F171B">
            <w:pPr>
              <w:spacing w:before="80" w:after="80" w:line="276" w:lineRule="auto"/>
              <w:rPr>
                <w:rFonts w:cs="Arial"/>
                <w:b/>
              </w:rPr>
            </w:pPr>
            <w:r w:rsidRPr="00E21AE7">
              <w:rPr>
                <w:rFonts w:cs="Arial"/>
                <w:b/>
              </w:rPr>
              <w:t>Does not meet – no performance measures implemented</w:t>
            </w:r>
          </w:p>
          <w:p w14:paraId="74FBF33B" w14:textId="77777777" w:rsidR="0002308E" w:rsidRPr="00E21AE7" w:rsidRDefault="0002308E" w:rsidP="007F171B">
            <w:pPr>
              <w:spacing w:before="80" w:after="80" w:line="276" w:lineRule="auto"/>
              <w:rPr>
                <w:rFonts w:cs="Arial"/>
              </w:rPr>
            </w:pPr>
            <w:r w:rsidRPr="00E21AE7">
              <w:rPr>
                <w:rFonts w:cs="Arial"/>
              </w:rPr>
              <w:t xml:space="preserve">There are no reference points or management triggers in the CTFFF. </w:t>
            </w:r>
          </w:p>
          <w:p w14:paraId="00AF022B" w14:textId="009257FE" w:rsidR="0002308E" w:rsidRPr="00E21AE7" w:rsidRDefault="0002308E" w:rsidP="007F171B">
            <w:pPr>
              <w:spacing w:before="80" w:after="80" w:line="276" w:lineRule="auto"/>
              <w:rPr>
                <w:rFonts w:cs="Arial"/>
              </w:rPr>
            </w:pPr>
            <w:r w:rsidRPr="00E21AE7">
              <w:rPr>
                <w:rFonts w:cs="Arial"/>
              </w:rPr>
              <w:t xml:space="preserve">A harvest strategy for the CTFFF is expected to be developed </w:t>
            </w:r>
            <w:r w:rsidR="0075306F">
              <w:rPr>
                <w:rFonts w:cs="Arial"/>
              </w:rPr>
              <w:t xml:space="preserve">in 2021 </w:t>
            </w:r>
            <w:r w:rsidRPr="00E21AE7">
              <w:rPr>
                <w:rFonts w:cs="Arial"/>
              </w:rPr>
              <w:t>as part of the Queensland Government’s Sustainable Fisheries Strategy 2017–2027. This harvest strategy is expected to include target and limit reference points that trigger management actions and be implemented in 2021.</w:t>
            </w:r>
          </w:p>
          <w:p w14:paraId="54F2D61B" w14:textId="3FB66102" w:rsidR="0002308E" w:rsidRPr="00E21AE7" w:rsidRDefault="002D7E89" w:rsidP="007F171B">
            <w:pPr>
              <w:spacing w:before="80" w:after="80" w:line="276" w:lineRule="auto"/>
              <w:rPr>
                <w:rFonts w:cs="Arial"/>
              </w:rPr>
            </w:pPr>
            <w:r>
              <w:rPr>
                <w:rFonts w:cs="Arial"/>
              </w:rPr>
              <w:t>T</w:t>
            </w:r>
            <w:r w:rsidR="003475B0">
              <w:rPr>
                <w:rFonts w:cs="Arial"/>
              </w:rPr>
              <w:t>he management arrangements are likely to be effective until a harvest strategy is implemented.</w:t>
            </w:r>
          </w:p>
        </w:tc>
      </w:tr>
      <w:tr w:rsidR="0002308E" w:rsidRPr="000900EC" w14:paraId="6627E5B2" w14:textId="77777777" w:rsidTr="008903BD">
        <w:trPr>
          <w:cantSplit/>
        </w:trPr>
        <w:tc>
          <w:tcPr>
            <w:tcW w:w="1500" w:type="pct"/>
            <w:shd w:val="clear" w:color="auto" w:fill="FFC000"/>
          </w:tcPr>
          <w:p w14:paraId="16E09517" w14:textId="77777777" w:rsidR="0002308E" w:rsidRPr="00E21AE7" w:rsidRDefault="0002308E" w:rsidP="007F171B">
            <w:pPr>
              <w:spacing w:before="80" w:after="80" w:line="276" w:lineRule="auto"/>
              <w:rPr>
                <w:rFonts w:cs="Arial"/>
              </w:rPr>
            </w:pPr>
            <w:r w:rsidRPr="00E21AE7">
              <w:rPr>
                <w:rFonts w:cs="Arial"/>
                <w:b/>
                <w:i/>
              </w:rPr>
              <w:lastRenderedPageBreak/>
              <w:t xml:space="preserve">2.1.6 </w:t>
            </w:r>
            <w:r w:rsidRPr="00E21AE7">
              <w:rPr>
                <w:rFonts w:cs="Arial"/>
              </w:rPr>
              <w:t>The management response, considering uncertainties in the assessment and precautionary management actions, has a high chance of achieving the objective.</w:t>
            </w:r>
          </w:p>
        </w:tc>
        <w:tc>
          <w:tcPr>
            <w:tcW w:w="3500" w:type="pct"/>
            <w:gridSpan w:val="2"/>
            <w:shd w:val="clear" w:color="auto" w:fill="auto"/>
          </w:tcPr>
          <w:p w14:paraId="40C452F9" w14:textId="77777777" w:rsidR="0002308E" w:rsidRPr="00E21AE7" w:rsidRDefault="0002308E" w:rsidP="007F171B">
            <w:pPr>
              <w:spacing w:before="80" w:after="80" w:line="276" w:lineRule="auto"/>
              <w:rPr>
                <w:rFonts w:cs="Arial"/>
                <w:b/>
              </w:rPr>
            </w:pPr>
            <w:r w:rsidRPr="00E21AE7">
              <w:rPr>
                <w:rFonts w:cs="Arial"/>
                <w:b/>
              </w:rPr>
              <w:t>Partially meets – concerns regarding data to monitor and manage risks to bycatch species</w:t>
            </w:r>
          </w:p>
          <w:p w14:paraId="46AFED1A" w14:textId="352F7071" w:rsidR="0002308E" w:rsidRPr="00E21AE7" w:rsidRDefault="0002308E" w:rsidP="007F171B">
            <w:pPr>
              <w:spacing w:before="80" w:after="80" w:line="276" w:lineRule="auto"/>
              <w:rPr>
                <w:rFonts w:cs="Arial"/>
              </w:rPr>
            </w:pPr>
            <w:r w:rsidRPr="00E21AE7">
              <w:rPr>
                <w:rFonts w:cs="Arial"/>
              </w:rPr>
              <w:t xml:space="preserve">Risks to bycatch species were identified as low, however important management changes such as the commencement of fishing in areas previously closed as part of the ecological risk management strategy for the CTFFF should have been considered in the ERA for the fishery. There are concerns regarding the accuracy and adequacy of reporting for non-retained catch and there is also no monitoring of any indicator species groups and no performance measures in place for the fishery. These issues are expected to be addressed under the Queensland Government’s Sustainable Fisheries Strategy 2017-2027 and the Department has proposed </w:t>
            </w:r>
            <w:r w:rsidRPr="00E21AE7">
              <w:rPr>
                <w:rFonts w:cs="Arial"/>
                <w:b/>
              </w:rPr>
              <w:t>condition</w:t>
            </w:r>
            <w:r w:rsidR="00DB6A39">
              <w:rPr>
                <w:rFonts w:cs="Arial"/>
                <w:b/>
              </w:rPr>
              <w:t>s</w:t>
            </w:r>
            <w:r w:rsidRPr="00E21AE7">
              <w:rPr>
                <w:rFonts w:cs="Arial"/>
                <w:b/>
              </w:rPr>
              <w:t xml:space="preserve"> 1</w:t>
            </w:r>
            <w:r w:rsidR="00DB6A39">
              <w:rPr>
                <w:rFonts w:cs="Arial"/>
                <w:b/>
              </w:rPr>
              <w:t xml:space="preserve"> and 2</w:t>
            </w:r>
            <w:r w:rsidR="00DC4C98" w:rsidRPr="0075306F">
              <w:rPr>
                <w:rFonts w:cs="Arial"/>
                <w:bCs/>
              </w:rPr>
              <w:t xml:space="preserve"> </w:t>
            </w:r>
            <w:r w:rsidRPr="00E21AE7">
              <w:rPr>
                <w:rFonts w:cs="Arial"/>
              </w:rPr>
              <w:t xml:space="preserve">on the Part 13 approval, and </w:t>
            </w:r>
            <w:r w:rsidRPr="00E21AE7">
              <w:rPr>
                <w:rFonts w:cs="Arial"/>
                <w:b/>
              </w:rPr>
              <w:t>conditions 4</w:t>
            </w:r>
            <w:r w:rsidR="00DB6A39">
              <w:rPr>
                <w:rFonts w:cs="Arial"/>
                <w:b/>
              </w:rPr>
              <w:t>-6</w:t>
            </w:r>
            <w:r w:rsidR="00024D69" w:rsidRPr="00E21AE7">
              <w:rPr>
                <w:rFonts w:cs="Arial"/>
              </w:rPr>
              <w:t xml:space="preserve"> </w:t>
            </w:r>
            <w:r w:rsidRPr="00E21AE7">
              <w:rPr>
                <w:rFonts w:cs="Arial"/>
              </w:rPr>
              <w:t xml:space="preserve">on the Part 13A approval to ensure these issues are addressed by </w:t>
            </w:r>
            <w:r w:rsidR="00DB6A39" w:rsidRPr="00E21AE7">
              <w:rPr>
                <w:rFonts w:cs="Arial"/>
                <w:b/>
              </w:rPr>
              <w:t>3</w:t>
            </w:r>
            <w:r w:rsidR="00DB6A39">
              <w:rPr>
                <w:rFonts w:cs="Arial"/>
                <w:b/>
              </w:rPr>
              <w:t>1 December</w:t>
            </w:r>
            <w:r w:rsidR="00DB6A39" w:rsidRPr="00E21AE7">
              <w:rPr>
                <w:rFonts w:cs="Arial"/>
                <w:b/>
              </w:rPr>
              <w:t xml:space="preserve"> </w:t>
            </w:r>
            <w:r w:rsidRPr="00E21AE7">
              <w:rPr>
                <w:rFonts w:cs="Arial"/>
                <w:b/>
              </w:rPr>
              <w:t>2021</w:t>
            </w:r>
            <w:r w:rsidRPr="00E21AE7">
              <w:rPr>
                <w:rFonts w:cs="Arial"/>
              </w:rPr>
              <w:t>.</w:t>
            </w:r>
          </w:p>
        </w:tc>
      </w:tr>
      <w:tr w:rsidR="0002308E" w:rsidRPr="000900EC" w14:paraId="5C7E4D9E" w14:textId="77777777" w:rsidTr="00796D99">
        <w:trPr>
          <w:cantSplit/>
        </w:trPr>
        <w:tc>
          <w:tcPr>
            <w:tcW w:w="5000" w:type="pct"/>
            <w:gridSpan w:val="3"/>
            <w:shd w:val="clear" w:color="auto" w:fill="CCC0D9"/>
          </w:tcPr>
          <w:p w14:paraId="23A3C30B" w14:textId="77777777" w:rsidR="0002308E" w:rsidRPr="00E21AE7" w:rsidRDefault="0002308E" w:rsidP="009D2C9E">
            <w:pPr>
              <w:keepNext/>
              <w:spacing w:before="80" w:after="80" w:line="276" w:lineRule="auto"/>
              <w:rPr>
                <w:rFonts w:cs="Arial"/>
                <w:b/>
              </w:rPr>
            </w:pPr>
            <w:r w:rsidRPr="00E21AE7">
              <w:rPr>
                <w:rFonts w:cs="Arial"/>
                <w:b/>
              </w:rPr>
              <w:t xml:space="preserve">Objective 2 – </w:t>
            </w:r>
            <w:r w:rsidRPr="00E21AE7">
              <w:rPr>
                <w:rFonts w:cs="Arial"/>
              </w:rPr>
              <w:t xml:space="preserve">The fishery is conducted in a manner that avoids mortality of, or injuries to, endangered, </w:t>
            </w:r>
            <w:proofErr w:type="gramStart"/>
            <w:r w:rsidRPr="00E21AE7">
              <w:rPr>
                <w:rFonts w:cs="Arial"/>
              </w:rPr>
              <w:t>threatened</w:t>
            </w:r>
            <w:proofErr w:type="gramEnd"/>
            <w:r w:rsidRPr="00E21AE7">
              <w:rPr>
                <w:rFonts w:cs="Arial"/>
              </w:rPr>
              <w:t xml:space="preserve"> or protected species and avoids or minimises impacts on threatened ecological communities.</w:t>
            </w:r>
          </w:p>
        </w:tc>
      </w:tr>
      <w:tr w:rsidR="0002308E" w:rsidRPr="000900EC" w14:paraId="36F7D859" w14:textId="77777777" w:rsidTr="00796D99">
        <w:trPr>
          <w:cantSplit/>
        </w:trPr>
        <w:tc>
          <w:tcPr>
            <w:tcW w:w="5000" w:type="pct"/>
            <w:gridSpan w:val="3"/>
            <w:shd w:val="clear" w:color="auto" w:fill="E5DFEC"/>
          </w:tcPr>
          <w:p w14:paraId="74749151" w14:textId="77777777" w:rsidR="0002308E" w:rsidRPr="00E21AE7" w:rsidRDefault="0002308E" w:rsidP="009D2C9E">
            <w:pPr>
              <w:keepNext/>
              <w:spacing w:before="80" w:after="80" w:line="276" w:lineRule="auto"/>
              <w:rPr>
                <w:rFonts w:cs="Arial"/>
              </w:rPr>
            </w:pPr>
            <w:r w:rsidRPr="00E21AE7">
              <w:rPr>
                <w:rFonts w:cs="Arial"/>
                <w:b/>
                <w:i/>
              </w:rPr>
              <w:t xml:space="preserve">Information requirements </w:t>
            </w:r>
          </w:p>
        </w:tc>
      </w:tr>
      <w:tr w:rsidR="0002308E" w:rsidRPr="000900EC" w14:paraId="29540DB1" w14:textId="77777777" w:rsidTr="008903BD">
        <w:trPr>
          <w:cantSplit/>
        </w:trPr>
        <w:tc>
          <w:tcPr>
            <w:tcW w:w="1500" w:type="pct"/>
            <w:shd w:val="clear" w:color="auto" w:fill="FFC000"/>
          </w:tcPr>
          <w:p w14:paraId="5D3394FD" w14:textId="77777777" w:rsidR="0002308E" w:rsidRPr="00E21AE7" w:rsidRDefault="0002308E" w:rsidP="007F171B">
            <w:pPr>
              <w:spacing w:before="80" w:after="80" w:line="276" w:lineRule="auto"/>
              <w:rPr>
                <w:rFonts w:cs="Arial"/>
              </w:rPr>
            </w:pPr>
            <w:r w:rsidRPr="00E21AE7">
              <w:rPr>
                <w:rFonts w:cs="Arial"/>
                <w:b/>
                <w:i/>
              </w:rPr>
              <w:t xml:space="preserve">2.2.1 </w:t>
            </w:r>
            <w:r w:rsidRPr="00E21AE7">
              <w:rPr>
                <w:rFonts w:cs="Arial"/>
              </w:rPr>
              <w:t xml:space="preserve">Reliable information is collected on the interaction with endangered, </w:t>
            </w:r>
            <w:proofErr w:type="gramStart"/>
            <w:r w:rsidRPr="00E21AE7">
              <w:rPr>
                <w:rFonts w:cs="Arial"/>
              </w:rPr>
              <w:t>threatened</w:t>
            </w:r>
            <w:proofErr w:type="gramEnd"/>
            <w:r w:rsidRPr="00E21AE7">
              <w:rPr>
                <w:rFonts w:cs="Arial"/>
              </w:rPr>
              <w:t xml:space="preserve"> or protected species and threatened ecological communities. </w:t>
            </w:r>
          </w:p>
        </w:tc>
        <w:tc>
          <w:tcPr>
            <w:tcW w:w="3500" w:type="pct"/>
            <w:gridSpan w:val="2"/>
            <w:shd w:val="clear" w:color="auto" w:fill="auto"/>
          </w:tcPr>
          <w:p w14:paraId="1EE792C4" w14:textId="77777777" w:rsidR="0002308E" w:rsidRPr="00E21AE7" w:rsidRDefault="0002308E" w:rsidP="007F171B">
            <w:pPr>
              <w:spacing w:before="80" w:after="80" w:line="276" w:lineRule="auto"/>
              <w:rPr>
                <w:rFonts w:cs="Arial"/>
                <w:b/>
              </w:rPr>
            </w:pPr>
            <w:r w:rsidRPr="00E21AE7">
              <w:rPr>
                <w:rFonts w:cs="Arial"/>
                <w:b/>
              </w:rPr>
              <w:t>Partially meets – logbooks used but records may not be accurate or complete</w:t>
            </w:r>
          </w:p>
          <w:p w14:paraId="34F62F69" w14:textId="77777777" w:rsidR="0002308E" w:rsidRPr="00E21AE7" w:rsidRDefault="0002308E" w:rsidP="007F171B">
            <w:pPr>
              <w:spacing w:before="80" w:after="80" w:line="276" w:lineRule="auto"/>
              <w:rPr>
                <w:rFonts w:cs="Arial"/>
              </w:rPr>
            </w:pPr>
            <w:r w:rsidRPr="00E21AE7">
              <w:rPr>
                <w:rFonts w:cs="Arial"/>
              </w:rPr>
              <w:t xml:space="preserve">Queensland commercial fishers are required to report all interactions with protected species using QDAF approved logbooks but to date have only ever reported interactions with sea snakes during the 2009-2010 observer period. Observer coverage undertaken in the fishery during 2009-2010 reported relatively few interactions with protected species, but these included 13 sea snakes and 12 pipe horses (over 500 shots observed. </w:t>
            </w:r>
            <w:hyperlink r:id="rId83" w:history="1">
              <w:proofErr w:type="spellStart"/>
              <w:r w:rsidRPr="00E21AE7">
                <w:rPr>
                  <w:rStyle w:val="Hyperlink"/>
                  <w:rFonts w:cs="Arial"/>
                </w:rPr>
                <w:t>Rowsell</w:t>
              </w:r>
              <w:proofErr w:type="spellEnd"/>
              <w:r w:rsidRPr="00E21AE7">
                <w:rPr>
                  <w:rStyle w:val="Hyperlink"/>
                  <w:rFonts w:cs="Arial"/>
                </w:rPr>
                <w:t xml:space="preserve"> &amp; Davies, 2012</w:t>
              </w:r>
            </w:hyperlink>
            <w:r w:rsidRPr="00E21AE7">
              <w:rPr>
                <w:rFonts w:cs="Arial"/>
              </w:rPr>
              <w:t>). It is unlikely that pipe horses have not been encountered before or since this observer coverage. If misreporting is occurring, it may be because fishers in the CTFFF do not realise that pipe horses are protected under the EPBC Act and must be reported.</w:t>
            </w:r>
          </w:p>
          <w:p w14:paraId="6385B08D" w14:textId="77F96628" w:rsidR="0002308E" w:rsidRPr="00E21AE7" w:rsidRDefault="0002308E" w:rsidP="007F171B">
            <w:pPr>
              <w:spacing w:before="80" w:after="80" w:line="276" w:lineRule="auto"/>
              <w:rPr>
                <w:rFonts w:cs="Arial"/>
              </w:rPr>
            </w:pPr>
            <w:r w:rsidRPr="00E21AE7">
              <w:rPr>
                <w:rFonts w:cs="Arial"/>
              </w:rPr>
              <w:t xml:space="preserve">The Department is aware that two pipe horse species, which together comprise most of the pipe horse interactions reported by observers in the CTFFF, can be harvested in limited numbers in the </w:t>
            </w:r>
            <w:r w:rsidRPr="00E21AE7">
              <w:rPr>
                <w:rFonts w:cs="Arial"/>
                <w:lang w:eastAsia="en-AU"/>
              </w:rPr>
              <w:t xml:space="preserve">East Coast Otter Trawl Fishery. It is possible, that CTFFF fishers </w:t>
            </w:r>
            <w:r w:rsidR="005446D9">
              <w:rPr>
                <w:rFonts w:cs="Arial"/>
                <w:lang w:eastAsia="en-AU"/>
              </w:rPr>
              <w:t>assume</w:t>
            </w:r>
            <w:r w:rsidR="005446D9" w:rsidRPr="00E21AE7">
              <w:rPr>
                <w:rFonts w:cs="Arial"/>
                <w:lang w:eastAsia="en-AU"/>
              </w:rPr>
              <w:t xml:space="preserve"> </w:t>
            </w:r>
            <w:r w:rsidRPr="00E21AE7">
              <w:rPr>
                <w:rFonts w:cs="Arial"/>
                <w:lang w:eastAsia="en-AU"/>
              </w:rPr>
              <w:t>that because the East Coast Otter Trawl Fishery</w:t>
            </w:r>
            <w:r w:rsidRPr="00E21AE7">
              <w:rPr>
                <w:rFonts w:cs="Arial"/>
              </w:rPr>
              <w:t xml:space="preserve"> can take pipe horses </w:t>
            </w:r>
            <w:proofErr w:type="gramStart"/>
            <w:r w:rsidRPr="00E21AE7">
              <w:rPr>
                <w:rFonts w:cs="Arial"/>
              </w:rPr>
              <w:t>in the area of</w:t>
            </w:r>
            <w:proofErr w:type="gramEnd"/>
            <w:r w:rsidRPr="00E21AE7">
              <w:rPr>
                <w:rFonts w:cs="Arial"/>
              </w:rPr>
              <w:t xml:space="preserve"> the CTFFF, that the species are not legally protected, and interactions therefore not required to be reported. Accurate information must be available to monitor and manage the impacts of the fishery on protected species.</w:t>
            </w:r>
          </w:p>
          <w:p w14:paraId="1AD2F029" w14:textId="623D44FF" w:rsidR="0002308E" w:rsidRPr="00E21AE7" w:rsidRDefault="0002308E" w:rsidP="007F171B">
            <w:pPr>
              <w:spacing w:before="80" w:after="80" w:line="276" w:lineRule="auto"/>
              <w:rPr>
                <w:rFonts w:cs="Arial"/>
              </w:rPr>
            </w:pPr>
            <w:r w:rsidRPr="00E21AE7">
              <w:rPr>
                <w:rFonts w:cs="Arial"/>
              </w:rPr>
              <w:t>T</w:t>
            </w:r>
            <w:r w:rsidRPr="00E21AE7">
              <w:rPr>
                <w:rFonts w:cs="Arial"/>
                <w:lang w:eastAsia="en-AU"/>
              </w:rPr>
              <w:t xml:space="preserve">he Department recommends that </w:t>
            </w:r>
            <w:r w:rsidRPr="00E21AE7">
              <w:rPr>
                <w:rFonts w:cs="Arial"/>
                <w:b/>
                <w:lang w:eastAsia="en-AU"/>
              </w:rPr>
              <w:t>condition</w:t>
            </w:r>
            <w:r w:rsidR="00DB6A39">
              <w:rPr>
                <w:rFonts w:cs="Arial"/>
                <w:b/>
                <w:lang w:eastAsia="en-AU"/>
              </w:rPr>
              <w:t>s</w:t>
            </w:r>
            <w:r w:rsidRPr="00E21AE7">
              <w:rPr>
                <w:rFonts w:cs="Arial"/>
                <w:b/>
                <w:lang w:eastAsia="en-AU"/>
              </w:rPr>
              <w:t xml:space="preserve"> 1</w:t>
            </w:r>
            <w:r w:rsidR="00DB6A39">
              <w:rPr>
                <w:rFonts w:cs="Arial"/>
                <w:b/>
                <w:lang w:eastAsia="en-AU"/>
              </w:rPr>
              <w:t xml:space="preserve"> and 2</w:t>
            </w:r>
            <w:r w:rsidR="00DC4C98">
              <w:rPr>
                <w:rFonts w:cs="Arial"/>
                <w:lang w:eastAsia="en-AU"/>
              </w:rPr>
              <w:t xml:space="preserve"> </w:t>
            </w:r>
            <w:r w:rsidRPr="00E21AE7">
              <w:rPr>
                <w:rFonts w:cs="Arial"/>
                <w:lang w:eastAsia="en-AU"/>
              </w:rPr>
              <w:t xml:space="preserve">be applied to the Part 13 approval and </w:t>
            </w:r>
            <w:r w:rsidRPr="00E21AE7">
              <w:rPr>
                <w:rFonts w:cs="Arial"/>
                <w:b/>
                <w:lang w:eastAsia="en-AU"/>
              </w:rPr>
              <w:t>condition</w:t>
            </w:r>
            <w:r w:rsidR="00DB6A39">
              <w:rPr>
                <w:rFonts w:cs="Arial"/>
                <w:b/>
                <w:lang w:eastAsia="en-AU"/>
              </w:rPr>
              <w:t>s</w:t>
            </w:r>
            <w:r w:rsidR="00DC4C98">
              <w:rPr>
                <w:rFonts w:cs="Arial"/>
                <w:b/>
                <w:lang w:eastAsia="en-AU"/>
              </w:rPr>
              <w:t xml:space="preserve"> </w:t>
            </w:r>
            <w:r w:rsidRPr="00E21AE7">
              <w:rPr>
                <w:rFonts w:cs="Arial"/>
                <w:b/>
                <w:lang w:eastAsia="en-AU"/>
              </w:rPr>
              <w:t>4</w:t>
            </w:r>
            <w:r w:rsidR="00DB6A39">
              <w:rPr>
                <w:rFonts w:cs="Arial"/>
                <w:b/>
                <w:lang w:eastAsia="en-AU"/>
              </w:rPr>
              <w:t xml:space="preserve"> and 5</w:t>
            </w:r>
            <w:r w:rsidR="00024D69" w:rsidRPr="00E21AE7">
              <w:rPr>
                <w:rFonts w:cs="Arial"/>
                <w:lang w:eastAsia="en-AU"/>
              </w:rPr>
              <w:t xml:space="preserve"> </w:t>
            </w:r>
            <w:r w:rsidRPr="00E21AE7">
              <w:rPr>
                <w:rFonts w:cs="Arial"/>
                <w:lang w:eastAsia="en-AU"/>
              </w:rPr>
              <w:t>be applied to the Part 13A approval to ensure there is reliable data collection, monitoring and risk mitigation for all protected species and communities impacted by the CTFFF.</w:t>
            </w:r>
          </w:p>
        </w:tc>
      </w:tr>
      <w:tr w:rsidR="0002308E" w:rsidRPr="000900EC" w14:paraId="0265A0B4" w14:textId="77777777" w:rsidTr="00796D99">
        <w:trPr>
          <w:cantSplit/>
        </w:trPr>
        <w:tc>
          <w:tcPr>
            <w:tcW w:w="5000" w:type="pct"/>
            <w:gridSpan w:val="3"/>
            <w:shd w:val="clear" w:color="auto" w:fill="E5DFEC"/>
          </w:tcPr>
          <w:p w14:paraId="189E0D01" w14:textId="77777777" w:rsidR="0002308E" w:rsidRPr="00E21AE7" w:rsidRDefault="0002308E" w:rsidP="009D2C9E">
            <w:pPr>
              <w:keepNext/>
              <w:spacing w:before="80" w:after="80" w:line="276" w:lineRule="auto"/>
              <w:rPr>
                <w:rFonts w:cs="Arial"/>
                <w:b/>
                <w:i/>
              </w:rPr>
            </w:pPr>
            <w:r w:rsidRPr="00E21AE7">
              <w:rPr>
                <w:rFonts w:cs="Arial"/>
                <w:b/>
                <w:i/>
              </w:rPr>
              <w:lastRenderedPageBreak/>
              <w:t xml:space="preserve">Assessments </w:t>
            </w:r>
          </w:p>
        </w:tc>
      </w:tr>
      <w:tr w:rsidR="0002308E" w:rsidRPr="000900EC" w14:paraId="2754D284" w14:textId="77777777" w:rsidTr="008903BD">
        <w:trPr>
          <w:cantSplit/>
        </w:trPr>
        <w:tc>
          <w:tcPr>
            <w:tcW w:w="1500" w:type="pct"/>
            <w:shd w:val="clear" w:color="auto" w:fill="FFC000"/>
          </w:tcPr>
          <w:p w14:paraId="0FD2DBDB" w14:textId="77777777" w:rsidR="0002308E" w:rsidRPr="00E21AE7" w:rsidRDefault="0002308E" w:rsidP="007F171B">
            <w:pPr>
              <w:spacing w:before="80" w:after="80" w:line="276" w:lineRule="auto"/>
              <w:rPr>
                <w:rFonts w:cs="Arial"/>
              </w:rPr>
            </w:pPr>
            <w:r w:rsidRPr="00E21AE7">
              <w:rPr>
                <w:rFonts w:cs="Arial"/>
                <w:b/>
                <w:i/>
              </w:rPr>
              <w:t xml:space="preserve">2.2.2 </w:t>
            </w:r>
            <w:r w:rsidRPr="00E21AE7">
              <w:rPr>
                <w:rFonts w:cs="Arial"/>
              </w:rPr>
              <w:t xml:space="preserve">There is an assessment of the impact of the fishery on endangered, </w:t>
            </w:r>
            <w:proofErr w:type="gramStart"/>
            <w:r w:rsidRPr="00E21AE7">
              <w:rPr>
                <w:rFonts w:cs="Arial"/>
              </w:rPr>
              <w:t>threatened</w:t>
            </w:r>
            <w:proofErr w:type="gramEnd"/>
            <w:r w:rsidRPr="00E21AE7">
              <w:rPr>
                <w:rFonts w:cs="Arial"/>
              </w:rPr>
              <w:t xml:space="preserve"> or protected species. </w:t>
            </w:r>
          </w:p>
        </w:tc>
        <w:tc>
          <w:tcPr>
            <w:tcW w:w="3500" w:type="pct"/>
            <w:gridSpan w:val="2"/>
            <w:shd w:val="clear" w:color="auto" w:fill="auto"/>
          </w:tcPr>
          <w:p w14:paraId="27491876" w14:textId="77777777" w:rsidR="0002308E" w:rsidRPr="00E21AE7" w:rsidRDefault="0002308E" w:rsidP="007F171B">
            <w:pPr>
              <w:spacing w:before="80" w:after="80" w:line="276" w:lineRule="auto"/>
              <w:rPr>
                <w:rFonts w:cs="Arial"/>
                <w:b/>
              </w:rPr>
            </w:pPr>
            <w:r w:rsidRPr="00E21AE7">
              <w:rPr>
                <w:rFonts w:cs="Arial"/>
                <w:b/>
              </w:rPr>
              <w:t>Partially meets –</w:t>
            </w:r>
            <w:r w:rsidRPr="00E21AE7" w:rsidDel="005F1B82">
              <w:rPr>
                <w:rFonts w:cs="Arial"/>
                <w:b/>
              </w:rPr>
              <w:t xml:space="preserve"> </w:t>
            </w:r>
            <w:r w:rsidRPr="00E21AE7">
              <w:rPr>
                <w:rFonts w:cs="Arial"/>
                <w:b/>
              </w:rPr>
              <w:t>ERA conducted but some concerns regarding accuracy of data on which the assessment is based</w:t>
            </w:r>
          </w:p>
          <w:p w14:paraId="3A3C1E51" w14:textId="35D0F4D5" w:rsidR="0002308E" w:rsidRPr="00E21AE7" w:rsidRDefault="0002308E" w:rsidP="007F171B">
            <w:pPr>
              <w:spacing w:before="80" w:after="80" w:line="276" w:lineRule="auto"/>
              <w:rPr>
                <w:rFonts w:cs="Arial"/>
              </w:rPr>
            </w:pPr>
            <w:r w:rsidRPr="00E21AE7">
              <w:rPr>
                <w:rFonts w:cs="Arial"/>
              </w:rPr>
              <w:t>An ERA has recently been completed for the fishery and found no protected species to be at high risk (</w:t>
            </w:r>
            <w:hyperlink r:id="rId84"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 xml:space="preserve">. There is however information </w:t>
            </w:r>
            <w:r w:rsidR="002D7E89">
              <w:rPr>
                <w:rFonts w:cs="Arial"/>
              </w:rPr>
              <w:t>suggesting</w:t>
            </w:r>
            <w:r w:rsidRPr="00E21AE7">
              <w:rPr>
                <w:rFonts w:cs="Arial"/>
              </w:rPr>
              <w:t xml:space="preserve"> that information on protected species interactions may not be accurate (refer 2.2.1 above) and the ERA for the CTFFF did not consider the impacts of fishing in waters that were previously closed as part of the ecological risk mitigation strategy for the CTFFF.</w:t>
            </w:r>
          </w:p>
          <w:p w14:paraId="2F63CCCA" w14:textId="77777777" w:rsidR="0002308E" w:rsidRPr="00E21AE7" w:rsidRDefault="0002308E" w:rsidP="007F171B">
            <w:pPr>
              <w:spacing w:before="80" w:after="80" w:line="276" w:lineRule="auto"/>
              <w:rPr>
                <w:rFonts w:cs="Arial"/>
              </w:rPr>
            </w:pPr>
            <w:r w:rsidRPr="00E21AE7">
              <w:rPr>
                <w:rFonts w:cs="Arial"/>
              </w:rPr>
              <w:t>A separate ERA undertaken for the ECOT and River and Inshore Beam Trawl fisheries that operate in the same inshore areas found numerous ecological components, including bycatch and protected species at high risk from those fisheries (</w:t>
            </w:r>
            <w:hyperlink r:id="rId85" w:history="1">
              <w:r w:rsidRPr="00E21AE7">
                <w:rPr>
                  <w:rStyle w:val="Hyperlink"/>
                  <w:rFonts w:cs="Arial"/>
                </w:rPr>
                <w:t>Jacobsen et al. 2018</w:t>
              </w:r>
            </w:hyperlink>
            <w:r w:rsidRPr="00E21AE7">
              <w:rPr>
                <w:rFonts w:cs="Arial"/>
              </w:rPr>
              <w:t>).</w:t>
            </w:r>
          </w:p>
          <w:p w14:paraId="22B4202D" w14:textId="77777777" w:rsidR="0002308E" w:rsidRPr="00E21AE7" w:rsidRDefault="0002308E" w:rsidP="007F171B">
            <w:pPr>
              <w:spacing w:before="80" w:after="80" w:line="276" w:lineRule="auto"/>
              <w:rPr>
                <w:rFonts w:cs="Arial"/>
              </w:rPr>
            </w:pPr>
            <w:r w:rsidRPr="00E21AE7">
              <w:rPr>
                <w:rFonts w:cs="Arial"/>
              </w:rPr>
              <w:t>The ERA states that if effort in the fishery increases significantly and/or the management regime changes, the results of the ERA should be reviewed to determine if one or more of the ecological components need to be progressed to a more quantitative (Level 2) ecological risk assessment. If this occurs, QDAF note that the assessment would benefit from additional information on the composition of non-target species (bycatch and species of conservation concern) and the effectiveness of the Danish Seine and Otter Trawl fishing methods.</w:t>
            </w:r>
          </w:p>
          <w:p w14:paraId="73431A10" w14:textId="171C1902" w:rsidR="0002308E" w:rsidRPr="00E21AE7" w:rsidRDefault="0002308E" w:rsidP="007F171B">
            <w:pPr>
              <w:spacing w:before="80" w:after="80" w:line="276" w:lineRule="auto"/>
              <w:rPr>
                <w:rFonts w:cs="Arial"/>
              </w:rPr>
            </w:pPr>
            <w:r w:rsidRPr="00E21AE7">
              <w:rPr>
                <w:rFonts w:cs="Arial"/>
              </w:rPr>
              <w:t xml:space="preserve">QDAF intend to </w:t>
            </w:r>
            <w:r w:rsidR="00024D69">
              <w:rPr>
                <w:rFonts w:cs="Arial"/>
              </w:rPr>
              <w:t>apply</w:t>
            </w:r>
            <w:r w:rsidRPr="00E21AE7">
              <w:rPr>
                <w:rFonts w:cs="Arial"/>
              </w:rPr>
              <w:t xml:space="preserve"> for export approval for the trial area in 2020. The Department recommends that an ERA that considers the impacts of fishing in the inshore area and the broader CTFFF area should be included in this application for assessment.</w:t>
            </w:r>
          </w:p>
          <w:p w14:paraId="704BCF19" w14:textId="61996FE5" w:rsidR="0002308E" w:rsidRPr="009D2C9E" w:rsidRDefault="0002308E" w:rsidP="007F171B">
            <w:pPr>
              <w:spacing w:before="80" w:after="80" w:line="276" w:lineRule="auto"/>
              <w:rPr>
                <w:rFonts w:cs="Arial"/>
                <w:bCs/>
              </w:rPr>
            </w:pPr>
            <w:r w:rsidRPr="00E21AE7">
              <w:rPr>
                <w:rFonts w:cs="Arial"/>
              </w:rPr>
              <w:t>In lieu of any further ERA</w:t>
            </w:r>
            <w:r w:rsidR="009D2C9E">
              <w:rPr>
                <w:rFonts w:cs="Arial"/>
              </w:rPr>
              <w:t>,</w:t>
            </w:r>
            <w:r w:rsidRPr="00E21AE7">
              <w:rPr>
                <w:rFonts w:cs="Arial"/>
              </w:rPr>
              <w:t xml:space="preserve"> QDAF has committed to progress identified knowledge gaps through their Fisheries Queensland Monitoring and Research Plan. T</w:t>
            </w:r>
            <w:r w:rsidRPr="00E21AE7">
              <w:rPr>
                <w:rFonts w:cs="Arial"/>
                <w:lang w:eastAsia="en-AU"/>
              </w:rPr>
              <w:t xml:space="preserve">he Department recommends that </w:t>
            </w:r>
            <w:r w:rsidRPr="00E21AE7">
              <w:rPr>
                <w:rFonts w:cs="Arial"/>
                <w:b/>
                <w:lang w:eastAsia="en-AU"/>
              </w:rPr>
              <w:t>condition</w:t>
            </w:r>
            <w:r w:rsidR="00DB6A39">
              <w:rPr>
                <w:rFonts w:cs="Arial"/>
                <w:b/>
                <w:lang w:eastAsia="en-AU"/>
              </w:rPr>
              <w:t>s</w:t>
            </w:r>
            <w:r w:rsidRPr="00E21AE7">
              <w:rPr>
                <w:rFonts w:cs="Arial"/>
                <w:b/>
                <w:lang w:eastAsia="en-AU"/>
              </w:rPr>
              <w:t xml:space="preserve"> </w:t>
            </w:r>
            <w:r w:rsidR="00024D69">
              <w:rPr>
                <w:rFonts w:cs="Arial"/>
                <w:b/>
                <w:lang w:eastAsia="en-AU"/>
              </w:rPr>
              <w:t>1</w:t>
            </w:r>
            <w:r w:rsidR="00DB6A39">
              <w:rPr>
                <w:rFonts w:cs="Arial"/>
                <w:b/>
                <w:lang w:eastAsia="en-AU"/>
              </w:rPr>
              <w:t xml:space="preserve"> and 2</w:t>
            </w:r>
            <w:r w:rsidR="00024D69" w:rsidRPr="00E21AE7">
              <w:rPr>
                <w:rFonts w:cs="Arial"/>
                <w:lang w:eastAsia="en-AU"/>
              </w:rPr>
              <w:t xml:space="preserve"> </w:t>
            </w:r>
            <w:r w:rsidRPr="00E21AE7">
              <w:rPr>
                <w:rFonts w:cs="Arial"/>
                <w:lang w:eastAsia="en-AU"/>
              </w:rPr>
              <w:t xml:space="preserve">be applied to the Part 13 approval and </w:t>
            </w:r>
            <w:r w:rsidRPr="00E21AE7">
              <w:rPr>
                <w:rFonts w:cs="Arial"/>
                <w:b/>
                <w:lang w:eastAsia="en-AU"/>
              </w:rPr>
              <w:t>condition</w:t>
            </w:r>
            <w:r w:rsidR="00DB6A39">
              <w:rPr>
                <w:rFonts w:cs="Arial"/>
                <w:b/>
                <w:lang w:eastAsia="en-AU"/>
              </w:rPr>
              <w:t>s</w:t>
            </w:r>
            <w:r w:rsidRPr="00E21AE7">
              <w:rPr>
                <w:rFonts w:cs="Arial"/>
                <w:b/>
                <w:lang w:eastAsia="en-AU"/>
              </w:rPr>
              <w:t> 4</w:t>
            </w:r>
            <w:r w:rsidR="00DB6A39">
              <w:rPr>
                <w:rFonts w:cs="Arial"/>
                <w:b/>
                <w:lang w:eastAsia="en-AU"/>
              </w:rPr>
              <w:t xml:space="preserve"> and 5</w:t>
            </w:r>
            <w:r w:rsidR="00024D69" w:rsidRPr="00E21AE7">
              <w:rPr>
                <w:rFonts w:cs="Arial"/>
                <w:lang w:eastAsia="en-AU"/>
              </w:rPr>
              <w:t xml:space="preserve"> </w:t>
            </w:r>
            <w:r w:rsidRPr="00E21AE7">
              <w:rPr>
                <w:rFonts w:cs="Arial"/>
                <w:lang w:eastAsia="en-AU"/>
              </w:rPr>
              <w:t xml:space="preserve">be applied to the Part 13A approval to ensure there is reliable data collection, monitoring and risk mitigation for all protected species impacted by the CTFFF by </w:t>
            </w:r>
            <w:r w:rsidR="00DB6A39" w:rsidRPr="00E21AE7">
              <w:rPr>
                <w:rFonts w:cs="Arial"/>
                <w:b/>
                <w:lang w:eastAsia="en-AU"/>
              </w:rPr>
              <w:t>3</w:t>
            </w:r>
            <w:r w:rsidR="00DB6A39">
              <w:rPr>
                <w:rFonts w:cs="Arial"/>
                <w:b/>
                <w:lang w:eastAsia="en-AU"/>
              </w:rPr>
              <w:t>1</w:t>
            </w:r>
            <w:r w:rsidR="00DB6A39" w:rsidRPr="00E21AE7">
              <w:rPr>
                <w:rFonts w:cs="Arial"/>
                <w:b/>
                <w:lang w:eastAsia="en-AU"/>
              </w:rPr>
              <w:t xml:space="preserve"> </w:t>
            </w:r>
            <w:r w:rsidR="00DB6A39">
              <w:rPr>
                <w:rFonts w:cs="Arial"/>
                <w:b/>
                <w:lang w:eastAsia="en-AU"/>
              </w:rPr>
              <w:t>December</w:t>
            </w:r>
            <w:r w:rsidR="00DB6A39" w:rsidRPr="00E21AE7">
              <w:rPr>
                <w:rFonts w:cs="Arial"/>
                <w:b/>
                <w:lang w:eastAsia="en-AU"/>
              </w:rPr>
              <w:t xml:space="preserve"> </w:t>
            </w:r>
            <w:r w:rsidRPr="00E21AE7">
              <w:rPr>
                <w:rFonts w:cs="Arial"/>
                <w:b/>
                <w:lang w:eastAsia="en-AU"/>
              </w:rPr>
              <w:t>2021</w:t>
            </w:r>
            <w:r w:rsidR="009D2C9E">
              <w:rPr>
                <w:rFonts w:cs="Arial"/>
                <w:bCs/>
                <w:lang w:eastAsia="en-AU"/>
              </w:rPr>
              <w:t>.</w:t>
            </w:r>
          </w:p>
        </w:tc>
      </w:tr>
      <w:tr w:rsidR="0002308E" w:rsidRPr="000900EC" w14:paraId="38B6D6DC" w14:textId="77777777" w:rsidTr="008903BD">
        <w:trPr>
          <w:cantSplit/>
        </w:trPr>
        <w:tc>
          <w:tcPr>
            <w:tcW w:w="1500" w:type="pct"/>
            <w:shd w:val="clear" w:color="auto" w:fill="92D050"/>
          </w:tcPr>
          <w:p w14:paraId="7C1CE319" w14:textId="77777777" w:rsidR="0002308E" w:rsidRPr="00E21AE7" w:rsidRDefault="0002308E" w:rsidP="007F171B">
            <w:pPr>
              <w:spacing w:before="80" w:after="80" w:line="276" w:lineRule="auto"/>
              <w:rPr>
                <w:rFonts w:cs="Arial"/>
              </w:rPr>
            </w:pPr>
            <w:r w:rsidRPr="00E21AE7">
              <w:rPr>
                <w:rFonts w:cs="Arial"/>
                <w:b/>
                <w:i/>
              </w:rPr>
              <w:lastRenderedPageBreak/>
              <w:t xml:space="preserve">2.2.3 </w:t>
            </w:r>
            <w:r w:rsidRPr="00E21AE7">
              <w:rPr>
                <w:rFonts w:cs="Arial"/>
              </w:rPr>
              <w:t xml:space="preserve">There is an assessment of the impact of the fishery on threatened ecological communities. </w:t>
            </w:r>
          </w:p>
        </w:tc>
        <w:tc>
          <w:tcPr>
            <w:tcW w:w="3500" w:type="pct"/>
            <w:gridSpan w:val="2"/>
            <w:shd w:val="clear" w:color="auto" w:fill="auto"/>
          </w:tcPr>
          <w:p w14:paraId="7B412B6B" w14:textId="77777777" w:rsidR="0002308E" w:rsidRPr="00E21AE7" w:rsidRDefault="0002308E" w:rsidP="007F171B">
            <w:pPr>
              <w:spacing w:before="80" w:after="80" w:line="276" w:lineRule="auto"/>
              <w:rPr>
                <w:rFonts w:cs="Arial"/>
                <w:b/>
              </w:rPr>
            </w:pPr>
            <w:r w:rsidRPr="00E21AE7">
              <w:rPr>
                <w:rFonts w:cs="Arial"/>
                <w:b/>
              </w:rPr>
              <w:t>Meets –</w:t>
            </w:r>
            <w:r w:rsidRPr="00E21AE7" w:rsidDel="009C0718">
              <w:rPr>
                <w:rFonts w:cs="Arial"/>
                <w:b/>
              </w:rPr>
              <w:t xml:space="preserve"> </w:t>
            </w:r>
            <w:r w:rsidRPr="00E21AE7">
              <w:rPr>
                <w:rFonts w:cs="Arial"/>
                <w:b/>
              </w:rPr>
              <w:t>ERA undertaken, and risks identified as low</w:t>
            </w:r>
          </w:p>
          <w:p w14:paraId="0E2B9319" w14:textId="56669568" w:rsidR="0002308E" w:rsidRPr="00E21AE7" w:rsidRDefault="0002308E" w:rsidP="007F171B">
            <w:pPr>
              <w:spacing w:before="80" w:after="80" w:line="276" w:lineRule="auto"/>
              <w:rPr>
                <w:rFonts w:cs="Arial"/>
              </w:rPr>
            </w:pPr>
            <w:r w:rsidRPr="00E21AE7">
              <w:rPr>
                <w:rFonts w:cs="Arial"/>
              </w:rPr>
              <w:t>There are no threatened ecological communities in the area of the CTFFF and the ERA</w:t>
            </w:r>
            <w:r w:rsidRPr="00E21AE7" w:rsidDel="009C0718">
              <w:rPr>
                <w:rFonts w:cs="Arial"/>
              </w:rPr>
              <w:t xml:space="preserve"> </w:t>
            </w:r>
            <w:r w:rsidRPr="00E21AE7">
              <w:rPr>
                <w:rFonts w:cs="Arial"/>
              </w:rPr>
              <w:t>for the CTFFF found no other ecological communities at high risk from the fishery (</w:t>
            </w:r>
            <w:hyperlink r:id="rId86"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 xml:space="preserve">. Notwithstanding, the ecological impacts associated with fishing in waters shallower than 20 fathoms should be assessed if this activity is to continue. QDAF intend to </w:t>
            </w:r>
            <w:r w:rsidR="00024D69">
              <w:rPr>
                <w:rFonts w:cs="Arial"/>
              </w:rPr>
              <w:t>apply</w:t>
            </w:r>
            <w:r w:rsidRPr="00E21AE7">
              <w:rPr>
                <w:rFonts w:cs="Arial"/>
              </w:rPr>
              <w:t xml:space="preserve"> for export approval for the trial area and the Department recommends an ERA that considers the impacts in the inshore area and the broader CTFFF be included as part of the application for assessment.</w:t>
            </w:r>
          </w:p>
        </w:tc>
      </w:tr>
      <w:tr w:rsidR="0002308E" w:rsidRPr="000900EC" w14:paraId="76CE0D16" w14:textId="77777777" w:rsidTr="00796D99">
        <w:trPr>
          <w:cantSplit/>
        </w:trPr>
        <w:tc>
          <w:tcPr>
            <w:tcW w:w="5000" w:type="pct"/>
            <w:gridSpan w:val="3"/>
            <w:shd w:val="clear" w:color="auto" w:fill="E5DFEC"/>
          </w:tcPr>
          <w:p w14:paraId="595D9947" w14:textId="77777777" w:rsidR="0002308E" w:rsidRPr="00E21AE7" w:rsidRDefault="0002308E" w:rsidP="007F171B">
            <w:pPr>
              <w:spacing w:before="80" w:after="80" w:line="276" w:lineRule="auto"/>
              <w:rPr>
                <w:rFonts w:cs="Arial"/>
                <w:b/>
                <w:i/>
              </w:rPr>
            </w:pPr>
            <w:r w:rsidRPr="00E21AE7">
              <w:rPr>
                <w:rFonts w:cs="Arial"/>
                <w:b/>
                <w:i/>
              </w:rPr>
              <w:t xml:space="preserve">Management responses </w:t>
            </w:r>
          </w:p>
        </w:tc>
      </w:tr>
      <w:tr w:rsidR="0002308E" w:rsidRPr="000900EC" w14:paraId="43CDC291" w14:textId="77777777" w:rsidTr="008903BD">
        <w:trPr>
          <w:cantSplit/>
        </w:trPr>
        <w:tc>
          <w:tcPr>
            <w:tcW w:w="1500" w:type="pct"/>
            <w:shd w:val="clear" w:color="auto" w:fill="FFC000"/>
          </w:tcPr>
          <w:p w14:paraId="59D8EC18" w14:textId="77777777" w:rsidR="0002308E" w:rsidRPr="00E21AE7" w:rsidRDefault="0002308E" w:rsidP="007F171B">
            <w:pPr>
              <w:spacing w:before="80" w:after="80" w:line="276" w:lineRule="auto"/>
              <w:rPr>
                <w:rFonts w:cs="Arial"/>
              </w:rPr>
            </w:pPr>
            <w:r w:rsidRPr="00E21AE7">
              <w:rPr>
                <w:rFonts w:cs="Arial"/>
                <w:b/>
                <w:i/>
              </w:rPr>
              <w:t xml:space="preserve">2.2.4 </w:t>
            </w:r>
            <w:r w:rsidRPr="00E21AE7">
              <w:rPr>
                <w:rFonts w:cs="Arial"/>
              </w:rPr>
              <w:t xml:space="preserve">There are measures in place to avoid capture and/or mortality of endangered, </w:t>
            </w:r>
            <w:proofErr w:type="gramStart"/>
            <w:r w:rsidRPr="00E21AE7">
              <w:rPr>
                <w:rFonts w:cs="Arial"/>
              </w:rPr>
              <w:t>threatened</w:t>
            </w:r>
            <w:proofErr w:type="gramEnd"/>
            <w:r w:rsidRPr="00E21AE7">
              <w:rPr>
                <w:rFonts w:cs="Arial"/>
              </w:rPr>
              <w:t xml:space="preserve"> or protected species.</w:t>
            </w:r>
          </w:p>
        </w:tc>
        <w:tc>
          <w:tcPr>
            <w:tcW w:w="3500" w:type="pct"/>
            <w:gridSpan w:val="2"/>
            <w:shd w:val="clear" w:color="auto" w:fill="auto"/>
          </w:tcPr>
          <w:p w14:paraId="71E62C28" w14:textId="77777777" w:rsidR="0002308E" w:rsidRPr="00E21AE7" w:rsidRDefault="0002308E" w:rsidP="007F171B">
            <w:pPr>
              <w:spacing w:before="80" w:after="80" w:line="276" w:lineRule="auto"/>
              <w:rPr>
                <w:rFonts w:cs="Arial"/>
                <w:b/>
              </w:rPr>
            </w:pPr>
            <w:r w:rsidRPr="00E21AE7">
              <w:rPr>
                <w:rFonts w:cs="Arial"/>
                <w:b/>
              </w:rPr>
              <w:t>Partially meets – Mitigation strategies are in place but there are concerns regarding data accuracy</w:t>
            </w:r>
          </w:p>
          <w:p w14:paraId="2638F9C3" w14:textId="77777777" w:rsidR="0002308E" w:rsidRPr="00E21AE7" w:rsidRDefault="0002308E" w:rsidP="007F171B">
            <w:pPr>
              <w:spacing w:before="80" w:after="80" w:line="276" w:lineRule="auto"/>
              <w:rPr>
                <w:rFonts w:cs="Arial"/>
              </w:rPr>
            </w:pPr>
            <w:r w:rsidRPr="00E21AE7">
              <w:rPr>
                <w:rFonts w:cs="Arial"/>
              </w:rPr>
              <w:t>Current risk mitigation measures include limits on available fishing licences, spatial, temporal and gear restrictions, including mesh-size limits and a requirement for fishers to use TEDs when using Otter Trawl gear. There are however no requirements to use TEDs or BRDs when using Danish Seine gear, but interactions with protected species appear to be relatively low and the ERA</w:t>
            </w:r>
            <w:r w:rsidRPr="00E21AE7" w:rsidDel="009C0718">
              <w:rPr>
                <w:rFonts w:cs="Arial"/>
              </w:rPr>
              <w:t xml:space="preserve"> </w:t>
            </w:r>
            <w:r w:rsidRPr="00E21AE7">
              <w:rPr>
                <w:rFonts w:cs="Arial"/>
              </w:rPr>
              <w:t>for the CTFFF found no protected species were at high risk from the fishery (</w:t>
            </w:r>
            <w:hyperlink r:id="rId87"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sidDel="009C0718">
              <w:rPr>
                <w:rFonts w:cs="Arial"/>
              </w:rPr>
              <w:t>.</w:t>
            </w:r>
            <w:r w:rsidRPr="00E21AE7">
              <w:rPr>
                <w:rFonts w:cs="Arial"/>
              </w:rPr>
              <w:t xml:space="preserve"> There are some concerns that reporting of interactions with protected species may not be accurate and this is particularly concerning given areas previously closed to fishing for ecological risk mitigation purposes are now being fished under trial arrangements.</w:t>
            </w:r>
          </w:p>
          <w:p w14:paraId="72D271CC" w14:textId="6D22770A" w:rsidR="0002308E" w:rsidRPr="00E21AE7" w:rsidRDefault="0002308E" w:rsidP="007F171B">
            <w:pPr>
              <w:spacing w:before="80" w:after="80" w:line="276" w:lineRule="auto"/>
              <w:rPr>
                <w:rFonts w:cs="Arial"/>
              </w:rPr>
            </w:pPr>
            <w:r w:rsidRPr="00E21AE7">
              <w:rPr>
                <w:rFonts w:cs="Arial"/>
              </w:rPr>
              <w:t>With bycatch reduction technologies continuing to evolve, it important that the fishery continue to explore ways to manage its impact on bycatch, including protected species, and take all reasonable steps to minimise its ecological impacts.</w:t>
            </w:r>
          </w:p>
          <w:p w14:paraId="0E6495A6" w14:textId="585D7BCF" w:rsidR="0002308E" w:rsidRPr="00E21AE7" w:rsidRDefault="0002308E" w:rsidP="007F171B">
            <w:pPr>
              <w:spacing w:before="80" w:after="80" w:line="276" w:lineRule="auto"/>
              <w:rPr>
                <w:rFonts w:cs="Arial"/>
              </w:rPr>
            </w:pPr>
            <w:r w:rsidRPr="00E21AE7">
              <w:rPr>
                <w:rFonts w:cs="Arial"/>
              </w:rPr>
              <w:t>T</w:t>
            </w:r>
            <w:r w:rsidRPr="00E21AE7">
              <w:rPr>
                <w:rFonts w:cs="Arial"/>
                <w:lang w:eastAsia="en-AU"/>
              </w:rPr>
              <w:t xml:space="preserve">he Department recommends that </w:t>
            </w:r>
            <w:r w:rsidRPr="00E21AE7">
              <w:rPr>
                <w:rFonts w:cs="Arial"/>
                <w:b/>
                <w:lang w:eastAsia="en-AU"/>
              </w:rPr>
              <w:t>condition</w:t>
            </w:r>
            <w:r w:rsidR="00DB6A39">
              <w:rPr>
                <w:rFonts w:cs="Arial"/>
                <w:b/>
                <w:lang w:eastAsia="en-AU"/>
              </w:rPr>
              <w:t>s</w:t>
            </w:r>
            <w:r w:rsidRPr="00E21AE7">
              <w:rPr>
                <w:rFonts w:cs="Arial"/>
                <w:b/>
                <w:lang w:eastAsia="en-AU"/>
              </w:rPr>
              <w:t xml:space="preserve"> 1</w:t>
            </w:r>
            <w:r w:rsidR="00DB6A39">
              <w:rPr>
                <w:rFonts w:cs="Arial"/>
                <w:b/>
                <w:lang w:eastAsia="en-AU"/>
              </w:rPr>
              <w:t xml:space="preserve"> and 2</w:t>
            </w:r>
            <w:r w:rsidR="00024D69" w:rsidRPr="00E21AE7">
              <w:rPr>
                <w:rFonts w:cs="Arial"/>
                <w:lang w:eastAsia="en-AU"/>
              </w:rPr>
              <w:t xml:space="preserve"> </w:t>
            </w:r>
            <w:r w:rsidRPr="00E21AE7">
              <w:rPr>
                <w:rFonts w:cs="Arial"/>
                <w:lang w:eastAsia="en-AU"/>
              </w:rPr>
              <w:t xml:space="preserve">be applied to the Part 13 approval and </w:t>
            </w:r>
            <w:r w:rsidRPr="00E21AE7">
              <w:rPr>
                <w:rFonts w:cs="Arial"/>
                <w:b/>
                <w:lang w:eastAsia="en-AU"/>
              </w:rPr>
              <w:t>condition</w:t>
            </w:r>
            <w:r w:rsidR="00DB6A39">
              <w:rPr>
                <w:rFonts w:cs="Arial"/>
                <w:b/>
                <w:lang w:eastAsia="en-AU"/>
              </w:rPr>
              <w:t>s</w:t>
            </w:r>
            <w:r w:rsidRPr="00E21AE7">
              <w:rPr>
                <w:rFonts w:cs="Arial"/>
                <w:b/>
                <w:lang w:eastAsia="en-AU"/>
              </w:rPr>
              <w:t> 4</w:t>
            </w:r>
            <w:r w:rsidR="00DB6A39">
              <w:rPr>
                <w:rFonts w:cs="Arial"/>
                <w:b/>
                <w:lang w:eastAsia="en-AU"/>
              </w:rPr>
              <w:t xml:space="preserve"> and 5</w:t>
            </w:r>
            <w:r w:rsidR="00024D69" w:rsidRPr="00E21AE7">
              <w:rPr>
                <w:rFonts w:cs="Arial"/>
                <w:lang w:eastAsia="en-AU"/>
              </w:rPr>
              <w:t xml:space="preserve"> </w:t>
            </w:r>
            <w:r w:rsidRPr="00E21AE7">
              <w:rPr>
                <w:rFonts w:cs="Arial"/>
                <w:lang w:eastAsia="en-AU"/>
              </w:rPr>
              <w:t xml:space="preserve">be applied to the Part 13A approval to ensure there is reliable data collection, monitoring and risk mitigation for all protected species impacted by the CTFFF by </w:t>
            </w:r>
            <w:r w:rsidR="00DB6A39" w:rsidRPr="00E21AE7">
              <w:rPr>
                <w:rFonts w:cs="Arial"/>
                <w:b/>
                <w:lang w:eastAsia="en-AU"/>
              </w:rPr>
              <w:t>3</w:t>
            </w:r>
            <w:r w:rsidR="00DB6A39">
              <w:rPr>
                <w:rFonts w:cs="Arial"/>
                <w:b/>
                <w:lang w:eastAsia="en-AU"/>
              </w:rPr>
              <w:t>1</w:t>
            </w:r>
            <w:r w:rsidR="00DB6A39" w:rsidRPr="00E21AE7">
              <w:rPr>
                <w:rFonts w:cs="Arial"/>
                <w:b/>
                <w:lang w:eastAsia="en-AU"/>
              </w:rPr>
              <w:t> </w:t>
            </w:r>
            <w:r w:rsidR="00DB6A39">
              <w:rPr>
                <w:rFonts w:cs="Arial"/>
                <w:b/>
                <w:lang w:eastAsia="en-AU"/>
              </w:rPr>
              <w:t>December</w:t>
            </w:r>
            <w:r w:rsidR="00DB6A39" w:rsidRPr="00E21AE7">
              <w:rPr>
                <w:rFonts w:cs="Arial"/>
                <w:b/>
                <w:lang w:eastAsia="en-AU"/>
              </w:rPr>
              <w:t xml:space="preserve"> </w:t>
            </w:r>
            <w:r w:rsidRPr="00E21AE7">
              <w:rPr>
                <w:rFonts w:cs="Arial"/>
                <w:b/>
                <w:lang w:eastAsia="en-AU"/>
              </w:rPr>
              <w:t>2021</w:t>
            </w:r>
            <w:r w:rsidRPr="00E21AE7">
              <w:rPr>
                <w:rFonts w:cs="Arial"/>
                <w:lang w:eastAsia="en-AU"/>
              </w:rPr>
              <w:t>.</w:t>
            </w:r>
          </w:p>
        </w:tc>
      </w:tr>
      <w:tr w:rsidR="0002308E" w:rsidRPr="000900EC" w14:paraId="64FF48F2" w14:textId="77777777" w:rsidTr="008903BD">
        <w:trPr>
          <w:cantSplit/>
        </w:trPr>
        <w:tc>
          <w:tcPr>
            <w:tcW w:w="1500" w:type="pct"/>
            <w:shd w:val="clear" w:color="auto" w:fill="92D050"/>
          </w:tcPr>
          <w:p w14:paraId="47AE1688" w14:textId="77777777" w:rsidR="0002308E" w:rsidRPr="00E21AE7" w:rsidRDefault="0002308E" w:rsidP="007F171B">
            <w:pPr>
              <w:spacing w:before="80" w:after="80" w:line="276" w:lineRule="auto"/>
              <w:rPr>
                <w:rFonts w:cs="Arial"/>
              </w:rPr>
            </w:pPr>
            <w:r w:rsidRPr="00E21AE7">
              <w:rPr>
                <w:rFonts w:cs="Arial"/>
                <w:b/>
                <w:i/>
              </w:rPr>
              <w:lastRenderedPageBreak/>
              <w:t xml:space="preserve">2.2.5 </w:t>
            </w:r>
            <w:r w:rsidRPr="00E21AE7">
              <w:rPr>
                <w:rFonts w:cs="Arial"/>
              </w:rPr>
              <w:t xml:space="preserve">There are measures in place to avoid impact on threatened ecological communities. </w:t>
            </w:r>
          </w:p>
        </w:tc>
        <w:tc>
          <w:tcPr>
            <w:tcW w:w="3500" w:type="pct"/>
            <w:gridSpan w:val="2"/>
            <w:shd w:val="clear" w:color="auto" w:fill="auto"/>
          </w:tcPr>
          <w:p w14:paraId="7CA341C9" w14:textId="77777777" w:rsidR="0002308E" w:rsidRPr="00E21AE7" w:rsidRDefault="0002308E" w:rsidP="007F171B">
            <w:pPr>
              <w:spacing w:before="80" w:after="80" w:line="276" w:lineRule="auto"/>
              <w:rPr>
                <w:rFonts w:cs="Arial"/>
                <w:b/>
              </w:rPr>
            </w:pPr>
            <w:r w:rsidRPr="00E21AE7">
              <w:rPr>
                <w:rFonts w:cs="Arial"/>
                <w:b/>
              </w:rPr>
              <w:t>Meets – mitigation strategy in place to avoid impact on threatened ecological communities</w:t>
            </w:r>
          </w:p>
          <w:p w14:paraId="1E1FA8D1" w14:textId="77777777" w:rsidR="0002308E" w:rsidRPr="00E21AE7" w:rsidRDefault="0002308E" w:rsidP="007F171B">
            <w:pPr>
              <w:spacing w:before="80" w:after="80" w:line="276" w:lineRule="auto"/>
              <w:rPr>
                <w:rFonts w:cs="Arial"/>
              </w:rPr>
            </w:pPr>
            <w:r w:rsidRPr="00E21AE7">
              <w:rPr>
                <w:rFonts w:cs="Arial"/>
              </w:rPr>
              <w:t>There are no threatened ecological communities in the area of the fishery and the ERA for the fishery found no other ecological communities were at high risk from the fishery (</w:t>
            </w:r>
            <w:hyperlink r:id="rId88"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w:t>
            </w:r>
          </w:p>
          <w:p w14:paraId="3F9C29E0" w14:textId="76E4BCC5" w:rsidR="0002308E" w:rsidRPr="00E21AE7" w:rsidRDefault="0002308E" w:rsidP="007F171B">
            <w:pPr>
              <w:spacing w:before="80" w:after="80" w:line="276" w:lineRule="auto"/>
              <w:rPr>
                <w:rFonts w:cs="Arial"/>
              </w:rPr>
            </w:pPr>
            <w:r w:rsidRPr="00E21AE7">
              <w:rPr>
                <w:rFonts w:cs="Arial"/>
              </w:rPr>
              <w:t>Current risk mitigation measures include limits on available fishing licences, spatial, temporal and gear restrictions, including mesh-size limits and a requirement for fishers to use TEDs when Otter Trawling</w:t>
            </w:r>
            <w:r w:rsidRPr="00E21AE7" w:rsidDel="00415012">
              <w:rPr>
                <w:rFonts w:cs="Arial"/>
              </w:rPr>
              <w:t>.</w:t>
            </w:r>
            <w:r w:rsidRPr="00E21AE7">
              <w:rPr>
                <w:rFonts w:cs="Arial"/>
              </w:rPr>
              <w:t xml:space="preserve"> Notwithstanding, the ecological impacts associated with fishing in waters shallower than 20 fathoms </w:t>
            </w:r>
            <w:r w:rsidR="009D2C9E">
              <w:rPr>
                <w:rFonts w:cs="Arial"/>
              </w:rPr>
              <w:t>must</w:t>
            </w:r>
            <w:r w:rsidRPr="00E21AE7">
              <w:rPr>
                <w:rFonts w:cs="Arial"/>
              </w:rPr>
              <w:t xml:space="preserve"> be assessed if this activity is to continue.</w:t>
            </w:r>
          </w:p>
        </w:tc>
      </w:tr>
      <w:tr w:rsidR="0002308E" w:rsidRPr="000900EC" w14:paraId="157951CF" w14:textId="77777777" w:rsidTr="008903BD">
        <w:trPr>
          <w:cantSplit/>
        </w:trPr>
        <w:tc>
          <w:tcPr>
            <w:tcW w:w="1500" w:type="pct"/>
            <w:shd w:val="clear" w:color="auto" w:fill="FFC000"/>
          </w:tcPr>
          <w:p w14:paraId="309E4C33" w14:textId="77777777" w:rsidR="0002308E" w:rsidRPr="00E21AE7" w:rsidRDefault="0002308E" w:rsidP="007F171B">
            <w:pPr>
              <w:spacing w:before="80" w:after="80" w:line="276" w:lineRule="auto"/>
              <w:rPr>
                <w:rFonts w:cs="Arial"/>
              </w:rPr>
            </w:pPr>
            <w:r w:rsidRPr="00E21AE7">
              <w:rPr>
                <w:rFonts w:cs="Arial"/>
                <w:b/>
                <w:i/>
              </w:rPr>
              <w:t xml:space="preserve">2.2.6 </w:t>
            </w:r>
            <w:r w:rsidRPr="00E21AE7">
              <w:rPr>
                <w:rFonts w:cs="Arial"/>
              </w:rPr>
              <w:t xml:space="preserve">The management response, considering uncertainties in the assessment and precautionary management actions, has a high chance of achieving the objective. </w:t>
            </w:r>
          </w:p>
        </w:tc>
        <w:tc>
          <w:tcPr>
            <w:tcW w:w="3500" w:type="pct"/>
            <w:gridSpan w:val="2"/>
            <w:shd w:val="clear" w:color="auto" w:fill="auto"/>
          </w:tcPr>
          <w:p w14:paraId="43DE03AA" w14:textId="77777777" w:rsidR="0002308E" w:rsidRPr="00E21AE7" w:rsidRDefault="0002308E" w:rsidP="007F171B">
            <w:pPr>
              <w:spacing w:before="80" w:after="80" w:line="276" w:lineRule="auto"/>
              <w:rPr>
                <w:rFonts w:cs="Arial"/>
                <w:b/>
              </w:rPr>
            </w:pPr>
            <w:r w:rsidRPr="00E21AE7">
              <w:rPr>
                <w:rFonts w:cs="Arial"/>
                <w:b/>
              </w:rPr>
              <w:t>Partially meets – risk mitigation measures are in place, but should consider all aspects of, and impacts on the fishery</w:t>
            </w:r>
          </w:p>
          <w:p w14:paraId="373F6102" w14:textId="582615B8" w:rsidR="0002308E" w:rsidRPr="00E21AE7" w:rsidRDefault="0002308E" w:rsidP="007F171B">
            <w:pPr>
              <w:spacing w:before="80" w:after="80" w:line="276" w:lineRule="auto"/>
              <w:rPr>
                <w:rFonts w:cs="Arial"/>
              </w:rPr>
            </w:pPr>
            <w:r w:rsidRPr="00E21AE7">
              <w:rPr>
                <w:rFonts w:cs="Arial"/>
              </w:rPr>
              <w:t>Although risks to bycatch species were identified as low in QDAF’s ERA, the ERA did not consider the impacts of management changes such as the commencement of fishing in areas previously closed as part of the CTFFF’s ecological risk mitigation strategy. There are also concerns regarding the accuracy of reporting of protected species interactions and no performance measures in place for the management of these interactions. These issues are expected to be addressed through improvements to data collection and validation and development of harvest and risk mitigation strategies under the Queensland Government’s Sustainable Fisheries Strategy 2017-2027</w:t>
            </w:r>
            <w:r w:rsidRPr="00E21AE7">
              <w:rPr>
                <w:rStyle w:val="CommentReference"/>
                <w:rFonts w:eastAsia="Times New Roman" w:cs="Arial"/>
                <w:sz w:val="22"/>
                <w:szCs w:val="22"/>
                <w:lang w:eastAsia="en-AU"/>
              </w:rPr>
              <w:t>.</w:t>
            </w:r>
            <w:r w:rsidRPr="00E21AE7">
              <w:rPr>
                <w:rStyle w:val="CommentReference"/>
                <w:rFonts w:eastAsia="Times New Roman" w:cs="Arial"/>
                <w:sz w:val="22"/>
                <w:szCs w:val="22"/>
              </w:rPr>
              <w:t xml:space="preserve"> </w:t>
            </w:r>
            <w:r w:rsidRPr="00E21AE7">
              <w:rPr>
                <w:rFonts w:cs="Arial"/>
              </w:rPr>
              <w:t xml:space="preserve">The Department’s proposed </w:t>
            </w:r>
            <w:r w:rsidRPr="00E21AE7">
              <w:rPr>
                <w:rFonts w:cs="Arial"/>
                <w:b/>
              </w:rPr>
              <w:t>condition</w:t>
            </w:r>
            <w:r w:rsidR="00DB6A39">
              <w:rPr>
                <w:rFonts w:cs="Arial"/>
                <w:b/>
              </w:rPr>
              <w:t>s</w:t>
            </w:r>
            <w:r w:rsidRPr="00E21AE7">
              <w:rPr>
                <w:rFonts w:cs="Arial"/>
                <w:b/>
              </w:rPr>
              <w:t xml:space="preserve"> 1</w:t>
            </w:r>
            <w:r w:rsidR="00DB6A39">
              <w:rPr>
                <w:rFonts w:cs="Arial"/>
                <w:b/>
              </w:rPr>
              <w:t xml:space="preserve"> and 2</w:t>
            </w:r>
            <w:r w:rsidR="00024D69" w:rsidRPr="00E21AE7">
              <w:rPr>
                <w:rFonts w:cs="Arial"/>
              </w:rPr>
              <w:t xml:space="preserve"> </w:t>
            </w:r>
            <w:r w:rsidRPr="00E21AE7">
              <w:rPr>
                <w:rFonts w:cs="Arial"/>
              </w:rPr>
              <w:t xml:space="preserve">on the Part 13 approval, and </w:t>
            </w:r>
            <w:r w:rsidRPr="00E21AE7">
              <w:rPr>
                <w:rFonts w:cs="Arial"/>
                <w:b/>
              </w:rPr>
              <w:t>condition</w:t>
            </w:r>
            <w:r w:rsidR="00DB6A39">
              <w:rPr>
                <w:rFonts w:cs="Arial"/>
                <w:b/>
              </w:rPr>
              <w:t>s</w:t>
            </w:r>
            <w:r w:rsidRPr="00E21AE7">
              <w:rPr>
                <w:rFonts w:cs="Arial"/>
                <w:b/>
              </w:rPr>
              <w:t xml:space="preserve"> 4</w:t>
            </w:r>
            <w:r w:rsidR="00DB6A39">
              <w:rPr>
                <w:rFonts w:cs="Arial"/>
                <w:b/>
              </w:rPr>
              <w:t xml:space="preserve"> and 5</w:t>
            </w:r>
            <w:r w:rsidR="00024D69" w:rsidRPr="00E21AE7">
              <w:rPr>
                <w:rFonts w:cs="Arial"/>
              </w:rPr>
              <w:t xml:space="preserve"> </w:t>
            </w:r>
            <w:r w:rsidRPr="00E21AE7">
              <w:rPr>
                <w:rFonts w:cs="Arial"/>
              </w:rPr>
              <w:t xml:space="preserve">on the Part 13A approval support these important actions and seek to ensure they will be completed by </w:t>
            </w:r>
            <w:r w:rsidR="00DB6A39" w:rsidRPr="00E21AE7">
              <w:rPr>
                <w:rFonts w:cs="Arial"/>
                <w:b/>
              </w:rPr>
              <w:t>3</w:t>
            </w:r>
            <w:r w:rsidR="00DB6A39">
              <w:rPr>
                <w:rFonts w:cs="Arial"/>
                <w:b/>
              </w:rPr>
              <w:t>1</w:t>
            </w:r>
            <w:r w:rsidR="00DB6A39" w:rsidRPr="00E21AE7">
              <w:rPr>
                <w:rFonts w:cs="Arial"/>
                <w:b/>
              </w:rPr>
              <w:t xml:space="preserve"> </w:t>
            </w:r>
            <w:r w:rsidR="00DB6A39">
              <w:rPr>
                <w:rFonts w:cs="Arial"/>
                <w:b/>
              </w:rPr>
              <w:t>December</w:t>
            </w:r>
            <w:r w:rsidR="00DB6A39" w:rsidRPr="00E21AE7">
              <w:rPr>
                <w:rFonts w:cs="Arial"/>
                <w:b/>
              </w:rPr>
              <w:t xml:space="preserve"> </w:t>
            </w:r>
            <w:r w:rsidRPr="00E21AE7">
              <w:rPr>
                <w:rFonts w:cs="Arial"/>
                <w:b/>
              </w:rPr>
              <w:t>2021</w:t>
            </w:r>
            <w:r w:rsidRPr="00E21AE7">
              <w:rPr>
                <w:rFonts w:cs="Arial"/>
              </w:rPr>
              <w:t>.</w:t>
            </w:r>
          </w:p>
        </w:tc>
      </w:tr>
      <w:tr w:rsidR="0002308E" w:rsidRPr="000900EC" w14:paraId="57A4BEA2" w14:textId="77777777" w:rsidTr="00796D99">
        <w:trPr>
          <w:cantSplit/>
        </w:trPr>
        <w:tc>
          <w:tcPr>
            <w:tcW w:w="5000" w:type="pct"/>
            <w:gridSpan w:val="3"/>
            <w:shd w:val="clear" w:color="auto" w:fill="CCC0D9"/>
          </w:tcPr>
          <w:p w14:paraId="6A4441FF" w14:textId="77777777" w:rsidR="0002308E" w:rsidRPr="00E21AE7" w:rsidRDefault="0002308E" w:rsidP="009D2C9E">
            <w:pPr>
              <w:keepNext/>
              <w:spacing w:before="80" w:after="80" w:line="276" w:lineRule="auto"/>
              <w:rPr>
                <w:rFonts w:cs="Arial"/>
                <w:b/>
              </w:rPr>
            </w:pPr>
            <w:r w:rsidRPr="00E21AE7">
              <w:rPr>
                <w:rFonts w:cs="Arial"/>
                <w:b/>
              </w:rPr>
              <w:lastRenderedPageBreak/>
              <w:t xml:space="preserve">Objective 3 – </w:t>
            </w:r>
            <w:r w:rsidRPr="00E21AE7">
              <w:rPr>
                <w:rFonts w:cs="Arial"/>
              </w:rPr>
              <w:t>The fishery is conducted, in a manner that minimises the impact of fishing operations on the ecosystem generally.</w:t>
            </w:r>
          </w:p>
        </w:tc>
      </w:tr>
      <w:tr w:rsidR="0002308E" w:rsidRPr="000900EC" w14:paraId="2F368CA0" w14:textId="77777777" w:rsidTr="00796D99">
        <w:trPr>
          <w:cantSplit/>
        </w:trPr>
        <w:tc>
          <w:tcPr>
            <w:tcW w:w="5000" w:type="pct"/>
            <w:gridSpan w:val="3"/>
            <w:shd w:val="clear" w:color="auto" w:fill="E5DFEC"/>
          </w:tcPr>
          <w:p w14:paraId="66323560" w14:textId="77777777" w:rsidR="0002308E" w:rsidRPr="00E21AE7" w:rsidRDefault="0002308E" w:rsidP="009D2C9E">
            <w:pPr>
              <w:keepNext/>
              <w:spacing w:before="80" w:after="80" w:line="276" w:lineRule="auto"/>
              <w:rPr>
                <w:rFonts w:cs="Arial"/>
                <w:b/>
                <w:i/>
              </w:rPr>
            </w:pPr>
            <w:r w:rsidRPr="00E21AE7">
              <w:rPr>
                <w:rFonts w:cs="Arial"/>
                <w:b/>
                <w:i/>
              </w:rPr>
              <w:t xml:space="preserve">Information requirements </w:t>
            </w:r>
          </w:p>
        </w:tc>
      </w:tr>
      <w:tr w:rsidR="0002308E" w:rsidRPr="000900EC" w14:paraId="0DE641FD" w14:textId="77777777" w:rsidTr="008903BD">
        <w:trPr>
          <w:cantSplit/>
        </w:trPr>
        <w:tc>
          <w:tcPr>
            <w:tcW w:w="1500" w:type="pct"/>
            <w:shd w:val="clear" w:color="auto" w:fill="FF0000"/>
          </w:tcPr>
          <w:p w14:paraId="5ABDAD6A" w14:textId="77777777" w:rsidR="0002308E" w:rsidRPr="00E21AE7" w:rsidRDefault="0002308E" w:rsidP="007F171B">
            <w:pPr>
              <w:spacing w:before="80" w:after="80" w:line="276" w:lineRule="auto"/>
              <w:rPr>
                <w:rFonts w:cs="Arial"/>
              </w:rPr>
            </w:pPr>
            <w:r w:rsidRPr="00E21AE7">
              <w:rPr>
                <w:rFonts w:cs="Arial"/>
                <w:b/>
              </w:rPr>
              <w:t xml:space="preserve">2.3.1 </w:t>
            </w:r>
            <w:r w:rsidRPr="00E21AE7">
              <w:rPr>
                <w:rFonts w:cs="Arial"/>
              </w:rPr>
              <w:t xml:space="preserve">Information appropriate for the analysis in 2.3.2 is collated and/or collected covering the fishery’s impact on the ecosystem and environment generally. </w:t>
            </w:r>
          </w:p>
        </w:tc>
        <w:tc>
          <w:tcPr>
            <w:tcW w:w="3500" w:type="pct"/>
            <w:gridSpan w:val="2"/>
            <w:shd w:val="clear" w:color="auto" w:fill="auto"/>
          </w:tcPr>
          <w:p w14:paraId="39B2ACCD" w14:textId="77777777" w:rsidR="0002308E" w:rsidRPr="00E21AE7" w:rsidRDefault="0002308E" w:rsidP="007F171B">
            <w:pPr>
              <w:spacing w:before="80" w:after="80" w:line="276" w:lineRule="auto"/>
              <w:rPr>
                <w:rFonts w:cs="Arial"/>
                <w:b/>
              </w:rPr>
            </w:pPr>
            <w:r w:rsidRPr="00E21AE7">
              <w:rPr>
                <w:rFonts w:cs="Arial"/>
                <w:b/>
              </w:rPr>
              <w:t>Does not meet – no data collection methods in place</w:t>
            </w:r>
          </w:p>
          <w:p w14:paraId="169C0087" w14:textId="77777777" w:rsidR="0002308E" w:rsidRPr="00E21AE7" w:rsidRDefault="0002308E" w:rsidP="007F171B">
            <w:pPr>
              <w:spacing w:before="80" w:after="80" w:line="276" w:lineRule="auto"/>
              <w:rPr>
                <w:rFonts w:cs="Arial"/>
              </w:rPr>
            </w:pPr>
            <w:r w:rsidRPr="00E21AE7">
              <w:rPr>
                <w:rFonts w:cs="Arial"/>
              </w:rPr>
              <w:t>Although there is no ongoing information collected on the fishery’s impact on the ecosystem or environment generally, QDAF found the ecological risks were low to intermediate (</w:t>
            </w:r>
            <w:hyperlink r:id="rId89"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 QDAF’s ERA did not consider the impacts of fishing in waters shallower than 20 fathoms which is being undertaken as part of a four-year trial. This is significant given the trial fishing areas were historically closed to fishing as an ecological risk mitigation measure for the CTFFF.</w:t>
            </w:r>
          </w:p>
          <w:p w14:paraId="79CCFC87" w14:textId="6E29B7FB" w:rsidR="0002308E" w:rsidRPr="00E21AE7" w:rsidRDefault="0002308E" w:rsidP="007F171B">
            <w:pPr>
              <w:spacing w:before="80" w:after="80" w:line="276" w:lineRule="auto"/>
              <w:rPr>
                <w:rFonts w:cs="Arial"/>
              </w:rPr>
            </w:pPr>
            <w:r w:rsidRPr="00E21AE7">
              <w:rPr>
                <w:rFonts w:cs="Arial"/>
              </w:rPr>
              <w:t xml:space="preserve">QDAF ERA reports states that if effort in the fishery increases significantly and or the management regime changes, the results of the ERA should be reviewed to determine if one or more of the ecological components need to be progressed to a more quantitative (Level 2) ERA. If this were to occur, the ERA states that the assessment would benefit from </w:t>
            </w:r>
            <w:r w:rsidRPr="005D6CB9">
              <w:rPr>
                <w:rFonts w:cs="Arial"/>
              </w:rPr>
              <w:t>additional information on the composition of non-target species (bycatch and species of conservation concern)</w:t>
            </w:r>
            <w:r w:rsidR="005D6CB9">
              <w:rPr>
                <w:rFonts w:cs="Arial"/>
              </w:rPr>
              <w:t xml:space="preserve"> and the effectiveness of the </w:t>
            </w:r>
            <w:r w:rsidRPr="005D6CB9">
              <w:rPr>
                <w:rFonts w:cs="Arial"/>
              </w:rPr>
              <w:t>Danish Seine and Otter Trawl fishing methods.</w:t>
            </w:r>
          </w:p>
          <w:p w14:paraId="4800BDCE" w14:textId="77777777" w:rsidR="0002308E" w:rsidRPr="00E21AE7" w:rsidRDefault="0002308E" w:rsidP="007F171B">
            <w:pPr>
              <w:spacing w:before="80" w:after="80" w:line="276" w:lineRule="auto"/>
              <w:rPr>
                <w:rFonts w:cs="Arial"/>
              </w:rPr>
            </w:pPr>
            <w:r w:rsidRPr="00E21AE7">
              <w:rPr>
                <w:rFonts w:cs="Arial"/>
              </w:rPr>
              <w:t>In lieu of any further ERA, QDAF</w:t>
            </w:r>
            <w:r w:rsidRPr="00E21AE7" w:rsidDel="00EE4B8F">
              <w:rPr>
                <w:rFonts w:cs="Arial"/>
              </w:rPr>
              <w:t xml:space="preserve"> </w:t>
            </w:r>
            <w:r w:rsidRPr="00E21AE7">
              <w:rPr>
                <w:rFonts w:cs="Arial"/>
              </w:rPr>
              <w:t>has committed to address identified knowledge gaps through their Fisheries Queensland Monitoring and Research Plan.</w:t>
            </w:r>
          </w:p>
          <w:p w14:paraId="5F7E5DED" w14:textId="1B7F11AD" w:rsidR="0002308E" w:rsidRPr="00E21AE7" w:rsidRDefault="0002308E" w:rsidP="007F171B">
            <w:pPr>
              <w:spacing w:before="80" w:after="80" w:line="276" w:lineRule="auto"/>
              <w:rPr>
                <w:rFonts w:cs="Arial"/>
              </w:rPr>
            </w:pPr>
            <w:r w:rsidRPr="00E21AE7">
              <w:rPr>
                <w:rFonts w:cs="Arial"/>
              </w:rPr>
              <w:t>T</w:t>
            </w:r>
            <w:r w:rsidRPr="00E21AE7">
              <w:rPr>
                <w:rFonts w:cs="Arial"/>
                <w:lang w:eastAsia="en-AU"/>
              </w:rPr>
              <w:t xml:space="preserve">he Department recommends that </w:t>
            </w:r>
            <w:r w:rsidRPr="00E21AE7">
              <w:rPr>
                <w:rFonts w:cs="Arial"/>
                <w:b/>
                <w:lang w:eastAsia="en-AU"/>
              </w:rPr>
              <w:t>condition</w:t>
            </w:r>
            <w:r w:rsidR="00DB6A39">
              <w:rPr>
                <w:rFonts w:cs="Arial"/>
                <w:b/>
                <w:lang w:eastAsia="en-AU"/>
              </w:rPr>
              <w:t>s</w:t>
            </w:r>
            <w:r w:rsidRPr="00E21AE7">
              <w:rPr>
                <w:rFonts w:cs="Arial"/>
                <w:b/>
                <w:lang w:eastAsia="en-AU"/>
              </w:rPr>
              <w:t xml:space="preserve"> 1</w:t>
            </w:r>
            <w:r w:rsidR="00DB6A39">
              <w:rPr>
                <w:rFonts w:cs="Arial"/>
                <w:b/>
                <w:lang w:eastAsia="en-AU"/>
              </w:rPr>
              <w:t xml:space="preserve"> and 2</w:t>
            </w:r>
            <w:r w:rsidR="00024D69" w:rsidRPr="00E21AE7">
              <w:rPr>
                <w:rFonts w:cs="Arial"/>
                <w:lang w:eastAsia="en-AU"/>
              </w:rPr>
              <w:t xml:space="preserve"> </w:t>
            </w:r>
            <w:r w:rsidRPr="00E21AE7">
              <w:rPr>
                <w:rFonts w:cs="Arial"/>
                <w:lang w:eastAsia="en-AU"/>
              </w:rPr>
              <w:t xml:space="preserve">be applied to the Part 13 approval and </w:t>
            </w:r>
            <w:r w:rsidRPr="00E21AE7">
              <w:rPr>
                <w:rFonts w:cs="Arial"/>
                <w:b/>
                <w:lang w:eastAsia="en-AU"/>
              </w:rPr>
              <w:t>condition</w:t>
            </w:r>
            <w:r w:rsidR="00DB6A39">
              <w:rPr>
                <w:rFonts w:cs="Arial"/>
                <w:b/>
                <w:lang w:eastAsia="en-AU"/>
              </w:rPr>
              <w:t>s</w:t>
            </w:r>
            <w:r w:rsidRPr="00E21AE7">
              <w:rPr>
                <w:rFonts w:cs="Arial"/>
                <w:b/>
                <w:lang w:eastAsia="en-AU"/>
              </w:rPr>
              <w:t> 4</w:t>
            </w:r>
            <w:r w:rsidR="00DB6A39">
              <w:rPr>
                <w:rFonts w:cs="Arial"/>
                <w:b/>
                <w:lang w:eastAsia="en-AU"/>
              </w:rPr>
              <w:t xml:space="preserve"> and 5</w:t>
            </w:r>
            <w:r w:rsidR="00024D69" w:rsidRPr="00E21AE7">
              <w:rPr>
                <w:rFonts w:cs="Arial"/>
                <w:lang w:eastAsia="en-AU"/>
              </w:rPr>
              <w:t xml:space="preserve"> </w:t>
            </w:r>
            <w:r w:rsidRPr="00E21AE7">
              <w:rPr>
                <w:rFonts w:cs="Arial"/>
                <w:lang w:eastAsia="en-AU"/>
              </w:rPr>
              <w:t>be applied to the Part 13A approval to ensure there is reliable data collection, monitoring and risk mitigation for all protected species and communities impacted by the CTFFF.</w:t>
            </w:r>
          </w:p>
        </w:tc>
      </w:tr>
      <w:tr w:rsidR="0002308E" w:rsidRPr="000900EC" w14:paraId="68A3A1D7" w14:textId="77777777" w:rsidTr="00796D99">
        <w:trPr>
          <w:cantSplit/>
        </w:trPr>
        <w:tc>
          <w:tcPr>
            <w:tcW w:w="5000" w:type="pct"/>
            <w:gridSpan w:val="3"/>
            <w:shd w:val="clear" w:color="auto" w:fill="E5DFEC"/>
          </w:tcPr>
          <w:p w14:paraId="557E482C" w14:textId="77777777" w:rsidR="0002308E" w:rsidRPr="00E21AE7" w:rsidRDefault="0002308E" w:rsidP="007F171B">
            <w:pPr>
              <w:spacing w:before="80" w:after="80" w:line="276" w:lineRule="auto"/>
              <w:rPr>
                <w:rFonts w:cs="Arial"/>
              </w:rPr>
            </w:pPr>
            <w:r w:rsidRPr="00E21AE7">
              <w:rPr>
                <w:rFonts w:cs="Arial"/>
                <w:b/>
                <w:i/>
              </w:rPr>
              <w:t>Assessment</w:t>
            </w:r>
          </w:p>
        </w:tc>
      </w:tr>
      <w:tr w:rsidR="0002308E" w:rsidRPr="000900EC" w14:paraId="2B87692C" w14:textId="77777777" w:rsidTr="008903BD">
        <w:trPr>
          <w:cantSplit/>
        </w:trPr>
        <w:tc>
          <w:tcPr>
            <w:tcW w:w="1500" w:type="pct"/>
            <w:shd w:val="clear" w:color="auto" w:fill="FFC000"/>
          </w:tcPr>
          <w:p w14:paraId="6884977C" w14:textId="77777777" w:rsidR="0002308E" w:rsidRPr="00E21AE7" w:rsidRDefault="0002308E" w:rsidP="007F171B">
            <w:pPr>
              <w:spacing w:before="80" w:after="80" w:line="276" w:lineRule="auto"/>
              <w:rPr>
                <w:rFonts w:cs="Arial"/>
              </w:rPr>
            </w:pPr>
            <w:r w:rsidRPr="00E21AE7">
              <w:rPr>
                <w:rFonts w:cs="Arial"/>
                <w:b/>
              </w:rPr>
              <w:lastRenderedPageBreak/>
              <w:t xml:space="preserve">2.3.2 </w:t>
            </w:r>
            <w:r w:rsidRPr="00E21AE7">
              <w:rPr>
                <w:rFonts w:cs="Arial"/>
              </w:rPr>
              <w:t>Information is collected and a risk analysis, appropriate to the scale of the fishery and its potential impacts, is conducted into the susceptibility of each of the following ecosystem components to the fishery.</w:t>
            </w:r>
          </w:p>
          <w:p w14:paraId="41B45CD8" w14:textId="77777777" w:rsidR="0002308E" w:rsidRPr="00E21AE7" w:rsidRDefault="0002308E" w:rsidP="007F171B">
            <w:pPr>
              <w:spacing w:before="80" w:after="80" w:line="276" w:lineRule="auto"/>
              <w:rPr>
                <w:rFonts w:cs="Arial"/>
              </w:rPr>
            </w:pPr>
            <w:r w:rsidRPr="00E21AE7">
              <w:rPr>
                <w:rFonts w:cs="Arial"/>
              </w:rPr>
              <w:t>1. Impacts on ecological communities</w:t>
            </w:r>
          </w:p>
          <w:p w14:paraId="3F5A9A6B" w14:textId="77777777" w:rsidR="0002308E" w:rsidRPr="00E21AE7" w:rsidRDefault="0002308E" w:rsidP="007F171B">
            <w:pPr>
              <w:spacing w:before="80" w:after="80" w:line="276" w:lineRule="auto"/>
              <w:rPr>
                <w:rFonts w:cs="Arial"/>
              </w:rPr>
            </w:pPr>
            <w:r w:rsidRPr="00E21AE7">
              <w:rPr>
                <w:rFonts w:cs="Arial"/>
              </w:rPr>
              <w:t>• Benthic communities</w:t>
            </w:r>
          </w:p>
          <w:p w14:paraId="11E2CD72" w14:textId="77777777" w:rsidR="0002308E" w:rsidRPr="00E21AE7" w:rsidRDefault="0002308E" w:rsidP="007F171B">
            <w:pPr>
              <w:spacing w:before="80" w:after="80" w:line="276" w:lineRule="auto"/>
              <w:rPr>
                <w:rFonts w:cs="Arial"/>
              </w:rPr>
            </w:pPr>
            <w:r w:rsidRPr="00E21AE7">
              <w:rPr>
                <w:rFonts w:cs="Arial"/>
              </w:rPr>
              <w:t xml:space="preserve">• Ecologically related, </w:t>
            </w:r>
            <w:proofErr w:type="gramStart"/>
            <w:r w:rsidRPr="00E21AE7">
              <w:rPr>
                <w:rFonts w:cs="Arial"/>
              </w:rPr>
              <w:t>associated</w:t>
            </w:r>
            <w:proofErr w:type="gramEnd"/>
            <w:r w:rsidRPr="00E21AE7">
              <w:rPr>
                <w:rFonts w:cs="Arial"/>
              </w:rPr>
              <w:t xml:space="preserve"> or dependent species</w:t>
            </w:r>
          </w:p>
          <w:p w14:paraId="44F04855" w14:textId="77777777" w:rsidR="0002308E" w:rsidRPr="00E21AE7" w:rsidRDefault="0002308E" w:rsidP="007F171B">
            <w:pPr>
              <w:spacing w:before="80" w:after="80" w:line="276" w:lineRule="auto"/>
              <w:rPr>
                <w:rFonts w:cs="Arial"/>
              </w:rPr>
            </w:pPr>
            <w:r w:rsidRPr="00E21AE7">
              <w:rPr>
                <w:rFonts w:cs="Arial"/>
              </w:rPr>
              <w:t>• Water column communities</w:t>
            </w:r>
          </w:p>
          <w:p w14:paraId="5113CE61" w14:textId="77777777" w:rsidR="0002308E" w:rsidRPr="00E21AE7" w:rsidRDefault="0002308E" w:rsidP="007F171B">
            <w:pPr>
              <w:spacing w:before="80" w:after="80" w:line="276" w:lineRule="auto"/>
              <w:rPr>
                <w:rFonts w:cs="Arial"/>
              </w:rPr>
            </w:pPr>
            <w:r w:rsidRPr="00E21AE7">
              <w:rPr>
                <w:rFonts w:cs="Arial"/>
              </w:rPr>
              <w:t>2. Impacts on food chains</w:t>
            </w:r>
          </w:p>
          <w:p w14:paraId="7FE12F7C" w14:textId="77777777" w:rsidR="0002308E" w:rsidRPr="00E21AE7" w:rsidRDefault="0002308E" w:rsidP="007F171B">
            <w:pPr>
              <w:spacing w:before="80" w:after="80" w:line="276" w:lineRule="auto"/>
              <w:rPr>
                <w:rFonts w:cs="Arial"/>
              </w:rPr>
            </w:pPr>
            <w:r w:rsidRPr="00E21AE7">
              <w:rPr>
                <w:rFonts w:cs="Arial"/>
              </w:rPr>
              <w:t>• Structure</w:t>
            </w:r>
          </w:p>
          <w:p w14:paraId="7CE7967D" w14:textId="77777777" w:rsidR="0002308E" w:rsidRPr="00E21AE7" w:rsidRDefault="0002308E" w:rsidP="007F171B">
            <w:pPr>
              <w:spacing w:before="80" w:after="80" w:line="276" w:lineRule="auto"/>
              <w:rPr>
                <w:rFonts w:cs="Arial"/>
              </w:rPr>
            </w:pPr>
            <w:r w:rsidRPr="00E21AE7">
              <w:rPr>
                <w:rFonts w:cs="Arial"/>
              </w:rPr>
              <w:t>• Productivity/flows</w:t>
            </w:r>
          </w:p>
          <w:p w14:paraId="5B852FB8" w14:textId="77777777" w:rsidR="0002308E" w:rsidRPr="00E21AE7" w:rsidRDefault="0002308E" w:rsidP="007F171B">
            <w:pPr>
              <w:spacing w:before="80" w:after="80" w:line="276" w:lineRule="auto"/>
              <w:rPr>
                <w:rFonts w:cs="Arial"/>
              </w:rPr>
            </w:pPr>
            <w:r w:rsidRPr="00E21AE7">
              <w:rPr>
                <w:rFonts w:cs="Arial"/>
              </w:rPr>
              <w:t>3. Impacts on the physical environment</w:t>
            </w:r>
          </w:p>
          <w:p w14:paraId="1F849EDB" w14:textId="77777777" w:rsidR="0002308E" w:rsidRPr="00E21AE7" w:rsidRDefault="0002308E" w:rsidP="007F171B">
            <w:pPr>
              <w:spacing w:before="80" w:after="80" w:line="276" w:lineRule="auto"/>
              <w:rPr>
                <w:rFonts w:cs="Arial"/>
              </w:rPr>
            </w:pPr>
            <w:r w:rsidRPr="00E21AE7">
              <w:rPr>
                <w:rFonts w:cs="Arial"/>
              </w:rPr>
              <w:t>• Physical habitat</w:t>
            </w:r>
          </w:p>
          <w:p w14:paraId="3DCEF872" w14:textId="77777777" w:rsidR="0002308E" w:rsidRPr="00E21AE7" w:rsidRDefault="0002308E" w:rsidP="007F171B">
            <w:pPr>
              <w:spacing w:before="80" w:after="80" w:line="276" w:lineRule="auto"/>
              <w:rPr>
                <w:rFonts w:cs="Arial"/>
              </w:rPr>
            </w:pPr>
            <w:r w:rsidRPr="00E21AE7">
              <w:rPr>
                <w:rFonts w:cs="Arial"/>
              </w:rPr>
              <w:t>• Water quality</w:t>
            </w:r>
          </w:p>
        </w:tc>
        <w:tc>
          <w:tcPr>
            <w:tcW w:w="3500" w:type="pct"/>
            <w:gridSpan w:val="2"/>
            <w:shd w:val="clear" w:color="auto" w:fill="auto"/>
          </w:tcPr>
          <w:p w14:paraId="481E12CB" w14:textId="77777777" w:rsidR="0002308E" w:rsidRPr="00E21AE7" w:rsidRDefault="0002308E" w:rsidP="007F171B">
            <w:pPr>
              <w:spacing w:before="80" w:after="80" w:line="276" w:lineRule="auto"/>
              <w:rPr>
                <w:rFonts w:cs="Arial"/>
                <w:b/>
              </w:rPr>
            </w:pPr>
            <w:r w:rsidRPr="00E21AE7">
              <w:rPr>
                <w:rFonts w:cs="Arial"/>
                <w:b/>
              </w:rPr>
              <w:t>Partially meets – ERA completed but did not consider changes that potentially affect the fishery</w:t>
            </w:r>
          </w:p>
          <w:p w14:paraId="44C3C65E" w14:textId="77777777" w:rsidR="0002308E" w:rsidRPr="00E21AE7" w:rsidRDefault="0002308E" w:rsidP="007F171B">
            <w:pPr>
              <w:spacing w:before="80" w:after="80" w:line="276" w:lineRule="auto"/>
              <w:rPr>
                <w:rFonts w:cs="Arial"/>
              </w:rPr>
            </w:pPr>
            <w:r w:rsidRPr="00E21AE7">
              <w:rPr>
                <w:rFonts w:cs="Arial"/>
              </w:rPr>
              <w:t>The recent ERA for the CTFFF found the CTFFF posed a low to intermediate risk to marine habitats and ecosystem processes (</w:t>
            </w:r>
            <w:hyperlink r:id="rId90"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 xml:space="preserve">. The ERA did not consider the impacts of fishing in waters shallower than 20 fathoms which is being undertaken as part of a four-year trial. </w:t>
            </w:r>
          </w:p>
          <w:p w14:paraId="259DEF13" w14:textId="481C122E" w:rsidR="0002308E" w:rsidRPr="00E21AE7" w:rsidRDefault="0002308E" w:rsidP="007F171B">
            <w:pPr>
              <w:spacing w:before="80" w:after="80" w:line="276" w:lineRule="auto"/>
              <w:rPr>
                <w:rFonts w:cs="Arial"/>
              </w:rPr>
            </w:pPr>
            <w:r w:rsidRPr="00E21AE7">
              <w:rPr>
                <w:rFonts w:cs="Arial"/>
              </w:rPr>
              <w:t>Given concerns regarding impacts of trawling in these shallower nursery grounds, and the fact that these areas were previously closed to fishing by the CTFFF for ecological risk mitigation reasons, there should have been some consideration of these arrangements in the ERA, and that the ERA should be revised if fishing in those waters is to continue.</w:t>
            </w:r>
          </w:p>
          <w:p w14:paraId="36E96719" w14:textId="77777777" w:rsidR="0002308E" w:rsidRPr="00E21AE7" w:rsidRDefault="0002308E" w:rsidP="007F171B">
            <w:pPr>
              <w:spacing w:before="80" w:after="80" w:line="276" w:lineRule="auto"/>
              <w:rPr>
                <w:rFonts w:cs="Arial"/>
              </w:rPr>
            </w:pPr>
            <w:r w:rsidRPr="00E21AE7">
              <w:rPr>
                <w:rFonts w:cs="Arial"/>
              </w:rPr>
              <w:t>A separate ERA undertaken for the ECOT and River and Inshore Beam Trawl fisheries that operate in the same inshore areas found numerous ecological components, including bycatch and protected species at high risk from those fisheries (</w:t>
            </w:r>
            <w:hyperlink r:id="rId91" w:history="1">
              <w:r w:rsidRPr="00E21AE7">
                <w:rPr>
                  <w:rStyle w:val="Hyperlink"/>
                  <w:rFonts w:cs="Arial"/>
                </w:rPr>
                <w:t>Jacobsen et al. 2018</w:t>
              </w:r>
            </w:hyperlink>
            <w:r w:rsidRPr="00E21AE7">
              <w:rPr>
                <w:rFonts w:cs="Arial"/>
              </w:rPr>
              <w:t>).</w:t>
            </w:r>
          </w:p>
          <w:p w14:paraId="3324F097" w14:textId="77777777" w:rsidR="0002308E" w:rsidRPr="00E21AE7" w:rsidRDefault="0002308E" w:rsidP="007F171B">
            <w:pPr>
              <w:spacing w:before="80" w:after="80" w:line="276" w:lineRule="auto"/>
              <w:rPr>
                <w:rFonts w:cs="Arial"/>
              </w:rPr>
            </w:pPr>
            <w:r w:rsidRPr="00E21AE7">
              <w:rPr>
                <w:rFonts w:cs="Arial"/>
              </w:rPr>
              <w:t>Key ecological features in the area of the CTFFF include the shelf rocky reefs and canyons on the eastern continental slope, and the upwelling off Fraser Island (</w:t>
            </w:r>
            <w:hyperlink r:id="rId92" w:history="1">
              <w:r w:rsidRPr="00E21AE7">
                <w:rPr>
                  <w:rStyle w:val="Hyperlink"/>
                  <w:rFonts w:cs="Arial"/>
                </w:rPr>
                <w:t>DAWR, 2012</w:t>
              </w:r>
            </w:hyperlink>
            <w:r w:rsidRPr="00E21AE7">
              <w:rPr>
                <w:rFonts w:cs="Arial"/>
              </w:rPr>
              <w:t>). It is unlikely these features will be significantly impacted by the CTFFF as the target species, Stout Whiting, are targeted on flat, sandy bottom habitats which are considered more resilient to demersal trawling. The risk to marine habitats is also reduced by the small number of vessels operating in the fishery (</w:t>
            </w:r>
            <w:hyperlink r:id="rId93"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w:t>
            </w:r>
          </w:p>
          <w:p w14:paraId="2B2EA7C6" w14:textId="77777777" w:rsidR="0002308E" w:rsidRPr="00E21AE7" w:rsidRDefault="0002308E" w:rsidP="007F171B">
            <w:pPr>
              <w:spacing w:before="80" w:after="80" w:line="276" w:lineRule="auto"/>
              <w:rPr>
                <w:rFonts w:cs="Arial"/>
              </w:rPr>
            </w:pPr>
            <w:r w:rsidRPr="00E21AE7">
              <w:rPr>
                <w:rFonts w:cs="Arial"/>
              </w:rPr>
              <w:t>QDAF report that if effort in the fishery increases significantly and/or the management regime changes, the results of the ERA should be reviewed to determine if one or more of the ecological components need to be progressed to a more quantitative (Level 2) ERA. If this were to occur, QDAF note that the assessment would benefit from additional information on the composition of non-target species (bycatch and species of conservation concern) and the effectiveness of the two fishing methods (Danish Seine and Otter Trawl).</w:t>
            </w:r>
          </w:p>
          <w:p w14:paraId="37E72561" w14:textId="61CF7714" w:rsidR="0002308E" w:rsidRPr="00E21AE7" w:rsidRDefault="0002308E" w:rsidP="007F171B">
            <w:pPr>
              <w:spacing w:before="80" w:after="80" w:line="276" w:lineRule="auto"/>
              <w:rPr>
                <w:rFonts w:cs="Arial"/>
              </w:rPr>
            </w:pPr>
            <w:r w:rsidRPr="00E21AE7">
              <w:rPr>
                <w:rFonts w:cs="Arial"/>
              </w:rPr>
              <w:t xml:space="preserve">In lieu of any further ERA, QDAF has committed to progress identified knowledge gaps through their Fisheries Queensland Monitoring and Research Plan. QDAF intends to </w:t>
            </w:r>
            <w:r w:rsidR="00314C7A">
              <w:rPr>
                <w:rFonts w:cs="Arial"/>
              </w:rPr>
              <w:t xml:space="preserve">apply for assessment of </w:t>
            </w:r>
            <w:r w:rsidRPr="00E21AE7">
              <w:rPr>
                <w:rFonts w:cs="Arial"/>
              </w:rPr>
              <w:t>the trial area in mid-2020. The Department recommends this application include an ERA that considers the impacts associated with the trial and broader CTFFF.</w:t>
            </w:r>
          </w:p>
          <w:p w14:paraId="3991DAE6" w14:textId="7EE5455A" w:rsidR="0002308E" w:rsidRPr="00E21AE7" w:rsidRDefault="0002308E" w:rsidP="007F171B">
            <w:pPr>
              <w:spacing w:before="80" w:after="80" w:line="276" w:lineRule="auto"/>
              <w:rPr>
                <w:rFonts w:cs="Arial"/>
              </w:rPr>
            </w:pPr>
            <w:r w:rsidRPr="00E21AE7">
              <w:rPr>
                <w:rFonts w:cs="Arial"/>
              </w:rPr>
              <w:t>T</w:t>
            </w:r>
            <w:r w:rsidRPr="00E21AE7">
              <w:rPr>
                <w:rFonts w:cs="Arial"/>
                <w:lang w:eastAsia="en-AU"/>
              </w:rPr>
              <w:t xml:space="preserve">he Department recommends that </w:t>
            </w:r>
            <w:r w:rsidRPr="00E21AE7">
              <w:rPr>
                <w:rFonts w:cs="Arial"/>
                <w:b/>
                <w:lang w:eastAsia="en-AU"/>
              </w:rPr>
              <w:t>condition</w:t>
            </w:r>
            <w:r w:rsidR="00DB6A39">
              <w:rPr>
                <w:rFonts w:cs="Arial"/>
                <w:b/>
                <w:lang w:eastAsia="en-AU"/>
              </w:rPr>
              <w:t>s</w:t>
            </w:r>
            <w:r w:rsidRPr="00E21AE7">
              <w:rPr>
                <w:rFonts w:cs="Arial"/>
                <w:b/>
                <w:lang w:eastAsia="en-AU"/>
              </w:rPr>
              <w:t xml:space="preserve"> 1</w:t>
            </w:r>
            <w:r w:rsidR="00DB6A39">
              <w:rPr>
                <w:rFonts w:cs="Arial"/>
                <w:b/>
                <w:lang w:eastAsia="en-AU"/>
              </w:rPr>
              <w:t xml:space="preserve"> and 2</w:t>
            </w:r>
            <w:r w:rsidR="00024D69" w:rsidRPr="00E21AE7">
              <w:rPr>
                <w:rFonts w:cs="Arial"/>
                <w:lang w:eastAsia="en-AU"/>
              </w:rPr>
              <w:t xml:space="preserve"> </w:t>
            </w:r>
            <w:r w:rsidRPr="00E21AE7">
              <w:rPr>
                <w:rFonts w:cs="Arial"/>
                <w:lang w:eastAsia="en-AU"/>
              </w:rPr>
              <w:t xml:space="preserve">be applied to the Part 13 approval and </w:t>
            </w:r>
            <w:r w:rsidRPr="00E21AE7">
              <w:rPr>
                <w:rFonts w:cs="Arial"/>
                <w:b/>
                <w:lang w:eastAsia="en-AU"/>
              </w:rPr>
              <w:t>condition</w:t>
            </w:r>
            <w:r w:rsidR="00DB6A39">
              <w:rPr>
                <w:rFonts w:cs="Arial"/>
                <w:b/>
                <w:lang w:eastAsia="en-AU"/>
              </w:rPr>
              <w:t>s</w:t>
            </w:r>
            <w:r w:rsidRPr="00E21AE7">
              <w:rPr>
                <w:rFonts w:cs="Arial"/>
                <w:b/>
                <w:lang w:eastAsia="en-AU"/>
              </w:rPr>
              <w:t> 4</w:t>
            </w:r>
            <w:r w:rsidR="00DB6A39">
              <w:rPr>
                <w:rFonts w:cs="Arial"/>
                <w:b/>
                <w:lang w:eastAsia="en-AU"/>
              </w:rPr>
              <w:t xml:space="preserve"> and 5</w:t>
            </w:r>
            <w:r w:rsidR="00024D69" w:rsidRPr="00E21AE7">
              <w:rPr>
                <w:rFonts w:cs="Arial"/>
                <w:lang w:eastAsia="en-AU"/>
              </w:rPr>
              <w:t xml:space="preserve"> </w:t>
            </w:r>
            <w:r w:rsidRPr="00E21AE7">
              <w:rPr>
                <w:rFonts w:cs="Arial"/>
                <w:lang w:eastAsia="en-AU"/>
              </w:rPr>
              <w:t>be applied to the Part 13A approval to ensure there is reliable data collection, monitoring and risk mitigation for all ecosystem components impacted by the CTFFF.</w:t>
            </w:r>
          </w:p>
        </w:tc>
      </w:tr>
      <w:tr w:rsidR="0002308E" w:rsidRPr="000900EC" w14:paraId="4C528271" w14:textId="77777777" w:rsidTr="00796D99">
        <w:trPr>
          <w:cantSplit/>
          <w:trHeight w:val="77"/>
        </w:trPr>
        <w:tc>
          <w:tcPr>
            <w:tcW w:w="5000" w:type="pct"/>
            <w:gridSpan w:val="3"/>
            <w:shd w:val="clear" w:color="auto" w:fill="E5DFEC"/>
          </w:tcPr>
          <w:p w14:paraId="04DA78A2" w14:textId="77777777" w:rsidR="0002308E" w:rsidRPr="00E21AE7" w:rsidRDefault="0002308E" w:rsidP="007F171B">
            <w:pPr>
              <w:spacing w:before="80" w:after="80" w:line="276" w:lineRule="auto"/>
              <w:rPr>
                <w:rFonts w:cs="Arial"/>
                <w:b/>
                <w:i/>
              </w:rPr>
            </w:pPr>
            <w:r w:rsidRPr="00E21AE7">
              <w:rPr>
                <w:rFonts w:cs="Arial"/>
                <w:b/>
                <w:i/>
              </w:rPr>
              <w:lastRenderedPageBreak/>
              <w:t>Management responses</w:t>
            </w:r>
          </w:p>
        </w:tc>
      </w:tr>
      <w:tr w:rsidR="0002308E" w:rsidRPr="000900EC" w14:paraId="7FEB370C" w14:textId="77777777" w:rsidTr="008903BD">
        <w:trPr>
          <w:cantSplit/>
          <w:trHeight w:val="77"/>
        </w:trPr>
        <w:tc>
          <w:tcPr>
            <w:tcW w:w="1500" w:type="pct"/>
            <w:shd w:val="clear" w:color="auto" w:fill="92D050"/>
          </w:tcPr>
          <w:p w14:paraId="14630D9C" w14:textId="77777777" w:rsidR="0002308E" w:rsidRPr="00E21AE7" w:rsidRDefault="0002308E" w:rsidP="007F171B">
            <w:pPr>
              <w:spacing w:before="80" w:after="80" w:line="276" w:lineRule="auto"/>
              <w:rPr>
                <w:rFonts w:cs="Arial"/>
              </w:rPr>
            </w:pPr>
            <w:r w:rsidRPr="00E21AE7">
              <w:rPr>
                <w:rFonts w:cs="Arial"/>
                <w:b/>
                <w:i/>
              </w:rPr>
              <w:t xml:space="preserve">2.3.3 </w:t>
            </w:r>
            <w:r w:rsidRPr="00E21AE7">
              <w:rPr>
                <w:rFonts w:cs="Arial"/>
              </w:rPr>
              <w:t>Management actions are in place to ensure significant damage to ecosystems does not arise from the impacts described in 2.3.1.</w:t>
            </w:r>
          </w:p>
        </w:tc>
        <w:tc>
          <w:tcPr>
            <w:tcW w:w="3500" w:type="pct"/>
            <w:gridSpan w:val="2"/>
            <w:shd w:val="clear" w:color="auto" w:fill="auto"/>
          </w:tcPr>
          <w:p w14:paraId="370DC402" w14:textId="77777777" w:rsidR="0002308E" w:rsidRPr="00E21AE7" w:rsidRDefault="0002308E" w:rsidP="007F171B">
            <w:pPr>
              <w:spacing w:before="80" w:after="80" w:line="276" w:lineRule="auto"/>
              <w:rPr>
                <w:rFonts w:cs="Arial"/>
                <w:b/>
              </w:rPr>
            </w:pPr>
            <w:r w:rsidRPr="00E21AE7">
              <w:rPr>
                <w:rFonts w:cs="Arial"/>
                <w:b/>
              </w:rPr>
              <w:t>Meets – Management actions in place</w:t>
            </w:r>
          </w:p>
          <w:p w14:paraId="26254C42" w14:textId="77777777" w:rsidR="0002308E" w:rsidRPr="00E21AE7" w:rsidRDefault="0002308E" w:rsidP="007F171B">
            <w:pPr>
              <w:spacing w:before="80" w:after="80" w:line="276" w:lineRule="auto"/>
              <w:rPr>
                <w:rFonts w:cs="Arial"/>
              </w:rPr>
            </w:pPr>
            <w:r w:rsidRPr="00E21AE7">
              <w:rPr>
                <w:rFonts w:cs="Arial"/>
              </w:rPr>
              <w:t>The fishery includes a range of input and output controls designed to manage ecological impacts. The risk to marine habitats is also relatively low given the small number of vessels operating in the fishery and the capacity to monitor and enforce spatial management arrangements through Vessel Tracking (</w:t>
            </w:r>
            <w:hyperlink r:id="rId94"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w:t>
            </w:r>
          </w:p>
        </w:tc>
      </w:tr>
      <w:tr w:rsidR="0002308E" w:rsidRPr="000900EC" w14:paraId="78C75D33" w14:textId="77777777" w:rsidTr="008903BD">
        <w:trPr>
          <w:cantSplit/>
        </w:trPr>
        <w:tc>
          <w:tcPr>
            <w:tcW w:w="1500" w:type="pct"/>
            <w:shd w:val="clear" w:color="auto" w:fill="FF0000"/>
          </w:tcPr>
          <w:p w14:paraId="7DABB49A" w14:textId="77777777" w:rsidR="0002308E" w:rsidRPr="00E21AE7" w:rsidRDefault="0002308E" w:rsidP="007F171B">
            <w:pPr>
              <w:spacing w:before="80" w:after="80" w:line="276" w:lineRule="auto"/>
              <w:rPr>
                <w:rFonts w:cs="Arial"/>
              </w:rPr>
            </w:pPr>
            <w:r w:rsidRPr="00E21AE7">
              <w:rPr>
                <w:rFonts w:cs="Arial"/>
                <w:b/>
                <w:i/>
              </w:rPr>
              <w:t xml:space="preserve">2.3.4 </w:t>
            </w:r>
            <w:r w:rsidRPr="00E21AE7">
              <w:rPr>
                <w:rFonts w:cs="Arial"/>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gridSpan w:val="2"/>
            <w:shd w:val="clear" w:color="auto" w:fill="auto"/>
          </w:tcPr>
          <w:p w14:paraId="3F3C71DB" w14:textId="77777777" w:rsidR="0002308E" w:rsidRPr="00E21AE7" w:rsidRDefault="0002308E" w:rsidP="007F171B">
            <w:pPr>
              <w:spacing w:before="80" w:after="80" w:line="276" w:lineRule="auto"/>
              <w:rPr>
                <w:rFonts w:cs="Arial"/>
                <w:b/>
              </w:rPr>
            </w:pPr>
            <w:r w:rsidRPr="00E21AE7">
              <w:rPr>
                <w:rFonts w:cs="Arial"/>
                <w:b/>
              </w:rPr>
              <w:t>Does not meet – No performance measures implemented</w:t>
            </w:r>
          </w:p>
          <w:p w14:paraId="0CE8A66B" w14:textId="77777777" w:rsidR="0002308E" w:rsidRPr="00E21AE7" w:rsidRDefault="0002308E" w:rsidP="007F171B">
            <w:pPr>
              <w:spacing w:before="80" w:after="80" w:line="276" w:lineRule="auto"/>
              <w:rPr>
                <w:rFonts w:cs="Arial"/>
              </w:rPr>
            </w:pPr>
            <w:r w:rsidRPr="00E21AE7">
              <w:rPr>
                <w:rFonts w:cs="Arial"/>
              </w:rPr>
              <w:t xml:space="preserve">There is no monitoring of ecological impacts, no indicators, </w:t>
            </w:r>
            <w:proofErr w:type="gramStart"/>
            <w:r w:rsidRPr="00E21AE7">
              <w:rPr>
                <w:rFonts w:cs="Arial"/>
              </w:rPr>
              <w:t>triggers</w:t>
            </w:r>
            <w:proofErr w:type="gramEnd"/>
            <w:r w:rsidRPr="00E21AE7">
              <w:rPr>
                <w:rFonts w:cs="Arial"/>
              </w:rPr>
              <w:t xml:space="preserve"> or decision rules to guide management of ecological risk in the fishery.</w:t>
            </w:r>
          </w:p>
          <w:p w14:paraId="544511C4" w14:textId="6943AC84" w:rsidR="0002308E" w:rsidRPr="00E21AE7" w:rsidRDefault="0064215B" w:rsidP="007F171B">
            <w:pPr>
              <w:spacing w:before="80" w:after="80" w:line="276" w:lineRule="auto"/>
              <w:rPr>
                <w:rFonts w:cs="Arial"/>
                <w:b/>
              </w:rPr>
            </w:pPr>
            <w:r>
              <w:rPr>
                <w:rFonts w:cs="Arial"/>
              </w:rPr>
              <w:t xml:space="preserve">While these </w:t>
            </w:r>
            <w:r w:rsidR="00CE0142">
              <w:rPr>
                <w:rFonts w:cs="Arial"/>
              </w:rPr>
              <w:t xml:space="preserve">are </w:t>
            </w:r>
            <w:r>
              <w:rPr>
                <w:rFonts w:cs="Arial"/>
              </w:rPr>
              <w:t>valuable management tools for fisher</w:t>
            </w:r>
            <w:r w:rsidR="00CE0142">
              <w:rPr>
                <w:rFonts w:cs="Arial"/>
              </w:rPr>
              <w:t>ies</w:t>
            </w:r>
            <w:r>
              <w:rPr>
                <w:rFonts w:cs="Arial"/>
              </w:rPr>
              <w:t xml:space="preserve">, </w:t>
            </w:r>
            <w:r w:rsidR="003475B0">
              <w:rPr>
                <w:rFonts w:cs="Arial"/>
              </w:rPr>
              <w:t xml:space="preserve">the </w:t>
            </w:r>
            <w:r w:rsidR="00CE0142">
              <w:rPr>
                <w:rFonts w:cs="Arial"/>
              </w:rPr>
              <w:t xml:space="preserve">current quota-based </w:t>
            </w:r>
            <w:r w:rsidR="003475B0">
              <w:rPr>
                <w:rFonts w:cs="Arial"/>
              </w:rPr>
              <w:t xml:space="preserve">management arrangements are likely to be </w:t>
            </w:r>
            <w:r w:rsidR="00196596">
              <w:rPr>
                <w:rFonts w:cs="Arial"/>
              </w:rPr>
              <w:t>sufficient</w:t>
            </w:r>
            <w:r w:rsidR="00CE0142">
              <w:rPr>
                <w:rFonts w:cs="Arial"/>
              </w:rPr>
              <w:t xml:space="preserve">, at least </w:t>
            </w:r>
            <w:r w:rsidR="003475B0">
              <w:rPr>
                <w:rFonts w:cs="Arial"/>
              </w:rPr>
              <w:t>until a harvest strategy is implemented.</w:t>
            </w:r>
          </w:p>
        </w:tc>
      </w:tr>
      <w:tr w:rsidR="0002308E" w:rsidRPr="000900EC" w14:paraId="358C4D33" w14:textId="77777777" w:rsidTr="008903BD">
        <w:trPr>
          <w:cantSplit/>
        </w:trPr>
        <w:tc>
          <w:tcPr>
            <w:tcW w:w="1500" w:type="pct"/>
            <w:shd w:val="clear" w:color="auto" w:fill="FFC000"/>
          </w:tcPr>
          <w:p w14:paraId="134F54EE" w14:textId="77777777" w:rsidR="0002308E" w:rsidRPr="00E21AE7" w:rsidRDefault="0002308E" w:rsidP="007F171B">
            <w:pPr>
              <w:spacing w:before="80" w:after="80" w:line="276" w:lineRule="auto"/>
              <w:rPr>
                <w:rFonts w:cs="Arial"/>
              </w:rPr>
            </w:pPr>
            <w:r w:rsidRPr="00E21AE7">
              <w:rPr>
                <w:rFonts w:cs="Arial"/>
                <w:b/>
                <w:i/>
              </w:rPr>
              <w:lastRenderedPageBreak/>
              <w:t>2.3.5</w:t>
            </w:r>
            <w:r w:rsidRPr="00E21AE7">
              <w:rPr>
                <w:rFonts w:cs="Arial"/>
              </w:rPr>
              <w:t xml:space="preserve"> The management response, considering uncertainties in the assessment and precautionary management actions, has a high chance of achieving the objective.</w:t>
            </w:r>
          </w:p>
        </w:tc>
        <w:tc>
          <w:tcPr>
            <w:tcW w:w="3500" w:type="pct"/>
            <w:gridSpan w:val="2"/>
            <w:shd w:val="clear" w:color="auto" w:fill="auto"/>
          </w:tcPr>
          <w:p w14:paraId="6579FB69" w14:textId="77777777" w:rsidR="0002308E" w:rsidRPr="00E21AE7" w:rsidRDefault="0002308E" w:rsidP="007F171B">
            <w:pPr>
              <w:spacing w:before="80" w:after="80" w:line="276" w:lineRule="auto"/>
              <w:rPr>
                <w:rFonts w:cs="Arial"/>
                <w:b/>
              </w:rPr>
            </w:pPr>
            <w:r w:rsidRPr="00E21AE7">
              <w:rPr>
                <w:rFonts w:cs="Arial"/>
                <w:b/>
              </w:rPr>
              <w:t>Partially meets – Medium chance</w:t>
            </w:r>
          </w:p>
          <w:p w14:paraId="13AED9E4" w14:textId="77777777" w:rsidR="0002308E" w:rsidRPr="00E21AE7" w:rsidRDefault="0002308E" w:rsidP="007F171B">
            <w:pPr>
              <w:spacing w:before="80" w:after="80" w:line="276" w:lineRule="auto"/>
              <w:rPr>
                <w:rFonts w:cs="Arial"/>
              </w:rPr>
            </w:pPr>
            <w:r w:rsidRPr="00E21AE7">
              <w:rPr>
                <w:rFonts w:cs="Arial"/>
              </w:rPr>
              <w:t>The fishing methods used in the CTFFF have a high degree of contact with the seabed and the benthic communities which inhabit them. This increases the risk that biogenic structures and shallow benthic infauna will be removed, dislodged, or damaged (</w:t>
            </w:r>
            <w:hyperlink r:id="rId95"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 The</w:t>
            </w:r>
            <w:r w:rsidRPr="00E21AE7" w:rsidDel="00366AE0">
              <w:rPr>
                <w:rFonts w:cs="Arial"/>
              </w:rPr>
              <w:t xml:space="preserve"> </w:t>
            </w:r>
            <w:r w:rsidRPr="00E21AE7">
              <w:rPr>
                <w:rFonts w:cs="Arial"/>
              </w:rPr>
              <w:t>risks associated with these impacts are offset to some extent by spatial controls which restrict fishing to areas with a long history of trawl fishing. This is because these areas are thought to have already experienced changes in flora and fauna assemblages and therefore be more resilient to this type of disturbance (</w:t>
            </w:r>
            <w:hyperlink r:id="rId96"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 Inshore areas previously closed to fishing by the CTFFF are fished by other fisheries including the ECOT and so could be considered to have already undergone these changes.</w:t>
            </w:r>
          </w:p>
          <w:p w14:paraId="35E9C523" w14:textId="643E2655" w:rsidR="0002308E" w:rsidRPr="00E21AE7" w:rsidRDefault="0002308E" w:rsidP="007F171B">
            <w:pPr>
              <w:spacing w:before="80" w:after="80" w:line="276" w:lineRule="auto"/>
              <w:rPr>
                <w:rFonts w:cs="Arial"/>
              </w:rPr>
            </w:pPr>
            <w:r w:rsidRPr="00E21AE7">
              <w:rPr>
                <w:rFonts w:cs="Arial"/>
              </w:rPr>
              <w:t>The inshore areas fished under trial arrangements were not considered in the ERA for the CTFFF. Given the concerns regarding impacts of trawling in these shallower nursery grounds, and the fact that these areas were closed to fishing by the CTFFF for ecological risk mitigation reasons, there should have been some consideration of these arrangements in the ERA.</w:t>
            </w:r>
          </w:p>
          <w:p w14:paraId="643CAA3A" w14:textId="77777777" w:rsidR="0002308E" w:rsidRPr="00E21AE7" w:rsidRDefault="0002308E" w:rsidP="007F171B">
            <w:pPr>
              <w:spacing w:before="80" w:after="80" w:line="276" w:lineRule="auto"/>
              <w:rPr>
                <w:rFonts w:cs="Arial"/>
              </w:rPr>
            </w:pPr>
            <w:r w:rsidRPr="00E21AE7">
              <w:rPr>
                <w:rFonts w:cs="Arial"/>
              </w:rPr>
              <w:t>The direct (e.g.</w:t>
            </w:r>
            <w:r w:rsidRPr="00E21AE7">
              <w:rPr>
                <w:rFonts w:cs="Arial"/>
                <w:i/>
              </w:rPr>
              <w:t xml:space="preserve"> </w:t>
            </w:r>
            <w:r w:rsidRPr="00E21AE7">
              <w:rPr>
                <w:rFonts w:cs="Arial"/>
              </w:rPr>
              <w:t>trawling new ground) and indirect (e.g. smothering, increase sedimentation) impacts of trawl fishing may be more significant for habitats located on the periphery of the trawl grounds. Given the footprint of CTFFF effort and the use of spatial and temporal closures to help offset the overall level of risk, the risk level was determined to be low to intermediate (</w:t>
            </w:r>
            <w:hyperlink r:id="rId97"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w:t>
            </w:r>
          </w:p>
          <w:p w14:paraId="065B5D19" w14:textId="77777777" w:rsidR="0002308E" w:rsidRPr="00E21AE7" w:rsidRDefault="0002308E" w:rsidP="007F171B">
            <w:pPr>
              <w:spacing w:before="80" w:after="80" w:line="276" w:lineRule="auto"/>
              <w:rPr>
                <w:rFonts w:cs="Arial"/>
              </w:rPr>
            </w:pPr>
            <w:r w:rsidRPr="00E21AE7">
              <w:rPr>
                <w:rFonts w:cs="Arial"/>
              </w:rPr>
              <w:t xml:space="preserve">The ERA for the CTFFF also found that risks to ecosystem processes associated with the removal of product from the system, discarding of non-target species, and impacts on offshore habitats were likely to be localised and relatively minor, given the small number of vessels operating in the fishery (up to five vessels, </w:t>
            </w:r>
            <w:hyperlink r:id="rId98" w:history="1">
              <w:r w:rsidRPr="00E21AE7">
                <w:rPr>
                  <w:rStyle w:val="Hyperlink"/>
                  <w:rFonts w:cs="Arial"/>
                  <w:lang w:eastAsia="en-AU"/>
                </w:rPr>
                <w:t>Walton &amp; Jacobsen, 201</w:t>
              </w:r>
              <w:r w:rsidRPr="00E21AE7">
                <w:rPr>
                  <w:rStyle w:val="Hyperlink"/>
                  <w:rFonts w:cs="Arial"/>
                </w:rPr>
                <w:t>9</w:t>
              </w:r>
            </w:hyperlink>
            <w:r w:rsidRPr="00E21AE7">
              <w:rPr>
                <w:rFonts w:cs="Arial"/>
                <w:lang w:eastAsia="en-AU"/>
              </w:rPr>
              <w:t>)</w:t>
            </w:r>
            <w:r w:rsidRPr="00E21AE7">
              <w:rPr>
                <w:rFonts w:cs="Arial"/>
              </w:rPr>
              <w:t>. Overall, the measures in the CTFFF are likely to be effective, but that future ERAs should consider all aspects of, and influences on the CTFFF.</w:t>
            </w:r>
          </w:p>
          <w:p w14:paraId="7A0F3C61" w14:textId="1E2C322A" w:rsidR="0002308E" w:rsidRPr="00E21AE7" w:rsidRDefault="0002308E" w:rsidP="007F171B">
            <w:pPr>
              <w:spacing w:before="80" w:after="80" w:line="276" w:lineRule="auto"/>
              <w:rPr>
                <w:rFonts w:cs="Arial"/>
              </w:rPr>
            </w:pPr>
            <w:r w:rsidRPr="00E21AE7">
              <w:rPr>
                <w:rFonts w:cs="Arial"/>
              </w:rPr>
              <w:t>T</w:t>
            </w:r>
            <w:r w:rsidRPr="00E21AE7">
              <w:rPr>
                <w:rFonts w:cs="Arial"/>
                <w:lang w:eastAsia="en-AU"/>
              </w:rPr>
              <w:t xml:space="preserve">he Department recommends that </w:t>
            </w:r>
            <w:r w:rsidRPr="00E21AE7">
              <w:rPr>
                <w:rFonts w:cs="Arial"/>
                <w:b/>
                <w:lang w:eastAsia="en-AU"/>
              </w:rPr>
              <w:t>condition</w:t>
            </w:r>
            <w:r w:rsidR="00DB6A39">
              <w:rPr>
                <w:rFonts w:cs="Arial"/>
                <w:b/>
                <w:lang w:eastAsia="en-AU"/>
              </w:rPr>
              <w:t>s</w:t>
            </w:r>
            <w:r w:rsidRPr="00E21AE7">
              <w:rPr>
                <w:rFonts w:cs="Arial"/>
                <w:b/>
                <w:lang w:eastAsia="en-AU"/>
              </w:rPr>
              <w:t xml:space="preserve"> 1</w:t>
            </w:r>
            <w:r w:rsidR="00DB6A39">
              <w:rPr>
                <w:rFonts w:cs="Arial"/>
                <w:b/>
                <w:lang w:eastAsia="en-AU"/>
              </w:rPr>
              <w:t xml:space="preserve"> and 2</w:t>
            </w:r>
            <w:r w:rsidR="00024D69" w:rsidRPr="00E21AE7">
              <w:rPr>
                <w:rFonts w:cs="Arial"/>
                <w:lang w:eastAsia="en-AU"/>
              </w:rPr>
              <w:t xml:space="preserve"> </w:t>
            </w:r>
            <w:r w:rsidRPr="00E21AE7">
              <w:rPr>
                <w:rFonts w:cs="Arial"/>
                <w:lang w:eastAsia="en-AU"/>
              </w:rPr>
              <w:t xml:space="preserve">be applied to the Part 13 approval and </w:t>
            </w:r>
            <w:r w:rsidRPr="00E21AE7">
              <w:rPr>
                <w:rFonts w:cs="Arial"/>
                <w:b/>
                <w:lang w:eastAsia="en-AU"/>
              </w:rPr>
              <w:t>condition</w:t>
            </w:r>
            <w:r w:rsidR="00DB6A39">
              <w:rPr>
                <w:rFonts w:cs="Arial"/>
                <w:b/>
                <w:lang w:eastAsia="en-AU"/>
              </w:rPr>
              <w:t>s</w:t>
            </w:r>
            <w:r w:rsidRPr="00E21AE7">
              <w:rPr>
                <w:rFonts w:cs="Arial"/>
                <w:b/>
                <w:lang w:eastAsia="en-AU"/>
              </w:rPr>
              <w:t> 4</w:t>
            </w:r>
            <w:r w:rsidR="00DB6A39">
              <w:rPr>
                <w:rFonts w:cs="Arial"/>
                <w:b/>
                <w:lang w:eastAsia="en-AU"/>
              </w:rPr>
              <w:t xml:space="preserve"> and 5</w:t>
            </w:r>
            <w:r w:rsidR="00024D69" w:rsidRPr="00E21AE7">
              <w:rPr>
                <w:rFonts w:cs="Arial"/>
                <w:lang w:eastAsia="en-AU"/>
              </w:rPr>
              <w:t xml:space="preserve"> </w:t>
            </w:r>
            <w:r w:rsidRPr="00E21AE7">
              <w:rPr>
                <w:rFonts w:cs="Arial"/>
                <w:lang w:eastAsia="en-AU"/>
              </w:rPr>
              <w:t>be applied to the Part 13A approval to ensure there is reliable data collection, monitoring and risk mitigation for all ecosystem components impacted by the CTFFF.</w:t>
            </w:r>
          </w:p>
        </w:tc>
      </w:tr>
    </w:tbl>
    <w:p w14:paraId="28368C55" w14:textId="77777777" w:rsidR="000B1D68" w:rsidRDefault="000B1D68" w:rsidP="007F171B">
      <w:pPr>
        <w:spacing w:before="0" w:after="0" w:line="276" w:lineRule="auto"/>
        <w:rPr>
          <w:rFonts w:cs="Arial"/>
          <w:b/>
          <w:caps/>
          <w:sz w:val="24"/>
        </w:rPr>
      </w:pPr>
      <w:r>
        <w:br w:type="page"/>
      </w:r>
    </w:p>
    <w:p w14:paraId="3F0B8578" w14:textId="502B5ACE" w:rsidR="006B6EF9" w:rsidRPr="00FD022E" w:rsidRDefault="006B6EF9" w:rsidP="007F171B">
      <w:pPr>
        <w:pStyle w:val="Heading1"/>
        <w:spacing w:after="120"/>
        <w:rPr>
          <w:rFonts w:ascii="Arial" w:hAnsi="Arial"/>
        </w:rPr>
      </w:pPr>
      <w:bookmarkStart w:id="16" w:name="_Toc48212732"/>
      <w:r w:rsidRPr="00FD022E">
        <w:rPr>
          <w:rFonts w:ascii="Arial" w:hAnsi="Arial"/>
        </w:rPr>
        <w:lastRenderedPageBreak/>
        <w:t>Section</w:t>
      </w:r>
      <w:r w:rsidR="0027138D" w:rsidRPr="00FD022E">
        <w:rPr>
          <w:rFonts w:ascii="Arial" w:hAnsi="Arial"/>
        </w:rPr>
        <w:t xml:space="preserve"> </w:t>
      </w:r>
      <w:r w:rsidR="00690755">
        <w:rPr>
          <w:rFonts w:ascii="Arial" w:hAnsi="Arial"/>
        </w:rPr>
        <w:t>4</w:t>
      </w:r>
      <w:r w:rsidR="00223C3E" w:rsidRPr="00FD022E">
        <w:rPr>
          <w:rFonts w:ascii="Arial" w:hAnsi="Arial"/>
        </w:rPr>
        <w:t xml:space="preserve">: </w:t>
      </w:r>
      <w:r w:rsidRPr="00FD022E">
        <w:rPr>
          <w:rFonts w:ascii="Arial" w:hAnsi="Arial"/>
        </w:rPr>
        <w:t xml:space="preserve">Assessment </w:t>
      </w:r>
      <w:r w:rsidR="00282EA0">
        <w:rPr>
          <w:rFonts w:ascii="Arial" w:hAnsi="Arial"/>
        </w:rPr>
        <w:t>Against the EPBC Act</w:t>
      </w:r>
      <w:bookmarkEnd w:id="16"/>
    </w:p>
    <w:p w14:paraId="690C012B" w14:textId="211A946B" w:rsidR="00F73C73" w:rsidRPr="00FD022E" w:rsidRDefault="009F053A" w:rsidP="007F171B">
      <w:pPr>
        <w:spacing w:before="0" w:after="0" w:line="276" w:lineRule="auto"/>
        <w:rPr>
          <w:rFonts w:cs="Arial"/>
        </w:rPr>
      </w:pPr>
      <w:r w:rsidRPr="00FD022E">
        <w:rPr>
          <w:rFonts w:cs="Arial"/>
        </w:rPr>
        <w:t xml:space="preserve">The table below is not a complete or exact representation of the EPBC Act. It is intended </w:t>
      </w:r>
      <w:r w:rsidR="007361FC" w:rsidRPr="00FD022E">
        <w:rPr>
          <w:rFonts w:cs="Arial"/>
        </w:rPr>
        <w:t xml:space="preserve">to show that the </w:t>
      </w:r>
      <w:r w:rsidRPr="00FD022E">
        <w:rPr>
          <w:rFonts w:cs="Arial"/>
        </w:rPr>
        <w:t xml:space="preserve">relevant sections and components of the EPBC Act </w:t>
      </w:r>
      <w:r w:rsidR="00897628" w:rsidRPr="00FD022E">
        <w:rPr>
          <w:rFonts w:cs="Arial"/>
        </w:rPr>
        <w:t xml:space="preserve">have been </w:t>
      </w:r>
      <w:r w:rsidR="00A665B9" w:rsidRPr="00FD022E">
        <w:rPr>
          <w:rFonts w:cs="Arial"/>
        </w:rPr>
        <w:t>considered</w:t>
      </w:r>
      <w:r w:rsidR="00897628" w:rsidRPr="00FD022E">
        <w:rPr>
          <w:rFonts w:cs="Arial"/>
        </w:rPr>
        <w:t xml:space="preserve"> in the formulation of </w:t>
      </w:r>
      <w:r w:rsidRPr="00FD022E">
        <w:rPr>
          <w:rFonts w:cs="Arial"/>
        </w:rPr>
        <w:t xml:space="preserve">advice on the fishery in relation to decisions under Part 13 and Part 13A. </w:t>
      </w:r>
    </w:p>
    <w:p w14:paraId="63A4FE7E" w14:textId="4BABCD6D" w:rsidR="009F053A" w:rsidRPr="00FD022E" w:rsidRDefault="009F053A" w:rsidP="007F171B">
      <w:pPr>
        <w:pStyle w:val="Heading2"/>
        <w:spacing w:line="276" w:lineRule="auto"/>
      </w:pPr>
      <w:bookmarkStart w:id="17" w:name="_Toc48212733"/>
      <w:r w:rsidRPr="00FD022E">
        <w:t xml:space="preserve">Part 12 </w:t>
      </w:r>
      <w:r w:rsidR="00F73C73" w:rsidRPr="00FD022E">
        <w:t>– Identifying and monitoring biodiversity and making bioregional plans</w:t>
      </w:r>
      <w:bookmarkEnd w:id="17"/>
    </w:p>
    <w:tbl>
      <w:tblPr>
        <w:tblStyle w:val="TableGrid"/>
        <w:tblW w:w="5000" w:type="pct"/>
        <w:tblLook w:val="04A0" w:firstRow="1" w:lastRow="0" w:firstColumn="1" w:lastColumn="0" w:noHBand="0" w:noVBand="1"/>
      </w:tblPr>
      <w:tblGrid>
        <w:gridCol w:w="4391"/>
        <w:gridCol w:w="10395"/>
      </w:tblGrid>
      <w:tr w:rsidR="009F053A" w:rsidRPr="000900EC" w14:paraId="503FF0BC" w14:textId="77777777" w:rsidTr="00813955">
        <w:trPr>
          <w:cnfStyle w:val="100000000000" w:firstRow="1" w:lastRow="0" w:firstColumn="0" w:lastColumn="0" w:oddVBand="0" w:evenVBand="0" w:oddHBand="0" w:evenHBand="0" w:firstRowFirstColumn="0" w:firstRowLastColumn="0" w:lastRowFirstColumn="0" w:lastRowLastColumn="0"/>
          <w:cantSplit/>
        </w:trPr>
        <w:tc>
          <w:tcPr>
            <w:tcW w:w="1485" w:type="pct"/>
            <w:shd w:val="clear" w:color="auto" w:fill="D9D9D9" w:themeFill="background1" w:themeFillShade="D9"/>
            <w:vAlign w:val="center"/>
          </w:tcPr>
          <w:p w14:paraId="4BC41F5C" w14:textId="35615BB6" w:rsidR="009F053A" w:rsidRPr="00E21AE7" w:rsidRDefault="00400844" w:rsidP="007F171B">
            <w:pPr>
              <w:spacing w:before="80" w:after="80" w:line="276" w:lineRule="auto"/>
              <w:ind w:left="426" w:hanging="426"/>
              <w:contextualSpacing/>
              <w:jc w:val="center"/>
              <w:rPr>
                <w:rFonts w:cs="Arial"/>
                <w:b/>
              </w:rPr>
            </w:pPr>
            <w:r w:rsidRPr="00E21AE7">
              <w:rPr>
                <w:rFonts w:cs="Arial"/>
                <w:b/>
              </w:rPr>
              <w:t>Section 176 Bioregional Plans</w:t>
            </w:r>
          </w:p>
        </w:tc>
        <w:tc>
          <w:tcPr>
            <w:tcW w:w="3515" w:type="pct"/>
            <w:shd w:val="clear" w:color="auto" w:fill="D9D9D9" w:themeFill="background1" w:themeFillShade="D9"/>
            <w:vAlign w:val="center"/>
          </w:tcPr>
          <w:p w14:paraId="3DF3E25D" w14:textId="77777777" w:rsidR="009F053A" w:rsidRPr="00E21AE7" w:rsidRDefault="009F053A" w:rsidP="007F171B">
            <w:pPr>
              <w:keepNext/>
              <w:spacing w:before="80" w:after="80" w:line="276" w:lineRule="auto"/>
              <w:contextualSpacing/>
              <w:jc w:val="center"/>
              <w:rPr>
                <w:rFonts w:cs="Arial"/>
                <w:b/>
              </w:rPr>
            </w:pPr>
            <w:r w:rsidRPr="00E21AE7">
              <w:rPr>
                <w:rFonts w:cs="Arial"/>
                <w:b/>
              </w:rPr>
              <w:t>Comment</w:t>
            </w:r>
          </w:p>
        </w:tc>
      </w:tr>
      <w:tr w:rsidR="009F053A" w:rsidRPr="000900EC" w14:paraId="50519DE6" w14:textId="77777777" w:rsidTr="008903BD">
        <w:trPr>
          <w:cnfStyle w:val="000000100000" w:firstRow="0" w:lastRow="0" w:firstColumn="0" w:lastColumn="0" w:oddVBand="0" w:evenVBand="0" w:oddHBand="1" w:evenHBand="0" w:firstRowFirstColumn="0" w:firstRowLastColumn="0" w:lastRowFirstColumn="0" w:lastRowLastColumn="0"/>
          <w:cantSplit/>
        </w:trPr>
        <w:tc>
          <w:tcPr>
            <w:tcW w:w="1485" w:type="pct"/>
            <w:shd w:val="clear" w:color="auto" w:fill="92D050"/>
          </w:tcPr>
          <w:p w14:paraId="2F4C8136" w14:textId="42CD7580" w:rsidR="00D40B13" w:rsidRPr="00E21AE7" w:rsidRDefault="00557756" w:rsidP="007F171B">
            <w:pPr>
              <w:pStyle w:val="ListNumber"/>
              <w:spacing w:before="80" w:after="80"/>
              <w:rPr>
                <w:sz w:val="22"/>
                <w:szCs w:val="22"/>
              </w:rPr>
            </w:pPr>
            <w:r w:rsidRPr="00E21AE7">
              <w:rPr>
                <w:sz w:val="22"/>
                <w:szCs w:val="22"/>
              </w:rPr>
              <w:t>(5)</w:t>
            </w:r>
            <w:r w:rsidRPr="00E21AE7">
              <w:rPr>
                <w:sz w:val="22"/>
                <w:szCs w:val="22"/>
              </w:rPr>
              <w:tab/>
            </w:r>
            <w:r w:rsidR="009F053A" w:rsidRPr="00E21AE7">
              <w:rPr>
                <w:sz w:val="22"/>
                <w:szCs w:val="22"/>
              </w:rPr>
              <w:t>Minister must have regard to relevant bioregional plans</w:t>
            </w:r>
          </w:p>
        </w:tc>
        <w:tc>
          <w:tcPr>
            <w:tcW w:w="3515" w:type="pct"/>
            <w:shd w:val="clear" w:color="auto" w:fill="auto"/>
          </w:tcPr>
          <w:p w14:paraId="1D600EEE" w14:textId="7CAE73EE" w:rsidR="002F564A" w:rsidRPr="00E21AE7" w:rsidRDefault="004F43E3" w:rsidP="007F171B">
            <w:pPr>
              <w:spacing w:before="80" w:after="80" w:line="276" w:lineRule="auto"/>
              <w:contextualSpacing/>
              <w:rPr>
                <w:rFonts w:cs="Arial"/>
                <w:b/>
              </w:rPr>
            </w:pPr>
            <w:r w:rsidRPr="00E21AE7">
              <w:rPr>
                <w:rFonts w:cs="Arial"/>
                <w:b/>
              </w:rPr>
              <w:t>Meets</w:t>
            </w:r>
          </w:p>
          <w:p w14:paraId="015B42D7" w14:textId="7AAA7260" w:rsidR="00A71287" w:rsidRPr="00E21AE7" w:rsidRDefault="00050450" w:rsidP="007F171B">
            <w:pPr>
              <w:spacing w:before="80" w:after="80" w:line="276" w:lineRule="auto"/>
              <w:rPr>
                <w:rFonts w:cs="Arial"/>
                <w:lang w:eastAsia="en-AU"/>
              </w:rPr>
            </w:pPr>
            <w:r w:rsidRPr="00E21AE7">
              <w:rPr>
                <w:rFonts w:cs="Arial"/>
              </w:rPr>
              <w:t xml:space="preserve">The </w:t>
            </w:r>
            <w:hyperlink r:id="rId99" w:history="1">
              <w:r w:rsidRPr="00E21AE7">
                <w:rPr>
                  <w:rStyle w:val="Hyperlink"/>
                  <w:rFonts w:eastAsia="Times New Roman" w:cs="Arial"/>
                  <w:i/>
                  <w:lang w:eastAsia="en-AU"/>
                </w:rPr>
                <w:t>Marine bioregional plan for the Temperate East Marine Region 2012</w:t>
              </w:r>
            </w:hyperlink>
            <w:r w:rsidRPr="00E21AE7">
              <w:rPr>
                <w:rFonts w:eastAsia="Times New Roman" w:cs="Arial"/>
                <w:lang w:eastAsia="en-AU"/>
              </w:rPr>
              <w:t xml:space="preserve"> </w:t>
            </w:r>
            <w:r w:rsidRPr="00E21AE7">
              <w:rPr>
                <w:rFonts w:cs="Arial"/>
              </w:rPr>
              <w:t>has been considered in prepar</w:t>
            </w:r>
            <w:r w:rsidR="00A33D7D" w:rsidRPr="00E21AE7">
              <w:rPr>
                <w:rFonts w:cs="Arial"/>
              </w:rPr>
              <w:t>ing</w:t>
            </w:r>
            <w:r w:rsidRPr="00E21AE7" w:rsidDel="00A33D7D">
              <w:rPr>
                <w:rFonts w:cs="Arial"/>
              </w:rPr>
              <w:t xml:space="preserve"> </w:t>
            </w:r>
            <w:r w:rsidRPr="00E21AE7">
              <w:rPr>
                <w:rFonts w:cs="Arial"/>
              </w:rPr>
              <w:t xml:space="preserve">advice in relation to decisions under section 303DC and section 303FN. </w:t>
            </w:r>
            <w:r w:rsidR="00D02AB8" w:rsidRPr="00E21AE7">
              <w:rPr>
                <w:rFonts w:eastAsia="Times New Roman" w:cs="Arial"/>
                <w:lang w:eastAsia="en-AU"/>
              </w:rPr>
              <w:t>The</w:t>
            </w:r>
            <w:r w:rsidRPr="00E21AE7">
              <w:rPr>
                <w:rFonts w:eastAsia="Times New Roman" w:cs="Arial"/>
                <w:lang w:eastAsia="en-AU"/>
              </w:rPr>
              <w:t xml:space="preserve"> bioregional plan </w:t>
            </w:r>
            <w:r w:rsidR="00D02AB8" w:rsidRPr="00E21AE7">
              <w:rPr>
                <w:rFonts w:eastAsia="Times New Roman" w:cs="Arial"/>
                <w:lang w:eastAsia="en-AU"/>
              </w:rPr>
              <w:t xml:space="preserve">identified </w:t>
            </w:r>
            <w:r w:rsidR="00A71287" w:rsidRPr="00E21AE7">
              <w:rPr>
                <w:rFonts w:cs="Arial"/>
                <w:lang w:eastAsia="en-AU"/>
              </w:rPr>
              <w:t>four</w:t>
            </w:r>
            <w:r w:rsidR="00D02AB8" w:rsidRPr="00E21AE7">
              <w:rPr>
                <w:rFonts w:cs="Arial"/>
                <w:lang w:eastAsia="en-AU"/>
              </w:rPr>
              <w:t xml:space="preserve"> key ecological features present </w:t>
            </w:r>
            <w:proofErr w:type="gramStart"/>
            <w:r w:rsidR="00D02AB8" w:rsidRPr="00E21AE7">
              <w:rPr>
                <w:rFonts w:cs="Arial"/>
                <w:lang w:eastAsia="en-AU"/>
              </w:rPr>
              <w:t>in the area of</w:t>
            </w:r>
            <w:proofErr w:type="gramEnd"/>
            <w:r w:rsidR="00D02AB8" w:rsidRPr="00E21AE7">
              <w:rPr>
                <w:rFonts w:cs="Arial"/>
                <w:lang w:eastAsia="en-AU"/>
              </w:rPr>
              <w:t xml:space="preserve"> the fishery. These are </w:t>
            </w:r>
            <w:r w:rsidR="00A71287" w:rsidRPr="00E21AE7">
              <w:rPr>
                <w:rFonts w:cs="Arial"/>
                <w:lang w:eastAsia="en-AU"/>
              </w:rPr>
              <w:t xml:space="preserve">shelf rocky reefs, the canyons on the eastern continental slope, the </w:t>
            </w:r>
            <w:proofErr w:type="spellStart"/>
            <w:r w:rsidR="00A71287" w:rsidRPr="00E21AE7">
              <w:rPr>
                <w:rFonts w:cs="Arial"/>
                <w:lang w:eastAsia="en-AU"/>
              </w:rPr>
              <w:t>Tasmantid</w:t>
            </w:r>
            <w:proofErr w:type="spellEnd"/>
            <w:r w:rsidR="00A71287" w:rsidRPr="00E21AE7">
              <w:rPr>
                <w:rFonts w:cs="Arial"/>
                <w:lang w:eastAsia="en-AU"/>
              </w:rPr>
              <w:t xml:space="preserve"> seamount chain and the upwelling off Fraser Island. </w:t>
            </w:r>
          </w:p>
          <w:p w14:paraId="714F7D45" w14:textId="006A87C2" w:rsidR="00050450" w:rsidRPr="00E21AE7" w:rsidRDefault="00050450" w:rsidP="007F171B">
            <w:pPr>
              <w:spacing w:before="80" w:after="80" w:line="276" w:lineRule="auto"/>
              <w:rPr>
                <w:rFonts w:cs="Arial"/>
                <w:lang w:eastAsia="en-AU"/>
              </w:rPr>
            </w:pPr>
            <w:r w:rsidRPr="00E21AE7">
              <w:rPr>
                <w:rFonts w:cs="Arial"/>
              </w:rPr>
              <w:t xml:space="preserve">Extraction of living resources, </w:t>
            </w:r>
            <w:proofErr w:type="gramStart"/>
            <w:r w:rsidRPr="00E21AE7">
              <w:rPr>
                <w:rFonts w:cs="Arial"/>
              </w:rPr>
              <w:t>bycatch</w:t>
            </w:r>
            <w:proofErr w:type="gramEnd"/>
            <w:r w:rsidRPr="00E21AE7">
              <w:rPr>
                <w:rFonts w:cs="Arial"/>
              </w:rPr>
              <w:t xml:space="preserve"> and physical modification of habitat by trawling were identified as pressures of potential concern within </w:t>
            </w:r>
            <w:r w:rsidR="00A33D7D" w:rsidRPr="00E21AE7">
              <w:rPr>
                <w:rFonts w:cs="Arial"/>
              </w:rPr>
              <w:t xml:space="preserve">the </w:t>
            </w:r>
            <w:r w:rsidRPr="00E21AE7">
              <w:rPr>
                <w:rFonts w:cs="Arial"/>
              </w:rPr>
              <w:t xml:space="preserve">marine region in which the fishery operates. </w:t>
            </w:r>
            <w:r w:rsidRPr="00E21AE7">
              <w:rPr>
                <w:rFonts w:cs="Arial"/>
                <w:lang w:eastAsia="en-AU"/>
              </w:rPr>
              <w:t xml:space="preserve">Although demersal trawling has a high potential for benthic disturbance and bycatch, this fishery does not operate near these features and instead targets flat, soft (sand and silt) bottomed habitats which are thought to be more resilient to demersal trawling. The risk to marine habitats is </w:t>
            </w:r>
            <w:r w:rsidR="00A33D7D" w:rsidRPr="00E21AE7">
              <w:rPr>
                <w:rFonts w:cs="Arial"/>
                <w:lang w:eastAsia="en-AU"/>
              </w:rPr>
              <w:t>also moderated</w:t>
            </w:r>
            <w:r w:rsidRPr="00E21AE7">
              <w:rPr>
                <w:rFonts w:cs="Arial"/>
                <w:lang w:eastAsia="en-AU"/>
              </w:rPr>
              <w:t xml:space="preserve"> </w:t>
            </w:r>
            <w:r w:rsidR="00A33D7D" w:rsidRPr="00E21AE7">
              <w:rPr>
                <w:rFonts w:cs="Arial"/>
                <w:lang w:eastAsia="en-AU"/>
              </w:rPr>
              <w:t>by</w:t>
            </w:r>
            <w:r w:rsidRPr="00E21AE7">
              <w:rPr>
                <w:rFonts w:cs="Arial"/>
                <w:lang w:eastAsia="en-AU"/>
              </w:rPr>
              <w:t xml:space="preserve"> the </w:t>
            </w:r>
            <w:r w:rsidR="00A33D7D" w:rsidRPr="00E21AE7">
              <w:rPr>
                <w:rFonts w:cs="Arial"/>
                <w:lang w:eastAsia="en-AU"/>
              </w:rPr>
              <w:t xml:space="preserve">relatively </w:t>
            </w:r>
            <w:r w:rsidRPr="00E21AE7">
              <w:rPr>
                <w:rFonts w:cs="Arial"/>
                <w:lang w:eastAsia="en-AU"/>
              </w:rPr>
              <w:t xml:space="preserve">small number of vessels operating in the fishery </w:t>
            </w:r>
            <w:r w:rsidR="00A33D7D" w:rsidRPr="00E21AE7">
              <w:rPr>
                <w:rFonts w:cs="Arial"/>
                <w:lang w:eastAsia="en-AU"/>
              </w:rPr>
              <w:t xml:space="preserve">(maximum five) </w:t>
            </w:r>
            <w:r w:rsidRPr="00E21AE7">
              <w:rPr>
                <w:rFonts w:cs="Arial"/>
                <w:lang w:eastAsia="en-AU"/>
              </w:rPr>
              <w:t xml:space="preserve">and the </w:t>
            </w:r>
            <w:r w:rsidR="00A33D7D" w:rsidRPr="00E21AE7">
              <w:rPr>
                <w:rFonts w:cs="Arial"/>
                <w:lang w:eastAsia="en-AU"/>
              </w:rPr>
              <w:t xml:space="preserve">enforcement of spatial management and use of Vessel Monitoring Systems. </w:t>
            </w:r>
            <w:r w:rsidRPr="00E21AE7">
              <w:rPr>
                <w:rFonts w:cs="Arial"/>
              </w:rPr>
              <w:t>The bioregional plan notes that its assessment is conservative in the context of active fisheries management, particularly when fisheries are managed at an ecosystem level, such as this fishery.</w:t>
            </w:r>
          </w:p>
          <w:p w14:paraId="7D86EA07" w14:textId="786C4E44" w:rsidR="00A71287" w:rsidRPr="00E21AE7" w:rsidRDefault="00A33D7D" w:rsidP="007F171B">
            <w:pPr>
              <w:spacing w:before="80" w:after="80" w:line="276" w:lineRule="auto"/>
              <w:rPr>
                <w:rFonts w:cs="Arial"/>
              </w:rPr>
            </w:pPr>
            <w:r w:rsidRPr="00E21AE7">
              <w:rPr>
                <w:rFonts w:cs="Arial"/>
              </w:rPr>
              <w:t xml:space="preserve">In addition to the four </w:t>
            </w:r>
            <w:r w:rsidRPr="00E21AE7">
              <w:rPr>
                <w:rFonts w:cs="Arial"/>
                <w:lang w:eastAsia="en-AU"/>
              </w:rPr>
              <w:t xml:space="preserve">key ecological features, </w:t>
            </w:r>
            <w:r w:rsidRPr="00E21AE7">
              <w:rPr>
                <w:rFonts w:cs="Arial"/>
              </w:rPr>
              <w:t>t</w:t>
            </w:r>
            <w:r w:rsidR="00A71287" w:rsidRPr="00E21AE7">
              <w:rPr>
                <w:rFonts w:cs="Arial"/>
              </w:rPr>
              <w:t>he marine bioregional plan also</w:t>
            </w:r>
            <w:r w:rsidR="00A71287" w:rsidRPr="00E21AE7" w:rsidDel="00A33D7D">
              <w:rPr>
                <w:rFonts w:cs="Arial"/>
              </w:rPr>
              <w:t xml:space="preserve"> </w:t>
            </w:r>
            <w:r w:rsidRPr="00E21AE7">
              <w:rPr>
                <w:rFonts w:cs="Arial"/>
              </w:rPr>
              <w:t xml:space="preserve">identified </w:t>
            </w:r>
            <w:r w:rsidR="00A71287" w:rsidRPr="00E21AE7">
              <w:rPr>
                <w:rFonts w:cs="Arial"/>
              </w:rPr>
              <w:t>biologically important areas for White Sharks (</w:t>
            </w:r>
            <w:r w:rsidR="00AA3B1A" w:rsidRPr="00E21AE7">
              <w:rPr>
                <w:rFonts w:cs="Arial"/>
                <w:i/>
              </w:rPr>
              <w:t>Carcharodon </w:t>
            </w:r>
            <w:proofErr w:type="spellStart"/>
            <w:r w:rsidR="0029048A" w:rsidRPr="00E21AE7">
              <w:rPr>
                <w:rFonts w:cs="Arial"/>
                <w:i/>
              </w:rPr>
              <w:t>carchar</w:t>
            </w:r>
            <w:r w:rsidR="00CD3D11" w:rsidRPr="00E21AE7">
              <w:rPr>
                <w:rFonts w:cs="Arial"/>
                <w:i/>
              </w:rPr>
              <w:t>ias</w:t>
            </w:r>
            <w:proofErr w:type="spellEnd"/>
            <w:r w:rsidR="00A71287" w:rsidRPr="00E21AE7">
              <w:rPr>
                <w:rFonts w:cs="Arial"/>
              </w:rPr>
              <w:t>) and areas of distribution and known aggregation sites for Grey Nurse Sharks (</w:t>
            </w:r>
            <w:r w:rsidR="00AA3B1A" w:rsidRPr="00E21AE7">
              <w:rPr>
                <w:rFonts w:cs="Arial"/>
                <w:i/>
              </w:rPr>
              <w:t>Carcharias </w:t>
            </w:r>
            <w:proofErr w:type="spellStart"/>
            <w:r w:rsidR="0094198B" w:rsidRPr="00E21AE7">
              <w:rPr>
                <w:rFonts w:cs="Arial"/>
                <w:i/>
              </w:rPr>
              <w:t>t</w:t>
            </w:r>
            <w:r w:rsidR="00CD3D11" w:rsidRPr="00E21AE7">
              <w:rPr>
                <w:rFonts w:cs="Arial"/>
                <w:i/>
              </w:rPr>
              <w:t>aurus</w:t>
            </w:r>
            <w:proofErr w:type="spellEnd"/>
            <w:r w:rsidR="00A71287" w:rsidRPr="00E21AE7">
              <w:rPr>
                <w:rFonts w:cs="Arial"/>
              </w:rPr>
              <w:t xml:space="preserve">) within the area of the fishery. There have been no reported interactions with White Sharks </w:t>
            </w:r>
            <w:r w:rsidR="00E275F3" w:rsidRPr="00E21AE7">
              <w:rPr>
                <w:rFonts w:cs="Arial"/>
              </w:rPr>
              <w:t xml:space="preserve">or Grey Nurse Sharks </w:t>
            </w:r>
            <w:r w:rsidR="00A71287" w:rsidRPr="00E21AE7">
              <w:rPr>
                <w:rFonts w:cs="Arial"/>
              </w:rPr>
              <w:t>in the CTFFF</w:t>
            </w:r>
            <w:r w:rsidR="00E275F3" w:rsidRPr="00E21AE7">
              <w:rPr>
                <w:rFonts w:cs="Arial"/>
              </w:rPr>
              <w:t xml:space="preserve">, and </w:t>
            </w:r>
            <w:r w:rsidR="00A71287" w:rsidRPr="00E21AE7">
              <w:rPr>
                <w:rFonts w:cs="Arial"/>
              </w:rPr>
              <w:t xml:space="preserve">fishing has been banned around all known aggregation sites </w:t>
            </w:r>
            <w:r w:rsidR="00E275F3" w:rsidRPr="00E21AE7">
              <w:rPr>
                <w:rFonts w:cs="Arial"/>
              </w:rPr>
              <w:t>for Grey Nurse Sharks since 2003.</w:t>
            </w:r>
          </w:p>
          <w:p w14:paraId="6852ECC1" w14:textId="51426946" w:rsidR="007C0E0C" w:rsidRPr="00E21AE7" w:rsidRDefault="00196596" w:rsidP="007F171B">
            <w:pPr>
              <w:spacing w:before="80" w:after="80" w:line="276" w:lineRule="auto"/>
              <w:rPr>
                <w:rFonts w:cs="Arial"/>
              </w:rPr>
            </w:pPr>
            <w:r>
              <w:rPr>
                <w:rFonts w:cs="Arial"/>
              </w:rPr>
              <w:t>A</w:t>
            </w:r>
            <w:r w:rsidR="006D2A12" w:rsidRPr="00E21AE7">
              <w:rPr>
                <w:rFonts w:cs="Arial"/>
              </w:rPr>
              <w:t>n action taken by an individual fisher, acting in accordance with the management regime for the CTFFF</w:t>
            </w:r>
            <w:r w:rsidR="00ED4BEB">
              <w:rPr>
                <w:rFonts w:cs="Arial"/>
              </w:rPr>
              <w:t>,</w:t>
            </w:r>
            <w:r w:rsidR="006D2A12" w:rsidRPr="00E21AE7">
              <w:rPr>
                <w:rFonts w:cs="Arial"/>
              </w:rPr>
              <w:t xml:space="preserve"> is unlikely to have a significant impact on the key ecological features, biologically important areas or other matters identified in the Temperate East Marine Bioregional Plan.</w:t>
            </w:r>
            <w:r w:rsidR="00E4027D" w:rsidRPr="00E21AE7">
              <w:rPr>
                <w:rFonts w:cs="Arial"/>
              </w:rPr>
              <w:t xml:space="preserve"> </w:t>
            </w:r>
            <w:r w:rsidR="007C0E0C" w:rsidRPr="00E21AE7">
              <w:rPr>
                <w:rFonts w:cs="Arial"/>
              </w:rPr>
              <w:t>There is also unlikely to be any significant impact on the Coral Sea Marine Park</w:t>
            </w:r>
            <w:r w:rsidR="00807A28" w:rsidRPr="00E21AE7">
              <w:rPr>
                <w:rFonts w:cs="Arial"/>
              </w:rPr>
              <w:t xml:space="preserve"> given the location and nature of the fishing operations in the CTFFF </w:t>
            </w:r>
            <w:r w:rsidR="002F7113" w:rsidRPr="00E21AE7">
              <w:rPr>
                <w:rFonts w:cs="Arial"/>
              </w:rPr>
              <w:t>(</w:t>
            </w:r>
            <w:hyperlink r:id="rId100" w:history="1">
              <w:r w:rsidR="00E450DD" w:rsidRPr="00E21AE7">
                <w:rPr>
                  <w:rStyle w:val="Hyperlink"/>
                  <w:rFonts w:cs="Arial"/>
                  <w:lang w:eastAsia="en-AU"/>
                </w:rPr>
                <w:t>Walton &amp; Jacobsen, 2019</w:t>
              </w:r>
            </w:hyperlink>
            <w:r w:rsidR="002F7113" w:rsidRPr="00E21AE7">
              <w:rPr>
                <w:rStyle w:val="Hyperlink"/>
                <w:rFonts w:cs="Arial"/>
                <w:color w:val="auto"/>
                <w:lang w:eastAsia="en-AU"/>
              </w:rPr>
              <w:t>)</w:t>
            </w:r>
            <w:r w:rsidR="00807A28" w:rsidRPr="00E21AE7">
              <w:rPr>
                <w:rStyle w:val="Hyperlink"/>
                <w:rFonts w:cs="Arial"/>
                <w:color w:val="auto"/>
                <w:lang w:eastAsia="en-AU"/>
              </w:rPr>
              <w:t>.</w:t>
            </w:r>
          </w:p>
        </w:tc>
      </w:tr>
    </w:tbl>
    <w:p w14:paraId="6F9840FF" w14:textId="7820FBF1" w:rsidR="009F053A" w:rsidRPr="004C11CA" w:rsidRDefault="009F053A" w:rsidP="007F171B">
      <w:pPr>
        <w:pStyle w:val="Heading2"/>
        <w:spacing w:before="0" w:line="276" w:lineRule="auto"/>
        <w:rPr>
          <w:sz w:val="24"/>
          <w:szCs w:val="24"/>
        </w:rPr>
      </w:pPr>
      <w:bookmarkStart w:id="18" w:name="_Toc48212734"/>
      <w:r w:rsidRPr="004C11CA">
        <w:rPr>
          <w:sz w:val="24"/>
          <w:szCs w:val="24"/>
        </w:rPr>
        <w:lastRenderedPageBreak/>
        <w:t>Part 13</w:t>
      </w:r>
      <w:r w:rsidR="00C83B59" w:rsidRPr="004C11CA">
        <w:rPr>
          <w:sz w:val="24"/>
          <w:szCs w:val="24"/>
        </w:rPr>
        <w:t xml:space="preserve"> </w:t>
      </w:r>
      <w:r w:rsidR="00F73C73" w:rsidRPr="004C11CA">
        <w:rPr>
          <w:sz w:val="24"/>
          <w:szCs w:val="24"/>
        </w:rPr>
        <w:t>– Species and communities</w:t>
      </w:r>
      <w:bookmarkEnd w:id="18"/>
    </w:p>
    <w:tbl>
      <w:tblPr>
        <w:tblStyle w:val="TableGrid"/>
        <w:tblW w:w="5000" w:type="pct"/>
        <w:tblLook w:val="04A0" w:firstRow="1" w:lastRow="0" w:firstColumn="1" w:lastColumn="0" w:noHBand="0" w:noVBand="1"/>
      </w:tblPr>
      <w:tblGrid>
        <w:gridCol w:w="4391"/>
        <w:gridCol w:w="10395"/>
      </w:tblGrid>
      <w:tr w:rsidR="00400844" w:rsidRPr="000900EC" w14:paraId="65C1624E" w14:textId="77777777" w:rsidTr="00813955">
        <w:trPr>
          <w:cnfStyle w:val="100000000000" w:firstRow="1" w:lastRow="0" w:firstColumn="0" w:lastColumn="0" w:oddVBand="0" w:evenVBand="0" w:oddHBand="0" w:evenHBand="0" w:firstRowFirstColumn="0" w:firstRowLastColumn="0" w:lastRowFirstColumn="0" w:lastRowLastColumn="0"/>
          <w:cantSplit/>
        </w:trPr>
        <w:tc>
          <w:tcPr>
            <w:tcW w:w="1485" w:type="pct"/>
            <w:shd w:val="clear" w:color="auto" w:fill="D9D9D9" w:themeFill="background1" w:themeFillShade="D9"/>
          </w:tcPr>
          <w:p w14:paraId="585CA78D" w14:textId="135A2D18" w:rsidR="00400844" w:rsidRPr="00E21AE7" w:rsidRDefault="00400844" w:rsidP="007F171B">
            <w:pPr>
              <w:spacing w:before="80" w:after="80" w:line="276" w:lineRule="auto"/>
              <w:ind w:left="425" w:hanging="425"/>
              <w:contextualSpacing/>
              <w:jc w:val="center"/>
              <w:rPr>
                <w:rFonts w:cs="Arial"/>
                <w:b/>
              </w:rPr>
            </w:pPr>
            <w:r w:rsidRPr="00E21AE7">
              <w:rPr>
                <w:rFonts w:cs="Arial"/>
                <w:b/>
              </w:rPr>
              <w:t xml:space="preserve">Accreditable plan, </w:t>
            </w:r>
            <w:proofErr w:type="gramStart"/>
            <w:r w:rsidRPr="00E21AE7">
              <w:rPr>
                <w:rFonts w:cs="Arial"/>
                <w:b/>
              </w:rPr>
              <w:t>regime</w:t>
            </w:r>
            <w:proofErr w:type="gramEnd"/>
            <w:r w:rsidRPr="00E21AE7">
              <w:rPr>
                <w:rFonts w:cs="Arial"/>
                <w:b/>
              </w:rPr>
              <w:t xml:space="preserve"> or </w:t>
            </w:r>
            <w:r w:rsidRPr="00E21AE7" w:rsidDel="00D915C9">
              <w:rPr>
                <w:rFonts w:cs="Arial"/>
                <w:b/>
              </w:rPr>
              <w:t>policy</w:t>
            </w:r>
            <w:r w:rsidR="00D915C9" w:rsidRPr="00E21AE7">
              <w:rPr>
                <w:rFonts w:cs="Arial"/>
                <w:b/>
              </w:rPr>
              <w:br/>
            </w:r>
            <w:r w:rsidRPr="00E21AE7">
              <w:rPr>
                <w:rFonts w:cs="Arial"/>
                <w:b/>
              </w:rPr>
              <w:t>(Division</w:t>
            </w:r>
            <w:r w:rsidR="00F74F9B" w:rsidRPr="00E21AE7">
              <w:rPr>
                <w:rFonts w:cs="Arial"/>
                <w:b/>
              </w:rPr>
              <w:t>s</w:t>
            </w:r>
            <w:r w:rsidRPr="00E21AE7">
              <w:rPr>
                <w:rFonts w:cs="Arial"/>
                <w:b/>
              </w:rPr>
              <w:t xml:space="preserve"> 1</w:t>
            </w:r>
            <w:r w:rsidR="00F74F9B" w:rsidRPr="00E21AE7">
              <w:rPr>
                <w:rFonts w:cs="Arial"/>
                <w:b/>
              </w:rPr>
              <w:t>,</w:t>
            </w:r>
            <w:r w:rsidRPr="00E21AE7">
              <w:rPr>
                <w:rFonts w:cs="Arial"/>
                <w:b/>
              </w:rPr>
              <w:t xml:space="preserve"> 2, 3</w:t>
            </w:r>
            <w:r w:rsidR="00F74F9B" w:rsidRPr="00E21AE7">
              <w:rPr>
                <w:rFonts w:cs="Arial"/>
                <w:b/>
              </w:rPr>
              <w:t xml:space="preserve"> and </w:t>
            </w:r>
            <w:r w:rsidRPr="00E21AE7">
              <w:rPr>
                <w:rFonts w:cs="Arial"/>
                <w:b/>
              </w:rPr>
              <w:t>4)</w:t>
            </w:r>
          </w:p>
        </w:tc>
        <w:tc>
          <w:tcPr>
            <w:tcW w:w="3515" w:type="pct"/>
            <w:shd w:val="clear" w:color="auto" w:fill="D9D9D9" w:themeFill="background1" w:themeFillShade="D9"/>
            <w:vAlign w:val="center"/>
          </w:tcPr>
          <w:p w14:paraId="7594BA70" w14:textId="77777777" w:rsidR="00400844" w:rsidRPr="00E21AE7" w:rsidRDefault="00400844" w:rsidP="007F171B">
            <w:pPr>
              <w:spacing w:before="80" w:after="80" w:line="276" w:lineRule="auto"/>
              <w:contextualSpacing/>
              <w:jc w:val="center"/>
              <w:rPr>
                <w:rFonts w:cs="Arial"/>
                <w:b/>
              </w:rPr>
            </w:pPr>
            <w:r w:rsidRPr="00E21AE7">
              <w:rPr>
                <w:rFonts w:cs="Arial"/>
                <w:b/>
              </w:rPr>
              <w:t>Comment</w:t>
            </w:r>
          </w:p>
        </w:tc>
      </w:tr>
      <w:tr w:rsidR="009F053A" w:rsidRPr="000900EC" w14:paraId="3F60E2B3" w14:textId="77777777" w:rsidTr="008903BD">
        <w:trPr>
          <w:cnfStyle w:val="000000100000" w:firstRow="0" w:lastRow="0" w:firstColumn="0" w:lastColumn="0" w:oddVBand="0" w:evenVBand="0" w:oddHBand="1" w:evenHBand="0" w:firstRowFirstColumn="0" w:firstRowLastColumn="0" w:lastRowFirstColumn="0" w:lastRowLastColumn="0"/>
          <w:cantSplit/>
        </w:trPr>
        <w:tc>
          <w:tcPr>
            <w:tcW w:w="1485" w:type="pct"/>
            <w:shd w:val="clear" w:color="auto" w:fill="92D050"/>
          </w:tcPr>
          <w:p w14:paraId="6A489138" w14:textId="3DD159A7" w:rsidR="00D915C9" w:rsidRPr="00E21AE7" w:rsidRDefault="00F74F9B" w:rsidP="007F171B">
            <w:pPr>
              <w:pStyle w:val="ListNumber2"/>
              <w:spacing w:before="80" w:after="80"/>
              <w:ind w:left="0" w:firstLine="0"/>
              <w:rPr>
                <w:sz w:val="22"/>
                <w:szCs w:val="22"/>
              </w:rPr>
            </w:pPr>
            <w:r w:rsidRPr="00E21AE7">
              <w:rPr>
                <w:sz w:val="22"/>
                <w:szCs w:val="22"/>
              </w:rPr>
              <w:t xml:space="preserve">Sections </w:t>
            </w:r>
            <w:r w:rsidR="009F053A" w:rsidRPr="00E21AE7">
              <w:rPr>
                <w:sz w:val="22"/>
                <w:szCs w:val="22"/>
              </w:rPr>
              <w:t>208A(1)(a-e), 222A(1)(a-e), 245(1)(a-e</w:t>
            </w:r>
            <w:r w:rsidRPr="00E21AE7">
              <w:rPr>
                <w:sz w:val="22"/>
                <w:szCs w:val="22"/>
              </w:rPr>
              <w:t xml:space="preserve">) and </w:t>
            </w:r>
            <w:r w:rsidR="009F053A" w:rsidRPr="00E21AE7">
              <w:rPr>
                <w:sz w:val="22"/>
                <w:szCs w:val="22"/>
              </w:rPr>
              <w:t>265(1)(a-e)</w:t>
            </w:r>
          </w:p>
          <w:p w14:paraId="1446C689" w14:textId="77777777" w:rsidR="00F74F9B" w:rsidRPr="00E21AE7" w:rsidRDefault="00F74F9B" w:rsidP="007F171B">
            <w:pPr>
              <w:pStyle w:val="ListNumber2"/>
              <w:spacing w:before="80" w:after="80"/>
              <w:ind w:left="0" w:firstLine="0"/>
              <w:rPr>
                <w:sz w:val="22"/>
                <w:szCs w:val="22"/>
              </w:rPr>
            </w:pPr>
          </w:p>
          <w:p w14:paraId="10E1301B" w14:textId="4876E548" w:rsidR="00D40B13" w:rsidRPr="00E21AE7" w:rsidRDefault="009F053A" w:rsidP="007F171B">
            <w:pPr>
              <w:pStyle w:val="ListNumber2"/>
              <w:spacing w:before="80" w:after="80"/>
              <w:ind w:left="0" w:firstLine="0"/>
              <w:rPr>
                <w:sz w:val="22"/>
                <w:szCs w:val="22"/>
              </w:rPr>
            </w:pPr>
            <w:r w:rsidRPr="00E21AE7">
              <w:rPr>
                <w:sz w:val="22"/>
                <w:szCs w:val="22"/>
              </w:rPr>
              <w:t xml:space="preserve">Does the fishery have an accreditable plan of management, </w:t>
            </w:r>
            <w:r w:rsidR="00C40AD0" w:rsidRPr="00E21AE7">
              <w:rPr>
                <w:sz w:val="22"/>
                <w:szCs w:val="22"/>
              </w:rPr>
              <w:t>regime</w:t>
            </w:r>
            <w:r w:rsidRPr="00E21AE7">
              <w:rPr>
                <w:sz w:val="22"/>
                <w:szCs w:val="22"/>
              </w:rPr>
              <w:t xml:space="preserve"> or policy? </w:t>
            </w:r>
          </w:p>
        </w:tc>
        <w:tc>
          <w:tcPr>
            <w:tcW w:w="3515" w:type="pct"/>
            <w:shd w:val="clear" w:color="auto" w:fill="auto"/>
          </w:tcPr>
          <w:p w14:paraId="65BF3569" w14:textId="53D75860" w:rsidR="002F564A" w:rsidRPr="00E21AE7" w:rsidRDefault="00E565BF" w:rsidP="007F171B">
            <w:pPr>
              <w:spacing w:before="80" w:after="80" w:line="276" w:lineRule="auto"/>
              <w:contextualSpacing/>
              <w:rPr>
                <w:rFonts w:cs="Arial"/>
                <w:b/>
              </w:rPr>
            </w:pPr>
            <w:r w:rsidRPr="00E21AE7">
              <w:rPr>
                <w:rFonts w:cs="Arial"/>
                <w:b/>
              </w:rPr>
              <w:t>M</w:t>
            </w:r>
            <w:r w:rsidR="002F564A" w:rsidRPr="00E21AE7">
              <w:rPr>
                <w:rFonts w:cs="Arial"/>
                <w:b/>
              </w:rPr>
              <w:t>eets</w:t>
            </w:r>
          </w:p>
          <w:p w14:paraId="4BE70E00" w14:textId="77777777" w:rsidR="000B1D68" w:rsidRPr="00E21AE7" w:rsidRDefault="005C0E17" w:rsidP="007F171B">
            <w:pPr>
              <w:spacing w:before="80" w:line="276" w:lineRule="auto"/>
              <w:contextualSpacing/>
              <w:rPr>
                <w:rFonts w:cs="Arial"/>
              </w:rPr>
            </w:pPr>
            <w:r w:rsidRPr="00E21AE7">
              <w:rPr>
                <w:rFonts w:cs="Arial"/>
              </w:rPr>
              <w:t>T</w:t>
            </w:r>
            <w:r w:rsidR="004F43E3" w:rsidRPr="00E21AE7">
              <w:rPr>
                <w:rFonts w:cs="Arial"/>
              </w:rPr>
              <w:t xml:space="preserve">here </w:t>
            </w:r>
            <w:r w:rsidR="00317609" w:rsidRPr="00E21AE7">
              <w:rPr>
                <w:rFonts w:cs="Arial"/>
              </w:rPr>
              <w:t>is</w:t>
            </w:r>
            <w:r w:rsidR="004F43E3" w:rsidRPr="00E21AE7">
              <w:rPr>
                <w:rFonts w:cs="Arial"/>
              </w:rPr>
              <w:t xml:space="preserve"> </w:t>
            </w:r>
            <w:r w:rsidR="00317609" w:rsidRPr="00E21AE7">
              <w:rPr>
                <w:rFonts w:cs="Arial"/>
              </w:rPr>
              <w:t>an accreditable management regime</w:t>
            </w:r>
            <w:r w:rsidR="009B6A40" w:rsidRPr="00E21AE7">
              <w:rPr>
                <w:rFonts w:cs="Arial"/>
              </w:rPr>
              <w:t xml:space="preserve"> </w:t>
            </w:r>
            <w:r w:rsidR="00E565BF" w:rsidRPr="00E21AE7">
              <w:rPr>
                <w:rFonts w:cs="Arial"/>
              </w:rPr>
              <w:t xml:space="preserve">for the CTFFF </w:t>
            </w:r>
            <w:r w:rsidR="009B6A40" w:rsidRPr="00E21AE7">
              <w:rPr>
                <w:rFonts w:cs="Arial"/>
              </w:rPr>
              <w:t xml:space="preserve">outlined in the Queensland </w:t>
            </w:r>
            <w:r w:rsidR="009B6A40" w:rsidRPr="00E21AE7">
              <w:rPr>
                <w:rFonts w:cs="Arial"/>
                <w:i/>
              </w:rPr>
              <w:t>Fisheries Act 1994</w:t>
            </w:r>
            <w:r w:rsidR="009B6A40" w:rsidRPr="00E21AE7">
              <w:rPr>
                <w:rFonts w:cs="Arial"/>
              </w:rPr>
              <w:t>, Fisheries (General) Regulation 2019, Fisheries (Commercial Fisheries) Regulation 2019, Fisheries Declaration 2019, and the Fisheries Quota Declaration 2019</w:t>
            </w:r>
            <w:r w:rsidR="00546023" w:rsidRPr="00E21AE7">
              <w:rPr>
                <w:rFonts w:cs="Arial"/>
              </w:rPr>
              <w:t>.</w:t>
            </w:r>
            <w:r w:rsidRPr="00E21AE7">
              <w:rPr>
                <w:rFonts w:cs="Arial"/>
              </w:rPr>
              <w:t xml:space="preserve"> </w:t>
            </w:r>
          </w:p>
          <w:p w14:paraId="29FF3A00" w14:textId="76984DA1" w:rsidR="00546023" w:rsidRPr="00E21AE7" w:rsidRDefault="00F737E3" w:rsidP="007F171B">
            <w:pPr>
              <w:spacing w:before="80" w:line="276" w:lineRule="auto"/>
              <w:contextualSpacing/>
              <w:rPr>
                <w:rFonts w:cs="Arial"/>
              </w:rPr>
            </w:pPr>
            <w:r w:rsidRPr="00E21AE7">
              <w:rPr>
                <w:rFonts w:cs="Arial"/>
              </w:rPr>
              <w:t xml:space="preserve">Management arrangements for the trial in waters shallower than 20 fathoms, are a combination of CTFFF arrangements and conditions specified on </w:t>
            </w:r>
            <w:r w:rsidR="004A7321" w:rsidRPr="00E21AE7">
              <w:rPr>
                <w:rFonts w:cs="Arial"/>
              </w:rPr>
              <w:t xml:space="preserve">QDAF </w:t>
            </w:r>
            <w:r w:rsidRPr="00E21AE7">
              <w:rPr>
                <w:rFonts w:cs="Arial"/>
              </w:rPr>
              <w:t xml:space="preserve">fishing permits. These </w:t>
            </w:r>
            <w:r w:rsidR="00CD06E3" w:rsidRPr="00E21AE7">
              <w:rPr>
                <w:rFonts w:cs="Arial"/>
              </w:rPr>
              <w:t xml:space="preserve">trial </w:t>
            </w:r>
            <w:r w:rsidRPr="00E21AE7">
              <w:rPr>
                <w:rFonts w:cs="Arial"/>
              </w:rPr>
              <w:t>arrangements are all publicly available</w:t>
            </w:r>
            <w:r w:rsidR="00CD06E3" w:rsidRPr="00E21AE7">
              <w:rPr>
                <w:rFonts w:cs="Arial"/>
              </w:rPr>
              <w:t xml:space="preserve"> but are not being considered as part of the CTFFF management regime at this time. </w:t>
            </w:r>
            <w:r w:rsidRPr="00E21AE7">
              <w:rPr>
                <w:rFonts w:cs="Arial"/>
              </w:rPr>
              <w:t xml:space="preserve">QDAF has advised that </w:t>
            </w:r>
            <w:r w:rsidR="00CD06E3" w:rsidRPr="00E21AE7">
              <w:rPr>
                <w:rFonts w:cs="Arial"/>
              </w:rPr>
              <w:t xml:space="preserve">they will apply for assessment of the trial arrangements separately, at which time the management regime for the CTFFF and trial will be reconsidered. QDAF has also advised that </w:t>
            </w:r>
            <w:r w:rsidRPr="00E21AE7">
              <w:rPr>
                <w:rFonts w:cs="Arial"/>
              </w:rPr>
              <w:t xml:space="preserve">if the trial arrangements are to extend beyond </w:t>
            </w:r>
            <w:r w:rsidR="00CD06E3" w:rsidRPr="00E21AE7">
              <w:rPr>
                <w:rFonts w:cs="Arial"/>
              </w:rPr>
              <w:t xml:space="preserve">the conclusion of the trial in </w:t>
            </w:r>
            <w:r w:rsidRPr="00E21AE7">
              <w:rPr>
                <w:rFonts w:cs="Arial"/>
              </w:rPr>
              <w:t>September 2021, this will be done via an amendment to the legislated arrangements for the CTFFF.</w:t>
            </w:r>
          </w:p>
        </w:tc>
      </w:tr>
      <w:tr w:rsidR="00F74F9B" w:rsidRPr="000900EC" w14:paraId="018A2BE2" w14:textId="77777777" w:rsidTr="008903BD">
        <w:trPr>
          <w:cnfStyle w:val="000000010000" w:firstRow="0" w:lastRow="0" w:firstColumn="0" w:lastColumn="0" w:oddVBand="0" w:evenVBand="0" w:oddHBand="0" w:evenHBand="1" w:firstRowFirstColumn="0" w:firstRowLastColumn="0" w:lastRowFirstColumn="0" w:lastRowLastColumn="0"/>
          <w:cantSplit/>
        </w:trPr>
        <w:tc>
          <w:tcPr>
            <w:tcW w:w="1485" w:type="pct"/>
            <w:shd w:val="clear" w:color="auto" w:fill="FFC000"/>
          </w:tcPr>
          <w:p w14:paraId="5BA2DAED" w14:textId="6DF8E1CA" w:rsidR="00F74F9B" w:rsidRPr="00E21AE7" w:rsidRDefault="00F74F9B" w:rsidP="007F171B">
            <w:pPr>
              <w:pStyle w:val="ListNumber2"/>
              <w:spacing w:before="80" w:after="80"/>
              <w:ind w:left="0" w:firstLine="0"/>
              <w:rPr>
                <w:sz w:val="22"/>
                <w:szCs w:val="22"/>
              </w:rPr>
            </w:pPr>
            <w:r w:rsidRPr="00E21AE7">
              <w:rPr>
                <w:sz w:val="22"/>
                <w:szCs w:val="22"/>
              </w:rPr>
              <w:t>Sections 208A (f) and (g), 222A (f) and (g), 245 (f) and (g) and 265 (f) and (g)</w:t>
            </w:r>
          </w:p>
        </w:tc>
        <w:tc>
          <w:tcPr>
            <w:tcW w:w="3515" w:type="pct"/>
            <w:shd w:val="clear" w:color="auto" w:fill="auto"/>
          </w:tcPr>
          <w:p w14:paraId="2C8C33C2" w14:textId="77777777" w:rsidR="00F74F9B" w:rsidRPr="00E21AE7" w:rsidRDefault="00F74F9B" w:rsidP="00F76935">
            <w:pPr>
              <w:spacing w:before="80" w:line="276" w:lineRule="auto"/>
              <w:contextualSpacing/>
              <w:rPr>
                <w:rFonts w:cs="Arial"/>
                <w:b/>
              </w:rPr>
            </w:pPr>
            <w:r w:rsidRPr="00E21AE7">
              <w:rPr>
                <w:rFonts w:cs="Arial"/>
                <w:b/>
              </w:rPr>
              <w:t>Partially meets</w:t>
            </w:r>
          </w:p>
          <w:p w14:paraId="19AA60F6" w14:textId="239AB9B9" w:rsidR="00F74F9B" w:rsidRPr="00E21AE7" w:rsidRDefault="00F74F9B" w:rsidP="00F76935">
            <w:pPr>
              <w:spacing w:before="80" w:line="276" w:lineRule="auto"/>
              <w:contextualSpacing/>
              <w:rPr>
                <w:rFonts w:cs="Arial"/>
                <w:b/>
              </w:rPr>
            </w:pPr>
            <w:r w:rsidRPr="00E21AE7">
              <w:rPr>
                <w:rFonts w:cs="Arial"/>
              </w:rPr>
              <w:t>QDAF has assessed the risks to listed threatened species, listed migratory species, cetaceans, and listed marine species and has determined that existing risk mitigation measures are sufficient (</w:t>
            </w:r>
            <w:hyperlink r:id="rId101" w:history="1">
              <w:r w:rsidRPr="00E21AE7">
                <w:rPr>
                  <w:rStyle w:val="Hyperlink"/>
                  <w:rFonts w:cs="Arial"/>
                  <w:lang w:eastAsia="en-AU"/>
                </w:rPr>
                <w:t>Walton &amp; Jacobsen, 20</w:t>
              </w:r>
              <w:r w:rsidR="00E450DD" w:rsidRPr="00E21AE7">
                <w:rPr>
                  <w:rStyle w:val="Hyperlink"/>
                  <w:rFonts w:cs="Arial"/>
                  <w:lang w:eastAsia="en-AU"/>
                </w:rPr>
                <w:t>19</w:t>
              </w:r>
            </w:hyperlink>
            <w:r w:rsidRPr="00E21AE7">
              <w:rPr>
                <w:rFonts w:cs="Arial"/>
                <w:lang w:eastAsia="en-AU"/>
              </w:rPr>
              <w:t>)</w:t>
            </w:r>
            <w:r w:rsidRPr="00E21AE7">
              <w:rPr>
                <w:rFonts w:cs="Arial"/>
              </w:rPr>
              <w:t>. The ERA</w:t>
            </w:r>
            <w:r w:rsidR="0094198B" w:rsidRPr="00E21AE7">
              <w:rPr>
                <w:rFonts w:cs="Arial"/>
              </w:rPr>
              <w:t xml:space="preserve"> for the CTFFF </w:t>
            </w:r>
            <w:r w:rsidRPr="00E21AE7">
              <w:rPr>
                <w:rFonts w:cs="Arial"/>
              </w:rPr>
              <w:t xml:space="preserve">should consider </w:t>
            </w:r>
            <w:r w:rsidR="0094198B" w:rsidRPr="00E21AE7">
              <w:rPr>
                <w:rFonts w:cs="Arial"/>
              </w:rPr>
              <w:t xml:space="preserve">all aspects of, and impacts on the fishery, including </w:t>
            </w:r>
            <w:r w:rsidRPr="00E21AE7">
              <w:rPr>
                <w:rFonts w:cs="Arial"/>
              </w:rPr>
              <w:t xml:space="preserve">changes that may have occurred to existing risk management </w:t>
            </w:r>
            <w:r w:rsidR="0094198B" w:rsidRPr="00E21AE7">
              <w:rPr>
                <w:rFonts w:cs="Arial"/>
              </w:rPr>
              <w:t xml:space="preserve">strategies </w:t>
            </w:r>
            <w:r w:rsidRPr="00E21AE7">
              <w:rPr>
                <w:rFonts w:cs="Arial"/>
              </w:rPr>
              <w:t xml:space="preserve">(e.g. opening areas that were historically closed for risk mitigation purposes under trial arrangements). </w:t>
            </w:r>
            <w:proofErr w:type="gramStart"/>
            <w:r w:rsidRPr="00E21AE7">
              <w:rPr>
                <w:rFonts w:cs="Arial"/>
              </w:rPr>
              <w:t>Noting also</w:t>
            </w:r>
            <w:proofErr w:type="gramEnd"/>
            <w:r w:rsidRPr="00E21AE7">
              <w:rPr>
                <w:rFonts w:cs="Arial"/>
              </w:rPr>
              <w:t xml:space="preserve"> the concerns regarding the accuracy of reported interactions with protected species, data validation </w:t>
            </w:r>
            <w:r w:rsidR="00E4027D" w:rsidRPr="00E21AE7">
              <w:rPr>
                <w:rFonts w:cs="Arial"/>
              </w:rPr>
              <w:t xml:space="preserve">should </w:t>
            </w:r>
            <w:r w:rsidRPr="00E21AE7">
              <w:rPr>
                <w:rFonts w:cs="Arial"/>
              </w:rPr>
              <w:t>be prioritised to ensure impacts can be accurately assessed, monitored and managed.</w:t>
            </w:r>
          </w:p>
          <w:p w14:paraId="38567BC9" w14:textId="01D3BE03" w:rsidR="00F74F9B" w:rsidRPr="00E21AE7" w:rsidRDefault="00F74F9B" w:rsidP="00F76935">
            <w:pPr>
              <w:spacing w:before="80" w:line="276" w:lineRule="auto"/>
              <w:contextualSpacing/>
            </w:pPr>
            <w:r w:rsidRPr="00E21AE7">
              <w:rPr>
                <w:rFonts w:cs="Arial"/>
              </w:rPr>
              <w:t xml:space="preserve">Based on the available information, the current operation of the fishery is unlikely to </w:t>
            </w:r>
            <w:r w:rsidRPr="00E21AE7">
              <w:t xml:space="preserve">adversely affect the survival or recovery in nature of a listed threatened species, the conservation status of a listed migratory species or a population of a listed migratory species, a cetacean species or a population of a cetacean species, or a listed marine species or a population of a listed marine species </w:t>
            </w:r>
            <w:r w:rsidRPr="00E21AE7">
              <w:rPr>
                <w:rFonts w:cs="Arial"/>
              </w:rPr>
              <w:t>given the risk mitigation measures currently in place.</w:t>
            </w:r>
          </w:p>
          <w:p w14:paraId="11B5ABBD" w14:textId="66DD4388" w:rsidR="00F74F9B" w:rsidRPr="00E21AE7" w:rsidRDefault="00F74F9B" w:rsidP="00F76935">
            <w:pPr>
              <w:spacing w:before="80" w:line="276" w:lineRule="auto"/>
              <w:contextualSpacing/>
              <w:rPr>
                <w:rFonts w:cs="Arial"/>
                <w:b/>
              </w:rPr>
            </w:pPr>
            <w:r w:rsidRPr="00E21AE7">
              <w:rPr>
                <w:rFonts w:cs="Arial"/>
              </w:rPr>
              <w:t>This is supported by the ERA which found that risks to these species were low or negligible (</w:t>
            </w:r>
            <w:hyperlink r:id="rId102" w:history="1">
              <w:r w:rsidRPr="00E21AE7">
                <w:rPr>
                  <w:rStyle w:val="Hyperlink"/>
                  <w:rFonts w:cs="Arial"/>
                  <w:lang w:eastAsia="en-AU"/>
                </w:rPr>
                <w:t>Walton &amp; Jacobsen, 20</w:t>
              </w:r>
              <w:r w:rsidR="00E450DD" w:rsidRPr="00E21AE7">
                <w:rPr>
                  <w:rStyle w:val="Hyperlink"/>
                  <w:rFonts w:cs="Arial"/>
                  <w:lang w:eastAsia="en-AU"/>
                </w:rPr>
                <w:t>1</w:t>
              </w:r>
              <w:r w:rsidR="00E450DD" w:rsidRPr="00E21AE7">
                <w:rPr>
                  <w:rStyle w:val="Hyperlink"/>
                </w:rPr>
                <w:t>9</w:t>
              </w:r>
            </w:hyperlink>
            <w:r w:rsidRPr="00E21AE7">
              <w:rPr>
                <w:rFonts w:cs="Arial"/>
                <w:lang w:eastAsia="en-AU"/>
              </w:rPr>
              <w:t>).</w:t>
            </w:r>
            <w:r w:rsidRPr="00E21AE7">
              <w:rPr>
                <w:rFonts w:cs="Arial"/>
              </w:rPr>
              <w:t xml:space="preserve"> The Department</w:t>
            </w:r>
            <w:r w:rsidRPr="00E21AE7" w:rsidDel="000F5214">
              <w:rPr>
                <w:rFonts w:cs="Arial"/>
              </w:rPr>
              <w:t xml:space="preserve"> </w:t>
            </w:r>
            <w:r w:rsidR="000F5214" w:rsidRPr="00E21AE7">
              <w:rPr>
                <w:rFonts w:cs="Arial"/>
              </w:rPr>
              <w:t xml:space="preserve">recommends </w:t>
            </w:r>
            <w:r w:rsidRPr="00E21AE7">
              <w:rPr>
                <w:rFonts w:cs="Arial"/>
              </w:rPr>
              <w:t>that data collection and validation be improved</w:t>
            </w:r>
            <w:r w:rsidR="000F5214" w:rsidRPr="00E21AE7">
              <w:rPr>
                <w:rFonts w:cs="Arial"/>
              </w:rPr>
              <w:t xml:space="preserve"> and</w:t>
            </w:r>
            <w:r w:rsidRPr="00E21AE7" w:rsidDel="000F5214">
              <w:rPr>
                <w:rFonts w:cs="Arial"/>
              </w:rPr>
              <w:t xml:space="preserve"> </w:t>
            </w:r>
            <w:r w:rsidRPr="00E21AE7">
              <w:rPr>
                <w:rFonts w:cs="Arial"/>
                <w:lang w:eastAsia="en-AU"/>
              </w:rPr>
              <w:t xml:space="preserve">that Part 13 </w:t>
            </w:r>
            <w:r w:rsidRPr="00E21AE7">
              <w:rPr>
                <w:rFonts w:cs="Arial"/>
                <w:b/>
                <w:lang w:eastAsia="en-AU"/>
              </w:rPr>
              <w:t>condition</w:t>
            </w:r>
            <w:r w:rsidR="00DB6A39">
              <w:rPr>
                <w:rFonts w:cs="Arial"/>
                <w:b/>
                <w:lang w:eastAsia="en-AU"/>
              </w:rPr>
              <w:t>s</w:t>
            </w:r>
            <w:r w:rsidRPr="00E21AE7">
              <w:rPr>
                <w:rFonts w:cs="Arial"/>
                <w:b/>
                <w:lang w:eastAsia="en-AU"/>
              </w:rPr>
              <w:t xml:space="preserve"> 1</w:t>
            </w:r>
            <w:r w:rsidR="00DB6A39">
              <w:rPr>
                <w:rFonts w:cs="Arial"/>
                <w:b/>
                <w:lang w:eastAsia="en-AU"/>
              </w:rPr>
              <w:t xml:space="preserve"> and 2</w:t>
            </w:r>
            <w:r w:rsidR="00CF590F">
              <w:rPr>
                <w:rFonts w:cs="Arial"/>
                <w:b/>
                <w:lang w:eastAsia="en-AU"/>
              </w:rPr>
              <w:t xml:space="preserve"> </w:t>
            </w:r>
            <w:r w:rsidRPr="00E21AE7">
              <w:rPr>
                <w:rFonts w:cs="Arial"/>
                <w:lang w:eastAsia="en-AU"/>
              </w:rPr>
              <w:t>be applied to the Part</w:t>
            </w:r>
            <w:r w:rsidR="00C22951" w:rsidRPr="00E21AE7">
              <w:rPr>
                <w:rFonts w:cs="Arial"/>
                <w:lang w:eastAsia="en-AU"/>
              </w:rPr>
              <w:t> </w:t>
            </w:r>
            <w:r w:rsidRPr="00E21AE7">
              <w:rPr>
                <w:rFonts w:cs="Arial"/>
                <w:lang w:eastAsia="en-AU"/>
              </w:rPr>
              <w:t>13 approval to ensure there is reliable data collection, monitoring and management of ecological risks in the CTFFF.</w:t>
            </w:r>
          </w:p>
        </w:tc>
      </w:tr>
      <w:tr w:rsidR="002270E2" w:rsidRPr="000900EC" w14:paraId="38F85BF9" w14:textId="77777777" w:rsidTr="007323CB">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D9D9D9" w:themeFill="background1" w:themeFillShade="D9"/>
          </w:tcPr>
          <w:p w14:paraId="3492B986" w14:textId="734C1029" w:rsidR="00F74F9B" w:rsidRPr="00E21AE7" w:rsidRDefault="002270E2" w:rsidP="007F171B">
            <w:pPr>
              <w:spacing w:before="80" w:after="80" w:line="276" w:lineRule="auto"/>
              <w:ind w:left="426" w:hanging="426"/>
              <w:contextualSpacing/>
              <w:jc w:val="center"/>
              <w:rPr>
                <w:rFonts w:cs="Arial"/>
                <w:b/>
              </w:rPr>
            </w:pPr>
            <w:r w:rsidRPr="00E21AE7">
              <w:rPr>
                <w:rFonts w:cs="Arial"/>
                <w:b/>
              </w:rPr>
              <w:lastRenderedPageBreak/>
              <w:t xml:space="preserve">Conditions </w:t>
            </w:r>
            <w:r w:rsidR="00151ECD" w:rsidRPr="00E21AE7">
              <w:rPr>
                <w:rFonts w:cs="Arial"/>
                <w:b/>
              </w:rPr>
              <w:t>regarding</w:t>
            </w:r>
            <w:r w:rsidRPr="00E21AE7">
              <w:rPr>
                <w:rFonts w:cs="Arial"/>
                <w:b/>
              </w:rPr>
              <w:t xml:space="preserve"> accreditation of plans, </w:t>
            </w:r>
            <w:proofErr w:type="gramStart"/>
            <w:r w:rsidRPr="00E21AE7">
              <w:rPr>
                <w:rFonts w:cs="Arial"/>
                <w:b/>
              </w:rPr>
              <w:t>regimes</w:t>
            </w:r>
            <w:proofErr w:type="gramEnd"/>
            <w:r w:rsidRPr="00E21AE7">
              <w:rPr>
                <w:rFonts w:cs="Arial"/>
                <w:b/>
              </w:rPr>
              <w:t xml:space="preserve"> and policies</w:t>
            </w:r>
          </w:p>
          <w:p w14:paraId="5E44D132" w14:textId="1FB31754" w:rsidR="002270E2" w:rsidRPr="00E21AE7" w:rsidRDefault="00F74F9B" w:rsidP="007F171B">
            <w:pPr>
              <w:spacing w:before="80" w:after="80" w:line="276" w:lineRule="auto"/>
              <w:ind w:left="426" w:hanging="426"/>
              <w:contextualSpacing/>
              <w:jc w:val="center"/>
              <w:rPr>
                <w:rFonts w:cs="Arial"/>
                <w:b/>
              </w:rPr>
            </w:pPr>
            <w:r w:rsidRPr="00E21AE7">
              <w:rPr>
                <w:rFonts w:cs="Arial"/>
                <w:b/>
              </w:rPr>
              <w:t>Section 303AA</w:t>
            </w:r>
          </w:p>
        </w:tc>
        <w:tc>
          <w:tcPr>
            <w:tcW w:w="3515" w:type="pct"/>
            <w:shd w:val="clear" w:color="auto" w:fill="D9D9D9" w:themeFill="background1" w:themeFillShade="D9"/>
            <w:vAlign w:val="center"/>
          </w:tcPr>
          <w:p w14:paraId="111A4C93" w14:textId="77777777" w:rsidR="002270E2" w:rsidRPr="00E21AE7" w:rsidRDefault="002270E2" w:rsidP="007F171B">
            <w:pPr>
              <w:spacing w:before="80" w:after="80" w:line="276" w:lineRule="auto"/>
              <w:contextualSpacing/>
              <w:jc w:val="center"/>
              <w:rPr>
                <w:rFonts w:cs="Arial"/>
                <w:b/>
              </w:rPr>
            </w:pPr>
            <w:r w:rsidRPr="00E21AE7">
              <w:rPr>
                <w:rFonts w:cs="Arial"/>
                <w:b/>
              </w:rPr>
              <w:t>Comment</w:t>
            </w:r>
          </w:p>
        </w:tc>
      </w:tr>
      <w:tr w:rsidR="002270E2" w:rsidRPr="000900EC" w14:paraId="7E9F03C7" w14:textId="77777777" w:rsidTr="007323CB">
        <w:trPr>
          <w:cnfStyle w:val="000000010000" w:firstRow="0" w:lastRow="0" w:firstColumn="0" w:lastColumn="0" w:oddVBand="0" w:evenVBand="0" w:oddHBand="0" w:evenHBand="1" w:firstRowFirstColumn="0" w:firstRowLastColumn="0" w:lastRowFirstColumn="0" w:lastRowLastColumn="0"/>
        </w:trPr>
        <w:tc>
          <w:tcPr>
            <w:tcW w:w="1485" w:type="pct"/>
          </w:tcPr>
          <w:p w14:paraId="2AED3E9E" w14:textId="77777777" w:rsidR="002270E2" w:rsidRPr="00E21AE7" w:rsidRDefault="002270E2" w:rsidP="007F171B">
            <w:pPr>
              <w:pStyle w:val="ListNumber"/>
              <w:spacing w:before="80" w:after="80"/>
              <w:rPr>
                <w:sz w:val="22"/>
                <w:szCs w:val="22"/>
              </w:rPr>
            </w:pPr>
            <w:r w:rsidRPr="00E21AE7">
              <w:rPr>
                <w:sz w:val="22"/>
                <w:szCs w:val="22"/>
              </w:rPr>
              <w:t>(1)</w:t>
            </w:r>
            <w:r w:rsidRPr="00E21AE7">
              <w:rPr>
                <w:sz w:val="22"/>
                <w:szCs w:val="22"/>
              </w:rPr>
              <w:tab/>
              <w:t xml:space="preserve">This section applies to an accreditation of a plan, </w:t>
            </w:r>
            <w:proofErr w:type="gramStart"/>
            <w:r w:rsidRPr="00E21AE7">
              <w:rPr>
                <w:sz w:val="22"/>
                <w:szCs w:val="22"/>
              </w:rPr>
              <w:t>regime</w:t>
            </w:r>
            <w:proofErr w:type="gramEnd"/>
            <w:r w:rsidRPr="00E21AE7">
              <w:rPr>
                <w:sz w:val="22"/>
                <w:szCs w:val="22"/>
              </w:rPr>
              <w:t xml:space="preserve"> or policy under section 208A, 222A, 245 or 265.</w:t>
            </w:r>
          </w:p>
        </w:tc>
        <w:tc>
          <w:tcPr>
            <w:tcW w:w="3515" w:type="pct"/>
          </w:tcPr>
          <w:p w14:paraId="6A880119" w14:textId="26B84842" w:rsidR="002270E2" w:rsidRPr="00E21AE7" w:rsidRDefault="002270E2" w:rsidP="007F171B">
            <w:pPr>
              <w:spacing w:before="80" w:after="80" w:line="276" w:lineRule="auto"/>
              <w:contextualSpacing/>
              <w:rPr>
                <w:rFonts w:cs="Arial"/>
              </w:rPr>
            </w:pPr>
            <w:r w:rsidRPr="00E21AE7">
              <w:rPr>
                <w:rFonts w:cs="Arial"/>
              </w:rPr>
              <w:t>The Department recommends that the management regime for the CTFFF (</w:t>
            </w:r>
            <w:r w:rsidRPr="00E21AE7">
              <w:rPr>
                <w:rFonts w:cs="Arial"/>
                <w:u w:val="single"/>
              </w:rPr>
              <w:t>not</w:t>
            </w:r>
            <w:r w:rsidRPr="00E21AE7">
              <w:rPr>
                <w:rFonts w:cs="Arial"/>
              </w:rPr>
              <w:t xml:space="preserve"> including the arrangements defined in </w:t>
            </w:r>
            <w:r w:rsidR="00B41391" w:rsidRPr="00E21AE7">
              <w:rPr>
                <w:rFonts w:cs="Arial"/>
              </w:rPr>
              <w:t xml:space="preserve">QDAF </w:t>
            </w:r>
            <w:r w:rsidRPr="00E21AE7">
              <w:rPr>
                <w:rFonts w:cs="Arial"/>
              </w:rPr>
              <w:t>permit conditions for the sub-20 fathom trial) be accredited under sections 208A, 222A, 245 and 265</w:t>
            </w:r>
            <w:r w:rsidR="00E225FC" w:rsidRPr="00E21AE7">
              <w:rPr>
                <w:rFonts w:cs="Arial"/>
              </w:rPr>
              <w:t xml:space="preserve"> of the EPBC Act</w:t>
            </w:r>
            <w:r w:rsidRPr="00E21AE7">
              <w:rPr>
                <w:rFonts w:cs="Arial"/>
              </w:rPr>
              <w:t>.</w:t>
            </w:r>
          </w:p>
        </w:tc>
      </w:tr>
      <w:tr w:rsidR="002270E2" w:rsidRPr="000900EC" w14:paraId="139872EA" w14:textId="77777777" w:rsidTr="007323CB">
        <w:trPr>
          <w:cnfStyle w:val="000000100000" w:firstRow="0" w:lastRow="0" w:firstColumn="0" w:lastColumn="0" w:oddVBand="0" w:evenVBand="0" w:oddHBand="1" w:evenHBand="0" w:firstRowFirstColumn="0" w:firstRowLastColumn="0" w:lastRowFirstColumn="0" w:lastRowLastColumn="0"/>
        </w:trPr>
        <w:tc>
          <w:tcPr>
            <w:tcW w:w="1485" w:type="pct"/>
          </w:tcPr>
          <w:p w14:paraId="3560F87B" w14:textId="77777777" w:rsidR="002270E2" w:rsidRPr="00E21AE7" w:rsidRDefault="002270E2" w:rsidP="007F171B">
            <w:pPr>
              <w:pStyle w:val="ListNumber"/>
              <w:spacing w:before="80" w:after="80"/>
              <w:rPr>
                <w:sz w:val="22"/>
                <w:szCs w:val="22"/>
              </w:rPr>
            </w:pPr>
            <w:r w:rsidRPr="00E21AE7">
              <w:rPr>
                <w:sz w:val="22"/>
                <w:szCs w:val="22"/>
              </w:rPr>
              <w:t>(2)</w:t>
            </w:r>
            <w:r w:rsidRPr="00E21AE7">
              <w:rPr>
                <w:sz w:val="22"/>
                <w:szCs w:val="22"/>
              </w:rPr>
              <w:tab/>
              <w:t xml:space="preserve">The Minister may accredit a plan, </w:t>
            </w:r>
            <w:proofErr w:type="gramStart"/>
            <w:r w:rsidRPr="00E21AE7">
              <w:rPr>
                <w:sz w:val="22"/>
                <w:szCs w:val="22"/>
              </w:rPr>
              <w:t>regime</w:t>
            </w:r>
            <w:proofErr w:type="gramEnd"/>
            <w:r w:rsidRPr="00E21AE7">
              <w:rPr>
                <w:sz w:val="22"/>
                <w:szCs w:val="22"/>
              </w:rPr>
              <w:t xml:space="preserve"> or policy under that section even though he or she considers that the plan, regime or policy should be accredited only:</w:t>
            </w:r>
          </w:p>
          <w:p w14:paraId="64296504" w14:textId="77777777" w:rsidR="002270E2" w:rsidRPr="00E21AE7" w:rsidRDefault="002270E2" w:rsidP="007F171B">
            <w:pPr>
              <w:pStyle w:val="ListNumber2"/>
              <w:spacing w:before="80" w:after="80"/>
              <w:rPr>
                <w:sz w:val="22"/>
                <w:szCs w:val="22"/>
              </w:rPr>
            </w:pPr>
            <w:r w:rsidRPr="00E21AE7">
              <w:rPr>
                <w:sz w:val="22"/>
                <w:szCs w:val="22"/>
              </w:rPr>
              <w:t>(a)</w:t>
            </w:r>
            <w:r w:rsidRPr="00E21AE7">
              <w:rPr>
                <w:sz w:val="22"/>
                <w:szCs w:val="22"/>
              </w:rPr>
              <w:tab/>
              <w:t>during a particular period; or</w:t>
            </w:r>
          </w:p>
          <w:p w14:paraId="23153E98" w14:textId="77777777" w:rsidR="002270E2" w:rsidRPr="00E21AE7" w:rsidRDefault="002270E2" w:rsidP="007F171B">
            <w:pPr>
              <w:pStyle w:val="ListNumber2"/>
              <w:spacing w:before="80" w:after="80"/>
              <w:rPr>
                <w:sz w:val="22"/>
                <w:szCs w:val="22"/>
              </w:rPr>
            </w:pPr>
            <w:r w:rsidRPr="00E21AE7">
              <w:rPr>
                <w:sz w:val="22"/>
                <w:szCs w:val="22"/>
              </w:rPr>
              <w:t>(b)</w:t>
            </w:r>
            <w:r w:rsidRPr="00E21AE7">
              <w:rPr>
                <w:sz w:val="22"/>
                <w:szCs w:val="22"/>
              </w:rPr>
              <w:tab/>
              <w:t>while certain circumstances exist; or</w:t>
            </w:r>
          </w:p>
          <w:p w14:paraId="010F1587" w14:textId="639A2A9E" w:rsidR="002270E2" w:rsidRPr="00E21AE7" w:rsidRDefault="004F3E26" w:rsidP="007F171B">
            <w:pPr>
              <w:pStyle w:val="ListNumber2"/>
              <w:spacing w:before="80" w:after="80"/>
              <w:rPr>
                <w:sz w:val="22"/>
                <w:szCs w:val="22"/>
              </w:rPr>
            </w:pPr>
            <w:r w:rsidRPr="00E21AE7">
              <w:rPr>
                <w:sz w:val="22"/>
                <w:szCs w:val="22"/>
              </w:rPr>
              <w:t>(c)</w:t>
            </w:r>
            <w:r w:rsidR="002270E2" w:rsidRPr="00E21AE7">
              <w:rPr>
                <w:sz w:val="22"/>
                <w:szCs w:val="22"/>
              </w:rPr>
              <w:tab/>
              <w:t>while a certain condition is complied with.</w:t>
            </w:r>
          </w:p>
          <w:p w14:paraId="3AB99A62" w14:textId="77777777" w:rsidR="002270E2" w:rsidRPr="00E21AE7" w:rsidRDefault="002270E2" w:rsidP="007F171B">
            <w:pPr>
              <w:spacing w:before="80" w:after="80" w:line="276" w:lineRule="auto"/>
              <w:contextualSpacing/>
              <w:rPr>
                <w:rFonts w:cs="Arial"/>
              </w:rPr>
            </w:pPr>
            <w:r w:rsidRPr="00E21AE7">
              <w:rPr>
                <w:rFonts w:cs="Arial"/>
              </w:rPr>
              <w:t xml:space="preserve">In such a case, the instrument of accreditation is to specify the period, </w:t>
            </w:r>
            <w:proofErr w:type="gramStart"/>
            <w:r w:rsidRPr="00E21AE7">
              <w:rPr>
                <w:rFonts w:cs="Arial"/>
              </w:rPr>
              <w:t>circumstances</w:t>
            </w:r>
            <w:proofErr w:type="gramEnd"/>
            <w:r w:rsidRPr="00E21AE7">
              <w:rPr>
                <w:rFonts w:cs="Arial"/>
              </w:rPr>
              <w:t xml:space="preserve"> or condition.</w:t>
            </w:r>
          </w:p>
        </w:tc>
        <w:tc>
          <w:tcPr>
            <w:tcW w:w="3515" w:type="pct"/>
          </w:tcPr>
          <w:p w14:paraId="7D64803C" w14:textId="5F4E122A" w:rsidR="002270E2" w:rsidRPr="00E21AE7" w:rsidRDefault="002270E2" w:rsidP="007F171B">
            <w:pPr>
              <w:spacing w:before="80" w:after="80" w:line="276" w:lineRule="auto"/>
              <w:contextualSpacing/>
              <w:rPr>
                <w:rFonts w:cs="Arial"/>
                <w:lang w:eastAsia="en-AU"/>
              </w:rPr>
            </w:pPr>
            <w:r w:rsidRPr="00E21AE7">
              <w:rPr>
                <w:rFonts w:cs="Arial"/>
              </w:rPr>
              <w:t>To satisfy the requirements of sections 208A, 222A, 245, and 265</w:t>
            </w:r>
            <w:r w:rsidR="000966D4" w:rsidRPr="00E21AE7">
              <w:rPr>
                <w:rFonts w:cs="Arial"/>
              </w:rPr>
              <w:t xml:space="preserve"> of the EPBC Act</w:t>
            </w:r>
            <w:r w:rsidRPr="00E21AE7">
              <w:rPr>
                <w:rFonts w:cs="Arial"/>
              </w:rPr>
              <w:t>, the Department recommends the CTFFF be accredited under Part 13 subject to a condition</w:t>
            </w:r>
            <w:r w:rsidR="00C22951" w:rsidRPr="00E21AE7">
              <w:rPr>
                <w:rFonts w:cs="Arial"/>
              </w:rPr>
              <w:t>s</w:t>
            </w:r>
            <w:r w:rsidRPr="00E21AE7">
              <w:rPr>
                <w:rFonts w:cs="Arial"/>
              </w:rPr>
              <w:t xml:space="preserve"> that requires QDAF to </w:t>
            </w:r>
            <w:r w:rsidR="00603F78" w:rsidRPr="00E21AE7">
              <w:rPr>
                <w:rFonts w:cs="Arial"/>
                <w:lang w:eastAsia="en-AU"/>
              </w:rPr>
              <w:t>ensure there is reliable data collection, monitoring and management of ecological risks in the CTFFF</w:t>
            </w:r>
            <w:r w:rsidR="00C22951" w:rsidRPr="00E21AE7">
              <w:rPr>
                <w:rFonts w:cs="Arial"/>
                <w:lang w:eastAsia="en-AU"/>
              </w:rPr>
              <w:t xml:space="preserve"> (</w:t>
            </w:r>
            <w:r w:rsidR="00C22951" w:rsidRPr="00E21AE7">
              <w:rPr>
                <w:rFonts w:cs="Arial"/>
              </w:rPr>
              <w:t xml:space="preserve">refer to </w:t>
            </w:r>
            <w:r w:rsidR="00C22951" w:rsidRPr="00E21AE7">
              <w:rPr>
                <w:rFonts w:cs="Arial"/>
                <w:lang w:eastAsia="en-AU"/>
              </w:rPr>
              <w:t xml:space="preserve">Part 13 </w:t>
            </w:r>
            <w:r w:rsidR="003475B0" w:rsidRPr="00E21AE7">
              <w:rPr>
                <w:rFonts w:cs="Arial"/>
                <w:b/>
                <w:lang w:eastAsia="en-AU"/>
              </w:rPr>
              <w:t>condition</w:t>
            </w:r>
            <w:r w:rsidR="00DB6A39">
              <w:rPr>
                <w:rFonts w:cs="Arial"/>
                <w:b/>
                <w:lang w:eastAsia="en-AU"/>
              </w:rPr>
              <w:t>s</w:t>
            </w:r>
            <w:r w:rsidR="003475B0">
              <w:rPr>
                <w:rFonts w:cs="Arial"/>
                <w:b/>
                <w:lang w:eastAsia="en-AU"/>
              </w:rPr>
              <w:t xml:space="preserve"> </w:t>
            </w:r>
            <w:r w:rsidR="00C22951" w:rsidRPr="00E21AE7">
              <w:rPr>
                <w:rFonts w:cs="Arial"/>
                <w:b/>
                <w:lang w:eastAsia="en-AU"/>
              </w:rPr>
              <w:t>1</w:t>
            </w:r>
            <w:r w:rsidR="00DB6A39">
              <w:rPr>
                <w:rFonts w:cs="Arial"/>
                <w:b/>
                <w:lang w:eastAsia="en-AU"/>
              </w:rPr>
              <w:t xml:space="preserve"> and 2</w:t>
            </w:r>
            <w:r w:rsidR="003475B0" w:rsidRPr="00317CD3">
              <w:rPr>
                <w:rFonts w:cs="Arial"/>
                <w:bCs/>
                <w:lang w:eastAsia="en-AU"/>
              </w:rPr>
              <w:t xml:space="preserve"> </w:t>
            </w:r>
            <w:r w:rsidR="00C22951" w:rsidRPr="00E21AE7">
              <w:rPr>
                <w:rFonts w:cs="Arial"/>
                <w:lang w:eastAsia="en-AU"/>
              </w:rPr>
              <w:t xml:space="preserve">in Section </w:t>
            </w:r>
            <w:r w:rsidR="008A76BB">
              <w:rPr>
                <w:rFonts w:cs="Arial"/>
                <w:lang w:eastAsia="en-AU"/>
              </w:rPr>
              <w:t>2</w:t>
            </w:r>
            <w:r w:rsidR="008A76BB" w:rsidRPr="00E21AE7">
              <w:rPr>
                <w:rFonts w:cs="Arial"/>
                <w:lang w:eastAsia="en-AU"/>
              </w:rPr>
              <w:t xml:space="preserve"> </w:t>
            </w:r>
            <w:r w:rsidR="00C22951" w:rsidRPr="00E21AE7">
              <w:rPr>
                <w:rFonts w:cs="Arial"/>
                <w:lang w:eastAsia="en-AU"/>
              </w:rPr>
              <w:t>of this report)</w:t>
            </w:r>
            <w:r w:rsidR="00603F78" w:rsidRPr="00E21AE7">
              <w:rPr>
                <w:rFonts w:cs="Arial"/>
                <w:lang w:eastAsia="en-AU"/>
              </w:rPr>
              <w:t>.</w:t>
            </w:r>
          </w:p>
        </w:tc>
      </w:tr>
    </w:tbl>
    <w:p w14:paraId="6CD68BF5" w14:textId="77777777" w:rsidR="00475A65" w:rsidRPr="00FD022E" w:rsidRDefault="00475A65" w:rsidP="007F171B">
      <w:pPr>
        <w:spacing w:before="0" w:after="0" w:line="276" w:lineRule="auto"/>
        <w:rPr>
          <w:rFonts w:cs="Arial"/>
          <w:b/>
        </w:rPr>
      </w:pPr>
      <w:r w:rsidRPr="00FD022E">
        <w:br w:type="page"/>
      </w:r>
    </w:p>
    <w:p w14:paraId="7CF63A23" w14:textId="3C59189E" w:rsidR="009D5019" w:rsidRPr="004C11CA" w:rsidRDefault="009D5019" w:rsidP="007F171B">
      <w:pPr>
        <w:pStyle w:val="Heading2"/>
        <w:spacing w:before="0" w:line="276" w:lineRule="auto"/>
        <w:rPr>
          <w:sz w:val="24"/>
          <w:szCs w:val="24"/>
        </w:rPr>
      </w:pPr>
      <w:bookmarkStart w:id="19" w:name="_Toc48212735"/>
      <w:r w:rsidRPr="004C11CA">
        <w:rPr>
          <w:sz w:val="24"/>
          <w:szCs w:val="24"/>
        </w:rPr>
        <w:lastRenderedPageBreak/>
        <w:t>Part 13A</w:t>
      </w:r>
      <w:r w:rsidR="007F1ABC" w:rsidRPr="004C11CA">
        <w:rPr>
          <w:sz w:val="24"/>
          <w:szCs w:val="24"/>
        </w:rPr>
        <w:t xml:space="preserve"> </w:t>
      </w:r>
      <w:r w:rsidR="00F73C73" w:rsidRPr="004C11CA">
        <w:rPr>
          <w:sz w:val="24"/>
          <w:szCs w:val="24"/>
        </w:rPr>
        <w:t>– International movement of wildlife specimens</w:t>
      </w:r>
      <w:bookmarkEnd w:id="19"/>
    </w:p>
    <w:tbl>
      <w:tblPr>
        <w:tblStyle w:val="TableGrid"/>
        <w:tblW w:w="5000" w:type="pct"/>
        <w:tblLook w:val="04A0" w:firstRow="1" w:lastRow="0" w:firstColumn="1" w:lastColumn="0" w:noHBand="0" w:noVBand="1"/>
      </w:tblPr>
      <w:tblGrid>
        <w:gridCol w:w="4391"/>
        <w:gridCol w:w="10395"/>
      </w:tblGrid>
      <w:tr w:rsidR="00151ECD" w:rsidRPr="000900EC" w14:paraId="71332680" w14:textId="77777777" w:rsidTr="00151ECD">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tcPr>
          <w:p w14:paraId="1F306BB4" w14:textId="115B0717" w:rsidR="00151ECD" w:rsidRPr="00E21AE7" w:rsidRDefault="00151ECD" w:rsidP="007F171B">
            <w:pPr>
              <w:spacing w:before="80" w:after="80" w:line="276" w:lineRule="auto"/>
              <w:ind w:left="426" w:hanging="426"/>
              <w:contextualSpacing/>
              <w:jc w:val="center"/>
              <w:rPr>
                <w:rFonts w:cs="Arial"/>
                <w:b/>
              </w:rPr>
            </w:pPr>
            <w:r w:rsidRPr="00E21AE7">
              <w:rPr>
                <w:rFonts w:cs="Arial"/>
                <w:b/>
              </w:rPr>
              <w:t>Section 303BA Objects of Part 13A</w:t>
            </w:r>
          </w:p>
        </w:tc>
        <w:tc>
          <w:tcPr>
            <w:tcW w:w="3515" w:type="pct"/>
            <w:shd w:val="clear" w:color="auto" w:fill="D9D9D9" w:themeFill="background1" w:themeFillShade="D9"/>
            <w:vAlign w:val="center"/>
          </w:tcPr>
          <w:p w14:paraId="1FA0A6FE" w14:textId="77777777" w:rsidR="00151ECD" w:rsidRPr="00E21AE7" w:rsidRDefault="00151ECD" w:rsidP="007F171B">
            <w:pPr>
              <w:spacing w:before="80" w:after="80" w:line="276" w:lineRule="auto"/>
              <w:contextualSpacing/>
              <w:jc w:val="center"/>
              <w:rPr>
                <w:rFonts w:cs="Arial"/>
                <w:b/>
              </w:rPr>
            </w:pPr>
            <w:r w:rsidRPr="00E21AE7">
              <w:rPr>
                <w:rFonts w:cs="Arial"/>
                <w:b/>
              </w:rPr>
              <w:t>Comment</w:t>
            </w:r>
          </w:p>
        </w:tc>
      </w:tr>
    </w:tbl>
    <w:tbl>
      <w:tblPr>
        <w:tblStyle w:val="TableGrid1"/>
        <w:tblW w:w="5000" w:type="pct"/>
        <w:tblLook w:val="04A0" w:firstRow="1" w:lastRow="0" w:firstColumn="1" w:lastColumn="0" w:noHBand="0" w:noVBand="1"/>
      </w:tblPr>
      <w:tblGrid>
        <w:gridCol w:w="4391"/>
        <w:gridCol w:w="10395"/>
      </w:tblGrid>
      <w:tr w:rsidR="001C70CA" w:rsidRPr="000900EC" w14:paraId="2C296CF2" w14:textId="77777777" w:rsidTr="009131DE">
        <w:trPr>
          <w:cnfStyle w:val="100000000000" w:firstRow="1" w:lastRow="0" w:firstColumn="0" w:lastColumn="0" w:oddVBand="0" w:evenVBand="0" w:oddHBand="0" w:evenHBand="0" w:firstRowFirstColumn="0" w:firstRowLastColumn="0" w:lastRowFirstColumn="0" w:lastRowLastColumn="0"/>
          <w:cantSplit/>
        </w:trPr>
        <w:tc>
          <w:tcPr>
            <w:tcW w:w="1485" w:type="pct"/>
            <w:tcBorders>
              <w:bottom w:val="single" w:sz="4" w:space="0" w:color="auto"/>
            </w:tcBorders>
            <w:shd w:val="clear" w:color="auto" w:fill="92D050"/>
          </w:tcPr>
          <w:p w14:paraId="214AF701" w14:textId="48F00C58" w:rsidR="001C70CA" w:rsidRPr="00E21AE7" w:rsidRDefault="001C70CA" w:rsidP="007F171B">
            <w:pPr>
              <w:pStyle w:val="ListNumber"/>
              <w:spacing w:before="80" w:after="80"/>
              <w:rPr>
                <w:sz w:val="22"/>
                <w:szCs w:val="22"/>
              </w:rPr>
            </w:pPr>
            <w:r w:rsidRPr="00E21AE7">
              <w:rPr>
                <w:sz w:val="22"/>
                <w:szCs w:val="22"/>
              </w:rPr>
              <w:t>(1)</w:t>
            </w:r>
            <w:r w:rsidRPr="00E21AE7">
              <w:rPr>
                <w:sz w:val="22"/>
                <w:szCs w:val="22"/>
              </w:rPr>
              <w:tab/>
              <w:t>The objects of this Part are as follows:</w:t>
            </w:r>
          </w:p>
          <w:p w14:paraId="53F2A16D" w14:textId="7F2BF5AB" w:rsidR="001C70CA" w:rsidRPr="00E21AE7" w:rsidRDefault="001C70CA" w:rsidP="007F171B">
            <w:pPr>
              <w:pStyle w:val="ListNumber2"/>
              <w:spacing w:before="80" w:after="80"/>
              <w:rPr>
                <w:sz w:val="22"/>
                <w:szCs w:val="22"/>
              </w:rPr>
            </w:pPr>
            <w:r w:rsidRPr="00E21AE7">
              <w:rPr>
                <w:sz w:val="22"/>
                <w:szCs w:val="22"/>
              </w:rPr>
              <w:t>(a)</w:t>
            </w:r>
            <w:r w:rsidRPr="00E21AE7">
              <w:rPr>
                <w:sz w:val="22"/>
                <w:szCs w:val="22"/>
              </w:rPr>
              <w:tab/>
              <w:t>to ensure that Australia complies with its obligations under CITES and the Biodiversity Convention;</w:t>
            </w:r>
          </w:p>
          <w:p w14:paraId="1E27B80E" w14:textId="1B22B1A9" w:rsidR="001C70CA" w:rsidRPr="00E21AE7" w:rsidRDefault="001C70CA" w:rsidP="007F171B">
            <w:pPr>
              <w:pStyle w:val="ListNumber2"/>
              <w:spacing w:before="80" w:after="80"/>
              <w:rPr>
                <w:sz w:val="22"/>
                <w:szCs w:val="22"/>
              </w:rPr>
            </w:pPr>
            <w:r w:rsidRPr="00E21AE7">
              <w:rPr>
                <w:sz w:val="22"/>
                <w:szCs w:val="22"/>
              </w:rPr>
              <w:t>(b)</w:t>
            </w:r>
            <w:r w:rsidRPr="00E21AE7">
              <w:rPr>
                <w:sz w:val="22"/>
                <w:szCs w:val="22"/>
              </w:rPr>
              <w:tab/>
              <w:t>to protect wildlife that may be adversely affected by trade;</w:t>
            </w:r>
          </w:p>
          <w:p w14:paraId="0BD3A59F" w14:textId="415FDD8B" w:rsidR="001C70CA" w:rsidRPr="00E21AE7" w:rsidRDefault="00475A65" w:rsidP="007F171B">
            <w:pPr>
              <w:pStyle w:val="ListNumber2"/>
              <w:spacing w:before="80" w:after="80"/>
              <w:rPr>
                <w:sz w:val="22"/>
                <w:szCs w:val="22"/>
              </w:rPr>
            </w:pPr>
            <w:r w:rsidRPr="00E21AE7">
              <w:rPr>
                <w:sz w:val="22"/>
                <w:szCs w:val="22"/>
              </w:rPr>
              <w:t>(c)</w:t>
            </w:r>
            <w:r w:rsidR="001C70CA" w:rsidRPr="00E21AE7">
              <w:rPr>
                <w:sz w:val="22"/>
                <w:szCs w:val="22"/>
              </w:rPr>
              <w:tab/>
              <w:t>to promote the conservation of biodiversity in Australia and other countries;</w:t>
            </w:r>
          </w:p>
          <w:p w14:paraId="51856DBF" w14:textId="77777777" w:rsidR="001C70CA" w:rsidRPr="00E21AE7" w:rsidRDefault="001C70CA" w:rsidP="007F171B">
            <w:pPr>
              <w:pStyle w:val="ListNumber2"/>
              <w:spacing w:before="80" w:after="80"/>
              <w:rPr>
                <w:sz w:val="22"/>
                <w:szCs w:val="22"/>
              </w:rPr>
            </w:pPr>
            <w:r w:rsidRPr="00E21AE7">
              <w:rPr>
                <w:sz w:val="22"/>
                <w:szCs w:val="22"/>
              </w:rPr>
              <w:t>(d)</w:t>
            </w:r>
            <w:r w:rsidRPr="00E21AE7">
              <w:rPr>
                <w:sz w:val="22"/>
                <w:szCs w:val="22"/>
              </w:rPr>
              <w:tab/>
              <w:t>to ensure that any commercial utilisation of Australian native wildlife for the purposes of export is managed in an ecologically sustainable way;</w:t>
            </w:r>
          </w:p>
          <w:p w14:paraId="06D01FF1" w14:textId="3BAEA368" w:rsidR="001C70CA" w:rsidRPr="00E21AE7" w:rsidRDefault="00475A65" w:rsidP="007F171B">
            <w:pPr>
              <w:pStyle w:val="ListNumber2"/>
              <w:spacing w:before="80" w:after="80"/>
              <w:rPr>
                <w:sz w:val="22"/>
                <w:szCs w:val="22"/>
              </w:rPr>
            </w:pPr>
            <w:r w:rsidRPr="00E21AE7">
              <w:rPr>
                <w:sz w:val="22"/>
                <w:szCs w:val="22"/>
              </w:rPr>
              <w:t>(e)</w:t>
            </w:r>
            <w:r w:rsidR="001C70CA" w:rsidRPr="00E21AE7">
              <w:rPr>
                <w:sz w:val="22"/>
                <w:szCs w:val="22"/>
              </w:rPr>
              <w:tab/>
              <w:t>to promote the humane treatment of wildlife;</w:t>
            </w:r>
          </w:p>
          <w:p w14:paraId="79661513" w14:textId="77777777" w:rsidR="001C70CA" w:rsidRPr="00E21AE7" w:rsidRDefault="001C70CA" w:rsidP="007F171B">
            <w:pPr>
              <w:pStyle w:val="ListNumber2"/>
              <w:spacing w:before="80" w:after="80"/>
              <w:rPr>
                <w:sz w:val="22"/>
                <w:szCs w:val="22"/>
              </w:rPr>
            </w:pPr>
            <w:r w:rsidRPr="00E21AE7">
              <w:rPr>
                <w:sz w:val="22"/>
                <w:szCs w:val="22"/>
              </w:rPr>
              <w:t>(f)</w:t>
            </w:r>
            <w:r w:rsidRPr="00E21AE7">
              <w:rPr>
                <w:sz w:val="22"/>
                <w:szCs w:val="22"/>
              </w:rPr>
              <w:tab/>
              <w:t>to ensure ethical conduct during any research associated with the utilisation of wildlife; and</w:t>
            </w:r>
          </w:p>
          <w:p w14:paraId="4E62EAB3" w14:textId="5C436067" w:rsidR="001C70CA" w:rsidRPr="00E21AE7" w:rsidRDefault="001C70CA" w:rsidP="007F171B">
            <w:pPr>
              <w:pStyle w:val="ListNumber2"/>
              <w:spacing w:before="80" w:after="80"/>
              <w:rPr>
                <w:sz w:val="22"/>
                <w:szCs w:val="22"/>
              </w:rPr>
            </w:pPr>
            <w:r w:rsidRPr="00E21AE7">
              <w:rPr>
                <w:sz w:val="22"/>
                <w:szCs w:val="22"/>
              </w:rPr>
              <w:t>(h)</w:t>
            </w:r>
            <w:r w:rsidRPr="00E21AE7">
              <w:rPr>
                <w:sz w:val="22"/>
                <w:szCs w:val="22"/>
              </w:rPr>
              <w:tab/>
              <w:t>to ensure the precautionary principle is taken into account in making decisions relating to the utilisation of wildlife.</w:t>
            </w:r>
          </w:p>
        </w:tc>
        <w:tc>
          <w:tcPr>
            <w:tcW w:w="3515" w:type="pct"/>
            <w:tcBorders>
              <w:bottom w:val="single" w:sz="4" w:space="0" w:color="auto"/>
            </w:tcBorders>
            <w:shd w:val="clear" w:color="auto" w:fill="auto"/>
          </w:tcPr>
          <w:p w14:paraId="63AE0F15" w14:textId="748973C1" w:rsidR="001C70CA" w:rsidRPr="00E21AE7" w:rsidRDefault="001C70CA" w:rsidP="007F171B">
            <w:pPr>
              <w:spacing w:before="80" w:after="80" w:line="276" w:lineRule="auto"/>
              <w:contextualSpacing/>
              <w:rPr>
                <w:rFonts w:cs="Arial"/>
              </w:rPr>
            </w:pPr>
            <w:r w:rsidRPr="00E21AE7">
              <w:rPr>
                <w:rFonts w:cs="Arial"/>
              </w:rPr>
              <w:t xml:space="preserve">The management arrangements for the </w:t>
            </w:r>
            <w:r w:rsidR="006D1DF8" w:rsidRPr="00E21AE7">
              <w:rPr>
                <w:rFonts w:cs="Arial"/>
              </w:rPr>
              <w:t xml:space="preserve">CTFFF </w:t>
            </w:r>
            <w:r w:rsidRPr="00E21AE7">
              <w:rPr>
                <w:rFonts w:cs="Arial"/>
              </w:rPr>
              <w:t xml:space="preserve">have been assessed </w:t>
            </w:r>
            <w:r w:rsidR="006D1DF8" w:rsidRPr="00E21AE7">
              <w:rPr>
                <w:rFonts w:cs="Arial"/>
              </w:rPr>
              <w:t xml:space="preserve">and found to be </w:t>
            </w:r>
            <w:r w:rsidRPr="00E21AE7">
              <w:rPr>
                <w:rFonts w:cs="Arial"/>
              </w:rPr>
              <w:t>consistent with the general guidance provided in the objects of Part 13A as:</w:t>
            </w:r>
          </w:p>
          <w:p w14:paraId="278579AA" w14:textId="77777777" w:rsidR="001C70CA" w:rsidRPr="00E21AE7" w:rsidRDefault="001C70CA" w:rsidP="007F171B">
            <w:pPr>
              <w:pStyle w:val="ListBullet"/>
              <w:spacing w:before="80" w:after="80"/>
              <w:rPr>
                <w:sz w:val="22"/>
                <w:szCs w:val="22"/>
              </w:rPr>
            </w:pPr>
            <w:r w:rsidRPr="00E21AE7">
              <w:rPr>
                <w:sz w:val="22"/>
                <w:szCs w:val="22"/>
              </w:rPr>
              <w:t>the fishery will not harvest any Convention on International Trade in Endangered Species of Wild Fauna and Flora (CITES) listed species</w:t>
            </w:r>
          </w:p>
          <w:p w14:paraId="46992ADA" w14:textId="582AA96D" w:rsidR="001C70CA" w:rsidRPr="00E21AE7" w:rsidRDefault="001C70CA" w:rsidP="007F171B">
            <w:pPr>
              <w:pStyle w:val="ListBullet"/>
              <w:spacing w:before="80" w:after="80"/>
              <w:rPr>
                <w:sz w:val="22"/>
                <w:szCs w:val="22"/>
              </w:rPr>
            </w:pPr>
            <w:r w:rsidRPr="00E21AE7">
              <w:rPr>
                <w:sz w:val="22"/>
                <w:szCs w:val="22"/>
              </w:rPr>
              <w:t>there are management arrangements in place to ensure that the resource is being managed in an ecologically sustainable way</w:t>
            </w:r>
          </w:p>
          <w:p w14:paraId="7D0DBA98" w14:textId="27C0E7C8" w:rsidR="001C70CA" w:rsidRPr="00E21AE7" w:rsidRDefault="001C70CA" w:rsidP="007F171B">
            <w:pPr>
              <w:pStyle w:val="ListBullet"/>
              <w:spacing w:before="80" w:after="80"/>
              <w:rPr>
                <w:sz w:val="22"/>
                <w:szCs w:val="22"/>
              </w:rPr>
            </w:pPr>
            <w:r w:rsidRPr="00E21AE7">
              <w:rPr>
                <w:sz w:val="22"/>
                <w:szCs w:val="22"/>
              </w:rPr>
              <w:t xml:space="preserve">the operation of the </w:t>
            </w:r>
            <w:r w:rsidR="006D1DF8" w:rsidRPr="00E21AE7">
              <w:rPr>
                <w:sz w:val="22"/>
                <w:szCs w:val="22"/>
              </w:rPr>
              <w:t xml:space="preserve">fishery </w:t>
            </w:r>
            <w:r w:rsidRPr="00E21AE7">
              <w:rPr>
                <w:sz w:val="22"/>
                <w:szCs w:val="22"/>
              </w:rPr>
              <w:t>is unlikely to be unsustainable and threaten biodiversity within the next three</w:t>
            </w:r>
            <w:r w:rsidR="006D1DF8" w:rsidRPr="00E21AE7">
              <w:rPr>
                <w:sz w:val="22"/>
                <w:szCs w:val="22"/>
              </w:rPr>
              <w:t xml:space="preserve"> </w:t>
            </w:r>
            <w:r w:rsidRPr="00E21AE7">
              <w:rPr>
                <w:sz w:val="22"/>
                <w:szCs w:val="22"/>
              </w:rPr>
              <w:t xml:space="preserve">years, and </w:t>
            </w:r>
          </w:p>
          <w:p w14:paraId="7961AF68" w14:textId="77777777" w:rsidR="00BE7BB1" w:rsidRPr="00E21AE7" w:rsidRDefault="001C70CA" w:rsidP="007F171B">
            <w:pPr>
              <w:pStyle w:val="ListBullet"/>
              <w:spacing w:before="80" w:after="120"/>
              <w:ind w:left="357" w:hanging="357"/>
              <w:rPr>
                <w:sz w:val="22"/>
                <w:szCs w:val="22"/>
              </w:rPr>
            </w:pPr>
            <w:r w:rsidRPr="00E21AE7">
              <w:rPr>
                <w:sz w:val="22"/>
                <w:szCs w:val="22"/>
              </w:rPr>
              <w:t>the Environment Protection and Biodiversity Conservation Regulations 2000 do not specify fish as a class of animal in relation to the welfare of live specimens.</w:t>
            </w:r>
          </w:p>
          <w:p w14:paraId="0FEDAD98" w14:textId="63E60CF3" w:rsidR="000E554C" w:rsidRPr="00E21AE7" w:rsidRDefault="000E554C" w:rsidP="007F171B">
            <w:pPr>
              <w:pStyle w:val="ListBullet"/>
              <w:numPr>
                <w:ilvl w:val="0"/>
                <w:numId w:val="0"/>
              </w:numPr>
              <w:spacing w:before="80" w:after="120"/>
              <w:rPr>
                <w:sz w:val="22"/>
                <w:szCs w:val="22"/>
              </w:rPr>
            </w:pPr>
            <w:r w:rsidRPr="00E21AE7">
              <w:rPr>
                <w:sz w:val="22"/>
                <w:szCs w:val="22"/>
              </w:rPr>
              <w:t xml:space="preserve">The </w:t>
            </w:r>
            <w:r w:rsidRPr="00E21AE7">
              <w:rPr>
                <w:sz w:val="22"/>
                <w:szCs w:val="22"/>
                <w:lang w:eastAsia="en-AU"/>
              </w:rPr>
              <w:t xml:space="preserve">Department recommends that </w:t>
            </w:r>
            <w:r w:rsidRPr="00E21AE7">
              <w:rPr>
                <w:b/>
                <w:sz w:val="22"/>
                <w:szCs w:val="22"/>
                <w:lang w:eastAsia="en-AU"/>
              </w:rPr>
              <w:t>conditions 1-</w:t>
            </w:r>
            <w:r w:rsidR="00DB6A39">
              <w:rPr>
                <w:b/>
                <w:sz w:val="22"/>
                <w:szCs w:val="22"/>
                <w:lang w:eastAsia="en-AU"/>
              </w:rPr>
              <w:t>6</w:t>
            </w:r>
            <w:r w:rsidR="00DB6A39" w:rsidRPr="00E21AE7">
              <w:rPr>
                <w:sz w:val="22"/>
                <w:szCs w:val="22"/>
                <w:lang w:eastAsia="en-AU"/>
              </w:rPr>
              <w:t xml:space="preserve"> </w:t>
            </w:r>
            <w:r w:rsidRPr="00E21AE7">
              <w:rPr>
                <w:sz w:val="22"/>
                <w:szCs w:val="22"/>
                <w:lang w:eastAsia="en-AU"/>
              </w:rPr>
              <w:t xml:space="preserve">be applied to </w:t>
            </w:r>
            <w:r w:rsidR="007D043E" w:rsidRPr="00E21AE7">
              <w:rPr>
                <w:sz w:val="22"/>
                <w:szCs w:val="22"/>
                <w:lang w:eastAsia="en-AU"/>
              </w:rPr>
              <w:t xml:space="preserve">the </w:t>
            </w:r>
            <w:r w:rsidRPr="00E21AE7">
              <w:rPr>
                <w:sz w:val="22"/>
                <w:szCs w:val="22"/>
                <w:lang w:eastAsia="en-AU"/>
              </w:rPr>
              <w:t>Part 13A approval to ensure the objectives continue to be met.</w:t>
            </w:r>
          </w:p>
        </w:tc>
      </w:tr>
      <w:tr w:rsidR="000900EC" w:rsidRPr="000900EC" w14:paraId="6FCD3825" w14:textId="77777777" w:rsidTr="00E21AE7">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D9D9D9" w:themeFill="background1" w:themeFillShade="D9"/>
          </w:tcPr>
          <w:p w14:paraId="586D7DE2" w14:textId="77777777" w:rsidR="000900EC" w:rsidRPr="00E21AE7" w:rsidRDefault="000900EC" w:rsidP="007F171B">
            <w:pPr>
              <w:spacing w:before="80" w:after="80" w:line="276" w:lineRule="auto"/>
              <w:ind w:left="426" w:hanging="426"/>
              <w:contextualSpacing/>
              <w:jc w:val="center"/>
              <w:rPr>
                <w:rFonts w:cs="Arial"/>
                <w:b/>
              </w:rPr>
            </w:pPr>
            <w:r w:rsidRPr="00E21AE7">
              <w:rPr>
                <w:rFonts w:cs="Arial"/>
                <w:b/>
              </w:rPr>
              <w:t>Section 303 CG Minister may issue permits (CITES species)</w:t>
            </w:r>
          </w:p>
        </w:tc>
        <w:tc>
          <w:tcPr>
            <w:tcW w:w="3515" w:type="pct"/>
            <w:shd w:val="clear" w:color="auto" w:fill="D9D9D9" w:themeFill="background1" w:themeFillShade="D9"/>
          </w:tcPr>
          <w:p w14:paraId="7B831BC4" w14:textId="77777777" w:rsidR="000900EC" w:rsidRPr="00E21AE7" w:rsidRDefault="000900EC" w:rsidP="007F171B">
            <w:pPr>
              <w:spacing w:before="80" w:after="80" w:line="276" w:lineRule="auto"/>
              <w:contextualSpacing/>
              <w:jc w:val="center"/>
              <w:rPr>
                <w:rFonts w:cs="Arial"/>
                <w:b/>
              </w:rPr>
            </w:pPr>
            <w:r w:rsidRPr="00E21AE7">
              <w:rPr>
                <w:rFonts w:cs="Arial"/>
                <w:b/>
              </w:rPr>
              <w:t>Comment</w:t>
            </w:r>
          </w:p>
        </w:tc>
      </w:tr>
      <w:tr w:rsidR="000900EC" w:rsidRPr="000900EC" w14:paraId="3CB5D2A0" w14:textId="77777777" w:rsidTr="00E21AE7">
        <w:trPr>
          <w:cnfStyle w:val="000000010000" w:firstRow="0" w:lastRow="0" w:firstColumn="0" w:lastColumn="0" w:oddVBand="0" w:evenVBand="0" w:oddHBand="0" w:evenHBand="1" w:firstRowFirstColumn="0" w:firstRowLastColumn="0" w:lastRowFirstColumn="0" w:lastRowLastColumn="0"/>
        </w:trPr>
        <w:tc>
          <w:tcPr>
            <w:tcW w:w="1485" w:type="pct"/>
            <w:tcBorders>
              <w:bottom w:val="single" w:sz="4" w:space="0" w:color="auto"/>
            </w:tcBorders>
          </w:tcPr>
          <w:p w14:paraId="2EEFCCB8" w14:textId="77777777" w:rsidR="000900EC" w:rsidRPr="00E21AE7" w:rsidRDefault="000900EC" w:rsidP="007F171B">
            <w:pPr>
              <w:pStyle w:val="ListNumber"/>
              <w:spacing w:before="80" w:after="80"/>
              <w:rPr>
                <w:sz w:val="22"/>
                <w:szCs w:val="22"/>
              </w:rPr>
            </w:pPr>
            <w:r w:rsidRPr="00E21AE7">
              <w:rPr>
                <w:sz w:val="22"/>
                <w:szCs w:val="22"/>
              </w:rPr>
              <w:t>(3)</w:t>
            </w:r>
            <w:r w:rsidRPr="00E21AE7">
              <w:rPr>
                <w:sz w:val="22"/>
                <w:szCs w:val="22"/>
              </w:rPr>
              <w:tab/>
              <w:t>The Minister must not issue a permit unless the Minister is satisfied that:</w:t>
            </w:r>
          </w:p>
          <w:p w14:paraId="408D6A43" w14:textId="77777777" w:rsidR="000900EC" w:rsidRPr="00E21AE7" w:rsidRDefault="000900EC" w:rsidP="007F171B">
            <w:pPr>
              <w:pStyle w:val="ListNumber2"/>
              <w:spacing w:before="80" w:after="80"/>
              <w:rPr>
                <w:sz w:val="22"/>
                <w:szCs w:val="22"/>
              </w:rPr>
            </w:pPr>
            <w:r w:rsidRPr="00E21AE7">
              <w:rPr>
                <w:sz w:val="22"/>
                <w:szCs w:val="22"/>
              </w:rPr>
              <w:lastRenderedPageBreak/>
              <w:t>(a)</w:t>
            </w:r>
            <w:r w:rsidRPr="00E21AE7">
              <w:rPr>
                <w:sz w:val="22"/>
                <w:szCs w:val="22"/>
              </w:rPr>
              <w:tab/>
              <w:t>the action or actions specified in the permit will not be detrimental to, or contribute to trade which is detrimental to:</w:t>
            </w:r>
          </w:p>
          <w:p w14:paraId="0C3267C1" w14:textId="77777777" w:rsidR="000900EC" w:rsidRPr="00E21AE7" w:rsidRDefault="000900EC" w:rsidP="007F171B">
            <w:pPr>
              <w:pStyle w:val="ListNumber3"/>
              <w:spacing w:before="80" w:after="80" w:line="276" w:lineRule="auto"/>
              <w:rPr>
                <w:sz w:val="22"/>
                <w:szCs w:val="22"/>
              </w:rPr>
            </w:pPr>
            <w:r w:rsidRPr="00E21AE7">
              <w:rPr>
                <w:sz w:val="22"/>
                <w:szCs w:val="22"/>
              </w:rPr>
              <w:t>(</w:t>
            </w:r>
            <w:proofErr w:type="spellStart"/>
            <w:r w:rsidRPr="00E21AE7">
              <w:rPr>
                <w:sz w:val="22"/>
                <w:szCs w:val="22"/>
              </w:rPr>
              <w:t>i</w:t>
            </w:r>
            <w:proofErr w:type="spellEnd"/>
            <w:r w:rsidRPr="00E21AE7">
              <w:rPr>
                <w:sz w:val="22"/>
                <w:szCs w:val="22"/>
              </w:rPr>
              <w:t>)</w:t>
            </w:r>
            <w:r w:rsidRPr="00E21AE7">
              <w:rPr>
                <w:sz w:val="22"/>
                <w:szCs w:val="22"/>
              </w:rPr>
              <w:tab/>
              <w:t>the survival of any taxon to which the specimen belongs; or</w:t>
            </w:r>
          </w:p>
          <w:p w14:paraId="04C321AC" w14:textId="77777777" w:rsidR="000900EC" w:rsidRPr="00E21AE7" w:rsidRDefault="000900EC" w:rsidP="007F171B">
            <w:pPr>
              <w:pStyle w:val="ListNumber3"/>
              <w:spacing w:before="80" w:after="80" w:line="276" w:lineRule="auto"/>
              <w:rPr>
                <w:sz w:val="22"/>
                <w:szCs w:val="22"/>
              </w:rPr>
            </w:pPr>
            <w:r w:rsidRPr="00E21AE7">
              <w:rPr>
                <w:sz w:val="22"/>
                <w:szCs w:val="22"/>
              </w:rPr>
              <w:t>(ii)</w:t>
            </w:r>
            <w:r w:rsidRPr="00E21AE7">
              <w:rPr>
                <w:sz w:val="22"/>
                <w:szCs w:val="22"/>
              </w:rPr>
              <w:tab/>
              <w:t>the recovery in nature of any taxon to which the specimen belongs; or</w:t>
            </w:r>
          </w:p>
          <w:p w14:paraId="4CEF6CB2" w14:textId="77777777" w:rsidR="000900EC" w:rsidRPr="00E21AE7" w:rsidRDefault="000900EC" w:rsidP="007F171B">
            <w:pPr>
              <w:pStyle w:val="ListNumber3"/>
              <w:spacing w:before="80" w:after="80" w:line="276" w:lineRule="auto"/>
              <w:rPr>
                <w:sz w:val="22"/>
                <w:szCs w:val="22"/>
              </w:rPr>
            </w:pPr>
            <w:r w:rsidRPr="00E21AE7">
              <w:rPr>
                <w:sz w:val="22"/>
                <w:szCs w:val="22"/>
              </w:rPr>
              <w:t>(iii)</w:t>
            </w:r>
            <w:r w:rsidRPr="00E21AE7">
              <w:rPr>
                <w:sz w:val="22"/>
                <w:szCs w:val="22"/>
              </w:rPr>
              <w:tab/>
              <w:t>any relevant ecosystem (for example, detriment to habitat or biodiversity); and</w:t>
            </w:r>
          </w:p>
        </w:tc>
        <w:tc>
          <w:tcPr>
            <w:tcW w:w="3515" w:type="pct"/>
            <w:tcBorders>
              <w:bottom w:val="single" w:sz="4" w:space="0" w:color="auto"/>
            </w:tcBorders>
          </w:tcPr>
          <w:p w14:paraId="1829BEC2" w14:textId="77777777" w:rsidR="000900EC" w:rsidRPr="00E21AE7" w:rsidRDefault="000900EC" w:rsidP="007F171B">
            <w:pPr>
              <w:spacing w:before="80" w:after="80" w:line="276" w:lineRule="auto"/>
              <w:contextualSpacing/>
              <w:rPr>
                <w:rFonts w:cs="Arial"/>
                <w:b/>
              </w:rPr>
            </w:pPr>
            <w:r w:rsidRPr="00E21AE7">
              <w:rPr>
                <w:rFonts w:cs="Arial"/>
                <w:b/>
              </w:rPr>
              <w:lastRenderedPageBreak/>
              <w:t>Not applicable.</w:t>
            </w:r>
          </w:p>
          <w:p w14:paraId="1487E701" w14:textId="77777777" w:rsidR="000900EC" w:rsidRPr="00E21AE7" w:rsidRDefault="000900EC" w:rsidP="007F171B">
            <w:pPr>
              <w:spacing w:before="80" w:after="80" w:line="276" w:lineRule="auto"/>
              <w:contextualSpacing/>
              <w:rPr>
                <w:rFonts w:cs="Arial"/>
                <w:b/>
              </w:rPr>
            </w:pPr>
            <w:r w:rsidRPr="00E21AE7">
              <w:rPr>
                <w:rFonts w:cs="Arial"/>
              </w:rPr>
              <w:t>The CTFFF does not harvest any CITES-listed species.</w:t>
            </w:r>
          </w:p>
        </w:tc>
      </w:tr>
      <w:tr w:rsidR="000900EC" w:rsidRPr="000900EC" w14:paraId="3790B11C" w14:textId="77777777" w:rsidTr="000900EC">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D9D9D9" w:themeFill="background1" w:themeFillShade="D9"/>
          </w:tcPr>
          <w:p w14:paraId="265E25FC" w14:textId="77777777" w:rsidR="000900EC" w:rsidRPr="00E21AE7" w:rsidRDefault="000900EC" w:rsidP="007F171B">
            <w:pPr>
              <w:spacing w:before="80" w:after="80" w:line="276" w:lineRule="auto"/>
              <w:ind w:left="426" w:hanging="426"/>
              <w:contextualSpacing/>
              <w:jc w:val="center"/>
              <w:rPr>
                <w:rFonts w:cs="Arial"/>
                <w:b/>
              </w:rPr>
            </w:pPr>
            <w:r w:rsidRPr="00E21AE7">
              <w:rPr>
                <w:rFonts w:cs="Arial"/>
                <w:b/>
              </w:rPr>
              <w:t>Section 303DC Minister may amend list (</w:t>
            </w:r>
            <w:proofErr w:type="gramStart"/>
            <w:r w:rsidRPr="00E21AE7">
              <w:rPr>
                <w:rFonts w:cs="Arial"/>
                <w:b/>
              </w:rPr>
              <w:t>non CITES</w:t>
            </w:r>
            <w:proofErr w:type="gramEnd"/>
            <w:r w:rsidRPr="00E21AE7">
              <w:rPr>
                <w:rFonts w:cs="Arial"/>
                <w:b/>
              </w:rPr>
              <w:t xml:space="preserve"> species)</w:t>
            </w:r>
          </w:p>
        </w:tc>
        <w:tc>
          <w:tcPr>
            <w:tcW w:w="3515" w:type="pct"/>
            <w:shd w:val="clear" w:color="auto" w:fill="D9D9D9" w:themeFill="background1" w:themeFillShade="D9"/>
          </w:tcPr>
          <w:p w14:paraId="04E3F092" w14:textId="77777777" w:rsidR="000900EC" w:rsidRPr="00E21AE7" w:rsidRDefault="000900EC" w:rsidP="007F171B">
            <w:pPr>
              <w:spacing w:before="80" w:after="80" w:line="276" w:lineRule="auto"/>
              <w:contextualSpacing/>
              <w:jc w:val="center"/>
              <w:rPr>
                <w:rFonts w:cs="Arial"/>
                <w:b/>
              </w:rPr>
            </w:pPr>
            <w:r w:rsidRPr="00E21AE7">
              <w:rPr>
                <w:rFonts w:cs="Arial"/>
                <w:b/>
              </w:rPr>
              <w:t>Comment</w:t>
            </w:r>
          </w:p>
        </w:tc>
      </w:tr>
      <w:tr w:rsidR="000900EC" w:rsidRPr="000900EC" w14:paraId="00F4C78E" w14:textId="77777777" w:rsidTr="000900EC">
        <w:trPr>
          <w:cnfStyle w:val="000000010000" w:firstRow="0" w:lastRow="0" w:firstColumn="0" w:lastColumn="0" w:oddVBand="0" w:evenVBand="0" w:oddHBand="0" w:evenHBand="1" w:firstRowFirstColumn="0" w:firstRowLastColumn="0" w:lastRowFirstColumn="0" w:lastRowLastColumn="0"/>
        </w:trPr>
        <w:tc>
          <w:tcPr>
            <w:tcW w:w="1485" w:type="pct"/>
          </w:tcPr>
          <w:p w14:paraId="44E74F1F" w14:textId="77777777" w:rsidR="000900EC" w:rsidRPr="00E21AE7" w:rsidRDefault="000900EC" w:rsidP="007F171B">
            <w:pPr>
              <w:pStyle w:val="ListNumber"/>
              <w:spacing w:before="80" w:after="80"/>
              <w:rPr>
                <w:sz w:val="22"/>
                <w:szCs w:val="22"/>
              </w:rPr>
            </w:pPr>
            <w:r w:rsidRPr="00E21AE7">
              <w:rPr>
                <w:sz w:val="22"/>
                <w:szCs w:val="22"/>
              </w:rPr>
              <w:t>(1)</w:t>
            </w:r>
            <w:r w:rsidRPr="00E21AE7">
              <w:rPr>
                <w:sz w:val="22"/>
                <w:szCs w:val="22"/>
              </w:rPr>
              <w:tab/>
            </w:r>
            <w:r w:rsidRPr="00E21AE7">
              <w:rPr>
                <w:sz w:val="22"/>
                <w:szCs w:val="22"/>
              </w:rPr>
              <w:tab/>
              <w:t>The Minister may, by legislative instrument, amend the list referred to in section 303DB [list of exempt native specimens] by:</w:t>
            </w:r>
          </w:p>
          <w:p w14:paraId="78D32AD4" w14:textId="77777777" w:rsidR="000900EC" w:rsidRPr="00E21AE7" w:rsidRDefault="000900EC" w:rsidP="007F171B">
            <w:pPr>
              <w:pStyle w:val="ListNumber2"/>
              <w:spacing w:before="80" w:after="80"/>
              <w:rPr>
                <w:sz w:val="22"/>
                <w:szCs w:val="22"/>
              </w:rPr>
            </w:pPr>
            <w:r w:rsidRPr="00E21AE7">
              <w:rPr>
                <w:sz w:val="22"/>
                <w:szCs w:val="22"/>
              </w:rPr>
              <w:t>(a)</w:t>
            </w:r>
            <w:r w:rsidRPr="00E21AE7">
              <w:rPr>
                <w:sz w:val="22"/>
                <w:szCs w:val="22"/>
              </w:rPr>
              <w:tab/>
              <w:t>doing any of the following:</w:t>
            </w:r>
          </w:p>
          <w:p w14:paraId="581F0DA9" w14:textId="77777777" w:rsidR="000900EC" w:rsidRPr="00E21AE7" w:rsidRDefault="000900EC" w:rsidP="007F171B">
            <w:pPr>
              <w:pStyle w:val="ListNumber3"/>
              <w:spacing w:before="80" w:after="80" w:line="276" w:lineRule="auto"/>
              <w:rPr>
                <w:sz w:val="22"/>
                <w:szCs w:val="22"/>
              </w:rPr>
            </w:pPr>
            <w:r w:rsidRPr="00E21AE7">
              <w:rPr>
                <w:sz w:val="22"/>
                <w:szCs w:val="22"/>
              </w:rPr>
              <w:t>(</w:t>
            </w:r>
            <w:proofErr w:type="spellStart"/>
            <w:r w:rsidRPr="00E21AE7">
              <w:rPr>
                <w:sz w:val="22"/>
                <w:szCs w:val="22"/>
              </w:rPr>
              <w:t>i</w:t>
            </w:r>
            <w:proofErr w:type="spellEnd"/>
            <w:r w:rsidRPr="00E21AE7">
              <w:rPr>
                <w:sz w:val="22"/>
                <w:szCs w:val="22"/>
              </w:rPr>
              <w:t>)</w:t>
            </w:r>
            <w:r w:rsidRPr="00E21AE7">
              <w:rPr>
                <w:sz w:val="22"/>
                <w:szCs w:val="22"/>
              </w:rPr>
              <w:tab/>
              <w:t xml:space="preserve">including items in the </w:t>
            </w:r>
            <w:proofErr w:type="gramStart"/>
            <w:r w:rsidRPr="00E21AE7">
              <w:rPr>
                <w:sz w:val="22"/>
                <w:szCs w:val="22"/>
              </w:rPr>
              <w:t>list;</w:t>
            </w:r>
            <w:proofErr w:type="gramEnd"/>
          </w:p>
          <w:p w14:paraId="3A5BF5F8" w14:textId="77777777" w:rsidR="000900EC" w:rsidRPr="00E21AE7" w:rsidRDefault="000900EC" w:rsidP="007F171B">
            <w:pPr>
              <w:pStyle w:val="ListNumber3"/>
              <w:spacing w:before="80" w:after="80" w:line="276" w:lineRule="auto"/>
              <w:rPr>
                <w:sz w:val="22"/>
                <w:szCs w:val="22"/>
              </w:rPr>
            </w:pPr>
            <w:r w:rsidRPr="00E21AE7">
              <w:rPr>
                <w:sz w:val="22"/>
                <w:szCs w:val="22"/>
              </w:rPr>
              <w:t>(ii)</w:t>
            </w:r>
            <w:r w:rsidRPr="00E21AE7">
              <w:rPr>
                <w:sz w:val="22"/>
                <w:szCs w:val="22"/>
              </w:rPr>
              <w:tab/>
              <w:t xml:space="preserve">deleting items from the </w:t>
            </w:r>
            <w:proofErr w:type="gramStart"/>
            <w:r w:rsidRPr="00E21AE7">
              <w:rPr>
                <w:sz w:val="22"/>
                <w:szCs w:val="22"/>
              </w:rPr>
              <w:t>list;</w:t>
            </w:r>
            <w:proofErr w:type="gramEnd"/>
          </w:p>
          <w:p w14:paraId="74F8024F" w14:textId="77777777" w:rsidR="000900EC" w:rsidRPr="00E21AE7" w:rsidRDefault="000900EC" w:rsidP="007F171B">
            <w:pPr>
              <w:pStyle w:val="ListNumber3"/>
              <w:spacing w:before="80" w:after="80" w:line="276" w:lineRule="auto"/>
              <w:rPr>
                <w:sz w:val="22"/>
                <w:szCs w:val="22"/>
              </w:rPr>
            </w:pPr>
            <w:r w:rsidRPr="00E21AE7">
              <w:rPr>
                <w:sz w:val="22"/>
                <w:szCs w:val="22"/>
              </w:rPr>
              <w:t>(iii)</w:t>
            </w:r>
            <w:r w:rsidRPr="00E21AE7">
              <w:rPr>
                <w:sz w:val="22"/>
                <w:szCs w:val="22"/>
              </w:rPr>
              <w:tab/>
              <w:t xml:space="preserve">imposing a condition or restriction to which the inclusion of a specimen in the list is </w:t>
            </w:r>
            <w:proofErr w:type="gramStart"/>
            <w:r w:rsidRPr="00E21AE7">
              <w:rPr>
                <w:sz w:val="22"/>
                <w:szCs w:val="22"/>
              </w:rPr>
              <w:t>subject;</w:t>
            </w:r>
            <w:proofErr w:type="gramEnd"/>
          </w:p>
          <w:p w14:paraId="697D7B05" w14:textId="77777777" w:rsidR="000900EC" w:rsidRPr="00E21AE7" w:rsidRDefault="000900EC" w:rsidP="007F171B">
            <w:pPr>
              <w:pStyle w:val="ListNumber3"/>
              <w:spacing w:before="80" w:after="80" w:line="276" w:lineRule="auto"/>
              <w:rPr>
                <w:sz w:val="22"/>
                <w:szCs w:val="22"/>
              </w:rPr>
            </w:pPr>
            <w:r w:rsidRPr="00E21AE7">
              <w:rPr>
                <w:sz w:val="22"/>
                <w:szCs w:val="22"/>
              </w:rPr>
              <w:t>(iv)</w:t>
            </w:r>
            <w:r w:rsidRPr="00E21AE7">
              <w:rPr>
                <w:sz w:val="22"/>
                <w:szCs w:val="22"/>
              </w:rPr>
              <w:tab/>
              <w:t>varying or revoking a condition or restriction to which the inclusion of a specimen in the list is subject; or</w:t>
            </w:r>
          </w:p>
          <w:p w14:paraId="0DE5656E" w14:textId="77777777" w:rsidR="000900EC" w:rsidRPr="00E21AE7" w:rsidRDefault="000900EC" w:rsidP="007F171B">
            <w:pPr>
              <w:pStyle w:val="ListNumber2"/>
              <w:spacing w:before="80" w:after="80"/>
              <w:rPr>
                <w:sz w:val="22"/>
                <w:szCs w:val="22"/>
              </w:rPr>
            </w:pPr>
            <w:r w:rsidRPr="00E21AE7">
              <w:rPr>
                <w:sz w:val="22"/>
                <w:szCs w:val="22"/>
              </w:rPr>
              <w:t>(b)</w:t>
            </w:r>
            <w:r w:rsidRPr="00E21AE7">
              <w:rPr>
                <w:sz w:val="22"/>
                <w:szCs w:val="22"/>
              </w:rPr>
              <w:tab/>
              <w:t>correcting an inaccuracy or updating the name of a species.</w:t>
            </w:r>
          </w:p>
        </w:tc>
        <w:tc>
          <w:tcPr>
            <w:tcW w:w="3515" w:type="pct"/>
          </w:tcPr>
          <w:p w14:paraId="3470F50B" w14:textId="77777777" w:rsidR="000900EC" w:rsidRPr="00E21AE7" w:rsidRDefault="000900EC" w:rsidP="007F171B">
            <w:pPr>
              <w:pStyle w:val="Default"/>
              <w:spacing w:before="80" w:after="80" w:line="276" w:lineRule="auto"/>
              <w:contextualSpacing/>
              <w:rPr>
                <w:rFonts w:ascii="Arial" w:hAnsi="Arial" w:cs="Arial"/>
                <w:color w:val="auto"/>
                <w:sz w:val="22"/>
                <w:szCs w:val="22"/>
              </w:rPr>
            </w:pPr>
            <w:r w:rsidRPr="00E21AE7">
              <w:rPr>
                <w:rFonts w:ascii="Arial" w:hAnsi="Arial" w:cs="Arial"/>
                <w:color w:val="auto"/>
                <w:sz w:val="22"/>
                <w:szCs w:val="22"/>
              </w:rPr>
              <w:t xml:space="preserve">The Department recommends that specimens </w:t>
            </w:r>
            <w:r w:rsidRPr="00915887">
              <w:rPr>
                <w:rFonts w:ascii="Arial" w:hAnsi="Arial" w:cs="Arial"/>
                <w:color w:val="auto"/>
                <w:sz w:val="22"/>
                <w:szCs w:val="22"/>
              </w:rPr>
              <w:t>that are, or are derived from, fish or invertebrates</w:t>
            </w:r>
            <w:r w:rsidRPr="00E21AE7">
              <w:rPr>
                <w:rFonts w:ascii="Arial" w:hAnsi="Arial" w:cs="Arial"/>
                <w:color w:val="auto"/>
                <w:sz w:val="22"/>
                <w:szCs w:val="22"/>
              </w:rPr>
              <w:t xml:space="preserve"> harvested in the Queensland CTFFF, </w:t>
            </w:r>
            <w:r w:rsidRPr="00915887">
              <w:rPr>
                <w:rFonts w:ascii="Arial" w:hAnsi="Arial" w:cs="Arial"/>
                <w:color w:val="auto"/>
                <w:sz w:val="22"/>
                <w:szCs w:val="22"/>
              </w:rPr>
              <w:t xml:space="preserve">as defined in the </w:t>
            </w:r>
            <w:r w:rsidRPr="00E21AE7">
              <w:rPr>
                <w:rFonts w:ascii="Arial" w:hAnsi="Arial" w:cs="Arial"/>
                <w:color w:val="auto"/>
                <w:sz w:val="22"/>
                <w:szCs w:val="22"/>
              </w:rPr>
              <w:t xml:space="preserve">management regime in force under the Queensland </w:t>
            </w:r>
            <w:r w:rsidRPr="00915887">
              <w:rPr>
                <w:rFonts w:ascii="Arial" w:hAnsi="Arial" w:cs="Arial"/>
                <w:color w:val="auto"/>
                <w:sz w:val="22"/>
                <w:szCs w:val="22"/>
              </w:rPr>
              <w:t>Fisheries Act 1994</w:t>
            </w:r>
            <w:r w:rsidRPr="00E21AE7">
              <w:rPr>
                <w:rFonts w:ascii="Arial" w:hAnsi="Arial" w:cs="Arial"/>
                <w:color w:val="auto"/>
                <w:sz w:val="22"/>
                <w:szCs w:val="22"/>
              </w:rPr>
              <w:t xml:space="preserve">, Fisheries (General) Regulation 2019, Fisheries (Commercial Fisheries) Regulation 2019, Fisheries Declaration 2019, and the Fisheries Quota Declaration 2019, </w:t>
            </w:r>
            <w:r w:rsidRPr="00915887">
              <w:rPr>
                <w:rFonts w:ascii="Arial" w:hAnsi="Arial" w:cs="Arial"/>
                <w:color w:val="auto"/>
                <w:sz w:val="22"/>
                <w:szCs w:val="22"/>
              </w:rPr>
              <w:t>but not including:</w:t>
            </w:r>
          </w:p>
          <w:p w14:paraId="6C7576CB" w14:textId="3E6309EE" w:rsidR="000900EC" w:rsidRPr="00E21AE7" w:rsidRDefault="00915887" w:rsidP="007F171B">
            <w:pPr>
              <w:pStyle w:val="ListBullet2"/>
              <w:spacing w:before="80" w:after="80"/>
              <w:rPr>
                <w:rFonts w:cs="Arial"/>
                <w:sz w:val="22"/>
              </w:rPr>
            </w:pPr>
            <w:r>
              <w:rPr>
                <w:rFonts w:cs="Arial"/>
                <w:sz w:val="22"/>
              </w:rPr>
              <w:t>s</w:t>
            </w:r>
            <w:r w:rsidR="000900EC" w:rsidRPr="00E21AE7">
              <w:rPr>
                <w:rFonts w:cs="Arial"/>
                <w:sz w:val="22"/>
              </w:rPr>
              <w:t xml:space="preserve">pecimens that belong to taxa listed under section 209 of the EPBC Act (Australia’s list of </w:t>
            </w:r>
            <w:r>
              <w:rPr>
                <w:rFonts w:cs="Arial"/>
                <w:sz w:val="22"/>
              </w:rPr>
              <w:t>m</w:t>
            </w:r>
            <w:r w:rsidR="000900EC" w:rsidRPr="00E21AE7">
              <w:rPr>
                <w:rFonts w:cs="Arial"/>
                <w:sz w:val="22"/>
              </w:rPr>
              <w:t xml:space="preserve">igratory </w:t>
            </w:r>
            <w:r>
              <w:rPr>
                <w:rFonts w:cs="Arial"/>
                <w:sz w:val="22"/>
              </w:rPr>
              <w:t>s</w:t>
            </w:r>
            <w:r w:rsidR="000900EC" w:rsidRPr="00E21AE7">
              <w:rPr>
                <w:rFonts w:cs="Arial"/>
                <w:sz w:val="22"/>
              </w:rPr>
              <w:t>pecies), or</w:t>
            </w:r>
          </w:p>
          <w:p w14:paraId="715B34BE" w14:textId="59994A08" w:rsidR="000900EC" w:rsidRPr="00E21AE7" w:rsidRDefault="00915887" w:rsidP="007F171B">
            <w:pPr>
              <w:pStyle w:val="ListBullet2"/>
              <w:spacing w:before="80" w:after="80"/>
              <w:rPr>
                <w:rFonts w:cs="Arial"/>
                <w:sz w:val="22"/>
              </w:rPr>
            </w:pPr>
            <w:r>
              <w:rPr>
                <w:rFonts w:cs="Arial"/>
                <w:sz w:val="22"/>
              </w:rPr>
              <w:t>s</w:t>
            </w:r>
            <w:r w:rsidR="000900EC" w:rsidRPr="00E21AE7">
              <w:rPr>
                <w:rFonts w:cs="Arial"/>
                <w:sz w:val="22"/>
              </w:rPr>
              <w:t xml:space="preserve">pecimens that belong to taxa listed under section 248 of the EPBC Act (Australia’s list of </w:t>
            </w:r>
            <w:r>
              <w:rPr>
                <w:rFonts w:cs="Arial"/>
                <w:sz w:val="22"/>
              </w:rPr>
              <w:t>m</w:t>
            </w:r>
            <w:r w:rsidR="000900EC" w:rsidRPr="00E21AE7">
              <w:rPr>
                <w:rFonts w:cs="Arial"/>
                <w:sz w:val="22"/>
              </w:rPr>
              <w:t xml:space="preserve">arine </w:t>
            </w:r>
            <w:r>
              <w:rPr>
                <w:rFonts w:cs="Arial"/>
                <w:sz w:val="22"/>
              </w:rPr>
              <w:t>s</w:t>
            </w:r>
            <w:r w:rsidR="000900EC" w:rsidRPr="00E21AE7">
              <w:rPr>
                <w:rFonts w:cs="Arial"/>
                <w:sz w:val="22"/>
              </w:rPr>
              <w:t>pecies), or</w:t>
            </w:r>
          </w:p>
          <w:p w14:paraId="5303458C" w14:textId="1FEA05FD" w:rsidR="000900EC" w:rsidRPr="00E21AE7" w:rsidRDefault="00915887" w:rsidP="007F171B">
            <w:pPr>
              <w:pStyle w:val="ListBullet2"/>
              <w:spacing w:before="80" w:after="80"/>
              <w:rPr>
                <w:rFonts w:cs="Arial"/>
                <w:sz w:val="22"/>
              </w:rPr>
            </w:pPr>
            <w:r>
              <w:rPr>
                <w:rFonts w:cs="Arial"/>
                <w:sz w:val="22"/>
              </w:rPr>
              <w:t>s</w:t>
            </w:r>
            <w:r w:rsidR="000900EC" w:rsidRPr="00E21AE7">
              <w:rPr>
                <w:rFonts w:cs="Arial"/>
                <w:sz w:val="22"/>
              </w:rPr>
              <w:t>pecimens that belong to eligible listed threatened species, as defined under section 303BC of the EPBC Act, or</w:t>
            </w:r>
          </w:p>
          <w:p w14:paraId="59E10B4C" w14:textId="1212DCEC" w:rsidR="00915887" w:rsidRDefault="00915887" w:rsidP="00915887">
            <w:pPr>
              <w:pStyle w:val="ListBullet2"/>
              <w:spacing w:before="80" w:after="120"/>
              <w:rPr>
                <w:rFonts w:cs="Arial"/>
                <w:sz w:val="22"/>
              </w:rPr>
            </w:pPr>
            <w:r>
              <w:rPr>
                <w:rFonts w:cs="Arial"/>
                <w:sz w:val="22"/>
              </w:rPr>
              <w:t>s</w:t>
            </w:r>
            <w:r w:rsidR="000900EC" w:rsidRPr="00E21AE7">
              <w:rPr>
                <w:rFonts w:cs="Arial"/>
                <w:sz w:val="22"/>
              </w:rPr>
              <w:t>pecimens that belong to taxa listed under section 303CA of the EPBC Act (Australia’s CITES List)</w:t>
            </w:r>
          </w:p>
          <w:p w14:paraId="10AABBD6" w14:textId="394411BF" w:rsidR="000900EC" w:rsidRPr="00E21AE7" w:rsidRDefault="00915887" w:rsidP="00915887">
            <w:pPr>
              <w:pStyle w:val="ListBullet2"/>
              <w:numPr>
                <w:ilvl w:val="0"/>
                <w:numId w:val="0"/>
              </w:numPr>
              <w:spacing w:before="80" w:after="120"/>
              <w:rPr>
                <w:rFonts w:cs="Arial"/>
                <w:sz w:val="22"/>
              </w:rPr>
            </w:pPr>
            <w:r>
              <w:rPr>
                <w:rFonts w:cs="Arial"/>
                <w:sz w:val="22"/>
              </w:rPr>
              <w:t>b</w:t>
            </w:r>
            <w:r w:rsidR="000900EC" w:rsidRPr="00E21AE7">
              <w:rPr>
                <w:rFonts w:cs="Arial"/>
                <w:sz w:val="22"/>
              </w:rPr>
              <w:t xml:space="preserve">e included in the list of exempt native specimens while the CTFFF is subject </w:t>
            </w:r>
            <w:r w:rsidR="000900EC" w:rsidRPr="00915887">
              <w:rPr>
                <w:rFonts w:cs="Arial"/>
                <w:sz w:val="22"/>
              </w:rPr>
              <w:t>to a declaration as an approved wildlife trade operation</w:t>
            </w:r>
            <w:r w:rsidR="000900EC" w:rsidRPr="00E21AE7">
              <w:rPr>
                <w:rFonts w:cs="Arial"/>
                <w:sz w:val="22"/>
              </w:rPr>
              <w:t>.</w:t>
            </w:r>
          </w:p>
        </w:tc>
      </w:tr>
      <w:tr w:rsidR="000900EC" w:rsidRPr="000900EC" w14:paraId="6F6ED1E7" w14:textId="77777777" w:rsidTr="000900EC">
        <w:trPr>
          <w:cnfStyle w:val="000000100000" w:firstRow="0" w:lastRow="0" w:firstColumn="0" w:lastColumn="0" w:oddVBand="0" w:evenVBand="0" w:oddHBand="1" w:evenHBand="0" w:firstRowFirstColumn="0" w:firstRowLastColumn="0" w:lastRowFirstColumn="0" w:lastRowLastColumn="0"/>
        </w:trPr>
        <w:tc>
          <w:tcPr>
            <w:tcW w:w="1485" w:type="pct"/>
          </w:tcPr>
          <w:p w14:paraId="499838A6" w14:textId="77777777" w:rsidR="000900EC" w:rsidRPr="00E21AE7" w:rsidRDefault="000900EC" w:rsidP="007F171B">
            <w:pPr>
              <w:pStyle w:val="ListNumber"/>
              <w:spacing w:before="80" w:after="80"/>
              <w:rPr>
                <w:sz w:val="22"/>
                <w:szCs w:val="22"/>
              </w:rPr>
            </w:pPr>
            <w:r w:rsidRPr="00E21AE7">
              <w:rPr>
                <w:sz w:val="22"/>
                <w:szCs w:val="22"/>
              </w:rPr>
              <w:lastRenderedPageBreak/>
              <w:t>(1A)</w:t>
            </w:r>
            <w:r w:rsidRPr="00E21AE7">
              <w:rPr>
                <w:sz w:val="22"/>
                <w:szCs w:val="22"/>
              </w:rPr>
              <w:tab/>
              <w:t>In deciding to amend the LENS, the Minister must rely primarily on outcomes of any assessment under Part 10, Divisions 1 or 2.</w:t>
            </w:r>
          </w:p>
        </w:tc>
        <w:tc>
          <w:tcPr>
            <w:tcW w:w="3515" w:type="pct"/>
          </w:tcPr>
          <w:p w14:paraId="6FC21CA2" w14:textId="77777777" w:rsidR="000900EC" w:rsidRPr="00E21AE7" w:rsidRDefault="000900EC" w:rsidP="007F171B">
            <w:pPr>
              <w:spacing w:before="80" w:after="80" w:line="276" w:lineRule="auto"/>
              <w:contextualSpacing/>
              <w:rPr>
                <w:rFonts w:cs="Arial"/>
              </w:rPr>
            </w:pPr>
            <w:r w:rsidRPr="00E21AE7">
              <w:rPr>
                <w:rFonts w:cs="Arial"/>
                <w:b/>
              </w:rPr>
              <w:t xml:space="preserve">Not applicable </w:t>
            </w:r>
          </w:p>
          <w:p w14:paraId="04D1607A" w14:textId="57BD845F" w:rsidR="000900EC" w:rsidRPr="00E21AE7" w:rsidRDefault="000900EC" w:rsidP="007F171B">
            <w:pPr>
              <w:spacing w:before="80" w:after="80" w:line="276" w:lineRule="auto"/>
              <w:contextualSpacing/>
              <w:rPr>
                <w:rFonts w:cs="Arial"/>
              </w:rPr>
            </w:pPr>
            <w:r w:rsidRPr="00E21AE7">
              <w:rPr>
                <w:rFonts w:cs="Arial"/>
              </w:rPr>
              <w:t>There has been no request or agreement to assess the fishery under Part 10 Division 1, and the fishery is not managed by the Commonwealth, so Part 10</w:t>
            </w:r>
            <w:r w:rsidR="00282EA0">
              <w:rPr>
                <w:rFonts w:cs="Arial"/>
              </w:rPr>
              <w:t>,</w:t>
            </w:r>
            <w:r w:rsidRPr="00E21AE7">
              <w:rPr>
                <w:rFonts w:cs="Arial"/>
              </w:rPr>
              <w:t xml:space="preserve"> Division 2 does not apply. </w:t>
            </w:r>
          </w:p>
        </w:tc>
      </w:tr>
      <w:tr w:rsidR="000900EC" w:rsidRPr="000900EC" w14:paraId="25629B52" w14:textId="77777777" w:rsidTr="00A5177C">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92D050"/>
          </w:tcPr>
          <w:p w14:paraId="097783DB" w14:textId="77777777" w:rsidR="000900EC" w:rsidRPr="00E21AE7" w:rsidRDefault="000900EC" w:rsidP="007F171B">
            <w:pPr>
              <w:pStyle w:val="ListNumber"/>
              <w:spacing w:before="80" w:after="80"/>
              <w:rPr>
                <w:sz w:val="22"/>
                <w:szCs w:val="22"/>
              </w:rPr>
            </w:pPr>
            <w:r w:rsidRPr="00E21AE7">
              <w:rPr>
                <w:sz w:val="22"/>
                <w:szCs w:val="22"/>
              </w:rPr>
              <w:t>(1C)</w:t>
            </w:r>
            <w:r w:rsidRPr="00E21AE7">
              <w:rPr>
                <w:sz w:val="22"/>
                <w:szCs w:val="22"/>
              </w:rPr>
              <w:tab/>
              <w:t>The above does not limit matters that may be considered when deciding to amend the LENS.</w:t>
            </w:r>
          </w:p>
        </w:tc>
        <w:tc>
          <w:tcPr>
            <w:tcW w:w="3515" w:type="pct"/>
          </w:tcPr>
          <w:p w14:paraId="490A22A1" w14:textId="77777777" w:rsidR="000900EC" w:rsidRPr="00E21AE7" w:rsidRDefault="000900EC" w:rsidP="007F171B">
            <w:pPr>
              <w:spacing w:before="80" w:after="80" w:line="276" w:lineRule="auto"/>
              <w:contextualSpacing/>
              <w:rPr>
                <w:rFonts w:cs="Arial"/>
                <w:b/>
              </w:rPr>
            </w:pPr>
            <w:r w:rsidRPr="00E21AE7">
              <w:rPr>
                <w:rFonts w:cs="Arial"/>
                <w:b/>
              </w:rPr>
              <w:t>Meets</w:t>
            </w:r>
          </w:p>
          <w:p w14:paraId="24DF4B90" w14:textId="71EEEAF7" w:rsidR="000900EC" w:rsidRPr="00E21AE7" w:rsidRDefault="000900EC" w:rsidP="007F171B">
            <w:pPr>
              <w:spacing w:before="80" w:after="80" w:line="276" w:lineRule="auto"/>
              <w:contextualSpacing/>
              <w:rPr>
                <w:rFonts w:cs="Arial"/>
              </w:rPr>
            </w:pPr>
            <w:r w:rsidRPr="00E21AE7">
              <w:rPr>
                <w:rFonts w:cs="Arial"/>
              </w:rPr>
              <w:t>Although there is no strategic assessment under Part 10 of the EPBC Act, the Department</w:t>
            </w:r>
            <w:r w:rsidR="00196596">
              <w:rPr>
                <w:rFonts w:cs="Arial"/>
              </w:rPr>
              <w:t>’s</w:t>
            </w:r>
            <w:r w:rsidRPr="00E21AE7">
              <w:rPr>
                <w:rFonts w:cs="Arial"/>
              </w:rPr>
              <w:t xml:space="preserve"> assessment has </w:t>
            </w:r>
            <w:r w:rsidR="001D4526" w:rsidRPr="00E21AE7">
              <w:rPr>
                <w:rFonts w:cs="Arial"/>
              </w:rPr>
              <w:t>considered</w:t>
            </w:r>
            <w:r w:rsidRPr="00E21AE7">
              <w:rPr>
                <w:rFonts w:cs="Arial"/>
              </w:rPr>
              <w:t xml:space="preserve"> all matters relevant to making an informed decision to amend the list of exempt native specimens to include product taken in this fishery.</w:t>
            </w:r>
          </w:p>
        </w:tc>
      </w:tr>
      <w:tr w:rsidR="000900EC" w:rsidRPr="000900EC" w14:paraId="38118D98" w14:textId="77777777" w:rsidTr="00A5177C">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92D050"/>
          </w:tcPr>
          <w:p w14:paraId="52ED619E" w14:textId="77777777" w:rsidR="000900EC" w:rsidRPr="00E21AE7" w:rsidRDefault="000900EC" w:rsidP="007F171B">
            <w:pPr>
              <w:pStyle w:val="ListNumber"/>
              <w:spacing w:before="80" w:after="80"/>
              <w:rPr>
                <w:sz w:val="22"/>
                <w:szCs w:val="22"/>
              </w:rPr>
            </w:pPr>
            <w:r w:rsidRPr="00E21AE7">
              <w:rPr>
                <w:sz w:val="22"/>
                <w:szCs w:val="22"/>
              </w:rPr>
              <w:t>(3)</w:t>
            </w:r>
            <w:r w:rsidRPr="00E21AE7">
              <w:rPr>
                <w:sz w:val="22"/>
                <w:szCs w:val="22"/>
              </w:rPr>
              <w:tab/>
              <w:t>Before amending the LENS, the Minister must consult:</w:t>
            </w:r>
          </w:p>
          <w:p w14:paraId="77C6D984" w14:textId="77777777" w:rsidR="000900EC" w:rsidRPr="00E21AE7" w:rsidRDefault="000900EC" w:rsidP="007F171B">
            <w:pPr>
              <w:pStyle w:val="ListNumber2"/>
              <w:spacing w:before="80" w:after="80"/>
              <w:rPr>
                <w:sz w:val="22"/>
                <w:szCs w:val="22"/>
              </w:rPr>
            </w:pPr>
            <w:r w:rsidRPr="00E21AE7">
              <w:rPr>
                <w:sz w:val="22"/>
                <w:szCs w:val="22"/>
              </w:rPr>
              <w:t>(a)</w:t>
            </w:r>
            <w:r w:rsidRPr="00E21AE7">
              <w:rPr>
                <w:sz w:val="22"/>
                <w:szCs w:val="22"/>
              </w:rPr>
              <w:tab/>
              <w:t>other Minister or Ministers as appropriate; and</w:t>
            </w:r>
          </w:p>
          <w:p w14:paraId="2293851B" w14:textId="77777777" w:rsidR="000900EC" w:rsidRPr="00E21AE7" w:rsidRDefault="000900EC" w:rsidP="007F171B">
            <w:pPr>
              <w:pStyle w:val="ListNumber2"/>
              <w:spacing w:before="80" w:after="80"/>
              <w:rPr>
                <w:sz w:val="22"/>
                <w:szCs w:val="22"/>
              </w:rPr>
            </w:pPr>
            <w:r w:rsidRPr="00E21AE7">
              <w:rPr>
                <w:sz w:val="22"/>
                <w:szCs w:val="22"/>
              </w:rPr>
              <w:t>(b)</w:t>
            </w:r>
            <w:r w:rsidRPr="00E21AE7">
              <w:rPr>
                <w:sz w:val="22"/>
                <w:szCs w:val="22"/>
              </w:rPr>
              <w:tab/>
              <w:t>other Minister or Ministers of each State and self-governing Territory as appropriate; and</w:t>
            </w:r>
          </w:p>
          <w:p w14:paraId="106622DF" w14:textId="77777777" w:rsidR="000900EC" w:rsidRPr="00E21AE7" w:rsidRDefault="000900EC" w:rsidP="007F171B">
            <w:pPr>
              <w:pStyle w:val="ListNumber2"/>
              <w:spacing w:before="80" w:after="80"/>
              <w:rPr>
                <w:sz w:val="22"/>
                <w:szCs w:val="22"/>
              </w:rPr>
            </w:pPr>
            <w:r w:rsidRPr="00E21AE7">
              <w:rPr>
                <w:sz w:val="22"/>
                <w:szCs w:val="22"/>
              </w:rPr>
              <w:t>(c)</w:t>
            </w:r>
            <w:r w:rsidRPr="00E21AE7">
              <w:rPr>
                <w:sz w:val="22"/>
                <w:szCs w:val="22"/>
              </w:rPr>
              <w:tab/>
              <w:t>other persons and organisations as appropriate.</w:t>
            </w:r>
          </w:p>
        </w:tc>
        <w:tc>
          <w:tcPr>
            <w:tcW w:w="3515" w:type="pct"/>
          </w:tcPr>
          <w:p w14:paraId="3954721F" w14:textId="77777777" w:rsidR="000900EC" w:rsidRPr="00E21AE7" w:rsidRDefault="000900EC" w:rsidP="007F171B">
            <w:pPr>
              <w:spacing w:before="80" w:after="80" w:line="276" w:lineRule="auto"/>
              <w:contextualSpacing/>
              <w:rPr>
                <w:rFonts w:cs="Arial"/>
                <w:b/>
              </w:rPr>
            </w:pPr>
            <w:r w:rsidRPr="00E21AE7">
              <w:rPr>
                <w:rFonts w:cs="Arial"/>
                <w:b/>
              </w:rPr>
              <w:t>Meets</w:t>
            </w:r>
          </w:p>
          <w:p w14:paraId="77AAD012" w14:textId="77777777" w:rsidR="000900EC" w:rsidRPr="00E21AE7" w:rsidRDefault="000900EC" w:rsidP="007F171B">
            <w:pPr>
              <w:spacing w:before="80" w:after="80" w:line="276" w:lineRule="auto"/>
              <w:contextualSpacing/>
              <w:rPr>
                <w:rFonts w:cs="Arial"/>
              </w:rPr>
            </w:pPr>
            <w:r w:rsidRPr="00E21AE7">
              <w:rPr>
                <w:rFonts w:cs="Arial"/>
              </w:rPr>
              <w:t xml:space="preserve">The submission from QDAF was made available on the Department’s website from 20 December 2019 to 31 January 2020. </w:t>
            </w:r>
          </w:p>
          <w:p w14:paraId="6EFD474F" w14:textId="77777777" w:rsidR="000900EC" w:rsidRPr="00E21AE7" w:rsidRDefault="000900EC" w:rsidP="007F171B">
            <w:pPr>
              <w:spacing w:before="80" w:after="80" w:line="276" w:lineRule="auto"/>
              <w:contextualSpacing/>
              <w:rPr>
                <w:rFonts w:cs="Arial"/>
              </w:rPr>
            </w:pPr>
            <w:r w:rsidRPr="00E21AE7">
              <w:rPr>
                <w:rFonts w:cs="Arial"/>
              </w:rPr>
              <w:t>Two public submissions were received which raised concerns regarding:</w:t>
            </w:r>
          </w:p>
          <w:p w14:paraId="05A59CCF" w14:textId="77777777" w:rsidR="000900EC" w:rsidRPr="00E21AE7" w:rsidRDefault="000900EC" w:rsidP="007F171B">
            <w:pPr>
              <w:numPr>
                <w:ilvl w:val="0"/>
                <w:numId w:val="14"/>
              </w:numPr>
              <w:spacing w:before="80" w:after="80" w:line="276" w:lineRule="auto"/>
              <w:contextualSpacing/>
              <w:rPr>
                <w:rFonts w:cs="Arial"/>
              </w:rPr>
            </w:pPr>
            <w:r w:rsidRPr="00E21AE7">
              <w:rPr>
                <w:rFonts w:cs="Arial"/>
              </w:rPr>
              <w:t xml:space="preserve">Potential impacts of the fishery on the adjacent Coral Sea Marine Park, it’s habitats, </w:t>
            </w:r>
            <w:proofErr w:type="gramStart"/>
            <w:r w:rsidRPr="00E21AE7">
              <w:rPr>
                <w:rFonts w:cs="Arial"/>
              </w:rPr>
              <w:t>species</w:t>
            </w:r>
            <w:proofErr w:type="gramEnd"/>
            <w:r w:rsidRPr="00E21AE7">
              <w:rPr>
                <w:rFonts w:cs="Arial"/>
              </w:rPr>
              <w:t xml:space="preserve"> and ecology.</w:t>
            </w:r>
          </w:p>
          <w:p w14:paraId="3D7D7576" w14:textId="77777777" w:rsidR="000900EC" w:rsidRPr="00E21AE7" w:rsidRDefault="000900EC" w:rsidP="007F171B">
            <w:pPr>
              <w:numPr>
                <w:ilvl w:val="0"/>
                <w:numId w:val="14"/>
              </w:numPr>
              <w:spacing w:before="80" w:after="80" w:line="276" w:lineRule="auto"/>
              <w:contextualSpacing/>
              <w:rPr>
                <w:rFonts w:cs="Arial"/>
              </w:rPr>
            </w:pPr>
            <w:r w:rsidRPr="00E21AE7">
              <w:rPr>
                <w:rFonts w:cs="Arial"/>
              </w:rPr>
              <w:t>The extent that ecological risks had been assessed given the limited bycatch data available, the extent of bycatch reporting and measures to minimise the potential impacts of the fishery on migratory and transitory species in the Coral Sea Marine Park.</w:t>
            </w:r>
          </w:p>
          <w:p w14:paraId="110FF58E" w14:textId="77777777" w:rsidR="000900EC" w:rsidRPr="00E21AE7" w:rsidRDefault="000900EC" w:rsidP="007F171B">
            <w:pPr>
              <w:numPr>
                <w:ilvl w:val="0"/>
                <w:numId w:val="14"/>
              </w:numPr>
              <w:spacing w:before="80" w:after="80" w:line="276" w:lineRule="auto"/>
              <w:contextualSpacing/>
              <w:rPr>
                <w:rFonts w:cs="Arial"/>
              </w:rPr>
            </w:pPr>
            <w:r w:rsidRPr="00E21AE7">
              <w:rPr>
                <w:rFonts w:cs="Arial"/>
              </w:rPr>
              <w:t xml:space="preserve">Potential risks to larger-bodied protected species, associated with fishing with Danish Seine gear, given there is no requirement for Turtle Excluder Devices to be used with that gear. </w:t>
            </w:r>
          </w:p>
          <w:p w14:paraId="2C4BF937" w14:textId="77777777" w:rsidR="000900EC" w:rsidRPr="00E21AE7" w:rsidRDefault="000900EC" w:rsidP="007F171B">
            <w:pPr>
              <w:numPr>
                <w:ilvl w:val="0"/>
                <w:numId w:val="14"/>
              </w:numPr>
              <w:spacing w:before="80" w:after="80" w:line="276" w:lineRule="auto"/>
              <w:contextualSpacing/>
              <w:rPr>
                <w:rFonts w:cs="Arial"/>
              </w:rPr>
            </w:pPr>
            <w:r w:rsidRPr="00E21AE7">
              <w:rPr>
                <w:rFonts w:cs="Arial"/>
              </w:rPr>
              <w:t>Potential competition and cumulative impacts associated with commercial and non-commercial fishing sectors, particularly as the fishery extends into shallower, inshore waters under trial arrangements.</w:t>
            </w:r>
          </w:p>
          <w:p w14:paraId="79A48865" w14:textId="6A138DC1" w:rsidR="000900EC" w:rsidRPr="00E21AE7" w:rsidRDefault="000900EC" w:rsidP="007F171B">
            <w:pPr>
              <w:spacing w:before="80" w:after="80" w:line="276" w:lineRule="auto"/>
              <w:contextualSpacing/>
              <w:rPr>
                <w:rFonts w:cs="Arial"/>
              </w:rPr>
            </w:pPr>
            <w:r w:rsidRPr="00E21AE7">
              <w:rPr>
                <w:rFonts w:cs="Arial"/>
              </w:rPr>
              <w:t xml:space="preserve">These matters have been considered throughout the assessment and either been addressed by QDAF already (e.g. via the ERA process) or are proposed to be addressed via conditions on Part 13 and 13A approvals (refer to Section </w:t>
            </w:r>
            <w:r w:rsidR="008A76BB">
              <w:rPr>
                <w:rFonts w:cs="Arial"/>
              </w:rPr>
              <w:t>2</w:t>
            </w:r>
            <w:r w:rsidR="008A76BB" w:rsidRPr="00E21AE7">
              <w:rPr>
                <w:rFonts w:cs="Arial"/>
              </w:rPr>
              <w:t xml:space="preserve"> </w:t>
            </w:r>
            <w:r w:rsidRPr="00E21AE7">
              <w:rPr>
                <w:rFonts w:cs="Arial"/>
              </w:rPr>
              <w:t>for a full list of proposed conditions).</w:t>
            </w:r>
          </w:p>
        </w:tc>
      </w:tr>
      <w:tr w:rsidR="000900EC" w:rsidRPr="000900EC" w14:paraId="41A22B75" w14:textId="77777777" w:rsidTr="000900EC">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D9D9D9" w:themeFill="background1" w:themeFillShade="D9"/>
          </w:tcPr>
          <w:p w14:paraId="10F45AF8" w14:textId="77777777" w:rsidR="000900EC" w:rsidRPr="00E21AE7" w:rsidRDefault="000900EC" w:rsidP="007F171B">
            <w:pPr>
              <w:spacing w:before="80" w:after="80" w:line="276" w:lineRule="auto"/>
              <w:ind w:left="426" w:hanging="426"/>
              <w:contextualSpacing/>
              <w:jc w:val="center"/>
              <w:rPr>
                <w:rFonts w:cs="Arial"/>
              </w:rPr>
            </w:pPr>
            <w:r w:rsidRPr="00E21AE7">
              <w:rPr>
                <w:rFonts w:cs="Arial"/>
                <w:b/>
              </w:rPr>
              <w:t>Section 303FN Approved wildlife trade operation</w:t>
            </w:r>
          </w:p>
        </w:tc>
        <w:tc>
          <w:tcPr>
            <w:tcW w:w="3515" w:type="pct"/>
            <w:shd w:val="clear" w:color="auto" w:fill="D9D9D9" w:themeFill="background1" w:themeFillShade="D9"/>
          </w:tcPr>
          <w:p w14:paraId="09529EC9" w14:textId="77777777" w:rsidR="000900EC" w:rsidRPr="00E21AE7" w:rsidRDefault="000900EC" w:rsidP="007F171B">
            <w:pPr>
              <w:spacing w:before="80" w:after="80" w:line="276" w:lineRule="auto"/>
              <w:contextualSpacing/>
              <w:jc w:val="center"/>
              <w:rPr>
                <w:rFonts w:cs="Arial"/>
                <w:b/>
              </w:rPr>
            </w:pPr>
            <w:r w:rsidRPr="00E21AE7">
              <w:rPr>
                <w:rFonts w:cs="Arial"/>
                <w:b/>
              </w:rPr>
              <w:t>Comment</w:t>
            </w:r>
          </w:p>
        </w:tc>
      </w:tr>
      <w:tr w:rsidR="00C320FE" w:rsidRPr="000900EC" w14:paraId="734E84DB" w14:textId="77777777" w:rsidTr="00C320FE">
        <w:trPr>
          <w:cnfStyle w:val="000000100000" w:firstRow="0" w:lastRow="0" w:firstColumn="0" w:lastColumn="0" w:oddVBand="0" w:evenVBand="0" w:oddHBand="1" w:evenHBand="0" w:firstRowFirstColumn="0" w:firstRowLastColumn="0" w:lastRowFirstColumn="0" w:lastRowLastColumn="0"/>
          <w:trHeight w:val="5516"/>
        </w:trPr>
        <w:tc>
          <w:tcPr>
            <w:tcW w:w="1485" w:type="pct"/>
            <w:shd w:val="clear" w:color="auto" w:fill="92D050"/>
          </w:tcPr>
          <w:p w14:paraId="487221C6" w14:textId="77777777" w:rsidR="00C320FE" w:rsidRPr="00E21AE7" w:rsidRDefault="00C320FE" w:rsidP="007F171B">
            <w:pPr>
              <w:pStyle w:val="ListNumber"/>
              <w:spacing w:before="80" w:after="80"/>
              <w:rPr>
                <w:sz w:val="22"/>
                <w:szCs w:val="22"/>
              </w:rPr>
            </w:pPr>
            <w:r w:rsidRPr="00E21AE7">
              <w:rPr>
                <w:sz w:val="22"/>
                <w:szCs w:val="22"/>
              </w:rPr>
              <w:lastRenderedPageBreak/>
              <w:t>(3)</w:t>
            </w:r>
            <w:r w:rsidRPr="00E21AE7">
              <w:rPr>
                <w:sz w:val="22"/>
                <w:szCs w:val="22"/>
              </w:rPr>
              <w:tab/>
              <w:t xml:space="preserve">The Minister must not declare an operation as an approved wildlife trade operation unless the Minister is </w:t>
            </w:r>
            <w:r w:rsidRPr="00E21AE7">
              <w:rPr>
                <w:b/>
                <w:sz w:val="22"/>
                <w:szCs w:val="22"/>
              </w:rPr>
              <w:t>satisfied</w:t>
            </w:r>
            <w:r w:rsidRPr="00E21AE7">
              <w:rPr>
                <w:sz w:val="22"/>
                <w:szCs w:val="22"/>
              </w:rPr>
              <w:t xml:space="preserve"> that:</w:t>
            </w:r>
          </w:p>
          <w:p w14:paraId="6E8C3C9C" w14:textId="77777777" w:rsidR="00C320FE" w:rsidRPr="00E21AE7" w:rsidRDefault="00C320FE" w:rsidP="007F171B">
            <w:pPr>
              <w:pStyle w:val="ListNumber2"/>
              <w:spacing w:before="80" w:after="80"/>
              <w:rPr>
                <w:sz w:val="22"/>
                <w:szCs w:val="22"/>
              </w:rPr>
            </w:pPr>
            <w:r w:rsidRPr="00E21AE7">
              <w:rPr>
                <w:sz w:val="22"/>
                <w:szCs w:val="22"/>
              </w:rPr>
              <w:t>(a)</w:t>
            </w:r>
            <w:r w:rsidRPr="00E21AE7">
              <w:rPr>
                <w:sz w:val="22"/>
                <w:szCs w:val="22"/>
              </w:rPr>
              <w:tab/>
              <w:t>the operation is consistent with the objects of Part 13A of the Act; and</w:t>
            </w:r>
          </w:p>
          <w:p w14:paraId="14FE1174" w14:textId="77777777" w:rsidR="00C320FE" w:rsidRPr="00E21AE7" w:rsidRDefault="00C320FE" w:rsidP="007F171B">
            <w:pPr>
              <w:pStyle w:val="ListNumber2"/>
              <w:spacing w:before="80" w:after="80"/>
              <w:rPr>
                <w:sz w:val="22"/>
                <w:szCs w:val="22"/>
              </w:rPr>
            </w:pPr>
            <w:r w:rsidRPr="00E21AE7">
              <w:rPr>
                <w:sz w:val="22"/>
                <w:szCs w:val="22"/>
              </w:rPr>
              <w:t>(b)</w:t>
            </w:r>
            <w:r w:rsidRPr="00E21AE7">
              <w:rPr>
                <w:sz w:val="22"/>
                <w:szCs w:val="22"/>
              </w:rPr>
              <w:tab/>
              <w:t>the operation will not be detrimental to:</w:t>
            </w:r>
          </w:p>
          <w:p w14:paraId="71F04E74" w14:textId="77777777" w:rsidR="00C320FE" w:rsidRPr="00E21AE7" w:rsidRDefault="00C320FE" w:rsidP="007F171B">
            <w:pPr>
              <w:pStyle w:val="ListNumber3"/>
              <w:spacing w:before="80" w:after="80" w:line="276" w:lineRule="auto"/>
              <w:rPr>
                <w:sz w:val="22"/>
                <w:szCs w:val="22"/>
              </w:rPr>
            </w:pPr>
            <w:r w:rsidRPr="00E21AE7">
              <w:rPr>
                <w:sz w:val="22"/>
                <w:szCs w:val="22"/>
              </w:rPr>
              <w:t>(</w:t>
            </w:r>
            <w:proofErr w:type="spellStart"/>
            <w:r w:rsidRPr="00E21AE7">
              <w:rPr>
                <w:sz w:val="22"/>
                <w:szCs w:val="22"/>
              </w:rPr>
              <w:t>i</w:t>
            </w:r>
            <w:proofErr w:type="spellEnd"/>
            <w:r w:rsidRPr="00E21AE7">
              <w:rPr>
                <w:sz w:val="22"/>
                <w:szCs w:val="22"/>
              </w:rPr>
              <w:t>)</w:t>
            </w:r>
            <w:r w:rsidRPr="00E21AE7">
              <w:rPr>
                <w:sz w:val="22"/>
                <w:szCs w:val="22"/>
              </w:rPr>
              <w:tab/>
              <w:t xml:space="preserve">the survival of a </w:t>
            </w:r>
            <w:proofErr w:type="spellStart"/>
            <w:r w:rsidRPr="00E21AE7">
              <w:rPr>
                <w:sz w:val="22"/>
                <w:szCs w:val="22"/>
              </w:rPr>
              <w:t>taxon</w:t>
            </w:r>
            <w:proofErr w:type="spellEnd"/>
            <w:r w:rsidRPr="00E21AE7">
              <w:rPr>
                <w:sz w:val="22"/>
                <w:szCs w:val="22"/>
              </w:rPr>
              <w:t xml:space="preserve"> to which the operation relates; or</w:t>
            </w:r>
          </w:p>
          <w:p w14:paraId="2AFEA4A3" w14:textId="77777777" w:rsidR="00C320FE" w:rsidRPr="00E21AE7" w:rsidRDefault="00C320FE" w:rsidP="007F171B">
            <w:pPr>
              <w:pStyle w:val="ListNumber3"/>
              <w:spacing w:before="80" w:after="80" w:line="276" w:lineRule="auto"/>
              <w:rPr>
                <w:sz w:val="22"/>
                <w:szCs w:val="22"/>
              </w:rPr>
            </w:pPr>
            <w:r w:rsidRPr="00E21AE7">
              <w:rPr>
                <w:sz w:val="22"/>
                <w:szCs w:val="22"/>
              </w:rPr>
              <w:t>(ii)</w:t>
            </w:r>
            <w:r w:rsidRPr="00E21AE7">
              <w:rPr>
                <w:sz w:val="22"/>
                <w:szCs w:val="22"/>
              </w:rPr>
              <w:tab/>
              <w:t xml:space="preserve">the conservation status of a </w:t>
            </w:r>
            <w:proofErr w:type="spellStart"/>
            <w:r w:rsidRPr="00E21AE7">
              <w:rPr>
                <w:sz w:val="22"/>
                <w:szCs w:val="22"/>
              </w:rPr>
              <w:t>taxon</w:t>
            </w:r>
            <w:proofErr w:type="spellEnd"/>
            <w:r w:rsidRPr="00E21AE7">
              <w:rPr>
                <w:sz w:val="22"/>
                <w:szCs w:val="22"/>
              </w:rPr>
              <w:t xml:space="preserve"> to which the operation relates; and</w:t>
            </w:r>
          </w:p>
          <w:p w14:paraId="5D867834" w14:textId="05FEDBA8" w:rsidR="00C320FE" w:rsidRPr="00E21AE7" w:rsidRDefault="00C320FE" w:rsidP="007F171B">
            <w:pPr>
              <w:pStyle w:val="ListNumber2"/>
              <w:spacing w:before="80" w:after="80"/>
              <w:rPr>
                <w:sz w:val="22"/>
                <w:szCs w:val="22"/>
              </w:rPr>
            </w:pPr>
            <w:r w:rsidRPr="00E21AE7">
              <w:rPr>
                <w:sz w:val="22"/>
                <w:szCs w:val="22"/>
              </w:rPr>
              <w:t>(ba)</w:t>
            </w:r>
            <w:r w:rsidRPr="00E21AE7">
              <w:rPr>
                <w:sz w:val="22"/>
                <w:szCs w:val="22"/>
              </w:rPr>
              <w:tab/>
              <w:t>the operation will not be likely to threaten any relevant ecosystem including (but not limited to) any habitat or biodiversity; and</w:t>
            </w:r>
          </w:p>
        </w:tc>
        <w:tc>
          <w:tcPr>
            <w:tcW w:w="3515" w:type="pct"/>
          </w:tcPr>
          <w:p w14:paraId="0ABE437A" w14:textId="77777777" w:rsidR="00C320FE" w:rsidRPr="00E21AE7" w:rsidRDefault="00C320FE" w:rsidP="007F171B">
            <w:pPr>
              <w:spacing w:before="80" w:line="276" w:lineRule="auto"/>
              <w:contextualSpacing/>
              <w:rPr>
                <w:rFonts w:cs="Arial"/>
                <w:b/>
              </w:rPr>
            </w:pPr>
            <w:r w:rsidRPr="00E21AE7">
              <w:rPr>
                <w:rFonts w:cs="Arial"/>
                <w:b/>
              </w:rPr>
              <w:t>Meets</w:t>
            </w:r>
          </w:p>
          <w:p w14:paraId="62DEDE15" w14:textId="77777777" w:rsidR="00C320FE" w:rsidRPr="000900EC" w:rsidRDefault="00C320FE" w:rsidP="007F171B">
            <w:pPr>
              <w:spacing w:before="80" w:line="276" w:lineRule="auto"/>
              <w:contextualSpacing/>
              <w:rPr>
                <w:rFonts w:cs="Arial"/>
                <w:sz w:val="20"/>
                <w:szCs w:val="20"/>
              </w:rPr>
            </w:pPr>
            <w:r w:rsidRPr="00E21AE7">
              <w:rPr>
                <w:rFonts w:cs="Arial"/>
              </w:rPr>
              <w:t>The fishery is consistent with Objects of 13A – see above assessment against the Guidelines.</w:t>
            </w:r>
          </w:p>
          <w:p w14:paraId="402F57F7" w14:textId="0B32240C" w:rsidR="00C320FE" w:rsidRPr="00B50602" w:rsidRDefault="00C320FE" w:rsidP="007F171B">
            <w:pPr>
              <w:spacing w:before="80" w:line="276" w:lineRule="auto"/>
              <w:contextualSpacing/>
              <w:rPr>
                <w:rFonts w:cs="Arial"/>
              </w:rPr>
            </w:pPr>
            <w:r w:rsidRPr="00B50602">
              <w:rPr>
                <w:rFonts w:cs="Arial"/>
              </w:rPr>
              <w:t xml:space="preserve">Based on the outcomes of the Department’s assessment, as outlined in this report, the fishery will not be detrimental to the survival or conservation status of a taxa to which it relates, nor will it threaten any relevant ecosystem, within the next three years, given the management measures currently in place and the conditions recommended in Section </w:t>
            </w:r>
            <w:r w:rsidR="008A76BB">
              <w:rPr>
                <w:rFonts w:cs="Arial"/>
              </w:rPr>
              <w:t>2</w:t>
            </w:r>
            <w:r w:rsidR="008A76BB" w:rsidRPr="00B50602">
              <w:rPr>
                <w:rFonts w:cs="Arial"/>
              </w:rPr>
              <w:t xml:space="preserve"> </w:t>
            </w:r>
            <w:r w:rsidRPr="00B50602">
              <w:rPr>
                <w:rFonts w:cs="Arial"/>
              </w:rPr>
              <w:t>of this assessment.</w:t>
            </w:r>
          </w:p>
        </w:tc>
      </w:tr>
      <w:tr w:rsidR="000900EC" w:rsidRPr="000900EC" w14:paraId="5C68A76F" w14:textId="77777777" w:rsidTr="000900EC">
        <w:trPr>
          <w:cnfStyle w:val="000000010000" w:firstRow="0" w:lastRow="0" w:firstColumn="0" w:lastColumn="0" w:oddVBand="0" w:evenVBand="0" w:oddHBand="0" w:evenHBand="1" w:firstRowFirstColumn="0" w:firstRowLastColumn="0" w:lastRowFirstColumn="0" w:lastRowLastColumn="0"/>
        </w:trPr>
        <w:tc>
          <w:tcPr>
            <w:tcW w:w="1485" w:type="pct"/>
          </w:tcPr>
          <w:p w14:paraId="528E7F66" w14:textId="77777777" w:rsidR="000900EC" w:rsidRPr="00E21AE7" w:rsidRDefault="000900EC" w:rsidP="007F171B">
            <w:pPr>
              <w:pStyle w:val="ListNumber2"/>
              <w:spacing w:before="80" w:after="80"/>
              <w:rPr>
                <w:sz w:val="22"/>
                <w:szCs w:val="22"/>
              </w:rPr>
            </w:pPr>
            <w:r w:rsidRPr="00E21AE7">
              <w:rPr>
                <w:sz w:val="22"/>
                <w:szCs w:val="22"/>
              </w:rPr>
              <w:t>(c)</w:t>
            </w:r>
            <w:r w:rsidRPr="00E21AE7">
              <w:rPr>
                <w:sz w:val="22"/>
                <w:szCs w:val="22"/>
              </w:rPr>
              <w:tab/>
              <w:t>if the operation relates to the taking of live specimens that belong to a taxon specified in the regulations – the conditions that, under the regulations, are applicable to the welfare of the specimens are likely to be complied with; and</w:t>
            </w:r>
          </w:p>
        </w:tc>
        <w:tc>
          <w:tcPr>
            <w:tcW w:w="3515" w:type="pct"/>
          </w:tcPr>
          <w:p w14:paraId="3FBA3BC7" w14:textId="77777777" w:rsidR="000900EC" w:rsidRPr="00E21AE7" w:rsidRDefault="000900EC" w:rsidP="007F171B">
            <w:pPr>
              <w:spacing w:before="80" w:after="80" w:line="276" w:lineRule="auto"/>
              <w:contextualSpacing/>
              <w:rPr>
                <w:rFonts w:cs="Arial"/>
                <w:b/>
              </w:rPr>
            </w:pPr>
            <w:r w:rsidRPr="00E21AE7">
              <w:rPr>
                <w:rFonts w:cs="Arial"/>
                <w:b/>
              </w:rPr>
              <w:t>Not applicable</w:t>
            </w:r>
          </w:p>
          <w:p w14:paraId="66942552" w14:textId="77777777" w:rsidR="000900EC" w:rsidRPr="00E21AE7" w:rsidRDefault="000900EC" w:rsidP="007F171B">
            <w:pPr>
              <w:spacing w:before="80" w:after="80" w:line="276" w:lineRule="auto"/>
              <w:contextualSpacing/>
              <w:rPr>
                <w:rFonts w:cs="Arial"/>
              </w:rPr>
            </w:pPr>
            <w:r w:rsidRPr="00E21AE7">
              <w:rPr>
                <w:rFonts w:cs="Arial"/>
              </w:rPr>
              <w:t>The Environment Protection and Biodiversity Conservation Regulations 2000 (EPBC Regulations) do not specify Crustacea or fish as a class of animal in relation to the welfare of live specimens.</w:t>
            </w:r>
          </w:p>
        </w:tc>
      </w:tr>
      <w:tr w:rsidR="000900EC" w:rsidRPr="000900EC" w14:paraId="21D596C2" w14:textId="77777777" w:rsidTr="000900EC">
        <w:trPr>
          <w:cnfStyle w:val="000000100000" w:firstRow="0" w:lastRow="0" w:firstColumn="0" w:lastColumn="0" w:oddVBand="0" w:evenVBand="0" w:oddHBand="1" w:evenHBand="0" w:firstRowFirstColumn="0" w:firstRowLastColumn="0" w:lastRowFirstColumn="0" w:lastRowLastColumn="0"/>
        </w:trPr>
        <w:tc>
          <w:tcPr>
            <w:tcW w:w="1485" w:type="pct"/>
          </w:tcPr>
          <w:p w14:paraId="35EC35B3" w14:textId="77777777" w:rsidR="000900EC" w:rsidRPr="00E21AE7" w:rsidRDefault="000900EC" w:rsidP="007F171B">
            <w:pPr>
              <w:pStyle w:val="ListNumber2"/>
              <w:spacing w:before="80" w:after="80"/>
              <w:rPr>
                <w:sz w:val="22"/>
                <w:szCs w:val="22"/>
              </w:rPr>
            </w:pPr>
            <w:r w:rsidRPr="00E21AE7">
              <w:rPr>
                <w:sz w:val="22"/>
                <w:szCs w:val="22"/>
              </w:rPr>
              <w:t>(d)</w:t>
            </w:r>
            <w:r w:rsidRPr="00E21AE7">
              <w:rPr>
                <w:sz w:val="22"/>
                <w:szCs w:val="22"/>
              </w:rPr>
              <w:tab/>
              <w:t>such other conditions (if any) as are specified in the regulations have been, or are likely to be, satisfied.</w:t>
            </w:r>
          </w:p>
        </w:tc>
        <w:tc>
          <w:tcPr>
            <w:tcW w:w="3515" w:type="pct"/>
          </w:tcPr>
          <w:p w14:paraId="41D4EED7" w14:textId="77777777" w:rsidR="000900EC" w:rsidRPr="00E21AE7" w:rsidRDefault="000900EC" w:rsidP="007F171B">
            <w:pPr>
              <w:spacing w:before="80" w:after="80" w:line="276" w:lineRule="auto"/>
              <w:contextualSpacing/>
              <w:rPr>
                <w:rFonts w:cs="Arial"/>
                <w:b/>
              </w:rPr>
            </w:pPr>
            <w:r w:rsidRPr="00E21AE7">
              <w:rPr>
                <w:rFonts w:cs="Arial"/>
                <w:b/>
              </w:rPr>
              <w:t xml:space="preserve">Not applicable </w:t>
            </w:r>
          </w:p>
          <w:p w14:paraId="20DB8DA4" w14:textId="77777777" w:rsidR="000900EC" w:rsidRPr="00E21AE7" w:rsidRDefault="000900EC" w:rsidP="007F171B">
            <w:pPr>
              <w:spacing w:before="80" w:after="80" w:line="276" w:lineRule="auto"/>
              <w:contextualSpacing/>
              <w:rPr>
                <w:rFonts w:cs="Arial"/>
              </w:rPr>
            </w:pPr>
            <w:r w:rsidRPr="00E21AE7">
              <w:rPr>
                <w:rFonts w:cs="Arial"/>
              </w:rPr>
              <w:t>No other conditions are specified in relation to commercial fisheries in the EPBC Regulations.</w:t>
            </w:r>
          </w:p>
        </w:tc>
      </w:tr>
      <w:tr w:rsidR="000900EC" w:rsidRPr="000900EC" w14:paraId="429AFA9E" w14:textId="77777777" w:rsidTr="00A5177C">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92D050"/>
          </w:tcPr>
          <w:p w14:paraId="1A056393" w14:textId="77777777" w:rsidR="000900EC" w:rsidRPr="00E21AE7" w:rsidRDefault="000900EC" w:rsidP="007F171B">
            <w:pPr>
              <w:pStyle w:val="ListNumber"/>
              <w:spacing w:before="80" w:after="80"/>
              <w:rPr>
                <w:sz w:val="22"/>
                <w:szCs w:val="22"/>
              </w:rPr>
            </w:pPr>
            <w:r w:rsidRPr="00E21AE7">
              <w:rPr>
                <w:sz w:val="22"/>
                <w:szCs w:val="22"/>
              </w:rPr>
              <w:lastRenderedPageBreak/>
              <w:t>(4)</w:t>
            </w:r>
            <w:r w:rsidRPr="00E21AE7">
              <w:rPr>
                <w:sz w:val="22"/>
                <w:szCs w:val="22"/>
              </w:rPr>
              <w:tab/>
              <w:t xml:space="preserve">In deciding whether to declare an operation as an approved wildlife trade operation the Minister must have </w:t>
            </w:r>
            <w:r w:rsidRPr="00E21AE7">
              <w:rPr>
                <w:b/>
                <w:sz w:val="22"/>
                <w:szCs w:val="22"/>
              </w:rPr>
              <w:t>regard</w:t>
            </w:r>
            <w:r w:rsidRPr="00E21AE7">
              <w:rPr>
                <w:sz w:val="22"/>
                <w:szCs w:val="22"/>
              </w:rPr>
              <w:t xml:space="preserve"> to:</w:t>
            </w:r>
          </w:p>
          <w:p w14:paraId="5BC9C2BC" w14:textId="77777777" w:rsidR="000900EC" w:rsidRPr="00E21AE7" w:rsidRDefault="000900EC" w:rsidP="007F171B">
            <w:pPr>
              <w:pStyle w:val="ListNumber2"/>
              <w:spacing w:before="80" w:after="80"/>
              <w:rPr>
                <w:sz w:val="22"/>
                <w:szCs w:val="22"/>
              </w:rPr>
            </w:pPr>
            <w:r w:rsidRPr="00E21AE7">
              <w:rPr>
                <w:sz w:val="22"/>
                <w:szCs w:val="22"/>
              </w:rPr>
              <w:t>(a)</w:t>
            </w:r>
            <w:r w:rsidRPr="00E21AE7">
              <w:rPr>
                <w:sz w:val="22"/>
                <w:szCs w:val="22"/>
              </w:rPr>
              <w:tab/>
              <w:t>the significance of the impact of the operation on an ecosystem (for example, an impact on habitat or biodiversity); and</w:t>
            </w:r>
          </w:p>
        </w:tc>
        <w:tc>
          <w:tcPr>
            <w:tcW w:w="3515" w:type="pct"/>
          </w:tcPr>
          <w:p w14:paraId="6640994F" w14:textId="77777777" w:rsidR="000900EC" w:rsidRPr="00E21AE7" w:rsidRDefault="000900EC" w:rsidP="00122319">
            <w:pPr>
              <w:keepNext/>
              <w:spacing w:before="80" w:after="80" w:line="276" w:lineRule="auto"/>
              <w:contextualSpacing/>
              <w:rPr>
                <w:rFonts w:cs="Arial"/>
                <w:b/>
              </w:rPr>
            </w:pPr>
            <w:r w:rsidRPr="00E21AE7">
              <w:rPr>
                <w:rFonts w:cs="Arial"/>
                <w:b/>
              </w:rPr>
              <w:t>Meets</w:t>
            </w:r>
          </w:p>
          <w:p w14:paraId="574664EF" w14:textId="1D9D884C" w:rsidR="000900EC" w:rsidRPr="00E21AE7" w:rsidRDefault="000900EC" w:rsidP="007F171B">
            <w:pPr>
              <w:spacing w:before="80" w:after="80" w:line="276" w:lineRule="auto"/>
              <w:contextualSpacing/>
              <w:rPr>
                <w:rFonts w:cs="Arial"/>
              </w:rPr>
            </w:pPr>
            <w:r w:rsidRPr="00E21AE7">
              <w:rPr>
                <w:rFonts w:cs="Arial"/>
              </w:rPr>
              <w:t xml:space="preserve">The fishery will not have a significant impact on any relevant ecosystem within the next three years, given the management measures currently in place and the conditions recommended in Section </w:t>
            </w:r>
            <w:r w:rsidR="008A76BB">
              <w:rPr>
                <w:rFonts w:cs="Arial"/>
              </w:rPr>
              <w:t>2</w:t>
            </w:r>
            <w:r w:rsidR="008A76BB" w:rsidRPr="00E21AE7">
              <w:rPr>
                <w:rFonts w:cs="Arial"/>
              </w:rPr>
              <w:t xml:space="preserve"> </w:t>
            </w:r>
            <w:r w:rsidRPr="00E21AE7">
              <w:rPr>
                <w:rFonts w:cs="Arial"/>
              </w:rPr>
              <w:t>of this assessment.</w:t>
            </w:r>
          </w:p>
        </w:tc>
      </w:tr>
      <w:tr w:rsidR="000900EC" w:rsidRPr="000900EC" w14:paraId="11A72F90" w14:textId="77777777" w:rsidTr="00A5177C">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92D050"/>
          </w:tcPr>
          <w:p w14:paraId="4E8D586A" w14:textId="77777777" w:rsidR="000900EC" w:rsidRPr="00E21AE7" w:rsidRDefault="000900EC" w:rsidP="007F171B">
            <w:pPr>
              <w:pStyle w:val="ListNumber2"/>
              <w:spacing w:before="80" w:after="80"/>
              <w:rPr>
                <w:sz w:val="22"/>
                <w:szCs w:val="22"/>
              </w:rPr>
            </w:pPr>
            <w:r w:rsidRPr="00E21AE7">
              <w:rPr>
                <w:sz w:val="22"/>
                <w:szCs w:val="22"/>
              </w:rPr>
              <w:t>(b)</w:t>
            </w:r>
            <w:r w:rsidRPr="00E21AE7">
              <w:rPr>
                <w:sz w:val="22"/>
                <w:szCs w:val="22"/>
              </w:rPr>
              <w:tab/>
              <w:t>the effectiveness of the management arrangements for the operation (including monitoring procedures).</w:t>
            </w:r>
          </w:p>
        </w:tc>
        <w:tc>
          <w:tcPr>
            <w:tcW w:w="3515" w:type="pct"/>
          </w:tcPr>
          <w:p w14:paraId="1F85AC42" w14:textId="77777777" w:rsidR="000900EC" w:rsidRPr="00E21AE7" w:rsidRDefault="000900EC" w:rsidP="007F171B">
            <w:pPr>
              <w:spacing w:before="80" w:after="80" w:line="276" w:lineRule="auto"/>
              <w:contextualSpacing/>
              <w:rPr>
                <w:rFonts w:cs="Arial"/>
                <w:b/>
              </w:rPr>
            </w:pPr>
            <w:r w:rsidRPr="00E21AE7">
              <w:rPr>
                <w:rFonts w:cs="Arial"/>
                <w:b/>
              </w:rPr>
              <w:t>Meets</w:t>
            </w:r>
          </w:p>
          <w:p w14:paraId="662E19F8" w14:textId="77777777" w:rsidR="000900EC" w:rsidRPr="00E21AE7" w:rsidRDefault="000900EC" w:rsidP="007F171B">
            <w:pPr>
              <w:spacing w:before="80" w:after="80" w:line="276" w:lineRule="auto"/>
              <w:contextualSpacing/>
              <w:rPr>
                <w:rFonts w:cs="Arial"/>
              </w:rPr>
            </w:pPr>
            <w:r w:rsidRPr="00E21AE7">
              <w:rPr>
                <w:rFonts w:cs="Arial"/>
              </w:rPr>
              <w:t>The management arrangements that will be employed for the CTFFF as outlined in the assessment against the Guidelines (above), are likely to be effective.</w:t>
            </w:r>
          </w:p>
        </w:tc>
      </w:tr>
      <w:tr w:rsidR="000900EC" w:rsidRPr="000900EC" w14:paraId="6C1DC049" w14:textId="77777777" w:rsidTr="00A5177C">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92D050"/>
          </w:tcPr>
          <w:p w14:paraId="55D87370" w14:textId="77777777" w:rsidR="000900EC" w:rsidRPr="00E21AE7" w:rsidRDefault="000900EC" w:rsidP="007F171B">
            <w:pPr>
              <w:pStyle w:val="ListNumber"/>
              <w:spacing w:before="80" w:after="80"/>
              <w:rPr>
                <w:sz w:val="22"/>
                <w:szCs w:val="22"/>
              </w:rPr>
            </w:pPr>
            <w:r w:rsidRPr="00E21AE7">
              <w:rPr>
                <w:sz w:val="22"/>
                <w:szCs w:val="22"/>
              </w:rPr>
              <w:t>(5)</w:t>
            </w:r>
            <w:r w:rsidRPr="00E21AE7">
              <w:rPr>
                <w:sz w:val="22"/>
                <w:szCs w:val="22"/>
              </w:rPr>
              <w:tab/>
              <w:t xml:space="preserve">In deciding whether to declare an operation as an approved wildlife trade operation the Minister must have </w:t>
            </w:r>
            <w:r w:rsidRPr="00E21AE7">
              <w:rPr>
                <w:b/>
                <w:sz w:val="22"/>
                <w:szCs w:val="22"/>
              </w:rPr>
              <w:t>regard</w:t>
            </w:r>
            <w:r w:rsidRPr="00E21AE7">
              <w:rPr>
                <w:sz w:val="22"/>
                <w:szCs w:val="22"/>
              </w:rPr>
              <w:t xml:space="preserve"> to:</w:t>
            </w:r>
          </w:p>
          <w:p w14:paraId="6BD17E81" w14:textId="77777777" w:rsidR="000900EC" w:rsidRPr="00E21AE7" w:rsidRDefault="000900EC" w:rsidP="007F171B">
            <w:pPr>
              <w:pStyle w:val="ListNumber2"/>
              <w:spacing w:before="80" w:after="80"/>
              <w:rPr>
                <w:sz w:val="22"/>
                <w:szCs w:val="22"/>
              </w:rPr>
            </w:pPr>
            <w:r w:rsidRPr="00E21AE7">
              <w:rPr>
                <w:sz w:val="22"/>
                <w:szCs w:val="22"/>
              </w:rPr>
              <w:t>(a)</w:t>
            </w:r>
            <w:r w:rsidRPr="00E21AE7">
              <w:rPr>
                <w:sz w:val="22"/>
                <w:szCs w:val="22"/>
              </w:rPr>
              <w:tab/>
              <w:t>whether legislation relating to the protection, conservation or management of the specimens to which the operation relates is in force in the State or Territory concerned; and</w:t>
            </w:r>
          </w:p>
          <w:p w14:paraId="5EEF0D81" w14:textId="77777777" w:rsidR="000900EC" w:rsidRPr="00E21AE7" w:rsidRDefault="000900EC" w:rsidP="007F171B">
            <w:pPr>
              <w:pStyle w:val="ListNumber2"/>
              <w:spacing w:before="80" w:after="80"/>
              <w:rPr>
                <w:sz w:val="22"/>
                <w:szCs w:val="22"/>
              </w:rPr>
            </w:pPr>
            <w:r w:rsidRPr="00E21AE7">
              <w:rPr>
                <w:sz w:val="22"/>
                <w:szCs w:val="22"/>
              </w:rPr>
              <w:t>(b)</w:t>
            </w:r>
            <w:r w:rsidRPr="00E21AE7">
              <w:rPr>
                <w:sz w:val="22"/>
                <w:szCs w:val="22"/>
              </w:rPr>
              <w:tab/>
              <w:t>whether the legislation applies throughout the State or Territory concerned; and</w:t>
            </w:r>
          </w:p>
          <w:p w14:paraId="13E5E469" w14:textId="77777777" w:rsidR="000900EC" w:rsidRPr="00E21AE7" w:rsidRDefault="000900EC" w:rsidP="007F171B">
            <w:pPr>
              <w:pStyle w:val="ListNumber2"/>
              <w:spacing w:before="80" w:after="80"/>
              <w:rPr>
                <w:sz w:val="22"/>
                <w:szCs w:val="22"/>
              </w:rPr>
            </w:pPr>
            <w:r w:rsidRPr="00E21AE7">
              <w:rPr>
                <w:sz w:val="22"/>
                <w:szCs w:val="22"/>
              </w:rPr>
              <w:t>(c)</w:t>
            </w:r>
            <w:r w:rsidRPr="00E21AE7">
              <w:rPr>
                <w:sz w:val="22"/>
                <w:szCs w:val="22"/>
              </w:rPr>
              <w:tab/>
              <w:t>whether, in the opinion of the Minister, the legislation is effective.</w:t>
            </w:r>
          </w:p>
        </w:tc>
        <w:tc>
          <w:tcPr>
            <w:tcW w:w="3515" w:type="pct"/>
          </w:tcPr>
          <w:p w14:paraId="75783BC0" w14:textId="77777777" w:rsidR="000900EC" w:rsidRPr="00E21AE7" w:rsidRDefault="000900EC" w:rsidP="007F171B">
            <w:pPr>
              <w:spacing w:before="80" w:after="80" w:line="276" w:lineRule="auto"/>
              <w:contextualSpacing/>
              <w:rPr>
                <w:rFonts w:cs="Arial"/>
                <w:b/>
              </w:rPr>
            </w:pPr>
            <w:r w:rsidRPr="00E21AE7">
              <w:rPr>
                <w:rFonts w:cs="Arial"/>
                <w:b/>
              </w:rPr>
              <w:t>Meets</w:t>
            </w:r>
          </w:p>
          <w:p w14:paraId="20992A04" w14:textId="77777777" w:rsidR="000900EC" w:rsidRPr="00E21AE7" w:rsidRDefault="000900EC" w:rsidP="007F171B">
            <w:pPr>
              <w:spacing w:before="80" w:after="80" w:line="276" w:lineRule="auto"/>
              <w:contextualSpacing/>
              <w:rPr>
                <w:rFonts w:cs="Arial"/>
              </w:rPr>
            </w:pPr>
            <w:r w:rsidRPr="00E21AE7">
              <w:rPr>
                <w:rFonts w:cs="Arial"/>
              </w:rPr>
              <w:t xml:space="preserve">Management arrangements for the fishery are defined in the Queensland </w:t>
            </w:r>
            <w:r w:rsidRPr="00E21AE7">
              <w:rPr>
                <w:rFonts w:cs="Arial"/>
                <w:i/>
              </w:rPr>
              <w:t>Fisheries Act 1994</w:t>
            </w:r>
            <w:r w:rsidRPr="00E21AE7">
              <w:rPr>
                <w:rFonts w:cs="Arial"/>
              </w:rPr>
              <w:t>, Fisheries (General) Regulation 2019, Fisheries (Commercial Fisheries) Regulation 2019, Fisheries Declaration 2019, and the Fisheries Quota Declaration 2019. This legislation applies to all Queensland-managed waters.</w:t>
            </w:r>
          </w:p>
          <w:p w14:paraId="2EED9945" w14:textId="75B90D1F" w:rsidR="000900EC" w:rsidRPr="00E21AE7" w:rsidRDefault="005446D9" w:rsidP="007F171B">
            <w:pPr>
              <w:spacing w:before="80" w:after="80" w:line="276" w:lineRule="auto"/>
              <w:contextualSpacing/>
              <w:rPr>
                <w:rFonts w:cs="Arial"/>
              </w:rPr>
            </w:pPr>
            <w:r>
              <w:rPr>
                <w:rFonts w:cs="Arial"/>
              </w:rPr>
              <w:t xml:space="preserve">Based on available information </w:t>
            </w:r>
            <w:r w:rsidR="000900EC" w:rsidRPr="00E21AE7">
              <w:rPr>
                <w:rFonts w:cs="Arial"/>
              </w:rPr>
              <w:t>the management arrangements are likely to be effective.</w:t>
            </w:r>
          </w:p>
        </w:tc>
      </w:tr>
      <w:tr w:rsidR="000900EC" w:rsidRPr="000900EC" w14:paraId="0B494302" w14:textId="77777777" w:rsidTr="00A5177C">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92D050"/>
          </w:tcPr>
          <w:p w14:paraId="4C6690A7" w14:textId="77777777" w:rsidR="000900EC" w:rsidRPr="00E21AE7" w:rsidRDefault="000900EC" w:rsidP="007F171B">
            <w:pPr>
              <w:pStyle w:val="ListNumber"/>
              <w:spacing w:before="80" w:after="80"/>
              <w:rPr>
                <w:sz w:val="22"/>
                <w:szCs w:val="22"/>
              </w:rPr>
            </w:pPr>
            <w:r w:rsidRPr="00E21AE7">
              <w:rPr>
                <w:sz w:val="22"/>
                <w:szCs w:val="22"/>
              </w:rPr>
              <w:t>(10)</w:t>
            </w:r>
            <w:r w:rsidRPr="00E21AE7">
              <w:rPr>
                <w:sz w:val="22"/>
                <w:szCs w:val="22"/>
              </w:rPr>
              <w:tab/>
              <w:t xml:space="preserve">For the purposes of section 303FN, an operation is a wildlife trade operation if, an only if, the </w:t>
            </w:r>
            <w:r w:rsidRPr="00E21AE7">
              <w:rPr>
                <w:sz w:val="22"/>
                <w:szCs w:val="22"/>
              </w:rPr>
              <w:lastRenderedPageBreak/>
              <w:t>operation is an operation for the taking of specimens and:</w:t>
            </w:r>
          </w:p>
          <w:p w14:paraId="15C8324F" w14:textId="77777777" w:rsidR="000900EC" w:rsidRPr="00E21AE7" w:rsidRDefault="000900EC" w:rsidP="007F171B">
            <w:pPr>
              <w:pStyle w:val="ListNumber2"/>
              <w:spacing w:before="80" w:after="80"/>
              <w:rPr>
                <w:sz w:val="22"/>
                <w:szCs w:val="22"/>
              </w:rPr>
            </w:pPr>
            <w:r w:rsidRPr="00E21AE7">
              <w:rPr>
                <w:sz w:val="22"/>
                <w:szCs w:val="22"/>
              </w:rPr>
              <w:t>(a)</w:t>
            </w:r>
            <w:r w:rsidRPr="00E21AE7">
              <w:rPr>
                <w:sz w:val="22"/>
                <w:szCs w:val="22"/>
              </w:rPr>
              <w:tab/>
              <w:t>the operation is a commercial fishery.</w:t>
            </w:r>
          </w:p>
        </w:tc>
        <w:tc>
          <w:tcPr>
            <w:tcW w:w="3515" w:type="pct"/>
          </w:tcPr>
          <w:p w14:paraId="3C3EB9CC" w14:textId="77777777" w:rsidR="000900EC" w:rsidRPr="00E21AE7" w:rsidRDefault="000900EC" w:rsidP="007F171B">
            <w:pPr>
              <w:spacing w:before="80" w:after="80" w:line="276" w:lineRule="auto"/>
              <w:contextualSpacing/>
              <w:rPr>
                <w:rFonts w:cs="Arial"/>
                <w:b/>
              </w:rPr>
            </w:pPr>
            <w:r w:rsidRPr="00E21AE7">
              <w:rPr>
                <w:rFonts w:cs="Arial"/>
                <w:b/>
              </w:rPr>
              <w:lastRenderedPageBreak/>
              <w:t>Meets</w:t>
            </w:r>
          </w:p>
          <w:p w14:paraId="4D6A8A52" w14:textId="77777777" w:rsidR="000900EC" w:rsidRPr="00E21AE7" w:rsidRDefault="000900EC" w:rsidP="007F171B">
            <w:pPr>
              <w:spacing w:before="80" w:after="80" w:line="276" w:lineRule="auto"/>
              <w:contextualSpacing/>
              <w:rPr>
                <w:rFonts w:cs="Arial"/>
              </w:rPr>
            </w:pPr>
            <w:r w:rsidRPr="00E21AE7">
              <w:rPr>
                <w:rFonts w:cs="Arial"/>
              </w:rPr>
              <w:t xml:space="preserve">The CTFFF is a commercial fishery. </w:t>
            </w:r>
          </w:p>
        </w:tc>
      </w:tr>
      <w:tr w:rsidR="000900EC" w:rsidRPr="000900EC" w14:paraId="6DC68154" w14:textId="77777777" w:rsidTr="000900EC">
        <w:trPr>
          <w:cnfStyle w:val="000000010000" w:firstRow="0" w:lastRow="0" w:firstColumn="0" w:lastColumn="0" w:oddVBand="0" w:evenVBand="0" w:oddHBand="0" w:evenHBand="1" w:firstRowFirstColumn="0" w:firstRowLastColumn="0" w:lastRowFirstColumn="0" w:lastRowLastColumn="0"/>
        </w:trPr>
        <w:tc>
          <w:tcPr>
            <w:tcW w:w="1485" w:type="pct"/>
          </w:tcPr>
          <w:p w14:paraId="149C67B1" w14:textId="77777777" w:rsidR="000900EC" w:rsidRPr="00E21AE7" w:rsidRDefault="000900EC" w:rsidP="007F171B">
            <w:pPr>
              <w:pStyle w:val="ListNumber"/>
              <w:spacing w:before="80" w:after="80"/>
              <w:contextualSpacing w:val="0"/>
              <w:rPr>
                <w:sz w:val="22"/>
                <w:szCs w:val="22"/>
              </w:rPr>
            </w:pPr>
            <w:r w:rsidRPr="00E21AE7">
              <w:rPr>
                <w:sz w:val="22"/>
                <w:szCs w:val="22"/>
              </w:rPr>
              <w:t>(10A)</w:t>
            </w:r>
            <w:r w:rsidRPr="00E21AE7">
              <w:rPr>
                <w:sz w:val="22"/>
                <w:szCs w:val="22"/>
              </w:rPr>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4F429B1C" w14:textId="77777777" w:rsidR="000900EC" w:rsidRPr="00E21AE7" w:rsidRDefault="000900EC" w:rsidP="007F171B">
            <w:pPr>
              <w:pStyle w:val="ListNumber"/>
              <w:spacing w:before="80" w:after="80"/>
              <w:contextualSpacing w:val="0"/>
              <w:rPr>
                <w:rFonts w:eastAsia="Calibri"/>
                <w:sz w:val="22"/>
                <w:szCs w:val="22"/>
                <w:lang w:eastAsia="en-US"/>
              </w:rPr>
            </w:pPr>
            <w:r w:rsidRPr="00E21AE7">
              <w:rPr>
                <w:sz w:val="22"/>
                <w:szCs w:val="22"/>
              </w:rPr>
              <w:t>(10B)</w:t>
            </w:r>
            <w:r w:rsidRPr="00E21AE7">
              <w:rPr>
                <w:sz w:val="22"/>
                <w:szCs w:val="22"/>
              </w:rPr>
              <w:tab/>
              <w:t xml:space="preserve">Subsection (10A) does not limit the matters that may be </w:t>
            </w:r>
            <w:proofErr w:type="gramStart"/>
            <w:r w:rsidRPr="00E21AE7">
              <w:rPr>
                <w:sz w:val="22"/>
                <w:szCs w:val="22"/>
              </w:rPr>
              <w:t>taken into account</w:t>
            </w:r>
            <w:proofErr w:type="gramEnd"/>
            <w:r w:rsidRPr="00E21AE7">
              <w:rPr>
                <w:sz w:val="22"/>
                <w:szCs w:val="22"/>
              </w:rPr>
              <w:t xml:space="preserve"> in deciding whether to declare that a fishery is an approved wildlife trade operation for the purposes of this section.</w:t>
            </w:r>
          </w:p>
        </w:tc>
        <w:tc>
          <w:tcPr>
            <w:tcW w:w="3515" w:type="pct"/>
          </w:tcPr>
          <w:p w14:paraId="494568A6" w14:textId="77777777" w:rsidR="000900EC" w:rsidRPr="00E21AE7" w:rsidRDefault="000900EC" w:rsidP="00915887">
            <w:pPr>
              <w:keepNext/>
              <w:spacing w:before="80" w:after="80" w:line="276" w:lineRule="auto"/>
              <w:contextualSpacing/>
              <w:rPr>
                <w:rFonts w:cs="Arial"/>
                <w:b/>
              </w:rPr>
            </w:pPr>
            <w:r w:rsidRPr="00E21AE7">
              <w:rPr>
                <w:rFonts w:cs="Arial"/>
                <w:b/>
              </w:rPr>
              <w:t>Not applicable</w:t>
            </w:r>
          </w:p>
          <w:p w14:paraId="06CC7C3A" w14:textId="77777777" w:rsidR="000900EC" w:rsidRPr="00E21AE7" w:rsidRDefault="000900EC" w:rsidP="007F171B">
            <w:pPr>
              <w:spacing w:before="80" w:after="80" w:line="276" w:lineRule="auto"/>
              <w:contextualSpacing/>
              <w:rPr>
                <w:rFonts w:cs="Arial"/>
                <w:b/>
              </w:rPr>
            </w:pPr>
            <w:r w:rsidRPr="00E21AE7">
              <w:rPr>
                <w:rFonts w:cs="Arial"/>
              </w:rPr>
              <w:t>There has been no request or agreement to assess the fishery under Part 10 Division 1, and the fishery is not managed by the Commonwealth, so Part 10 Division 2 does not apply.</w:t>
            </w:r>
          </w:p>
        </w:tc>
      </w:tr>
    </w:tbl>
    <w:p w14:paraId="2FC97017" w14:textId="77777777" w:rsidR="00915887" w:rsidRDefault="00915887">
      <w:r>
        <w:br w:type="page"/>
      </w:r>
    </w:p>
    <w:tbl>
      <w:tblPr>
        <w:tblStyle w:val="TableGrid1"/>
        <w:tblW w:w="5000" w:type="pct"/>
        <w:tblLook w:val="04A0" w:firstRow="1" w:lastRow="0" w:firstColumn="1" w:lastColumn="0" w:noHBand="0" w:noVBand="1"/>
      </w:tblPr>
      <w:tblGrid>
        <w:gridCol w:w="4391"/>
        <w:gridCol w:w="10395"/>
      </w:tblGrid>
      <w:tr w:rsidR="000900EC" w:rsidRPr="00FD022E" w14:paraId="32DDD325" w14:textId="77777777" w:rsidTr="00E21AE7">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tcPr>
          <w:p w14:paraId="441E5588" w14:textId="1513B312" w:rsidR="000900EC" w:rsidRPr="00E21AE7" w:rsidRDefault="000900EC" w:rsidP="007F171B">
            <w:pPr>
              <w:spacing w:before="80" w:after="80" w:line="276" w:lineRule="auto"/>
              <w:ind w:left="539" w:hanging="539"/>
              <w:contextualSpacing/>
              <w:jc w:val="center"/>
              <w:rPr>
                <w:rFonts w:cs="Arial"/>
              </w:rPr>
            </w:pPr>
            <w:r w:rsidRPr="00E21AE7">
              <w:rPr>
                <w:rFonts w:cs="Arial"/>
                <w:b/>
              </w:rPr>
              <w:lastRenderedPageBreak/>
              <w:t xml:space="preserve">Section 303FR Public consultation </w:t>
            </w:r>
          </w:p>
        </w:tc>
        <w:tc>
          <w:tcPr>
            <w:tcW w:w="3515" w:type="pct"/>
            <w:shd w:val="clear" w:color="auto" w:fill="D9D9D9" w:themeFill="background1" w:themeFillShade="D9"/>
          </w:tcPr>
          <w:p w14:paraId="5AC42C21" w14:textId="77777777" w:rsidR="000900EC" w:rsidRPr="00E21AE7" w:rsidRDefault="000900EC" w:rsidP="00915887">
            <w:pPr>
              <w:keepNext/>
              <w:spacing w:before="80" w:after="80" w:line="276" w:lineRule="auto"/>
              <w:contextualSpacing/>
              <w:jc w:val="center"/>
              <w:rPr>
                <w:rFonts w:cs="Arial"/>
                <w:b/>
              </w:rPr>
            </w:pPr>
            <w:r w:rsidRPr="00E21AE7">
              <w:rPr>
                <w:rFonts w:cs="Arial"/>
                <w:b/>
              </w:rPr>
              <w:t>Comment</w:t>
            </w:r>
          </w:p>
        </w:tc>
      </w:tr>
      <w:tr w:rsidR="000900EC" w:rsidRPr="00FD022E" w14:paraId="274F49E6" w14:textId="77777777" w:rsidTr="00A5177C">
        <w:trPr>
          <w:cnfStyle w:val="000000100000" w:firstRow="0" w:lastRow="0" w:firstColumn="0" w:lastColumn="0" w:oddVBand="0" w:evenVBand="0" w:oddHBand="1" w:evenHBand="0" w:firstRowFirstColumn="0" w:firstRowLastColumn="0" w:lastRowFirstColumn="0" w:lastRowLastColumn="0"/>
          <w:trHeight w:val="5770"/>
        </w:trPr>
        <w:tc>
          <w:tcPr>
            <w:tcW w:w="1485" w:type="pct"/>
            <w:tcBorders>
              <w:bottom w:val="single" w:sz="4" w:space="0" w:color="auto"/>
            </w:tcBorders>
            <w:shd w:val="clear" w:color="auto" w:fill="92D050"/>
          </w:tcPr>
          <w:p w14:paraId="02F9EE2A" w14:textId="77777777" w:rsidR="000900EC" w:rsidRPr="00E21AE7" w:rsidRDefault="000900EC" w:rsidP="007F171B">
            <w:pPr>
              <w:pStyle w:val="ListNumber"/>
              <w:spacing w:before="80" w:after="80"/>
              <w:rPr>
                <w:sz w:val="22"/>
                <w:szCs w:val="22"/>
              </w:rPr>
            </w:pPr>
            <w:r w:rsidRPr="00E21AE7">
              <w:rPr>
                <w:sz w:val="22"/>
                <w:szCs w:val="22"/>
              </w:rPr>
              <w:t>(1)</w:t>
            </w:r>
            <w:r w:rsidRPr="00E21AE7">
              <w:rPr>
                <w:sz w:val="22"/>
                <w:szCs w:val="22"/>
              </w:rPr>
              <w:tab/>
              <w:t>Before making a declaration under section 303FN, the Minister must cause to be published on the Internet a notice:</w:t>
            </w:r>
          </w:p>
          <w:p w14:paraId="49326BD1" w14:textId="77777777" w:rsidR="000900EC" w:rsidRPr="00E21AE7" w:rsidRDefault="000900EC" w:rsidP="007F171B">
            <w:pPr>
              <w:pStyle w:val="ListNumber2"/>
              <w:spacing w:before="80" w:after="80"/>
              <w:rPr>
                <w:sz w:val="22"/>
                <w:szCs w:val="22"/>
              </w:rPr>
            </w:pPr>
            <w:r w:rsidRPr="00E21AE7">
              <w:rPr>
                <w:sz w:val="22"/>
                <w:szCs w:val="22"/>
              </w:rPr>
              <w:t>(a)</w:t>
            </w:r>
            <w:r w:rsidRPr="00E21AE7">
              <w:rPr>
                <w:sz w:val="22"/>
                <w:szCs w:val="22"/>
              </w:rPr>
              <w:tab/>
              <w:t>setting out the proposal to make the declaration; and</w:t>
            </w:r>
          </w:p>
          <w:p w14:paraId="2E5F115D" w14:textId="77777777" w:rsidR="000900EC" w:rsidRPr="00E21AE7" w:rsidRDefault="000900EC" w:rsidP="007F171B">
            <w:pPr>
              <w:pStyle w:val="ListNumber2"/>
              <w:spacing w:before="80" w:after="80"/>
              <w:rPr>
                <w:sz w:val="22"/>
                <w:szCs w:val="22"/>
              </w:rPr>
            </w:pPr>
            <w:r w:rsidRPr="00E21AE7">
              <w:rPr>
                <w:sz w:val="22"/>
                <w:szCs w:val="22"/>
              </w:rPr>
              <w:t>(b)</w:t>
            </w:r>
            <w:r w:rsidRPr="00E21AE7">
              <w:rPr>
                <w:sz w:val="22"/>
                <w:szCs w:val="22"/>
              </w:rPr>
              <w:tab/>
              <w:t>setting out sufficient information to enable persons and organisations to consider adequately the merits of the proposal; and</w:t>
            </w:r>
          </w:p>
          <w:p w14:paraId="1029DE80" w14:textId="77777777" w:rsidR="000900EC" w:rsidRPr="00E21AE7" w:rsidRDefault="000900EC" w:rsidP="007F171B">
            <w:pPr>
              <w:pStyle w:val="ListNumber2"/>
              <w:spacing w:before="80" w:after="80"/>
              <w:rPr>
                <w:sz w:val="22"/>
                <w:szCs w:val="22"/>
              </w:rPr>
            </w:pPr>
            <w:r w:rsidRPr="00E21AE7">
              <w:rPr>
                <w:sz w:val="22"/>
                <w:szCs w:val="22"/>
              </w:rPr>
              <w:t>(c)</w:t>
            </w:r>
            <w:r w:rsidRPr="00E21AE7">
              <w:rPr>
                <w:sz w:val="22"/>
                <w:szCs w:val="22"/>
              </w:rPr>
              <w:tab/>
              <w:t>inviting persons and organisations to give the Minister, within the period specified in the notice, written comments about the proposal.</w:t>
            </w:r>
          </w:p>
          <w:p w14:paraId="31499371" w14:textId="77777777" w:rsidR="000900EC" w:rsidRPr="00E21AE7" w:rsidRDefault="000900EC" w:rsidP="007F171B">
            <w:pPr>
              <w:pStyle w:val="ListNumber"/>
              <w:spacing w:before="80" w:after="80"/>
              <w:rPr>
                <w:sz w:val="22"/>
                <w:szCs w:val="22"/>
              </w:rPr>
            </w:pPr>
            <w:r w:rsidRPr="00E21AE7">
              <w:rPr>
                <w:sz w:val="22"/>
                <w:szCs w:val="22"/>
              </w:rPr>
              <w:t>(2)</w:t>
            </w:r>
            <w:r w:rsidRPr="00E21AE7">
              <w:rPr>
                <w:sz w:val="22"/>
                <w:szCs w:val="22"/>
              </w:rPr>
              <w:tab/>
              <w:t>A period specified in the notice must not be shorter than 20 business days after the date on which the notice was published on the Internet.</w:t>
            </w:r>
          </w:p>
          <w:p w14:paraId="6EAA1FB4" w14:textId="77777777" w:rsidR="000900EC" w:rsidRPr="00E21AE7" w:rsidRDefault="000900EC" w:rsidP="007F171B">
            <w:pPr>
              <w:pStyle w:val="ListNumber"/>
              <w:spacing w:before="80" w:after="80"/>
              <w:rPr>
                <w:sz w:val="22"/>
                <w:szCs w:val="22"/>
              </w:rPr>
            </w:pPr>
            <w:r w:rsidRPr="00E21AE7">
              <w:rPr>
                <w:sz w:val="22"/>
                <w:szCs w:val="22"/>
              </w:rPr>
              <w:t>(3)</w:t>
            </w:r>
            <w:r w:rsidRPr="00E21AE7">
              <w:rPr>
                <w:sz w:val="22"/>
                <w:szCs w:val="22"/>
              </w:rPr>
              <w:tab/>
              <w:t xml:space="preserve">In </w:t>
            </w:r>
            <w:proofErr w:type="gramStart"/>
            <w:r w:rsidRPr="00E21AE7">
              <w:rPr>
                <w:sz w:val="22"/>
                <w:szCs w:val="22"/>
              </w:rPr>
              <w:t>making a decision</w:t>
            </w:r>
            <w:proofErr w:type="gramEnd"/>
            <w:r w:rsidRPr="00E21AE7">
              <w:rPr>
                <w:sz w:val="22"/>
                <w:szCs w:val="22"/>
              </w:rPr>
              <w:t xml:space="preserve"> about whether to make a declaration under section 303FN, the Minister must consider any comments about the proposal to make the declaration that were given in response to the invitation in the notice.</w:t>
            </w:r>
          </w:p>
        </w:tc>
        <w:tc>
          <w:tcPr>
            <w:tcW w:w="3515" w:type="pct"/>
            <w:tcBorders>
              <w:bottom w:val="single" w:sz="4" w:space="0" w:color="auto"/>
            </w:tcBorders>
          </w:tcPr>
          <w:p w14:paraId="0F8F2B70" w14:textId="77777777" w:rsidR="000900EC" w:rsidRPr="00E21AE7" w:rsidRDefault="000900EC" w:rsidP="007F171B">
            <w:pPr>
              <w:spacing w:before="80" w:after="80" w:line="276" w:lineRule="auto"/>
              <w:contextualSpacing/>
              <w:rPr>
                <w:rFonts w:cs="Arial"/>
                <w:b/>
              </w:rPr>
            </w:pPr>
            <w:r w:rsidRPr="00E21AE7">
              <w:rPr>
                <w:rFonts w:cs="Arial"/>
                <w:b/>
              </w:rPr>
              <w:t>Meets</w:t>
            </w:r>
          </w:p>
          <w:p w14:paraId="028222A9" w14:textId="5DDDDED2" w:rsidR="000900EC" w:rsidRPr="00E21AE7" w:rsidRDefault="000900EC" w:rsidP="007F171B">
            <w:pPr>
              <w:spacing w:before="80" w:after="80" w:line="276" w:lineRule="auto"/>
              <w:contextualSpacing/>
              <w:rPr>
                <w:rFonts w:cs="Arial"/>
              </w:rPr>
            </w:pPr>
            <w:r w:rsidRPr="00E21AE7">
              <w:rPr>
                <w:rFonts w:cs="Arial"/>
              </w:rPr>
              <w:t>A public notice which included QDAF’s application and set out the proposal to declare the CTFFF to be an approved wildlife trade operation was released for public comment from 20 December 2019 to 31 January 2020, a total of 24 business days (excluding all state, territory and national public holidays).</w:t>
            </w:r>
          </w:p>
          <w:p w14:paraId="55785EFF" w14:textId="77777777" w:rsidR="000900EC" w:rsidRPr="00E21AE7" w:rsidRDefault="000900EC" w:rsidP="007F171B">
            <w:pPr>
              <w:spacing w:before="80" w:after="80" w:line="276" w:lineRule="auto"/>
              <w:rPr>
                <w:rFonts w:cs="Arial"/>
              </w:rPr>
            </w:pPr>
            <w:r w:rsidRPr="00E21AE7">
              <w:rPr>
                <w:rFonts w:cs="Arial"/>
              </w:rPr>
              <w:t>Two public submissions were received which raised concerns regarding:</w:t>
            </w:r>
          </w:p>
          <w:p w14:paraId="05E13FEC" w14:textId="77777777" w:rsidR="000900EC" w:rsidRPr="00E21AE7" w:rsidRDefault="000900EC" w:rsidP="007F171B">
            <w:pPr>
              <w:numPr>
                <w:ilvl w:val="0"/>
                <w:numId w:val="14"/>
              </w:numPr>
              <w:spacing w:before="80" w:after="80" w:line="276" w:lineRule="auto"/>
              <w:rPr>
                <w:rFonts w:cs="Arial"/>
              </w:rPr>
            </w:pPr>
            <w:r w:rsidRPr="00E21AE7">
              <w:rPr>
                <w:rFonts w:cs="Arial"/>
              </w:rPr>
              <w:t xml:space="preserve">Potential impacts of the fishery on the adjacent Coral Sea Marine Park, it’s habitats, </w:t>
            </w:r>
            <w:proofErr w:type="gramStart"/>
            <w:r w:rsidRPr="00E21AE7">
              <w:rPr>
                <w:rFonts w:cs="Arial"/>
              </w:rPr>
              <w:t>species</w:t>
            </w:r>
            <w:proofErr w:type="gramEnd"/>
            <w:r w:rsidRPr="00E21AE7">
              <w:rPr>
                <w:rFonts w:cs="Arial"/>
              </w:rPr>
              <w:t xml:space="preserve"> and ecology.</w:t>
            </w:r>
          </w:p>
          <w:p w14:paraId="2D5DFEB4" w14:textId="77777777" w:rsidR="000900EC" w:rsidRPr="00E21AE7" w:rsidRDefault="000900EC" w:rsidP="007F171B">
            <w:pPr>
              <w:numPr>
                <w:ilvl w:val="0"/>
                <w:numId w:val="14"/>
              </w:numPr>
              <w:spacing w:before="80" w:after="80" w:line="276" w:lineRule="auto"/>
              <w:rPr>
                <w:rFonts w:cs="Arial"/>
              </w:rPr>
            </w:pPr>
            <w:r w:rsidRPr="00E21AE7">
              <w:rPr>
                <w:rFonts w:cs="Arial"/>
              </w:rPr>
              <w:t>The extent that ecological risks had been assessed given the limited bycatch data available, the extent of bycatch reporting and measures to minimise the potential impacts of the fishery on migratory and transitory species in the Coral Sea Marine Park.</w:t>
            </w:r>
          </w:p>
          <w:p w14:paraId="0A00FB30" w14:textId="77777777" w:rsidR="000900EC" w:rsidRPr="00E21AE7" w:rsidRDefault="000900EC" w:rsidP="007F171B">
            <w:pPr>
              <w:numPr>
                <w:ilvl w:val="0"/>
                <w:numId w:val="14"/>
              </w:numPr>
              <w:spacing w:before="80" w:after="80" w:line="276" w:lineRule="auto"/>
              <w:rPr>
                <w:rFonts w:cs="Arial"/>
              </w:rPr>
            </w:pPr>
            <w:r w:rsidRPr="00E21AE7">
              <w:rPr>
                <w:rFonts w:cs="Arial"/>
              </w:rPr>
              <w:t>Potential risks to larger-bodied protected species, associated with fishing with Danish Seine gear, given there is no requirement for Turtle Excluder Devices to be used with that gear.</w:t>
            </w:r>
          </w:p>
          <w:p w14:paraId="62B111F7" w14:textId="77777777" w:rsidR="000900EC" w:rsidRPr="00E21AE7" w:rsidRDefault="000900EC" w:rsidP="007F171B">
            <w:pPr>
              <w:numPr>
                <w:ilvl w:val="0"/>
                <w:numId w:val="14"/>
              </w:numPr>
              <w:spacing w:before="80" w:after="80" w:line="276" w:lineRule="auto"/>
              <w:rPr>
                <w:rFonts w:cs="Arial"/>
              </w:rPr>
            </w:pPr>
            <w:r w:rsidRPr="00E21AE7">
              <w:rPr>
                <w:rFonts w:cs="Arial"/>
              </w:rPr>
              <w:t>Potential competition and cumulative impacts associated with commercial and non-commercial fishing sectors, particularly as the fishery extends into shallower, inshore waters under trial arrangements.</w:t>
            </w:r>
          </w:p>
          <w:p w14:paraId="3E0B0D0B" w14:textId="77777777" w:rsidR="000900EC" w:rsidRPr="00E21AE7" w:rsidRDefault="000900EC" w:rsidP="007F171B">
            <w:pPr>
              <w:spacing w:before="80" w:after="80" w:line="276" w:lineRule="auto"/>
              <w:contextualSpacing/>
              <w:rPr>
                <w:rFonts w:cs="Arial"/>
              </w:rPr>
            </w:pPr>
            <w:r w:rsidRPr="00E21AE7">
              <w:rPr>
                <w:rFonts w:cs="Arial"/>
              </w:rPr>
              <w:t>Copies of the public submissions and QDAFs response to the issues raised in these submissions will be provided to the decision maker with this assessment report.</w:t>
            </w:r>
          </w:p>
          <w:p w14:paraId="49003071" w14:textId="3F829E55" w:rsidR="000900EC" w:rsidRPr="00E21AE7" w:rsidRDefault="000900EC" w:rsidP="007F171B">
            <w:pPr>
              <w:spacing w:before="80" w:after="80" w:line="276" w:lineRule="auto"/>
              <w:contextualSpacing/>
              <w:rPr>
                <w:rFonts w:cs="Arial"/>
              </w:rPr>
            </w:pPr>
            <w:r w:rsidRPr="00E21AE7">
              <w:rPr>
                <w:rFonts w:cs="Arial"/>
              </w:rPr>
              <w:t>The public comments and QDAF’s response were considered in this assessment and in development of the conditions recommended at Section </w:t>
            </w:r>
            <w:r w:rsidR="008A76BB">
              <w:rPr>
                <w:rFonts w:cs="Arial"/>
              </w:rPr>
              <w:t>2</w:t>
            </w:r>
            <w:r w:rsidRPr="00E21AE7">
              <w:rPr>
                <w:rFonts w:cs="Arial"/>
              </w:rPr>
              <w:t>.</w:t>
            </w:r>
          </w:p>
        </w:tc>
      </w:tr>
    </w:tbl>
    <w:p w14:paraId="2FEDC27E" w14:textId="77777777" w:rsidR="00B50602" w:rsidRDefault="00B50602" w:rsidP="007F171B">
      <w:pPr>
        <w:pStyle w:val="Heading2"/>
        <w:spacing w:before="80" w:after="80" w:line="276" w:lineRule="auto"/>
      </w:pPr>
    </w:p>
    <w:p w14:paraId="10693B56" w14:textId="77777777" w:rsidR="00B50602" w:rsidRDefault="00B50602" w:rsidP="007F171B">
      <w:pPr>
        <w:spacing w:before="0" w:after="0" w:line="276" w:lineRule="auto"/>
        <w:rPr>
          <w:rFonts w:cs="Arial"/>
          <w:b/>
        </w:rPr>
      </w:pPr>
      <w:r>
        <w:br w:type="page"/>
      </w:r>
    </w:p>
    <w:p w14:paraId="14E9DF07" w14:textId="4F4B2221" w:rsidR="009F053A" w:rsidRPr="004C11CA" w:rsidRDefault="009F053A" w:rsidP="007F171B">
      <w:pPr>
        <w:pStyle w:val="Heading2"/>
        <w:spacing w:before="80" w:after="80" w:line="276" w:lineRule="auto"/>
        <w:rPr>
          <w:sz w:val="24"/>
          <w:szCs w:val="24"/>
        </w:rPr>
      </w:pPr>
      <w:bookmarkStart w:id="20" w:name="_Toc48212736"/>
      <w:r w:rsidRPr="004C11CA">
        <w:rPr>
          <w:sz w:val="24"/>
          <w:szCs w:val="24"/>
        </w:rPr>
        <w:lastRenderedPageBreak/>
        <w:t>Part 16</w:t>
      </w:r>
      <w:r w:rsidR="007F1ABC" w:rsidRPr="004C11CA">
        <w:rPr>
          <w:sz w:val="24"/>
          <w:szCs w:val="24"/>
        </w:rPr>
        <w:t xml:space="preserve"> </w:t>
      </w:r>
      <w:r w:rsidR="00F73C73" w:rsidRPr="004C11CA">
        <w:rPr>
          <w:sz w:val="24"/>
          <w:szCs w:val="24"/>
        </w:rPr>
        <w:t>– Precautionary principle and other considerations in making decisions</w:t>
      </w:r>
      <w:bookmarkEnd w:id="20"/>
    </w:p>
    <w:tbl>
      <w:tblPr>
        <w:tblStyle w:val="TableGrid"/>
        <w:tblW w:w="5000" w:type="pct"/>
        <w:tblLook w:val="04A0" w:firstRow="1" w:lastRow="0" w:firstColumn="1" w:lastColumn="0" w:noHBand="0" w:noVBand="1"/>
      </w:tblPr>
      <w:tblGrid>
        <w:gridCol w:w="4391"/>
        <w:gridCol w:w="10395"/>
      </w:tblGrid>
      <w:tr w:rsidR="00227603" w:rsidRPr="000900EC" w14:paraId="3BE2E755" w14:textId="77777777" w:rsidTr="00813955">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vAlign w:val="center"/>
          </w:tcPr>
          <w:p w14:paraId="6B1DC830" w14:textId="7492A6B0" w:rsidR="00227603" w:rsidRPr="00E21AE7" w:rsidRDefault="00227603" w:rsidP="007F171B">
            <w:pPr>
              <w:spacing w:before="80" w:after="80" w:line="276" w:lineRule="auto"/>
              <w:ind w:left="426" w:hanging="426"/>
              <w:contextualSpacing/>
              <w:jc w:val="center"/>
              <w:rPr>
                <w:rFonts w:cs="Arial"/>
                <w:b/>
              </w:rPr>
            </w:pPr>
            <w:r w:rsidRPr="00E21AE7">
              <w:rPr>
                <w:rFonts w:cs="Arial"/>
                <w:b/>
              </w:rPr>
              <w:t>Section 391 Minister must consider precautionary principle in making decisions</w:t>
            </w:r>
          </w:p>
        </w:tc>
        <w:tc>
          <w:tcPr>
            <w:tcW w:w="3515" w:type="pct"/>
            <w:shd w:val="clear" w:color="auto" w:fill="D9D9D9" w:themeFill="background1" w:themeFillShade="D9"/>
            <w:vAlign w:val="center"/>
          </w:tcPr>
          <w:p w14:paraId="7095BF90" w14:textId="77777777" w:rsidR="00227603" w:rsidRPr="00E21AE7" w:rsidRDefault="00227603" w:rsidP="007F171B">
            <w:pPr>
              <w:spacing w:before="80" w:after="80" w:line="276" w:lineRule="auto"/>
              <w:contextualSpacing/>
              <w:jc w:val="center"/>
              <w:rPr>
                <w:rFonts w:cs="Arial"/>
                <w:b/>
              </w:rPr>
            </w:pPr>
            <w:r w:rsidRPr="00E21AE7">
              <w:rPr>
                <w:rFonts w:cs="Arial"/>
                <w:b/>
              </w:rPr>
              <w:t>Comment</w:t>
            </w:r>
          </w:p>
        </w:tc>
      </w:tr>
      <w:tr w:rsidR="00227603" w:rsidRPr="000900EC" w14:paraId="2C506DC9" w14:textId="77777777" w:rsidTr="008903BD">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92D050"/>
          </w:tcPr>
          <w:p w14:paraId="3CA4F7CF" w14:textId="1AD57C1B" w:rsidR="00287189" w:rsidRPr="00E21AE7" w:rsidRDefault="00A961C6" w:rsidP="007F171B">
            <w:pPr>
              <w:pStyle w:val="ListNumber"/>
              <w:spacing w:before="80" w:after="80"/>
              <w:rPr>
                <w:sz w:val="22"/>
                <w:szCs w:val="22"/>
              </w:rPr>
            </w:pPr>
            <w:r w:rsidRPr="00E21AE7">
              <w:rPr>
                <w:sz w:val="22"/>
                <w:szCs w:val="22"/>
              </w:rPr>
              <w:t>(1)</w:t>
            </w:r>
            <w:r w:rsidRPr="00E21AE7">
              <w:rPr>
                <w:sz w:val="22"/>
                <w:szCs w:val="22"/>
              </w:rPr>
              <w:tab/>
            </w:r>
            <w:r w:rsidR="00227603" w:rsidRPr="00E21AE7">
              <w:rPr>
                <w:sz w:val="22"/>
                <w:szCs w:val="22"/>
              </w:rPr>
              <w:t xml:space="preserve">Minister must take account of </w:t>
            </w:r>
            <w:r w:rsidR="00403196" w:rsidRPr="00E21AE7">
              <w:rPr>
                <w:sz w:val="22"/>
                <w:szCs w:val="22"/>
              </w:rPr>
              <w:t xml:space="preserve">the </w:t>
            </w:r>
            <w:r w:rsidR="00227603" w:rsidRPr="00E21AE7">
              <w:rPr>
                <w:sz w:val="22"/>
                <w:szCs w:val="22"/>
              </w:rPr>
              <w:t>precautionary principle</w:t>
            </w:r>
            <w:r w:rsidR="00403196" w:rsidRPr="00E21AE7">
              <w:rPr>
                <w:sz w:val="22"/>
                <w:szCs w:val="22"/>
              </w:rPr>
              <w:t xml:space="preserve"> in </w:t>
            </w:r>
            <w:proofErr w:type="gramStart"/>
            <w:r w:rsidR="00403196" w:rsidRPr="00E21AE7">
              <w:rPr>
                <w:sz w:val="22"/>
                <w:szCs w:val="22"/>
              </w:rPr>
              <w:t>making a decision</w:t>
            </w:r>
            <w:proofErr w:type="gramEnd"/>
            <w:r w:rsidR="00403196" w:rsidRPr="00E21AE7">
              <w:rPr>
                <w:sz w:val="22"/>
                <w:szCs w:val="22"/>
              </w:rPr>
              <w:t>, to the extent that the decision is consistent with other provisions under this Act</w:t>
            </w:r>
            <w:r w:rsidR="00287189" w:rsidRPr="00E21AE7">
              <w:rPr>
                <w:sz w:val="22"/>
                <w:szCs w:val="22"/>
              </w:rPr>
              <w:t>.</w:t>
            </w:r>
          </w:p>
          <w:p w14:paraId="2AA9EF46" w14:textId="7F5E3278" w:rsidR="00111796" w:rsidRPr="00E21AE7" w:rsidRDefault="00287189" w:rsidP="007F171B">
            <w:pPr>
              <w:pStyle w:val="ListNumber"/>
              <w:spacing w:before="80" w:after="80"/>
              <w:rPr>
                <w:sz w:val="22"/>
                <w:szCs w:val="22"/>
              </w:rPr>
            </w:pPr>
            <w:r w:rsidRPr="00E21AE7">
              <w:rPr>
                <w:sz w:val="22"/>
                <w:szCs w:val="22"/>
              </w:rPr>
              <w:t>(2)</w:t>
            </w:r>
            <w:r w:rsidR="00A961C6" w:rsidRPr="00E21AE7">
              <w:rPr>
                <w:sz w:val="22"/>
                <w:szCs w:val="22"/>
              </w:rPr>
              <w:tab/>
            </w:r>
            <w:r w:rsidRPr="00E21AE7">
              <w:rPr>
                <w:sz w:val="22"/>
                <w:szCs w:val="22"/>
              </w:rPr>
              <w:t>The precautionary principle is that lack of full scientific certainty should not be used as a reason for postponing a measure to prevent degradation of the environment where there are threats of serious or irreversible environmental damage.</w:t>
            </w:r>
          </w:p>
        </w:tc>
        <w:tc>
          <w:tcPr>
            <w:tcW w:w="3515" w:type="pct"/>
            <w:shd w:val="clear" w:color="auto" w:fill="auto"/>
          </w:tcPr>
          <w:p w14:paraId="3521BE90" w14:textId="206D27C6" w:rsidR="001C70CA" w:rsidRPr="00E21AE7" w:rsidRDefault="00D33152" w:rsidP="007F171B">
            <w:pPr>
              <w:spacing w:before="80" w:after="80" w:line="276" w:lineRule="auto"/>
              <w:contextualSpacing/>
              <w:rPr>
                <w:rFonts w:cs="Arial"/>
                <w:b/>
              </w:rPr>
            </w:pPr>
            <w:r w:rsidRPr="00E21AE7">
              <w:rPr>
                <w:rFonts w:cs="Arial"/>
                <w:b/>
              </w:rPr>
              <w:t>Meets</w:t>
            </w:r>
          </w:p>
          <w:p w14:paraId="544D15F6" w14:textId="3F186D4F" w:rsidR="00227603" w:rsidRPr="00E21AE7" w:rsidRDefault="00082605" w:rsidP="007F171B">
            <w:pPr>
              <w:spacing w:before="80" w:after="80" w:line="276" w:lineRule="auto"/>
              <w:contextualSpacing/>
              <w:rPr>
                <w:rFonts w:cs="Arial"/>
              </w:rPr>
            </w:pPr>
            <w:r w:rsidRPr="00E21AE7">
              <w:rPr>
                <w:rFonts w:cs="Arial"/>
              </w:rPr>
              <w:t xml:space="preserve">The assessment has identified </w:t>
            </w:r>
            <w:r w:rsidR="005920B5" w:rsidRPr="00E21AE7">
              <w:rPr>
                <w:rFonts w:cs="Arial"/>
              </w:rPr>
              <w:t>a range of</w:t>
            </w:r>
            <w:r w:rsidRPr="00E21AE7">
              <w:rPr>
                <w:rFonts w:cs="Arial"/>
              </w:rPr>
              <w:t xml:space="preserve"> issues that require attention by QDAF. The conditions proposed for inclusion on Part 13 and 13A approvals are designed to address these issues and represent a precautionary approach to the management of environmental uncertainty and risk. The management regime, when supported by these conditions </w:t>
            </w:r>
            <w:r w:rsidR="005920B5" w:rsidRPr="00E21AE7">
              <w:rPr>
                <w:rFonts w:cs="Arial"/>
              </w:rPr>
              <w:t xml:space="preserve">should </w:t>
            </w:r>
            <w:r w:rsidRPr="00E21AE7">
              <w:rPr>
                <w:rFonts w:cs="Arial"/>
              </w:rPr>
              <w:t xml:space="preserve">be </w:t>
            </w:r>
            <w:r w:rsidR="0033540A" w:rsidRPr="00E21AE7">
              <w:rPr>
                <w:rFonts w:cs="Arial"/>
              </w:rPr>
              <w:t>enough</w:t>
            </w:r>
            <w:r w:rsidRPr="00E21AE7">
              <w:rPr>
                <w:rFonts w:cs="Arial"/>
              </w:rPr>
              <w:t xml:space="preserve"> to </w:t>
            </w:r>
            <w:r w:rsidR="00287189" w:rsidRPr="00E21AE7">
              <w:rPr>
                <w:rFonts w:cs="Arial"/>
              </w:rPr>
              <w:t>prevent serious or irreversible environmental damage being caused by this fishery.</w:t>
            </w:r>
          </w:p>
        </w:tc>
      </w:tr>
    </w:tbl>
    <w:p w14:paraId="4F13199B" w14:textId="77777777" w:rsidR="00ED0F91" w:rsidRPr="00FD022E" w:rsidRDefault="00ED0F91" w:rsidP="007F171B">
      <w:pPr>
        <w:spacing w:line="276" w:lineRule="auto"/>
        <w:rPr>
          <w:rFonts w:cs="Arial"/>
        </w:rPr>
        <w:sectPr w:rsidR="00ED0F91" w:rsidRPr="00FD022E" w:rsidSect="001955CD">
          <w:pgSz w:w="16838" w:h="11906" w:orient="landscape"/>
          <w:pgMar w:top="1021" w:right="1021" w:bottom="1021" w:left="1021" w:header="709" w:footer="709" w:gutter="0"/>
          <w:cols w:space="708"/>
          <w:docGrid w:linePitch="360"/>
        </w:sectPr>
      </w:pPr>
      <w:bookmarkStart w:id="21" w:name="_Toc316301052"/>
      <w:bookmarkEnd w:id="2"/>
    </w:p>
    <w:p w14:paraId="3FD16CD5" w14:textId="16857807" w:rsidR="00B6012C" w:rsidRPr="00FD022E" w:rsidRDefault="00B6012C" w:rsidP="007F171B">
      <w:pPr>
        <w:pStyle w:val="Heading1"/>
        <w:rPr>
          <w:rFonts w:ascii="Arial" w:hAnsi="Arial"/>
        </w:rPr>
      </w:pPr>
      <w:bookmarkStart w:id="22" w:name="_Toc316301053"/>
      <w:bookmarkStart w:id="23" w:name="_Toc48212737"/>
      <w:bookmarkEnd w:id="21"/>
      <w:r w:rsidRPr="00FD022E">
        <w:rPr>
          <w:rFonts w:ascii="Arial" w:hAnsi="Arial"/>
        </w:rPr>
        <w:lastRenderedPageBreak/>
        <w:t>References</w:t>
      </w:r>
      <w:bookmarkEnd w:id="22"/>
      <w:r w:rsidR="00113760" w:rsidRPr="00FD022E">
        <w:rPr>
          <w:rFonts w:ascii="Arial" w:hAnsi="Arial"/>
        </w:rPr>
        <w:t xml:space="preserve"> and bi</w:t>
      </w:r>
      <w:r w:rsidR="006A0B0E" w:rsidRPr="00FD022E">
        <w:rPr>
          <w:rFonts w:ascii="Arial" w:hAnsi="Arial"/>
        </w:rPr>
        <w:t>b</w:t>
      </w:r>
      <w:r w:rsidR="00113760" w:rsidRPr="00FD022E">
        <w:rPr>
          <w:rFonts w:ascii="Arial" w:hAnsi="Arial"/>
        </w:rPr>
        <w:t>liography</w:t>
      </w:r>
      <w:bookmarkEnd w:id="23"/>
    </w:p>
    <w:p w14:paraId="7115CF64" w14:textId="44AD49A7" w:rsidR="00F212D5" w:rsidRPr="00FD022E" w:rsidRDefault="00F212D5" w:rsidP="007F171B">
      <w:pPr>
        <w:spacing w:before="0" w:line="276" w:lineRule="auto"/>
        <w:rPr>
          <w:rFonts w:cs="Arial"/>
        </w:rPr>
      </w:pPr>
      <w:r w:rsidRPr="00FD022E">
        <w:rPr>
          <w:rFonts w:cs="Arial"/>
        </w:rPr>
        <w:t xml:space="preserve">Australian Government Department of Agriculture, </w:t>
      </w:r>
      <w:proofErr w:type="gramStart"/>
      <w:r w:rsidRPr="00FD022E">
        <w:rPr>
          <w:rFonts w:cs="Arial"/>
        </w:rPr>
        <w:t>Water</w:t>
      </w:r>
      <w:proofErr w:type="gramEnd"/>
      <w:r w:rsidRPr="00FD022E">
        <w:rPr>
          <w:rFonts w:cs="Arial"/>
        </w:rPr>
        <w:t xml:space="preserve"> and the Environment (DAWR), 2012. Marine bioregional plan for the Temperate East Marine Region. </w:t>
      </w:r>
      <w:hyperlink r:id="rId103" w:history="1">
        <w:r w:rsidRPr="00FD022E">
          <w:rPr>
            <w:rStyle w:val="Hyperlink"/>
            <w:rFonts w:cs="Arial"/>
          </w:rPr>
          <w:t>http://www.environment.gov.au/topics/marine/marine-bioregional-plans/temperate-east</w:t>
        </w:r>
      </w:hyperlink>
      <w:r w:rsidRPr="00FD022E">
        <w:rPr>
          <w:rFonts w:cs="Arial"/>
        </w:rPr>
        <w:t>.</w:t>
      </w:r>
    </w:p>
    <w:p w14:paraId="0B9847DD" w14:textId="7AD48249" w:rsidR="00F212D5" w:rsidRPr="00FD022E" w:rsidRDefault="00F212D5" w:rsidP="007F171B">
      <w:pPr>
        <w:pStyle w:val="CommentText"/>
        <w:spacing w:before="0" w:after="120" w:line="276" w:lineRule="auto"/>
        <w:rPr>
          <w:rFonts w:ascii="Arial" w:hAnsi="Arial" w:cs="Arial"/>
          <w:sz w:val="22"/>
          <w:szCs w:val="22"/>
          <w:shd w:val="clear" w:color="auto" w:fill="F5F5F5"/>
        </w:rPr>
      </w:pPr>
      <w:r w:rsidRPr="00FD022E">
        <w:rPr>
          <w:rFonts w:ascii="Arial" w:hAnsi="Arial" w:cs="Arial"/>
          <w:sz w:val="22"/>
          <w:szCs w:val="22"/>
          <w:shd w:val="clear" w:color="auto" w:fill="F5F5F5"/>
        </w:rPr>
        <w:t>Australian Museum</w:t>
      </w:r>
      <w:r w:rsidR="00390B89" w:rsidRPr="00FD022E">
        <w:rPr>
          <w:rFonts w:ascii="Arial" w:hAnsi="Arial" w:cs="Arial"/>
          <w:sz w:val="22"/>
          <w:szCs w:val="22"/>
          <w:shd w:val="clear" w:color="auto" w:fill="F5F5F5"/>
        </w:rPr>
        <w:t>.</w:t>
      </w:r>
      <w:r w:rsidRPr="00FD022E">
        <w:rPr>
          <w:rFonts w:ascii="Arial" w:hAnsi="Arial" w:cs="Arial"/>
          <w:sz w:val="22"/>
          <w:szCs w:val="22"/>
          <w:shd w:val="clear" w:color="auto" w:fill="F5F5F5"/>
        </w:rPr>
        <w:t xml:space="preserve"> </w:t>
      </w:r>
      <w:hyperlink r:id="rId104" w:history="1">
        <w:r w:rsidR="00390B89" w:rsidRPr="00FD022E">
          <w:rPr>
            <w:rStyle w:val="Hyperlink"/>
            <w:rFonts w:ascii="Arial" w:hAnsi="Arial" w:cs="Arial"/>
            <w:sz w:val="22"/>
            <w:szCs w:val="22"/>
          </w:rPr>
          <w:t>https://australianmuseum.net.au/learn/animals/fishes/stout-whiting-sillago-robusta-stead-1908/</w:t>
        </w:r>
      </w:hyperlink>
      <w:r w:rsidRPr="00FD022E">
        <w:rPr>
          <w:rFonts w:ascii="Arial" w:hAnsi="Arial" w:cs="Arial"/>
          <w:sz w:val="22"/>
          <w:szCs w:val="22"/>
        </w:rPr>
        <w:t>.</w:t>
      </w:r>
      <w:r w:rsidR="00390B89" w:rsidRPr="00FD022E">
        <w:rPr>
          <w:rFonts w:ascii="Arial" w:hAnsi="Arial" w:cs="Arial"/>
          <w:sz w:val="22"/>
          <w:szCs w:val="22"/>
        </w:rPr>
        <w:t xml:space="preserve"> Accessed 8 April 2020.</w:t>
      </w:r>
    </w:p>
    <w:p w14:paraId="60D7FCD9" w14:textId="793DA27C" w:rsidR="00034E94" w:rsidRPr="00FD022E" w:rsidRDefault="00034E94" w:rsidP="007F171B">
      <w:pPr>
        <w:autoSpaceDE w:val="0"/>
        <w:autoSpaceDN w:val="0"/>
        <w:adjustRightInd w:val="0"/>
        <w:spacing w:before="0" w:line="276" w:lineRule="auto"/>
        <w:rPr>
          <w:rFonts w:cs="Arial"/>
          <w:color w:val="000000"/>
          <w:lang w:eastAsia="en-AU"/>
        </w:rPr>
      </w:pPr>
      <w:r w:rsidRPr="00FD022E">
        <w:rPr>
          <w:rFonts w:cs="Arial"/>
        </w:rPr>
        <w:t xml:space="preserve">Broadhurst, M.K., </w:t>
      </w:r>
      <w:proofErr w:type="spellStart"/>
      <w:r w:rsidRPr="00FD022E">
        <w:rPr>
          <w:rFonts w:cs="Arial"/>
        </w:rPr>
        <w:t>Suuronen</w:t>
      </w:r>
      <w:proofErr w:type="spellEnd"/>
      <w:r w:rsidRPr="00FD022E">
        <w:rPr>
          <w:rFonts w:cs="Arial"/>
        </w:rPr>
        <w:t>, P., and Hulme, A., 2006. Estimating collateral mortality from towed fishing gear. Fish and Fisheries 7, 180-218.</w:t>
      </w:r>
    </w:p>
    <w:p w14:paraId="590BFB3B" w14:textId="28115D27" w:rsidR="00034E94" w:rsidRPr="00FD022E" w:rsidRDefault="00034E94" w:rsidP="007F171B">
      <w:pPr>
        <w:autoSpaceDE w:val="0"/>
        <w:autoSpaceDN w:val="0"/>
        <w:adjustRightInd w:val="0"/>
        <w:spacing w:before="0" w:line="276" w:lineRule="auto"/>
        <w:rPr>
          <w:rFonts w:cs="Arial"/>
        </w:rPr>
      </w:pPr>
      <w:r w:rsidRPr="00FD022E">
        <w:rPr>
          <w:rFonts w:cs="Arial"/>
          <w:color w:val="000000"/>
          <w:lang w:eastAsia="en-AU"/>
        </w:rPr>
        <w:t>Broadhurst, M., Young, D.J., Gray, C. and Wooden, M.E.L., 2005. Improving selection in south eastern Australian whiting (</w:t>
      </w:r>
      <w:proofErr w:type="spellStart"/>
      <w:r w:rsidRPr="00FD022E">
        <w:rPr>
          <w:rFonts w:cs="Arial"/>
          <w:i/>
          <w:color w:val="000000"/>
          <w:lang w:eastAsia="en-AU"/>
        </w:rPr>
        <w:t>Sillago</w:t>
      </w:r>
      <w:proofErr w:type="spellEnd"/>
      <w:r w:rsidRPr="00FD022E">
        <w:rPr>
          <w:rFonts w:cs="Arial"/>
          <w:color w:val="000000"/>
          <w:lang w:eastAsia="en-AU"/>
        </w:rPr>
        <w:t xml:space="preserve"> spp.) trawls: Effects of modifying the body, extension and </w:t>
      </w:r>
      <w:proofErr w:type="spellStart"/>
      <w:r w:rsidRPr="00FD022E">
        <w:rPr>
          <w:rFonts w:cs="Arial"/>
          <w:color w:val="000000"/>
          <w:lang w:eastAsia="en-AU"/>
        </w:rPr>
        <w:t>codend</w:t>
      </w:r>
      <w:proofErr w:type="spellEnd"/>
      <w:r w:rsidRPr="00FD022E">
        <w:rPr>
          <w:rFonts w:cs="Arial"/>
          <w:color w:val="000000"/>
          <w:lang w:eastAsia="en-AU"/>
        </w:rPr>
        <w:t xml:space="preserve">. Scientia Marina. 69. 301-311. </w:t>
      </w:r>
      <w:hyperlink r:id="rId105" w:history="1">
        <w:r w:rsidRPr="00FD022E">
          <w:rPr>
            <w:rStyle w:val="Hyperlink"/>
            <w:rFonts w:cs="Arial"/>
          </w:rPr>
          <w:t>https://pdfs.semanticscholar.org/672c/ece4f47f7e8bb504bfa373d6dd29c6dd919b.pdf?_ga=2.125078154.1022843153.1580951138-202270578.1580951138</w:t>
        </w:r>
      </w:hyperlink>
      <w:r w:rsidRPr="00FD022E">
        <w:rPr>
          <w:rStyle w:val="Hyperlink"/>
          <w:rFonts w:cs="Arial"/>
        </w:rPr>
        <w:t>.</w:t>
      </w:r>
      <w:r w:rsidRPr="00FD022E">
        <w:rPr>
          <w:rFonts w:cs="Arial"/>
          <w:color w:val="000000"/>
          <w:lang w:eastAsia="en-AU"/>
        </w:rPr>
        <w:t xml:space="preserve"> </w:t>
      </w:r>
      <w:r w:rsidR="00856A95" w:rsidRPr="00FD022E">
        <w:rPr>
          <w:rFonts w:cs="Arial"/>
        </w:rPr>
        <w:t>Accessed 6 February 2020.</w:t>
      </w:r>
    </w:p>
    <w:p w14:paraId="6773CEF8" w14:textId="5FDD98B1" w:rsidR="00034E94" w:rsidRPr="00FD022E" w:rsidRDefault="00034E94" w:rsidP="007F171B">
      <w:pPr>
        <w:spacing w:before="0" w:line="276" w:lineRule="auto"/>
        <w:rPr>
          <w:rFonts w:cs="Arial"/>
        </w:rPr>
      </w:pPr>
      <w:r w:rsidRPr="00FD022E">
        <w:rPr>
          <w:rStyle w:val="personname"/>
          <w:rFonts w:cs="Arial"/>
          <w:color w:val="000000"/>
          <w:shd w:val="clear" w:color="auto" w:fill="FFFFFF"/>
        </w:rPr>
        <w:t>Butcher, A.</w:t>
      </w:r>
      <w:r w:rsidRPr="00FD022E">
        <w:rPr>
          <w:rFonts w:cs="Arial"/>
          <w:color w:val="000000"/>
          <w:shd w:val="clear" w:color="auto" w:fill="FFFFFF"/>
        </w:rPr>
        <w:t> and </w:t>
      </w:r>
      <w:r w:rsidRPr="00FD022E">
        <w:rPr>
          <w:rStyle w:val="personname"/>
          <w:rFonts w:cs="Arial"/>
          <w:color w:val="000000"/>
          <w:shd w:val="clear" w:color="auto" w:fill="FFFFFF"/>
        </w:rPr>
        <w:t>Brown, I.</w:t>
      </w:r>
      <w:r w:rsidRPr="00FD022E">
        <w:rPr>
          <w:rFonts w:cs="Arial"/>
          <w:color w:val="000000"/>
          <w:shd w:val="clear" w:color="auto" w:fill="FFFFFF"/>
        </w:rPr>
        <w:t> (1995) </w:t>
      </w:r>
      <w:hyperlink r:id="rId106" w:history="1">
        <w:r w:rsidRPr="00FD022E">
          <w:rPr>
            <w:rStyle w:val="Emphasis"/>
            <w:rFonts w:cs="Arial"/>
            <w:i w:val="0"/>
            <w:color w:val="0B0080"/>
            <w:u w:val="single"/>
            <w:shd w:val="clear" w:color="auto" w:fill="FFFFFF"/>
          </w:rPr>
          <w:t>Age-structure, growth and reproduction of stout whiting Sillago robusta and Japanese market trials.</w:t>
        </w:r>
      </w:hyperlink>
      <w:r w:rsidRPr="00FD022E">
        <w:rPr>
          <w:rFonts w:cs="Arial"/>
          <w:color w:val="000000"/>
          <w:shd w:val="clear" w:color="auto" w:fill="FFFFFF"/>
        </w:rPr>
        <w:t> Project Report. Queensland Dept. of Primary Industries, Brisbane.</w:t>
      </w:r>
      <w:r w:rsidRPr="00FD022E">
        <w:rPr>
          <w:rFonts w:cs="Arial"/>
        </w:rPr>
        <w:t xml:space="preserve"> </w:t>
      </w:r>
      <w:hyperlink r:id="rId107" w:history="1">
        <w:r w:rsidRPr="00FD022E">
          <w:rPr>
            <w:rStyle w:val="Hyperlink"/>
            <w:rFonts w:cs="Arial"/>
          </w:rPr>
          <w:t>http://era.daf.qld.gov.au/id/eprint/4064/1/StoutWhitingFRDC92_101.pdf</w:t>
        </w:r>
      </w:hyperlink>
      <w:r w:rsidRPr="00FD022E">
        <w:rPr>
          <w:rFonts w:cs="Arial"/>
        </w:rPr>
        <w:t>. Accessed 6 February 2020.</w:t>
      </w:r>
    </w:p>
    <w:p w14:paraId="1E645EDF" w14:textId="419BDBF3" w:rsidR="00F212D5" w:rsidRPr="00FD022E" w:rsidRDefault="00F212D5" w:rsidP="007F171B">
      <w:pPr>
        <w:autoSpaceDE w:val="0"/>
        <w:autoSpaceDN w:val="0"/>
        <w:adjustRightInd w:val="0"/>
        <w:spacing w:before="0" w:line="276" w:lineRule="auto"/>
        <w:rPr>
          <w:rFonts w:cs="Arial"/>
          <w:color w:val="000000"/>
          <w:lang w:eastAsia="en-AU"/>
        </w:rPr>
      </w:pPr>
      <w:r w:rsidRPr="00FD022E">
        <w:rPr>
          <w:rFonts w:cs="Arial"/>
          <w:lang w:eastAsia="en-AU"/>
        </w:rPr>
        <w:t xml:space="preserve">Brewer, D., </w:t>
      </w:r>
      <w:proofErr w:type="spellStart"/>
      <w:r w:rsidRPr="00FD022E">
        <w:rPr>
          <w:rFonts w:cs="Arial"/>
          <w:lang w:eastAsia="en-AU"/>
        </w:rPr>
        <w:t>Heales</w:t>
      </w:r>
      <w:proofErr w:type="spellEnd"/>
      <w:r w:rsidRPr="00FD022E">
        <w:rPr>
          <w:rFonts w:cs="Arial"/>
          <w:lang w:eastAsia="en-AU"/>
        </w:rPr>
        <w:t xml:space="preserve">, D., Milton, D., Dell, Q., Fry, G., Venables, B. </w:t>
      </w:r>
      <w:r w:rsidR="00034E94" w:rsidRPr="00FD022E">
        <w:rPr>
          <w:rFonts w:cs="Arial"/>
          <w:lang w:eastAsia="en-AU"/>
        </w:rPr>
        <w:t>and</w:t>
      </w:r>
      <w:r w:rsidRPr="00FD022E">
        <w:rPr>
          <w:rFonts w:cs="Arial"/>
          <w:lang w:eastAsia="en-AU"/>
        </w:rPr>
        <w:t xml:space="preserve"> Jones, P. (2006). The impact of turtle excluder devices and bycatch reduction devices on diverse tropical marine communities in Australia's northern prawn trawl fishery. Fisheries Research 81, 176-188. </w:t>
      </w:r>
      <w:hyperlink r:id="rId108" w:history="1">
        <w:r w:rsidRPr="00FD022E">
          <w:rPr>
            <w:rStyle w:val="Hyperlink"/>
            <w:rFonts w:cs="Arial"/>
            <w:lang w:eastAsia="en-AU"/>
          </w:rPr>
          <w:t>http://npfindustry.com.au/Publications/Minimising%20Fishing%20Impacts/Brewer%20et%20al%202006.pdf</w:t>
        </w:r>
      </w:hyperlink>
      <w:r w:rsidRPr="00FD022E">
        <w:rPr>
          <w:rFonts w:cs="Arial"/>
          <w:lang w:eastAsia="en-AU"/>
        </w:rPr>
        <w:t>. Accessed 21 April 2020</w:t>
      </w:r>
      <w:r w:rsidR="00034E94" w:rsidRPr="00FD022E">
        <w:rPr>
          <w:rFonts w:cs="Arial"/>
          <w:lang w:eastAsia="en-AU"/>
        </w:rPr>
        <w:t>.</w:t>
      </w:r>
    </w:p>
    <w:p w14:paraId="50059773" w14:textId="77777777" w:rsidR="00C70BA9" w:rsidRPr="00FD022E" w:rsidRDefault="00C70BA9" w:rsidP="007F171B">
      <w:pPr>
        <w:pStyle w:val="CommentText"/>
        <w:spacing w:before="0" w:after="120" w:line="276" w:lineRule="auto"/>
        <w:rPr>
          <w:rFonts w:ascii="Arial" w:hAnsi="Arial" w:cs="Arial"/>
          <w:sz w:val="22"/>
          <w:szCs w:val="22"/>
        </w:rPr>
      </w:pPr>
      <w:r w:rsidRPr="00FD022E">
        <w:rPr>
          <w:rFonts w:ascii="Arial" w:hAnsi="Arial" w:cs="Arial"/>
          <w:sz w:val="22"/>
          <w:szCs w:val="22"/>
        </w:rPr>
        <w:t xml:space="preserve">Brewer, D., Rawlinson, N., </w:t>
      </w:r>
      <w:proofErr w:type="spellStart"/>
      <w:r w:rsidRPr="00FD022E">
        <w:rPr>
          <w:rFonts w:ascii="Arial" w:hAnsi="Arial" w:cs="Arial"/>
          <w:sz w:val="22"/>
          <w:szCs w:val="22"/>
        </w:rPr>
        <w:t>Eayrs</w:t>
      </w:r>
      <w:proofErr w:type="spellEnd"/>
      <w:r w:rsidRPr="00FD022E">
        <w:rPr>
          <w:rFonts w:ascii="Arial" w:hAnsi="Arial" w:cs="Arial"/>
          <w:sz w:val="22"/>
          <w:szCs w:val="22"/>
        </w:rPr>
        <w:t>, S. &amp; Burridge, C. (1998). An assessment of Bycatch Reduction Devices in a tropical Australian prawn trawl fishery. Fisheries Research 36, 195-215.</w:t>
      </w:r>
    </w:p>
    <w:p w14:paraId="018FFAF6" w14:textId="74BB960B" w:rsidR="00C70BA9" w:rsidRPr="00FD022E" w:rsidRDefault="00C70BA9" w:rsidP="007F171B">
      <w:pPr>
        <w:pStyle w:val="CommentText"/>
        <w:spacing w:before="0" w:after="120" w:line="276" w:lineRule="auto"/>
        <w:rPr>
          <w:rFonts w:ascii="Arial" w:hAnsi="Arial" w:cs="Arial"/>
          <w:sz w:val="22"/>
          <w:szCs w:val="22"/>
        </w:rPr>
      </w:pPr>
      <w:r w:rsidRPr="00FD022E">
        <w:rPr>
          <w:rStyle w:val="personname2"/>
          <w:rFonts w:ascii="Arial" w:hAnsi="Arial" w:cs="Arial"/>
          <w:sz w:val="22"/>
          <w:szCs w:val="22"/>
        </w:rPr>
        <w:t>Courtney, A. J.</w:t>
      </w:r>
      <w:r w:rsidRPr="00FD022E">
        <w:rPr>
          <w:rFonts w:ascii="Arial" w:hAnsi="Arial" w:cs="Arial"/>
          <w:sz w:val="22"/>
          <w:szCs w:val="22"/>
        </w:rPr>
        <w:t xml:space="preserve">, </w:t>
      </w:r>
      <w:proofErr w:type="spellStart"/>
      <w:r w:rsidRPr="00FD022E">
        <w:rPr>
          <w:rStyle w:val="personname2"/>
          <w:rFonts w:ascii="Arial" w:hAnsi="Arial" w:cs="Arial"/>
          <w:sz w:val="22"/>
          <w:szCs w:val="22"/>
        </w:rPr>
        <w:t>Haddy</w:t>
      </w:r>
      <w:proofErr w:type="spellEnd"/>
      <w:r w:rsidRPr="00FD022E">
        <w:rPr>
          <w:rStyle w:val="personname2"/>
          <w:rFonts w:ascii="Arial" w:hAnsi="Arial" w:cs="Arial"/>
          <w:sz w:val="22"/>
          <w:szCs w:val="22"/>
        </w:rPr>
        <w:t>, J. A.</w:t>
      </w:r>
      <w:r w:rsidRPr="00FD022E">
        <w:rPr>
          <w:rFonts w:ascii="Arial" w:hAnsi="Arial" w:cs="Arial"/>
          <w:sz w:val="22"/>
          <w:szCs w:val="22"/>
        </w:rPr>
        <w:t xml:space="preserve">, </w:t>
      </w:r>
      <w:r w:rsidRPr="00FD022E">
        <w:rPr>
          <w:rStyle w:val="personname2"/>
          <w:rFonts w:ascii="Arial" w:hAnsi="Arial" w:cs="Arial"/>
          <w:sz w:val="22"/>
          <w:szCs w:val="22"/>
        </w:rPr>
        <w:t>Campbell, M. J.</w:t>
      </w:r>
      <w:r w:rsidRPr="00FD022E">
        <w:rPr>
          <w:rFonts w:ascii="Arial" w:hAnsi="Arial" w:cs="Arial"/>
          <w:sz w:val="22"/>
          <w:szCs w:val="22"/>
        </w:rPr>
        <w:t xml:space="preserve">, </w:t>
      </w:r>
      <w:r w:rsidRPr="00FD022E">
        <w:rPr>
          <w:rStyle w:val="personname2"/>
          <w:rFonts w:ascii="Arial" w:hAnsi="Arial" w:cs="Arial"/>
          <w:sz w:val="22"/>
          <w:szCs w:val="22"/>
        </w:rPr>
        <w:t>Roy, D. P.</w:t>
      </w:r>
      <w:r w:rsidRPr="00FD022E">
        <w:rPr>
          <w:rFonts w:ascii="Arial" w:hAnsi="Arial" w:cs="Arial"/>
          <w:sz w:val="22"/>
          <w:szCs w:val="22"/>
        </w:rPr>
        <w:t xml:space="preserve">, </w:t>
      </w:r>
      <w:r w:rsidRPr="00FD022E">
        <w:rPr>
          <w:rStyle w:val="personname2"/>
          <w:rFonts w:ascii="Arial" w:hAnsi="Arial" w:cs="Arial"/>
          <w:sz w:val="22"/>
          <w:szCs w:val="22"/>
        </w:rPr>
        <w:t>Tonks, M. L.</w:t>
      </w:r>
      <w:r w:rsidRPr="00FD022E">
        <w:rPr>
          <w:rFonts w:ascii="Arial" w:hAnsi="Arial" w:cs="Arial"/>
          <w:sz w:val="22"/>
          <w:szCs w:val="22"/>
        </w:rPr>
        <w:t xml:space="preserve">, </w:t>
      </w:r>
      <w:r w:rsidRPr="00FD022E">
        <w:rPr>
          <w:rStyle w:val="personname2"/>
          <w:rFonts w:ascii="Arial" w:hAnsi="Arial" w:cs="Arial"/>
          <w:sz w:val="22"/>
          <w:szCs w:val="22"/>
        </w:rPr>
        <w:t>Gaddes, S. W.</w:t>
      </w:r>
      <w:r w:rsidRPr="00FD022E">
        <w:rPr>
          <w:rFonts w:ascii="Arial" w:hAnsi="Arial" w:cs="Arial"/>
          <w:sz w:val="22"/>
          <w:szCs w:val="22"/>
        </w:rPr>
        <w:t xml:space="preserve">, </w:t>
      </w:r>
      <w:r w:rsidRPr="00FD022E">
        <w:rPr>
          <w:rStyle w:val="personname2"/>
          <w:rFonts w:ascii="Arial" w:hAnsi="Arial" w:cs="Arial"/>
          <w:sz w:val="22"/>
          <w:szCs w:val="22"/>
        </w:rPr>
        <w:t>Chilcott, K. E.</w:t>
      </w:r>
      <w:r w:rsidRPr="00FD022E">
        <w:rPr>
          <w:rFonts w:ascii="Arial" w:hAnsi="Arial" w:cs="Arial"/>
          <w:sz w:val="22"/>
          <w:szCs w:val="22"/>
        </w:rPr>
        <w:t xml:space="preserve">, </w:t>
      </w:r>
      <w:r w:rsidRPr="00FD022E">
        <w:rPr>
          <w:rStyle w:val="personname2"/>
          <w:rFonts w:ascii="Arial" w:hAnsi="Arial" w:cs="Arial"/>
          <w:sz w:val="22"/>
          <w:szCs w:val="22"/>
        </w:rPr>
        <w:t>O'Neill, M. F.</w:t>
      </w:r>
      <w:r w:rsidRPr="00FD022E">
        <w:rPr>
          <w:rFonts w:ascii="Arial" w:hAnsi="Arial" w:cs="Arial"/>
          <w:sz w:val="22"/>
          <w:szCs w:val="22"/>
        </w:rPr>
        <w:t xml:space="preserve">, </w:t>
      </w:r>
      <w:r w:rsidRPr="00FD022E">
        <w:rPr>
          <w:rStyle w:val="personname2"/>
          <w:rFonts w:ascii="Arial" w:hAnsi="Arial" w:cs="Arial"/>
          <w:sz w:val="22"/>
          <w:szCs w:val="22"/>
        </w:rPr>
        <w:t>Brown, I. W.</w:t>
      </w:r>
      <w:r w:rsidRPr="00FD022E">
        <w:rPr>
          <w:rFonts w:ascii="Arial" w:hAnsi="Arial" w:cs="Arial"/>
          <w:sz w:val="22"/>
          <w:szCs w:val="22"/>
        </w:rPr>
        <w:t xml:space="preserve">, </w:t>
      </w:r>
      <w:r w:rsidRPr="00FD022E">
        <w:rPr>
          <w:rStyle w:val="personname2"/>
          <w:rFonts w:ascii="Arial" w:hAnsi="Arial" w:cs="Arial"/>
          <w:sz w:val="22"/>
          <w:szCs w:val="22"/>
        </w:rPr>
        <w:t>McLennan, M.</w:t>
      </w:r>
      <w:r w:rsidRPr="00FD022E">
        <w:rPr>
          <w:rFonts w:ascii="Arial" w:hAnsi="Arial" w:cs="Arial"/>
          <w:sz w:val="22"/>
          <w:szCs w:val="22"/>
        </w:rPr>
        <w:t xml:space="preserve">, </w:t>
      </w:r>
      <w:proofErr w:type="spellStart"/>
      <w:r w:rsidRPr="00FD022E">
        <w:rPr>
          <w:rStyle w:val="personname2"/>
          <w:rFonts w:ascii="Arial" w:hAnsi="Arial" w:cs="Arial"/>
          <w:sz w:val="22"/>
          <w:szCs w:val="22"/>
        </w:rPr>
        <w:t>Jebreen</w:t>
      </w:r>
      <w:proofErr w:type="spellEnd"/>
      <w:r w:rsidRPr="00FD022E">
        <w:rPr>
          <w:rStyle w:val="personname2"/>
          <w:rFonts w:ascii="Arial" w:hAnsi="Arial" w:cs="Arial"/>
          <w:sz w:val="22"/>
          <w:szCs w:val="22"/>
        </w:rPr>
        <w:t>, J. E.</w:t>
      </w:r>
      <w:r w:rsidRPr="00FD022E">
        <w:rPr>
          <w:rFonts w:ascii="Arial" w:hAnsi="Arial" w:cs="Arial"/>
          <w:sz w:val="22"/>
          <w:szCs w:val="22"/>
        </w:rPr>
        <w:t xml:space="preserve">, </w:t>
      </w:r>
      <w:r w:rsidRPr="00FD022E">
        <w:rPr>
          <w:rStyle w:val="personname2"/>
          <w:rFonts w:ascii="Arial" w:hAnsi="Arial" w:cs="Arial"/>
          <w:sz w:val="22"/>
          <w:szCs w:val="22"/>
        </w:rPr>
        <w:t>van der Geest, C.</w:t>
      </w:r>
      <w:r w:rsidRPr="00FD022E">
        <w:rPr>
          <w:rFonts w:ascii="Arial" w:hAnsi="Arial" w:cs="Arial"/>
          <w:sz w:val="22"/>
          <w:szCs w:val="22"/>
        </w:rPr>
        <w:t xml:space="preserve">, </w:t>
      </w:r>
      <w:r w:rsidRPr="00FD022E">
        <w:rPr>
          <w:rStyle w:val="personname2"/>
          <w:rFonts w:ascii="Arial" w:hAnsi="Arial" w:cs="Arial"/>
          <w:sz w:val="22"/>
          <w:szCs w:val="22"/>
        </w:rPr>
        <w:t>Rose, C.</w:t>
      </w:r>
      <w:r w:rsidRPr="00FD022E">
        <w:rPr>
          <w:rFonts w:ascii="Arial" w:hAnsi="Arial" w:cs="Arial"/>
          <w:sz w:val="22"/>
          <w:szCs w:val="22"/>
        </w:rPr>
        <w:t xml:space="preserve">, </w:t>
      </w:r>
      <w:proofErr w:type="spellStart"/>
      <w:r w:rsidRPr="00FD022E">
        <w:rPr>
          <w:rStyle w:val="personname2"/>
          <w:rFonts w:ascii="Arial" w:hAnsi="Arial" w:cs="Arial"/>
          <w:sz w:val="22"/>
          <w:szCs w:val="22"/>
        </w:rPr>
        <w:t>Kistle</w:t>
      </w:r>
      <w:proofErr w:type="spellEnd"/>
      <w:r w:rsidRPr="00FD022E">
        <w:rPr>
          <w:rStyle w:val="personname2"/>
          <w:rFonts w:ascii="Arial" w:hAnsi="Arial" w:cs="Arial"/>
          <w:sz w:val="22"/>
          <w:szCs w:val="22"/>
        </w:rPr>
        <w:t>, S.</w:t>
      </w:r>
      <w:r w:rsidRPr="00FD022E">
        <w:rPr>
          <w:rFonts w:ascii="Arial" w:hAnsi="Arial" w:cs="Arial"/>
          <w:sz w:val="22"/>
          <w:szCs w:val="22"/>
        </w:rPr>
        <w:t xml:space="preserve">, </w:t>
      </w:r>
      <w:r w:rsidRPr="00FD022E">
        <w:rPr>
          <w:rStyle w:val="personname2"/>
          <w:rFonts w:ascii="Arial" w:hAnsi="Arial" w:cs="Arial"/>
          <w:sz w:val="22"/>
          <w:szCs w:val="22"/>
        </w:rPr>
        <w:t>Turnbull, C. T.</w:t>
      </w:r>
      <w:r w:rsidRPr="00FD022E">
        <w:rPr>
          <w:rFonts w:ascii="Arial" w:hAnsi="Arial" w:cs="Arial"/>
          <w:sz w:val="22"/>
          <w:szCs w:val="22"/>
        </w:rPr>
        <w:t xml:space="preserve">, </w:t>
      </w:r>
      <w:proofErr w:type="spellStart"/>
      <w:r w:rsidRPr="00FD022E">
        <w:rPr>
          <w:rStyle w:val="personname2"/>
          <w:rFonts w:ascii="Arial" w:hAnsi="Arial" w:cs="Arial"/>
          <w:sz w:val="22"/>
          <w:szCs w:val="22"/>
        </w:rPr>
        <w:t>Kyne</w:t>
      </w:r>
      <w:proofErr w:type="spellEnd"/>
      <w:r w:rsidRPr="00FD022E">
        <w:rPr>
          <w:rStyle w:val="personname2"/>
          <w:rFonts w:ascii="Arial" w:hAnsi="Arial" w:cs="Arial"/>
          <w:sz w:val="22"/>
          <w:szCs w:val="22"/>
        </w:rPr>
        <w:t>, P. M.</w:t>
      </w:r>
      <w:r w:rsidRPr="00FD022E">
        <w:rPr>
          <w:rFonts w:ascii="Arial" w:hAnsi="Arial" w:cs="Arial"/>
          <w:sz w:val="22"/>
          <w:szCs w:val="22"/>
        </w:rPr>
        <w:t xml:space="preserve">, </w:t>
      </w:r>
      <w:r w:rsidRPr="00FD022E">
        <w:rPr>
          <w:rStyle w:val="personname2"/>
          <w:rFonts w:ascii="Arial" w:hAnsi="Arial" w:cs="Arial"/>
          <w:sz w:val="22"/>
          <w:szCs w:val="22"/>
        </w:rPr>
        <w:t>Bennett, M. B.</w:t>
      </w:r>
      <w:r w:rsidRPr="00FD022E">
        <w:rPr>
          <w:rFonts w:ascii="Arial" w:hAnsi="Arial" w:cs="Arial"/>
          <w:sz w:val="22"/>
          <w:szCs w:val="22"/>
        </w:rPr>
        <w:t xml:space="preserve"> and </w:t>
      </w:r>
      <w:r w:rsidRPr="00FD022E">
        <w:rPr>
          <w:rStyle w:val="personname2"/>
          <w:rFonts w:ascii="Arial" w:hAnsi="Arial" w:cs="Arial"/>
          <w:sz w:val="22"/>
          <w:szCs w:val="22"/>
        </w:rPr>
        <w:t>Taylor, J.</w:t>
      </w:r>
      <w:r w:rsidR="00034E94" w:rsidRPr="00FD022E">
        <w:rPr>
          <w:rStyle w:val="personname2"/>
          <w:rFonts w:ascii="Arial" w:hAnsi="Arial" w:cs="Arial"/>
          <w:sz w:val="22"/>
          <w:szCs w:val="22"/>
        </w:rPr>
        <w:t>,</w:t>
      </w:r>
      <w:r w:rsidRPr="00FD022E">
        <w:rPr>
          <w:rFonts w:ascii="Arial" w:hAnsi="Arial" w:cs="Arial"/>
          <w:sz w:val="22"/>
          <w:szCs w:val="22"/>
        </w:rPr>
        <w:t xml:space="preserve"> 2007</w:t>
      </w:r>
      <w:r w:rsidR="00034E94" w:rsidRPr="00FD022E">
        <w:rPr>
          <w:rFonts w:ascii="Arial" w:hAnsi="Arial" w:cs="Arial"/>
          <w:sz w:val="22"/>
          <w:szCs w:val="22"/>
        </w:rPr>
        <w:t>.</w:t>
      </w:r>
      <w:r w:rsidRPr="00FD022E">
        <w:rPr>
          <w:rFonts w:ascii="Arial" w:hAnsi="Arial" w:cs="Arial"/>
          <w:sz w:val="22"/>
          <w:szCs w:val="22"/>
        </w:rPr>
        <w:t xml:space="preserve"> </w:t>
      </w:r>
      <w:r w:rsidR="00034E94" w:rsidRPr="00FD022E">
        <w:rPr>
          <w:rStyle w:val="Emphasis"/>
          <w:rFonts w:ascii="Arial" w:hAnsi="Arial" w:cs="Arial"/>
          <w:i w:val="0"/>
          <w:sz w:val="22"/>
          <w:szCs w:val="22"/>
        </w:rPr>
        <w:t xml:space="preserve">Bycatch weight, </w:t>
      </w:r>
      <w:proofErr w:type="gramStart"/>
      <w:r w:rsidR="00034E94" w:rsidRPr="00FD022E">
        <w:rPr>
          <w:rStyle w:val="Emphasis"/>
          <w:rFonts w:ascii="Arial" w:hAnsi="Arial" w:cs="Arial"/>
          <w:i w:val="0"/>
          <w:sz w:val="22"/>
          <w:szCs w:val="22"/>
        </w:rPr>
        <w:t>composition</w:t>
      </w:r>
      <w:proofErr w:type="gramEnd"/>
      <w:r w:rsidR="00034E94" w:rsidRPr="00FD022E">
        <w:rPr>
          <w:rStyle w:val="Emphasis"/>
          <w:rFonts w:ascii="Arial" w:hAnsi="Arial" w:cs="Arial"/>
          <w:i w:val="0"/>
          <w:sz w:val="22"/>
          <w:szCs w:val="22"/>
        </w:rPr>
        <w:t xml:space="preserve"> and preliminary estimates of the impact of bycatch reduction devices in Queensland's trawl fishery.</w:t>
      </w:r>
      <w:r w:rsidRPr="00FD022E">
        <w:rPr>
          <w:rFonts w:ascii="Arial" w:hAnsi="Arial" w:cs="Arial"/>
          <w:sz w:val="22"/>
          <w:szCs w:val="22"/>
        </w:rPr>
        <w:t xml:space="preserve"> Project Report. The State of Queensland, Department of Primary Industries and Fisheries, Brisbane. </w:t>
      </w:r>
      <w:hyperlink r:id="rId109" w:history="1">
        <w:r w:rsidRPr="00FD022E">
          <w:rPr>
            <w:rStyle w:val="Hyperlink"/>
            <w:rFonts w:ascii="Arial" w:hAnsi="Arial" w:cs="Arial"/>
            <w:sz w:val="22"/>
            <w:szCs w:val="22"/>
          </w:rPr>
          <w:t>http://era.daf.qld.gov.au/id/eprint/3709/1/BycatchFinalReport2007-FullReport.pdf</w:t>
        </w:r>
      </w:hyperlink>
      <w:r w:rsidRPr="00FD022E">
        <w:rPr>
          <w:rFonts w:ascii="Arial" w:hAnsi="Arial" w:cs="Arial"/>
          <w:sz w:val="22"/>
          <w:szCs w:val="22"/>
        </w:rPr>
        <w:t xml:space="preserve">. </w:t>
      </w:r>
      <w:r w:rsidR="00856A95" w:rsidRPr="00FD022E">
        <w:rPr>
          <w:rFonts w:ascii="Arial" w:hAnsi="Arial" w:cs="Arial"/>
          <w:sz w:val="22"/>
          <w:szCs w:val="22"/>
        </w:rPr>
        <w:t>Accessed 6 February 2020.</w:t>
      </w:r>
    </w:p>
    <w:p w14:paraId="2F0CC532" w14:textId="39CE14FC" w:rsidR="00034E94" w:rsidRPr="00FD022E" w:rsidRDefault="00034E94" w:rsidP="007F171B">
      <w:pPr>
        <w:autoSpaceDE w:val="0"/>
        <w:autoSpaceDN w:val="0"/>
        <w:adjustRightInd w:val="0"/>
        <w:spacing w:before="0" w:line="276" w:lineRule="auto"/>
        <w:rPr>
          <w:rFonts w:cs="Arial"/>
          <w:color w:val="000000"/>
          <w:lang w:eastAsia="en-AU"/>
        </w:rPr>
      </w:pPr>
      <w:r w:rsidRPr="00FD022E">
        <w:rPr>
          <w:rFonts w:cs="Arial"/>
          <w:color w:val="000000"/>
          <w:lang w:eastAsia="en-AU"/>
        </w:rPr>
        <w:t xml:space="preserve">Fisheries Research and Development Council (FRDC), 2018. Status of Australian Fish Stocks Reports. </w:t>
      </w:r>
      <w:hyperlink r:id="rId110" w:history="1">
        <w:r w:rsidRPr="00FD022E">
          <w:rPr>
            <w:rStyle w:val="Hyperlink"/>
            <w:rFonts w:cs="Arial"/>
            <w:lang w:eastAsia="en-AU"/>
          </w:rPr>
          <w:t>http://fish.gov.au/reports/species</w:t>
        </w:r>
      </w:hyperlink>
      <w:r w:rsidRPr="00FD022E">
        <w:rPr>
          <w:rFonts w:cs="Arial"/>
          <w:color w:val="000000"/>
          <w:lang w:eastAsia="en-AU"/>
        </w:rPr>
        <w:t xml:space="preserve">. </w:t>
      </w:r>
      <w:r w:rsidRPr="00FD022E">
        <w:rPr>
          <w:rFonts w:cs="Arial"/>
          <w:lang w:val="en-US" w:eastAsia="en-AU"/>
        </w:rPr>
        <w:t>Accessed 18 March 2020.</w:t>
      </w:r>
    </w:p>
    <w:p w14:paraId="18E0E137" w14:textId="7C4520E8" w:rsidR="00797DB7" w:rsidRPr="00FD022E" w:rsidRDefault="00797DB7" w:rsidP="007F171B">
      <w:pPr>
        <w:pStyle w:val="EndNoteBibliography"/>
        <w:spacing w:after="120" w:line="276" w:lineRule="auto"/>
        <w:rPr>
          <w:sz w:val="22"/>
          <w:szCs w:val="22"/>
        </w:rPr>
      </w:pPr>
      <w:r w:rsidRPr="00FD022E">
        <w:rPr>
          <w:sz w:val="22"/>
          <w:szCs w:val="22"/>
        </w:rPr>
        <w:t xml:space="preserve">Gray, C. A., Barnes, L. M., Robbins, W. D., Meulen, D. E., Ochwada-Doyle, F. A. &amp; Kendall, B. W. (2017). Length- and age-based demographics of exploited populations of stout whiting, Sillago robusta Stead, 1908. Journal of Applied Ichthyology 33, 1073-1082. </w:t>
      </w:r>
      <w:hyperlink r:id="rId111" w:history="1">
        <w:r w:rsidRPr="00FD022E">
          <w:rPr>
            <w:rStyle w:val="Hyperlink"/>
            <w:sz w:val="22"/>
            <w:szCs w:val="22"/>
          </w:rPr>
          <w:t>http://www.wildlifemarine.com.au/pubs/Stout%20whiting%20demog.pdf</w:t>
        </w:r>
      </w:hyperlink>
      <w:r w:rsidRPr="00FD022E">
        <w:rPr>
          <w:sz w:val="22"/>
          <w:szCs w:val="22"/>
        </w:rPr>
        <w:t xml:space="preserve">. </w:t>
      </w:r>
      <w:r w:rsidR="00E2450F" w:rsidRPr="00FD022E">
        <w:rPr>
          <w:sz w:val="22"/>
          <w:szCs w:val="22"/>
        </w:rPr>
        <w:t>Accessed</w:t>
      </w:r>
      <w:r w:rsidR="00E2450F">
        <w:rPr>
          <w:sz w:val="22"/>
          <w:szCs w:val="22"/>
        </w:rPr>
        <w:t> </w:t>
      </w:r>
      <w:r w:rsidR="00E2450F" w:rsidRPr="00FD022E">
        <w:rPr>
          <w:sz w:val="22"/>
          <w:szCs w:val="22"/>
        </w:rPr>
        <w:t>8</w:t>
      </w:r>
      <w:r w:rsidR="00E2450F">
        <w:rPr>
          <w:sz w:val="22"/>
          <w:szCs w:val="22"/>
        </w:rPr>
        <w:t> </w:t>
      </w:r>
      <w:r w:rsidR="00E2450F" w:rsidRPr="00FD022E">
        <w:rPr>
          <w:sz w:val="22"/>
          <w:szCs w:val="22"/>
        </w:rPr>
        <w:t>April</w:t>
      </w:r>
      <w:r w:rsidR="00E2450F">
        <w:rPr>
          <w:sz w:val="22"/>
          <w:szCs w:val="22"/>
        </w:rPr>
        <w:t> </w:t>
      </w:r>
      <w:r w:rsidRPr="00FD022E">
        <w:rPr>
          <w:sz w:val="22"/>
          <w:szCs w:val="22"/>
        </w:rPr>
        <w:t>2020</w:t>
      </w:r>
      <w:r w:rsidR="00856A95" w:rsidRPr="00FD022E">
        <w:rPr>
          <w:sz w:val="22"/>
          <w:szCs w:val="22"/>
        </w:rPr>
        <w:t>.</w:t>
      </w:r>
    </w:p>
    <w:p w14:paraId="78881F8E" w14:textId="7CB6DBD1" w:rsidR="00034E94" w:rsidRPr="00FD022E" w:rsidRDefault="00034E94" w:rsidP="007F171B">
      <w:pPr>
        <w:autoSpaceDE w:val="0"/>
        <w:autoSpaceDN w:val="0"/>
        <w:adjustRightInd w:val="0"/>
        <w:spacing w:before="0" w:line="276" w:lineRule="auto"/>
        <w:rPr>
          <w:rFonts w:cs="Arial"/>
        </w:rPr>
      </w:pPr>
      <w:proofErr w:type="spellStart"/>
      <w:r w:rsidRPr="00FD022E">
        <w:rPr>
          <w:rFonts w:cs="Arial"/>
          <w:color w:val="000000"/>
          <w:lang w:eastAsia="en-AU"/>
        </w:rPr>
        <w:t>Hyndes</w:t>
      </w:r>
      <w:proofErr w:type="spellEnd"/>
      <w:r w:rsidRPr="00FD022E">
        <w:rPr>
          <w:rFonts w:cs="Arial"/>
          <w:color w:val="000000"/>
          <w:lang w:eastAsia="en-AU"/>
        </w:rPr>
        <w:t xml:space="preserve">, G. A., </w:t>
      </w:r>
      <w:proofErr w:type="spellStart"/>
      <w:r w:rsidRPr="00FD022E">
        <w:rPr>
          <w:rFonts w:cs="Arial"/>
          <w:color w:val="000000"/>
          <w:lang w:eastAsia="en-AU"/>
        </w:rPr>
        <w:t>Platell</w:t>
      </w:r>
      <w:proofErr w:type="spellEnd"/>
      <w:r w:rsidRPr="00FD022E">
        <w:rPr>
          <w:rFonts w:cs="Arial"/>
          <w:color w:val="000000"/>
          <w:lang w:eastAsia="en-AU"/>
        </w:rPr>
        <w:t xml:space="preserve">, M. E. and Potter, I. C., 1997. Relationships between diet and body size, mouth morphology, </w:t>
      </w:r>
      <w:proofErr w:type="gramStart"/>
      <w:r w:rsidRPr="00FD022E">
        <w:rPr>
          <w:rFonts w:cs="Arial"/>
          <w:color w:val="000000"/>
          <w:lang w:eastAsia="en-AU"/>
        </w:rPr>
        <w:t>habitat</w:t>
      </w:r>
      <w:proofErr w:type="gramEnd"/>
      <w:r w:rsidRPr="00FD022E">
        <w:rPr>
          <w:rFonts w:cs="Arial"/>
          <w:color w:val="000000"/>
          <w:lang w:eastAsia="en-AU"/>
        </w:rPr>
        <w:t xml:space="preserve"> and movements of six </w:t>
      </w:r>
      <w:proofErr w:type="spellStart"/>
      <w:r w:rsidRPr="00FD022E">
        <w:rPr>
          <w:rFonts w:cs="Arial"/>
          <w:color w:val="000000"/>
          <w:lang w:eastAsia="en-AU"/>
        </w:rPr>
        <w:t>sillaginid</w:t>
      </w:r>
      <w:proofErr w:type="spellEnd"/>
      <w:r w:rsidRPr="00FD022E">
        <w:rPr>
          <w:rFonts w:cs="Arial"/>
          <w:color w:val="000000"/>
          <w:lang w:eastAsia="en-AU"/>
        </w:rPr>
        <w:t xml:space="preserve"> species in coastal waters: implications for resource partitioning. Marine Biology 128(4): 585-598.</w:t>
      </w:r>
      <w:r w:rsidRPr="00FD022E">
        <w:rPr>
          <w:rFonts w:cs="Arial"/>
        </w:rPr>
        <w:t xml:space="preserve"> </w:t>
      </w:r>
      <w:hyperlink r:id="rId112" w:history="1">
        <w:r w:rsidRPr="00FD022E">
          <w:rPr>
            <w:rStyle w:val="Hyperlink"/>
            <w:rFonts w:cs="Arial"/>
          </w:rPr>
          <w:t>https://link.springer.com/content/pdf/10.1007%2Fs002270050125.pdf</w:t>
        </w:r>
      </w:hyperlink>
      <w:r w:rsidRPr="00FD022E">
        <w:rPr>
          <w:rFonts w:cs="Arial"/>
        </w:rPr>
        <w:t xml:space="preserve">. </w:t>
      </w:r>
      <w:r w:rsidR="00E2450F" w:rsidRPr="00FD022E">
        <w:rPr>
          <w:rFonts w:cs="Arial"/>
        </w:rPr>
        <w:t>Accessed</w:t>
      </w:r>
      <w:r w:rsidR="00E2450F">
        <w:rPr>
          <w:rFonts w:cs="Arial"/>
        </w:rPr>
        <w:t> </w:t>
      </w:r>
      <w:r w:rsidR="00E2450F" w:rsidRPr="00FD022E">
        <w:rPr>
          <w:rFonts w:cs="Arial"/>
        </w:rPr>
        <w:t>6</w:t>
      </w:r>
      <w:r w:rsidR="00E2450F">
        <w:rPr>
          <w:rFonts w:cs="Arial"/>
        </w:rPr>
        <w:t> </w:t>
      </w:r>
      <w:r w:rsidR="00E2450F" w:rsidRPr="00FD022E">
        <w:rPr>
          <w:rFonts w:cs="Arial"/>
        </w:rPr>
        <w:t>February</w:t>
      </w:r>
      <w:r w:rsidR="00E2450F">
        <w:rPr>
          <w:rFonts w:cs="Arial"/>
        </w:rPr>
        <w:t> </w:t>
      </w:r>
      <w:r w:rsidR="00856A95" w:rsidRPr="00FD022E">
        <w:rPr>
          <w:rFonts w:cs="Arial"/>
        </w:rPr>
        <w:t>2020.</w:t>
      </w:r>
    </w:p>
    <w:p w14:paraId="61867737" w14:textId="4AAB5289" w:rsidR="00034E94" w:rsidRPr="00FD022E" w:rsidRDefault="00034E94" w:rsidP="007F171B">
      <w:pPr>
        <w:pStyle w:val="CommentText"/>
        <w:spacing w:before="0" w:after="120" w:line="276" w:lineRule="auto"/>
        <w:rPr>
          <w:rFonts w:ascii="Arial" w:hAnsi="Arial" w:cs="Arial"/>
          <w:color w:val="222222"/>
          <w:sz w:val="22"/>
          <w:szCs w:val="22"/>
          <w:shd w:val="clear" w:color="auto" w:fill="FFFFFF"/>
        </w:rPr>
      </w:pPr>
      <w:proofErr w:type="spellStart"/>
      <w:r w:rsidRPr="00FD022E">
        <w:rPr>
          <w:rStyle w:val="HTMLCite"/>
          <w:rFonts w:ascii="Arial" w:hAnsi="Arial" w:cs="Arial"/>
          <w:i w:val="0"/>
          <w:color w:val="222222"/>
          <w:sz w:val="22"/>
          <w:szCs w:val="22"/>
          <w:shd w:val="clear" w:color="auto" w:fill="FFFFFF"/>
        </w:rPr>
        <w:lastRenderedPageBreak/>
        <w:t>Hyndes</w:t>
      </w:r>
      <w:proofErr w:type="spellEnd"/>
      <w:r w:rsidRPr="00FD022E">
        <w:rPr>
          <w:rStyle w:val="HTMLCite"/>
          <w:rFonts w:ascii="Arial" w:hAnsi="Arial" w:cs="Arial"/>
          <w:i w:val="0"/>
          <w:color w:val="222222"/>
          <w:sz w:val="22"/>
          <w:szCs w:val="22"/>
          <w:shd w:val="clear" w:color="auto" w:fill="FFFFFF"/>
        </w:rPr>
        <w:t xml:space="preserve">, G.A.; </w:t>
      </w:r>
      <w:proofErr w:type="spellStart"/>
      <w:r w:rsidRPr="00FD022E">
        <w:rPr>
          <w:rStyle w:val="HTMLCite"/>
          <w:rFonts w:ascii="Arial" w:hAnsi="Arial" w:cs="Arial"/>
          <w:i w:val="0"/>
          <w:color w:val="222222"/>
          <w:sz w:val="22"/>
          <w:szCs w:val="22"/>
          <w:shd w:val="clear" w:color="auto" w:fill="FFFFFF"/>
        </w:rPr>
        <w:t>Platell</w:t>
      </w:r>
      <w:proofErr w:type="spellEnd"/>
      <w:r w:rsidRPr="00FD022E">
        <w:rPr>
          <w:rStyle w:val="HTMLCite"/>
          <w:rFonts w:ascii="Arial" w:hAnsi="Arial" w:cs="Arial"/>
          <w:i w:val="0"/>
          <w:color w:val="222222"/>
          <w:sz w:val="22"/>
          <w:szCs w:val="22"/>
          <w:shd w:val="clear" w:color="auto" w:fill="FFFFFF"/>
        </w:rPr>
        <w:t xml:space="preserve">, M. E.; Potter, I.C.; </w:t>
      </w:r>
      <w:proofErr w:type="spellStart"/>
      <w:r w:rsidRPr="00FD022E">
        <w:rPr>
          <w:rStyle w:val="HTMLCite"/>
          <w:rFonts w:ascii="Arial" w:hAnsi="Arial" w:cs="Arial"/>
          <w:i w:val="0"/>
          <w:color w:val="222222"/>
          <w:sz w:val="22"/>
          <w:szCs w:val="22"/>
          <w:shd w:val="clear" w:color="auto" w:fill="FFFFFF"/>
        </w:rPr>
        <w:t>Lenanton</w:t>
      </w:r>
      <w:proofErr w:type="spellEnd"/>
      <w:r w:rsidRPr="00FD022E">
        <w:rPr>
          <w:rStyle w:val="HTMLCite"/>
          <w:rFonts w:ascii="Arial" w:hAnsi="Arial" w:cs="Arial"/>
          <w:i w:val="0"/>
          <w:color w:val="222222"/>
          <w:sz w:val="22"/>
          <w:szCs w:val="22"/>
          <w:shd w:val="clear" w:color="auto" w:fill="FFFFFF"/>
        </w:rPr>
        <w:t>, R.C.J. (1999). "Does the composition of the demersal fish assemblages in temperate coastal waters change with depth and undergo consistent seasonal changes?". Marine Biology. Springer-Verlag. 134 (2): 335–352. </w:t>
      </w:r>
      <w:hyperlink r:id="rId113" w:tooltip="Digital object identifier" w:history="1">
        <w:r w:rsidRPr="00FD022E">
          <w:rPr>
            <w:rStyle w:val="Hyperlink"/>
            <w:rFonts w:ascii="Arial" w:hAnsi="Arial" w:cs="Arial"/>
            <w:color w:val="0B0080"/>
            <w:sz w:val="22"/>
            <w:szCs w:val="22"/>
            <w:shd w:val="clear" w:color="auto" w:fill="FFFFFF"/>
          </w:rPr>
          <w:t>doi</w:t>
        </w:r>
      </w:hyperlink>
      <w:r w:rsidRPr="00FD022E">
        <w:rPr>
          <w:rStyle w:val="HTMLCite"/>
          <w:rFonts w:ascii="Arial" w:hAnsi="Arial" w:cs="Arial"/>
          <w:i w:val="0"/>
          <w:color w:val="222222"/>
          <w:sz w:val="22"/>
          <w:szCs w:val="22"/>
          <w:shd w:val="clear" w:color="auto" w:fill="FFFFFF"/>
        </w:rPr>
        <w:t>:</w:t>
      </w:r>
      <w:hyperlink r:id="rId114" w:history="1">
        <w:r w:rsidRPr="00FD022E">
          <w:rPr>
            <w:rStyle w:val="Hyperlink"/>
            <w:rFonts w:ascii="Arial" w:hAnsi="Arial" w:cs="Arial"/>
            <w:color w:val="663366"/>
            <w:sz w:val="22"/>
            <w:szCs w:val="22"/>
            <w:shd w:val="clear" w:color="auto" w:fill="FFFFFF"/>
          </w:rPr>
          <w:t>10.1007/s002270050551</w:t>
        </w:r>
      </w:hyperlink>
      <w:r w:rsidRPr="00FD022E">
        <w:rPr>
          <w:rStyle w:val="HTMLCite"/>
          <w:rFonts w:ascii="Arial" w:hAnsi="Arial" w:cs="Arial"/>
          <w:i w:val="0"/>
          <w:color w:val="222222"/>
          <w:sz w:val="22"/>
          <w:szCs w:val="22"/>
          <w:shd w:val="clear" w:color="auto" w:fill="FFFFFF"/>
        </w:rPr>
        <w:t xml:space="preserve">. </w:t>
      </w:r>
      <w:hyperlink r:id="rId115" w:history="1">
        <w:r w:rsidRPr="00FD022E">
          <w:rPr>
            <w:rStyle w:val="Hyperlink"/>
            <w:rFonts w:ascii="Arial" w:hAnsi="Arial" w:cs="Arial"/>
            <w:sz w:val="22"/>
            <w:szCs w:val="22"/>
          </w:rPr>
          <w:t>https://link.springer.com/content/pdf/10.1007%2Fs002270050551.pdf</w:t>
        </w:r>
      </w:hyperlink>
      <w:r w:rsidRPr="00FD022E">
        <w:rPr>
          <w:rStyle w:val="Hyperlink"/>
          <w:rFonts w:ascii="Arial" w:hAnsi="Arial" w:cs="Arial"/>
          <w:sz w:val="22"/>
          <w:szCs w:val="22"/>
        </w:rPr>
        <w:t>.</w:t>
      </w:r>
      <w:r w:rsidRPr="00FD022E">
        <w:rPr>
          <w:rFonts w:ascii="Arial" w:hAnsi="Arial" w:cs="Arial"/>
          <w:sz w:val="22"/>
          <w:szCs w:val="22"/>
        </w:rPr>
        <w:t xml:space="preserve"> </w:t>
      </w:r>
      <w:r w:rsidR="00E2450F" w:rsidRPr="00FD022E">
        <w:rPr>
          <w:rFonts w:ascii="Arial" w:hAnsi="Arial" w:cs="Arial"/>
          <w:sz w:val="22"/>
          <w:szCs w:val="22"/>
        </w:rPr>
        <w:t>Accessed</w:t>
      </w:r>
      <w:r w:rsidR="00E2450F">
        <w:rPr>
          <w:rFonts w:ascii="Arial" w:hAnsi="Arial" w:cs="Arial"/>
          <w:sz w:val="22"/>
          <w:szCs w:val="22"/>
        </w:rPr>
        <w:t> </w:t>
      </w:r>
      <w:r w:rsidR="00E2450F" w:rsidRPr="00FD022E">
        <w:rPr>
          <w:rFonts w:ascii="Arial" w:hAnsi="Arial" w:cs="Arial"/>
          <w:sz w:val="22"/>
          <w:szCs w:val="22"/>
        </w:rPr>
        <w:t>6</w:t>
      </w:r>
      <w:r w:rsidR="00E2450F">
        <w:rPr>
          <w:rFonts w:ascii="Arial" w:hAnsi="Arial" w:cs="Arial"/>
          <w:sz w:val="22"/>
          <w:szCs w:val="22"/>
        </w:rPr>
        <w:t> </w:t>
      </w:r>
      <w:r w:rsidR="00E2450F" w:rsidRPr="00FD022E">
        <w:rPr>
          <w:rFonts w:ascii="Arial" w:hAnsi="Arial" w:cs="Arial"/>
          <w:sz w:val="22"/>
          <w:szCs w:val="22"/>
        </w:rPr>
        <w:t>February</w:t>
      </w:r>
      <w:r w:rsidR="00E2450F">
        <w:rPr>
          <w:rFonts w:ascii="Arial" w:hAnsi="Arial" w:cs="Arial"/>
          <w:sz w:val="22"/>
          <w:szCs w:val="22"/>
        </w:rPr>
        <w:t> </w:t>
      </w:r>
      <w:r w:rsidRPr="00FD022E">
        <w:rPr>
          <w:rFonts w:ascii="Arial" w:hAnsi="Arial" w:cs="Arial"/>
          <w:sz w:val="22"/>
          <w:szCs w:val="22"/>
        </w:rPr>
        <w:t>2020.</w:t>
      </w:r>
    </w:p>
    <w:p w14:paraId="192F8A6B" w14:textId="187D066B" w:rsidR="00034E94" w:rsidRPr="00FD022E" w:rsidRDefault="00034E94" w:rsidP="007F171B">
      <w:pPr>
        <w:autoSpaceDE w:val="0"/>
        <w:autoSpaceDN w:val="0"/>
        <w:adjustRightInd w:val="0"/>
        <w:spacing w:before="0" w:line="276" w:lineRule="auto"/>
        <w:rPr>
          <w:rFonts w:cs="Arial"/>
          <w:color w:val="000000"/>
          <w:lang w:eastAsia="en-AU"/>
        </w:rPr>
      </w:pPr>
      <w:proofErr w:type="spellStart"/>
      <w:r w:rsidRPr="00FD022E">
        <w:rPr>
          <w:rFonts w:cs="Arial"/>
          <w:color w:val="000000"/>
          <w:lang w:eastAsia="en-AU"/>
        </w:rPr>
        <w:t>Hyndes</w:t>
      </w:r>
      <w:proofErr w:type="spellEnd"/>
      <w:r w:rsidRPr="00FD022E">
        <w:rPr>
          <w:rFonts w:cs="Arial"/>
          <w:color w:val="000000"/>
          <w:lang w:eastAsia="en-AU"/>
        </w:rPr>
        <w:t xml:space="preserve">, G.A. and Potter, I.C., 1996. Comparisons between the age structures, </w:t>
      </w:r>
      <w:proofErr w:type="gramStart"/>
      <w:r w:rsidRPr="00FD022E">
        <w:rPr>
          <w:rFonts w:cs="Arial"/>
          <w:color w:val="000000"/>
          <w:lang w:eastAsia="en-AU"/>
        </w:rPr>
        <w:t>growth</w:t>
      </w:r>
      <w:proofErr w:type="gramEnd"/>
      <w:r w:rsidRPr="00FD022E">
        <w:rPr>
          <w:rFonts w:cs="Arial"/>
          <w:color w:val="000000"/>
          <w:lang w:eastAsia="en-AU"/>
        </w:rPr>
        <w:t xml:space="preserve"> and reproductive biology of two co</w:t>
      </w:r>
      <w:r w:rsidRPr="00FD022E">
        <w:rPr>
          <w:rFonts w:ascii="Cambria Math" w:hAnsi="Cambria Math" w:cs="Cambria Math"/>
          <w:color w:val="000000"/>
          <w:lang w:eastAsia="en-AU"/>
        </w:rPr>
        <w:t>‐</w:t>
      </w:r>
      <w:r w:rsidRPr="00FD022E">
        <w:rPr>
          <w:rFonts w:cs="Arial"/>
          <w:color w:val="000000"/>
          <w:lang w:eastAsia="en-AU"/>
        </w:rPr>
        <w:t xml:space="preserve">occurring </w:t>
      </w:r>
      <w:proofErr w:type="spellStart"/>
      <w:r w:rsidRPr="00FD022E">
        <w:rPr>
          <w:rFonts w:cs="Arial"/>
          <w:color w:val="000000"/>
          <w:lang w:eastAsia="en-AU"/>
        </w:rPr>
        <w:t>sillaginids</w:t>
      </w:r>
      <w:proofErr w:type="spellEnd"/>
      <w:r w:rsidRPr="00FD022E">
        <w:rPr>
          <w:rFonts w:cs="Arial"/>
          <w:color w:val="000000"/>
          <w:lang w:eastAsia="en-AU"/>
        </w:rPr>
        <w:t>, </w:t>
      </w:r>
      <w:proofErr w:type="spellStart"/>
      <w:r w:rsidRPr="00FD022E">
        <w:rPr>
          <w:rFonts w:cs="Arial"/>
          <w:i/>
          <w:color w:val="000000"/>
          <w:lang w:eastAsia="en-AU"/>
        </w:rPr>
        <w:t>Sillago</w:t>
      </w:r>
      <w:proofErr w:type="spellEnd"/>
      <w:r w:rsidRPr="00FD022E">
        <w:rPr>
          <w:rFonts w:cs="Arial"/>
          <w:i/>
          <w:color w:val="000000"/>
          <w:lang w:eastAsia="en-AU"/>
        </w:rPr>
        <w:t xml:space="preserve"> </w:t>
      </w:r>
      <w:proofErr w:type="spellStart"/>
      <w:r w:rsidRPr="00FD022E">
        <w:rPr>
          <w:rFonts w:cs="Arial"/>
          <w:i/>
          <w:color w:val="000000"/>
          <w:lang w:eastAsia="en-AU"/>
        </w:rPr>
        <w:t>robusta</w:t>
      </w:r>
      <w:proofErr w:type="spellEnd"/>
      <w:r w:rsidRPr="00FD022E">
        <w:rPr>
          <w:rFonts w:cs="Arial"/>
          <w:color w:val="000000"/>
          <w:lang w:eastAsia="en-AU"/>
        </w:rPr>
        <w:t> and </w:t>
      </w:r>
      <w:r w:rsidRPr="00FD022E">
        <w:rPr>
          <w:rFonts w:cs="Arial"/>
          <w:i/>
          <w:color w:val="000000"/>
          <w:lang w:eastAsia="en-AU"/>
        </w:rPr>
        <w:t xml:space="preserve">S. </w:t>
      </w:r>
      <w:proofErr w:type="spellStart"/>
      <w:r w:rsidRPr="00FD022E">
        <w:rPr>
          <w:rFonts w:cs="Arial"/>
          <w:i/>
          <w:color w:val="000000"/>
          <w:lang w:eastAsia="en-AU"/>
        </w:rPr>
        <w:t>bassensis</w:t>
      </w:r>
      <w:proofErr w:type="spellEnd"/>
      <w:r w:rsidRPr="00FD022E">
        <w:rPr>
          <w:rFonts w:cs="Arial"/>
          <w:color w:val="000000"/>
          <w:lang w:eastAsia="en-AU"/>
        </w:rPr>
        <w:t xml:space="preserve">, in temperate coastal waters of Australia. </w:t>
      </w:r>
      <w:hyperlink r:id="rId116" w:history="1">
        <w:r w:rsidRPr="00FD022E">
          <w:rPr>
            <w:rStyle w:val="Hyperlink"/>
            <w:rFonts w:cs="Arial"/>
          </w:rPr>
          <w:t>https://onlinelibrary.wiley.com/doi/pdf/10.1111/j.1095-8649.1996.tb00002.x</w:t>
        </w:r>
      </w:hyperlink>
      <w:r w:rsidRPr="00FD022E">
        <w:rPr>
          <w:rStyle w:val="Hyperlink"/>
          <w:rFonts w:cs="Arial"/>
        </w:rPr>
        <w:t>.</w:t>
      </w:r>
      <w:r w:rsidRPr="00FD022E">
        <w:rPr>
          <w:rStyle w:val="Hyperlink"/>
          <w:rFonts w:cs="Arial"/>
          <w:u w:val="none"/>
        </w:rPr>
        <w:t xml:space="preserve"> </w:t>
      </w:r>
      <w:r w:rsidR="00856A95" w:rsidRPr="00FD022E">
        <w:rPr>
          <w:rFonts w:cs="Arial"/>
        </w:rPr>
        <w:t>Accessed 6 February 2020</w:t>
      </w:r>
      <w:r w:rsidRPr="00FD022E">
        <w:rPr>
          <w:rFonts w:cs="Arial"/>
        </w:rPr>
        <w:t>.</w:t>
      </w:r>
    </w:p>
    <w:p w14:paraId="498C130E" w14:textId="355E89D8" w:rsidR="00E5469B" w:rsidRPr="00FD022E" w:rsidRDefault="00034E94" w:rsidP="007F171B">
      <w:pPr>
        <w:pStyle w:val="CommentText"/>
        <w:spacing w:before="0" w:after="120" w:line="276" w:lineRule="auto"/>
        <w:rPr>
          <w:rFonts w:ascii="Arial" w:hAnsi="Arial" w:cs="Arial"/>
          <w:color w:val="000000"/>
          <w:sz w:val="22"/>
          <w:szCs w:val="22"/>
        </w:rPr>
      </w:pPr>
      <w:r w:rsidRPr="00FD022E">
        <w:rPr>
          <w:rFonts w:ascii="Arial" w:hAnsi="Arial" w:cs="Arial"/>
          <w:color w:val="000000"/>
          <w:sz w:val="22"/>
          <w:szCs w:val="22"/>
        </w:rPr>
        <w:t xml:space="preserve">Jacobsen, I., Zeller, B., Dunning, M., Garland, A., Courtney, T. and </w:t>
      </w:r>
      <w:proofErr w:type="spellStart"/>
      <w:r w:rsidRPr="00FD022E">
        <w:rPr>
          <w:rFonts w:ascii="Arial" w:hAnsi="Arial" w:cs="Arial"/>
          <w:color w:val="000000"/>
          <w:sz w:val="22"/>
          <w:szCs w:val="22"/>
        </w:rPr>
        <w:t>Jebreen</w:t>
      </w:r>
      <w:proofErr w:type="spellEnd"/>
      <w:r w:rsidRPr="00FD022E">
        <w:rPr>
          <w:rFonts w:ascii="Arial" w:hAnsi="Arial" w:cs="Arial"/>
          <w:color w:val="000000"/>
          <w:sz w:val="22"/>
          <w:szCs w:val="22"/>
        </w:rPr>
        <w:t xml:space="preserve">, E., 2018. </w:t>
      </w:r>
      <w:r w:rsidRPr="00FD022E">
        <w:rPr>
          <w:rFonts w:ascii="Arial" w:hAnsi="Arial" w:cs="Arial"/>
          <w:sz w:val="22"/>
          <w:szCs w:val="22"/>
        </w:rPr>
        <w:t xml:space="preserve">An ecological risk Assessment of the southern Queensland East Coast Otter Trawl Fishery and River and Inshore Beam Trawl Fishery </w:t>
      </w:r>
      <w:r w:rsidRPr="00FD022E">
        <w:rPr>
          <w:rFonts w:ascii="Arial" w:hAnsi="Arial" w:cs="Arial"/>
          <w:color w:val="000000"/>
          <w:sz w:val="22"/>
          <w:szCs w:val="22"/>
        </w:rPr>
        <w:t xml:space="preserve">2018. </w:t>
      </w:r>
      <w:hyperlink r:id="rId117" w:history="1">
        <w:r w:rsidR="00E2450F" w:rsidRPr="00126660">
          <w:rPr>
            <w:rStyle w:val="Hyperlink"/>
            <w:rFonts w:ascii="Arial" w:hAnsi="Arial" w:cs="Arial"/>
            <w:sz w:val="22"/>
            <w:szCs w:val="22"/>
            <w:lang w:eastAsia="en-US"/>
          </w:rPr>
          <w:t>https://www.daf.qld.gov.au/__data/assets/pdf_file/0004/1402672/Sth-QLD-Trawl-ERA-Final.pdf</w:t>
        </w:r>
      </w:hyperlink>
      <w:r w:rsidR="00E2450F" w:rsidRPr="00081E69">
        <w:t>.</w:t>
      </w:r>
      <w:r w:rsidR="00E2450F">
        <w:rPr>
          <w:rFonts w:ascii="Arial" w:hAnsi="Arial" w:cs="Arial"/>
          <w:sz w:val="22"/>
          <w:szCs w:val="22"/>
        </w:rPr>
        <w:t xml:space="preserve"> </w:t>
      </w:r>
      <w:r w:rsidR="00E2450F" w:rsidRPr="00081E69">
        <w:t>Accessed 30 January 2020</w:t>
      </w:r>
      <w:r w:rsidRPr="00FD022E">
        <w:rPr>
          <w:rFonts w:ascii="Arial" w:hAnsi="Arial" w:cs="Arial"/>
          <w:color w:val="000000"/>
          <w:sz w:val="22"/>
          <w:szCs w:val="22"/>
        </w:rPr>
        <w:t>.</w:t>
      </w:r>
    </w:p>
    <w:p w14:paraId="20809264" w14:textId="039E7877" w:rsidR="005B2D31" w:rsidRPr="00FD022E" w:rsidRDefault="005B2D31" w:rsidP="007F171B">
      <w:pPr>
        <w:pStyle w:val="CommentText"/>
        <w:spacing w:before="0" w:after="120" w:line="276" w:lineRule="auto"/>
        <w:rPr>
          <w:rFonts w:ascii="Arial" w:hAnsi="Arial" w:cs="Arial"/>
          <w:sz w:val="22"/>
          <w:szCs w:val="22"/>
        </w:rPr>
      </w:pPr>
      <w:proofErr w:type="spellStart"/>
      <w:r w:rsidRPr="00FD022E">
        <w:rPr>
          <w:rFonts w:ascii="Arial" w:hAnsi="Arial" w:cs="Arial"/>
          <w:sz w:val="22"/>
          <w:szCs w:val="22"/>
        </w:rPr>
        <w:t>Lindeboom</w:t>
      </w:r>
      <w:proofErr w:type="spellEnd"/>
      <w:r w:rsidRPr="00FD022E">
        <w:rPr>
          <w:rFonts w:ascii="Arial" w:hAnsi="Arial" w:cs="Arial"/>
          <w:sz w:val="22"/>
          <w:szCs w:val="22"/>
        </w:rPr>
        <w:t xml:space="preserve">, H. J. &amp; de Groot, S. J. (1998). Impact-II: The effects of different types of fisheries on the North Sea and Irish Sea benthic ecosystems. NIOZ-rapport, Netherlands Institute for Sea Research. Den Burg. </w:t>
      </w:r>
      <w:hyperlink r:id="rId118" w:history="1">
        <w:r w:rsidR="009579E2" w:rsidRPr="00FD022E">
          <w:rPr>
            <w:rStyle w:val="Hyperlink"/>
            <w:rFonts w:ascii="Arial" w:hAnsi="Arial" w:cs="Arial"/>
            <w:sz w:val="22"/>
            <w:szCs w:val="22"/>
          </w:rPr>
          <w:t>http://www.vliz.be/en/imis?module=ref&amp;refid=6412&amp;printversion=1&amp;dropIMIStitle=1</w:t>
        </w:r>
      </w:hyperlink>
      <w:r w:rsidRPr="00FD022E">
        <w:rPr>
          <w:rFonts w:ascii="Arial" w:hAnsi="Arial" w:cs="Arial"/>
          <w:sz w:val="22"/>
          <w:szCs w:val="22"/>
        </w:rPr>
        <w:t xml:space="preserve">. </w:t>
      </w:r>
      <w:r w:rsidR="00E2450F" w:rsidRPr="00FD022E">
        <w:rPr>
          <w:rFonts w:ascii="Arial" w:hAnsi="Arial" w:cs="Arial"/>
          <w:sz w:val="22"/>
          <w:szCs w:val="22"/>
        </w:rPr>
        <w:t>Accessed</w:t>
      </w:r>
      <w:r w:rsidR="00E2450F">
        <w:rPr>
          <w:rFonts w:ascii="Arial" w:hAnsi="Arial" w:cs="Arial"/>
          <w:sz w:val="22"/>
          <w:szCs w:val="22"/>
        </w:rPr>
        <w:t> </w:t>
      </w:r>
      <w:r w:rsidRPr="00FD022E">
        <w:rPr>
          <w:rFonts w:ascii="Arial" w:hAnsi="Arial" w:cs="Arial"/>
          <w:sz w:val="22"/>
          <w:szCs w:val="22"/>
        </w:rPr>
        <w:t>8</w:t>
      </w:r>
      <w:r w:rsidR="00E2450F">
        <w:rPr>
          <w:rFonts w:ascii="Arial" w:hAnsi="Arial" w:cs="Arial"/>
          <w:sz w:val="22"/>
          <w:szCs w:val="22"/>
        </w:rPr>
        <w:t> April </w:t>
      </w:r>
      <w:r w:rsidRPr="00FD022E">
        <w:rPr>
          <w:rFonts w:ascii="Arial" w:hAnsi="Arial" w:cs="Arial"/>
          <w:sz w:val="22"/>
          <w:szCs w:val="22"/>
        </w:rPr>
        <w:t>2020.</w:t>
      </w:r>
    </w:p>
    <w:p w14:paraId="03829939" w14:textId="3D17C89F" w:rsidR="006C26A9" w:rsidRPr="00FD022E" w:rsidRDefault="006C26A9" w:rsidP="007F171B">
      <w:pPr>
        <w:spacing w:before="0" w:line="276" w:lineRule="auto"/>
        <w:rPr>
          <w:rFonts w:cs="Arial"/>
        </w:rPr>
      </w:pPr>
      <w:r w:rsidRPr="00FD022E">
        <w:rPr>
          <w:rStyle w:val="personname2"/>
          <w:rFonts w:cs="Arial"/>
        </w:rPr>
        <w:t>Ovenden, J.R.</w:t>
      </w:r>
      <w:r w:rsidRPr="00FD022E">
        <w:rPr>
          <w:rFonts w:cs="Arial"/>
        </w:rPr>
        <w:t xml:space="preserve"> and </w:t>
      </w:r>
      <w:r w:rsidRPr="00FD022E">
        <w:rPr>
          <w:rStyle w:val="personname2"/>
          <w:rFonts w:cs="Arial"/>
        </w:rPr>
        <w:t xml:space="preserve">Butcher, A. (1999) </w:t>
      </w:r>
      <w:r w:rsidR="00C573F7" w:rsidRPr="00FD022E">
        <w:rPr>
          <w:rStyle w:val="personname2"/>
          <w:rFonts w:cs="Arial"/>
        </w:rPr>
        <w:t xml:space="preserve">An investigation of migration and possible stock structuring by the stout whiting, </w:t>
      </w:r>
      <w:proofErr w:type="spellStart"/>
      <w:r w:rsidR="00C573F7" w:rsidRPr="00FD022E">
        <w:rPr>
          <w:rStyle w:val="personname2"/>
          <w:rFonts w:cs="Arial"/>
          <w:i/>
        </w:rPr>
        <w:t>Sillago</w:t>
      </w:r>
      <w:proofErr w:type="spellEnd"/>
      <w:r w:rsidR="00C573F7" w:rsidRPr="00FD022E">
        <w:rPr>
          <w:rStyle w:val="personname2"/>
          <w:rFonts w:cs="Arial"/>
          <w:i/>
        </w:rPr>
        <w:t xml:space="preserve"> </w:t>
      </w:r>
      <w:proofErr w:type="spellStart"/>
      <w:r w:rsidR="00C573F7" w:rsidRPr="00FD022E">
        <w:rPr>
          <w:rStyle w:val="personname2"/>
          <w:rFonts w:cs="Arial"/>
          <w:i/>
        </w:rPr>
        <w:t>robusta</w:t>
      </w:r>
      <w:proofErr w:type="spellEnd"/>
      <w:r w:rsidR="00C573F7" w:rsidRPr="00FD022E">
        <w:rPr>
          <w:rStyle w:val="personname2"/>
          <w:rFonts w:cs="Arial"/>
        </w:rPr>
        <w:t>, in southern Queensland waters, and its impact on managing the fishery. Final Report on the Pilot Program.</w:t>
      </w:r>
      <w:r w:rsidRPr="00FD022E">
        <w:rPr>
          <w:rStyle w:val="personname2"/>
          <w:rFonts w:cs="Arial"/>
        </w:rPr>
        <w:t xml:space="preserve"> Technical</w:t>
      </w:r>
      <w:r w:rsidRPr="00FD022E">
        <w:rPr>
          <w:rFonts w:cs="Arial"/>
        </w:rPr>
        <w:t xml:space="preserve"> Report. Queensland Government. Department of Primary Industries, Southern Fisheries Centre, Deception Bay, Queensland. (Unpublished)</w:t>
      </w:r>
    </w:p>
    <w:p w14:paraId="2B01BE45" w14:textId="09A321C6" w:rsidR="002C6DB4" w:rsidRPr="00FD022E" w:rsidRDefault="002C6DB4" w:rsidP="007F171B">
      <w:pPr>
        <w:spacing w:before="0" w:line="276" w:lineRule="auto"/>
        <w:rPr>
          <w:rFonts w:cs="Arial"/>
        </w:rPr>
      </w:pPr>
      <w:r w:rsidRPr="00FD022E">
        <w:rPr>
          <w:rFonts w:cs="Arial"/>
        </w:rPr>
        <w:t xml:space="preserve">O’Neil, M.F. and Leigh, G.M., 2007. Fishing power increases continue in Queensland’s east coast trawl fishery, Australia. Fisheries Research, 85, pp. 84-92. </w:t>
      </w:r>
      <w:hyperlink r:id="rId119" w:history="1">
        <w:r w:rsidRPr="00FD022E">
          <w:rPr>
            <w:rStyle w:val="Hyperlink"/>
            <w:rFonts w:cs="Arial"/>
          </w:rPr>
          <w:t>http://era.daf.qld.gov.au/id/eprint/3522/1/1-s2.0-S0165783607000057-main.pdf</w:t>
        </w:r>
      </w:hyperlink>
      <w:r w:rsidR="00856A95" w:rsidRPr="00FD022E">
        <w:rPr>
          <w:rFonts w:cs="Arial"/>
          <w:lang w:eastAsia="en-AU"/>
        </w:rPr>
        <w:t xml:space="preserve">. </w:t>
      </w:r>
      <w:r w:rsidRPr="00FD022E">
        <w:rPr>
          <w:rFonts w:cs="Arial"/>
          <w:lang w:eastAsia="en-AU"/>
        </w:rPr>
        <w:t>Accessed 18 March 2020.</w:t>
      </w:r>
    </w:p>
    <w:p w14:paraId="5CAF8857" w14:textId="758E9AA3" w:rsidR="006B1EE9" w:rsidRPr="00FD022E" w:rsidRDefault="006B1EE9" w:rsidP="007F171B">
      <w:pPr>
        <w:pStyle w:val="ListBullet"/>
        <w:numPr>
          <w:ilvl w:val="0"/>
          <w:numId w:val="0"/>
        </w:numPr>
        <w:spacing w:before="0" w:after="120"/>
        <w:rPr>
          <w:sz w:val="22"/>
          <w:szCs w:val="22"/>
        </w:rPr>
      </w:pPr>
      <w:r w:rsidRPr="00FD022E">
        <w:rPr>
          <w:sz w:val="22"/>
          <w:szCs w:val="22"/>
          <w:lang w:eastAsia="en-AU"/>
        </w:rPr>
        <w:t>Queensland Department of Agriculture and Fisheries (QDAF)</w:t>
      </w:r>
      <w:r w:rsidRPr="00FD022E">
        <w:rPr>
          <w:color w:val="000000"/>
          <w:sz w:val="22"/>
          <w:szCs w:val="22"/>
          <w:lang w:eastAsia="en-AU"/>
        </w:rPr>
        <w:t xml:space="preserve"> </w:t>
      </w:r>
      <w:r w:rsidRPr="00FD022E">
        <w:rPr>
          <w:sz w:val="22"/>
          <w:szCs w:val="22"/>
        </w:rPr>
        <w:t xml:space="preserve">ERA 2003: </w:t>
      </w:r>
      <w:hyperlink r:id="rId120" w:history="1">
        <w:r w:rsidRPr="00FD022E">
          <w:rPr>
            <w:rStyle w:val="Hyperlink"/>
            <w:sz w:val="22"/>
            <w:szCs w:val="22"/>
          </w:rPr>
          <w:t>http://www.environment.gov.au/system/files/pages/fc10464b-51b5-44f7-affe-fb665e405edd/files/stout-whiting-submission.pdf</w:t>
        </w:r>
      </w:hyperlink>
      <w:r w:rsidRPr="00FD022E">
        <w:rPr>
          <w:rStyle w:val="Hyperlink"/>
          <w:sz w:val="22"/>
          <w:szCs w:val="22"/>
        </w:rPr>
        <w:t>.</w:t>
      </w:r>
      <w:r w:rsidRPr="00FD022E">
        <w:rPr>
          <w:sz w:val="22"/>
          <w:szCs w:val="22"/>
          <w:lang w:eastAsia="en-AU"/>
        </w:rPr>
        <w:t xml:space="preserve"> Accessed 28 April 2020.</w:t>
      </w:r>
    </w:p>
    <w:p w14:paraId="25CC8DE2" w14:textId="5EE45402" w:rsidR="00C70BA9" w:rsidRPr="00FD022E" w:rsidRDefault="00C70BA9" w:rsidP="007F171B">
      <w:pPr>
        <w:spacing w:before="0" w:line="276" w:lineRule="auto"/>
        <w:rPr>
          <w:rFonts w:cs="Arial"/>
        </w:rPr>
      </w:pPr>
      <w:r w:rsidRPr="00FD022E">
        <w:rPr>
          <w:rFonts w:cs="Arial"/>
          <w:lang w:eastAsia="en-AU"/>
        </w:rPr>
        <w:t>Queensland Department of Agriculture and Fisheries (QDAF)</w:t>
      </w:r>
      <w:r w:rsidRPr="00FD022E">
        <w:rPr>
          <w:rFonts w:cs="Arial"/>
          <w:color w:val="000000"/>
          <w:lang w:eastAsia="en-AU"/>
        </w:rPr>
        <w:t xml:space="preserve"> </w:t>
      </w:r>
      <w:r w:rsidR="006B1EE9" w:rsidRPr="00FD022E">
        <w:rPr>
          <w:rFonts w:cs="Arial"/>
          <w:color w:val="000000"/>
          <w:lang w:eastAsia="en-AU"/>
        </w:rPr>
        <w:t>a</w:t>
      </w:r>
      <w:r w:rsidRPr="00FD022E">
        <w:rPr>
          <w:rFonts w:cs="Arial"/>
          <w:color w:val="000000"/>
          <w:lang w:eastAsia="en-AU"/>
        </w:rPr>
        <w:t>nn</w:t>
      </w:r>
      <w:r w:rsidR="006B1EE9" w:rsidRPr="00FD022E">
        <w:rPr>
          <w:rFonts w:cs="Arial"/>
          <w:color w:val="000000"/>
          <w:lang w:eastAsia="en-AU"/>
        </w:rPr>
        <w:t>ua</w:t>
      </w:r>
      <w:r w:rsidRPr="00FD022E">
        <w:rPr>
          <w:rFonts w:cs="Arial"/>
          <w:color w:val="000000"/>
          <w:lang w:eastAsia="en-AU"/>
        </w:rPr>
        <w:t xml:space="preserve">l reports: </w:t>
      </w:r>
      <w:hyperlink r:id="rId121" w:history="1">
        <w:r w:rsidRPr="00FD022E">
          <w:rPr>
            <w:rStyle w:val="Hyperlink"/>
            <w:rFonts w:cs="Arial"/>
          </w:rPr>
          <w:t>https://www.daf.qld.gov.au/__data/assets/pdf_file/0004/1423831/Queensland-Fisheries-Summary-Report.pdf</w:t>
        </w:r>
      </w:hyperlink>
    </w:p>
    <w:p w14:paraId="176CF103" w14:textId="64D9FA0D" w:rsidR="00C70BA9" w:rsidRPr="00FD022E" w:rsidRDefault="00661B8B" w:rsidP="007F171B">
      <w:pPr>
        <w:numPr>
          <w:ilvl w:val="0"/>
          <w:numId w:val="18"/>
        </w:numPr>
        <w:spacing w:before="0" w:line="276" w:lineRule="auto"/>
        <w:rPr>
          <w:rFonts w:cs="Arial"/>
          <w:color w:val="000000"/>
          <w:lang w:val="en" w:eastAsia="en-AU"/>
        </w:rPr>
      </w:pPr>
      <w:hyperlink r:id="rId122" w:history="1">
        <w:r w:rsidR="00C70BA9" w:rsidRPr="00FD022E">
          <w:rPr>
            <w:rStyle w:val="Hyperlink"/>
            <w:rFonts w:cs="Arial"/>
            <w:lang w:val="en" w:eastAsia="en-AU"/>
          </w:rPr>
          <w:t>Annual Status Report – Queensland Fin Fish (Stout Whiting) Trawl Fishery January 2006</w:t>
        </w:r>
      </w:hyperlink>
    </w:p>
    <w:p w14:paraId="09EE25D9" w14:textId="77777777" w:rsidR="006B1EE9" w:rsidRPr="00FD022E" w:rsidRDefault="00661B8B" w:rsidP="007F171B">
      <w:pPr>
        <w:numPr>
          <w:ilvl w:val="0"/>
          <w:numId w:val="18"/>
        </w:numPr>
        <w:spacing w:before="0" w:line="276" w:lineRule="auto"/>
        <w:rPr>
          <w:rFonts w:cs="Arial"/>
          <w:color w:val="000000"/>
          <w:lang w:val="en" w:eastAsia="en-AU"/>
        </w:rPr>
      </w:pPr>
      <w:hyperlink r:id="rId123" w:history="1">
        <w:r w:rsidR="006B1EE9" w:rsidRPr="00FD022E">
          <w:rPr>
            <w:rStyle w:val="Hyperlink"/>
            <w:rFonts w:cs="Arial"/>
            <w:lang w:val="en" w:eastAsia="en-AU"/>
          </w:rPr>
          <w:t>Annual Status Report - Queensland Fin Fish (Stout Whiting) Trawl Fishery July 2006</w:t>
        </w:r>
      </w:hyperlink>
    </w:p>
    <w:p w14:paraId="7826D837" w14:textId="77777777" w:rsidR="006B1EE9" w:rsidRPr="00FD022E" w:rsidRDefault="00661B8B" w:rsidP="007F171B">
      <w:pPr>
        <w:numPr>
          <w:ilvl w:val="0"/>
          <w:numId w:val="18"/>
        </w:numPr>
        <w:spacing w:before="0" w:line="276" w:lineRule="auto"/>
        <w:rPr>
          <w:rFonts w:cs="Arial"/>
          <w:color w:val="000000"/>
          <w:lang w:val="en" w:eastAsia="en-AU"/>
        </w:rPr>
      </w:pPr>
      <w:hyperlink r:id="rId124" w:history="1">
        <w:r w:rsidR="006B1EE9" w:rsidRPr="00FD022E">
          <w:rPr>
            <w:rStyle w:val="Hyperlink"/>
            <w:rFonts w:cs="Arial"/>
            <w:lang w:val="en" w:eastAsia="en-AU"/>
          </w:rPr>
          <w:t>Annual Status Report – Queensland Fin Fish (Stout Whiting) Trawl Fishery 2007</w:t>
        </w:r>
      </w:hyperlink>
    </w:p>
    <w:p w14:paraId="0A6EEDC1" w14:textId="77777777" w:rsidR="006B1EE9" w:rsidRPr="00FD022E" w:rsidRDefault="00661B8B" w:rsidP="007F171B">
      <w:pPr>
        <w:pStyle w:val="pdf"/>
        <w:numPr>
          <w:ilvl w:val="0"/>
          <w:numId w:val="18"/>
        </w:numPr>
        <w:spacing w:after="120" w:line="276" w:lineRule="auto"/>
        <w:rPr>
          <w:rFonts w:ascii="Arial" w:hAnsi="Arial" w:cs="Arial"/>
          <w:sz w:val="22"/>
          <w:szCs w:val="22"/>
          <w:lang w:val="en"/>
        </w:rPr>
      </w:pPr>
      <w:hyperlink r:id="rId125" w:history="1">
        <w:r w:rsidR="006B1EE9" w:rsidRPr="00FD022E">
          <w:rPr>
            <w:rStyle w:val="Hyperlink"/>
            <w:rFonts w:ascii="Arial" w:hAnsi="Arial" w:cs="Arial"/>
            <w:sz w:val="22"/>
            <w:szCs w:val="22"/>
            <w:lang w:val="en"/>
          </w:rPr>
          <w:t>Annual Status Report – Queensland Fin Fish (Stout Whiting) Trawl Fishery 2008</w:t>
        </w:r>
      </w:hyperlink>
    </w:p>
    <w:p w14:paraId="03A7977D" w14:textId="22AA7D79" w:rsidR="00C70BA9" w:rsidRPr="00FD022E" w:rsidRDefault="00661B8B" w:rsidP="007F171B">
      <w:pPr>
        <w:pStyle w:val="pdf"/>
        <w:numPr>
          <w:ilvl w:val="0"/>
          <w:numId w:val="18"/>
        </w:numPr>
        <w:spacing w:after="120" w:line="276" w:lineRule="auto"/>
        <w:rPr>
          <w:rFonts w:ascii="Arial" w:hAnsi="Arial" w:cs="Arial"/>
          <w:sz w:val="22"/>
          <w:szCs w:val="22"/>
          <w:lang w:val="en"/>
        </w:rPr>
      </w:pPr>
      <w:hyperlink r:id="rId126" w:history="1">
        <w:r w:rsidR="00C70BA9" w:rsidRPr="00FD022E">
          <w:rPr>
            <w:rStyle w:val="Hyperlink"/>
            <w:rFonts w:ascii="Arial" w:hAnsi="Arial" w:cs="Arial"/>
            <w:sz w:val="22"/>
            <w:szCs w:val="22"/>
            <w:lang w:val="en"/>
          </w:rPr>
          <w:t>Annual Status Report - Queensland Fin Fish (Stout Whiting) Trawl Fishery 2009</w:t>
        </w:r>
      </w:hyperlink>
    </w:p>
    <w:p w14:paraId="34DE583A" w14:textId="77777777" w:rsidR="006B1EE9" w:rsidRPr="00FD022E" w:rsidRDefault="00661B8B" w:rsidP="007F171B">
      <w:pPr>
        <w:pStyle w:val="pdf"/>
        <w:numPr>
          <w:ilvl w:val="0"/>
          <w:numId w:val="18"/>
        </w:numPr>
        <w:spacing w:after="120" w:line="276" w:lineRule="auto"/>
        <w:rPr>
          <w:rFonts w:ascii="Arial" w:hAnsi="Arial" w:cs="Arial"/>
          <w:sz w:val="22"/>
          <w:szCs w:val="22"/>
          <w:lang w:val="en"/>
        </w:rPr>
      </w:pPr>
      <w:hyperlink r:id="rId127" w:history="1">
        <w:r w:rsidR="006B1EE9" w:rsidRPr="00FD022E">
          <w:rPr>
            <w:rStyle w:val="Hyperlink"/>
            <w:rFonts w:ascii="Arial" w:hAnsi="Arial" w:cs="Arial"/>
            <w:sz w:val="22"/>
            <w:szCs w:val="22"/>
            <w:lang w:val="en"/>
          </w:rPr>
          <w:t>Annual Status Report – Queensland Fin Fish (Stout Whiting) Trawl Fishery 2010</w:t>
        </w:r>
      </w:hyperlink>
    </w:p>
    <w:p w14:paraId="54929C7F" w14:textId="77777777" w:rsidR="00F7091E" w:rsidRPr="00FD022E" w:rsidRDefault="00F7091E" w:rsidP="007F171B">
      <w:pPr>
        <w:autoSpaceDE w:val="0"/>
        <w:autoSpaceDN w:val="0"/>
        <w:adjustRightInd w:val="0"/>
        <w:spacing w:before="0" w:line="276" w:lineRule="auto"/>
        <w:rPr>
          <w:rFonts w:cs="Arial"/>
          <w:color w:val="000000"/>
          <w:lang w:eastAsia="en-AU"/>
        </w:rPr>
      </w:pPr>
      <w:r w:rsidRPr="00FD022E">
        <w:rPr>
          <w:rFonts w:cs="Arial"/>
          <w:lang w:eastAsia="en-AU"/>
        </w:rPr>
        <w:t>Queensland Department of Agriculture and Fisheries (QDAF)</w:t>
      </w:r>
      <w:r w:rsidRPr="00FD022E">
        <w:rPr>
          <w:rFonts w:cs="Arial"/>
          <w:color w:val="000000"/>
          <w:lang w:eastAsia="en-AU"/>
        </w:rPr>
        <w:t>, 2017. Proposed Trial Expansion of the Stout Whiting Fishery Area For targeted consultation. May 2017. Unpublished report.</w:t>
      </w:r>
    </w:p>
    <w:p w14:paraId="178A9313" w14:textId="77777777" w:rsidR="00F7091E" w:rsidRPr="00FD022E" w:rsidRDefault="00F7091E" w:rsidP="007F171B">
      <w:pPr>
        <w:spacing w:before="0" w:line="276" w:lineRule="auto"/>
        <w:rPr>
          <w:rFonts w:cs="Arial"/>
          <w:lang w:eastAsia="en-AU"/>
        </w:rPr>
      </w:pPr>
      <w:r w:rsidRPr="00FD022E">
        <w:rPr>
          <w:rFonts w:cs="Arial"/>
          <w:lang w:eastAsia="en-AU"/>
        </w:rPr>
        <w:lastRenderedPageBreak/>
        <w:t xml:space="preserve">Queensland Department of Agriculture and Fisheries (QDAF), 2019. Application for assessment. </w:t>
      </w:r>
      <w:hyperlink r:id="rId128" w:history="1">
        <w:r w:rsidRPr="00FD022E">
          <w:rPr>
            <w:rStyle w:val="Hyperlink"/>
            <w:rFonts w:cs="Arial"/>
            <w:lang w:eastAsia="en-AU"/>
          </w:rPr>
          <w:t>http://www.environment.gov.au/marine/fisheries/qld/commercial-trawl/application-2019</w:t>
        </w:r>
      </w:hyperlink>
      <w:r w:rsidRPr="00FD022E">
        <w:rPr>
          <w:rFonts w:cs="Arial"/>
          <w:lang w:eastAsia="en-AU"/>
        </w:rPr>
        <w:t>. Accessed 11 March 2020.</w:t>
      </w:r>
    </w:p>
    <w:p w14:paraId="4A9E9443" w14:textId="6887A3B5" w:rsidR="00A133AE" w:rsidRPr="00FD022E" w:rsidRDefault="00A133AE" w:rsidP="007F171B">
      <w:pPr>
        <w:spacing w:line="276" w:lineRule="auto"/>
      </w:pPr>
      <w:r w:rsidRPr="00FD022E">
        <w:rPr>
          <w:rFonts w:cs="Arial"/>
          <w:lang w:eastAsia="en-AU"/>
        </w:rPr>
        <w:t>Queensland Department of Agriculture and Fisheries (QDAF)</w:t>
      </w:r>
      <w:r w:rsidRPr="00FD022E">
        <w:rPr>
          <w:rFonts w:cs="Arial"/>
        </w:rPr>
        <w:t xml:space="preserve"> pers comm., 2020. Various email and phone conversions January-</w:t>
      </w:r>
      <w:r w:rsidR="00A127EE">
        <w:rPr>
          <w:rFonts w:cs="Arial"/>
        </w:rPr>
        <w:t>July</w:t>
      </w:r>
      <w:r w:rsidRPr="00FD022E">
        <w:rPr>
          <w:rFonts w:cs="Arial"/>
        </w:rPr>
        <w:t xml:space="preserve"> 2020.</w:t>
      </w:r>
    </w:p>
    <w:p w14:paraId="77F7C000" w14:textId="2E1D2BA0" w:rsidR="00F7091E" w:rsidRDefault="00F7091E" w:rsidP="007F171B">
      <w:pPr>
        <w:spacing w:line="276" w:lineRule="auto"/>
        <w:rPr>
          <w:rFonts w:cs="Arial"/>
        </w:rPr>
      </w:pPr>
      <w:r w:rsidRPr="00FD022E">
        <w:rPr>
          <w:rFonts w:cs="Arial"/>
          <w:lang w:eastAsia="en-AU"/>
        </w:rPr>
        <w:t>Queensland Department of Agriculture and Fisheries (QDAF)</w:t>
      </w:r>
      <w:r w:rsidRPr="00FD022E">
        <w:rPr>
          <w:rFonts w:cs="Arial"/>
        </w:rPr>
        <w:t xml:space="preserve"> pers comm.</w:t>
      </w:r>
      <w:r w:rsidR="00A133AE" w:rsidRPr="00FD022E">
        <w:rPr>
          <w:rFonts w:cs="Arial"/>
        </w:rPr>
        <w:t>,</w:t>
      </w:r>
      <w:r w:rsidRPr="00FD022E">
        <w:rPr>
          <w:rFonts w:cs="Arial"/>
        </w:rPr>
        <w:t xml:space="preserve"> 8 May 2020. </w:t>
      </w:r>
      <w:r w:rsidR="00807EA7" w:rsidRPr="00FD022E">
        <w:rPr>
          <w:rFonts w:cs="Arial"/>
        </w:rPr>
        <w:t>Emailed d</w:t>
      </w:r>
      <w:r w:rsidRPr="00FD022E">
        <w:rPr>
          <w:rFonts w:cs="Arial"/>
        </w:rPr>
        <w:t>ocument titled “DAWE Request for further information regarding the Commercial Trawl Fishery Finfish”.</w:t>
      </w:r>
    </w:p>
    <w:p w14:paraId="615D95AC" w14:textId="0BE7E91C" w:rsidR="00A127EE" w:rsidRPr="00FD022E" w:rsidRDefault="000C5B26" w:rsidP="00A127EE">
      <w:pPr>
        <w:spacing w:line="276" w:lineRule="auto"/>
      </w:pPr>
      <w:r w:rsidRPr="00ED73BE">
        <w:rPr>
          <w:rFonts w:cs="Arial"/>
          <w:lang w:eastAsia="en-AU"/>
        </w:rPr>
        <w:t>Queensland Department of Agriculture and Fisheries (QDAF)</w:t>
      </w:r>
      <w:r w:rsidRPr="00ED73BE">
        <w:rPr>
          <w:rFonts w:cs="Arial"/>
        </w:rPr>
        <w:t xml:space="preserve"> pers comm., 3 July 2020. Emailed document titled “Consultation draft – CTFFF conditions 20200622”.</w:t>
      </w:r>
    </w:p>
    <w:p w14:paraId="5B77F70A" w14:textId="3C8A3C1F" w:rsidR="00C70BA9" w:rsidRPr="00FD022E" w:rsidRDefault="00C70BA9" w:rsidP="007F171B">
      <w:pPr>
        <w:spacing w:before="0" w:line="276" w:lineRule="auto"/>
        <w:rPr>
          <w:rFonts w:cs="Arial"/>
        </w:rPr>
      </w:pPr>
      <w:proofErr w:type="spellStart"/>
      <w:r w:rsidRPr="00FD022E">
        <w:rPr>
          <w:rFonts w:cs="Arial"/>
          <w:lang w:val="en-US" w:eastAsia="en-AU"/>
        </w:rPr>
        <w:t>Roelofs</w:t>
      </w:r>
      <w:proofErr w:type="spellEnd"/>
      <w:r w:rsidRPr="00FD022E">
        <w:rPr>
          <w:rFonts w:cs="Arial"/>
          <w:lang w:val="en-US" w:eastAsia="en-AU"/>
        </w:rPr>
        <w:t xml:space="preserve">, A. and Hall, K. (2018). Status of Australian Fish Stocks: Stout Whiting (2018). Available at </w:t>
      </w:r>
      <w:hyperlink r:id="rId129" w:history="1">
        <w:r w:rsidRPr="00FD022E">
          <w:rPr>
            <w:rStyle w:val="Hyperlink"/>
            <w:rFonts w:cs="Arial"/>
            <w:lang w:val="en-US" w:eastAsia="en-AU"/>
          </w:rPr>
          <w:t>http://fish.gov.au/report/211-Stout-Whiting-2018</w:t>
        </w:r>
      </w:hyperlink>
      <w:r w:rsidR="00034E94" w:rsidRPr="00FD022E">
        <w:rPr>
          <w:rFonts w:cs="Arial"/>
          <w:lang w:val="en-US" w:eastAsia="en-AU"/>
        </w:rPr>
        <w:t xml:space="preserve">. </w:t>
      </w:r>
      <w:r w:rsidRPr="00FD022E">
        <w:rPr>
          <w:rFonts w:cs="Arial"/>
          <w:lang w:val="en-US" w:eastAsia="en-AU"/>
        </w:rPr>
        <w:t>Accessed 30 January 2020.</w:t>
      </w:r>
    </w:p>
    <w:p w14:paraId="0CDC8832" w14:textId="5998E2D0" w:rsidR="00BC791D" w:rsidRPr="00FD022E" w:rsidRDefault="00BC791D" w:rsidP="007F171B">
      <w:pPr>
        <w:spacing w:before="0" w:line="276" w:lineRule="auto"/>
        <w:rPr>
          <w:rFonts w:cs="Arial"/>
        </w:rPr>
      </w:pPr>
      <w:r w:rsidRPr="00FD022E">
        <w:rPr>
          <w:rFonts w:cs="Arial"/>
          <w:lang w:eastAsia="en-AU"/>
        </w:rPr>
        <w:t xml:space="preserve">Walton, J. and Jacobsen, I., </w:t>
      </w:r>
      <w:r w:rsidR="00E450DD" w:rsidRPr="00FD022E">
        <w:rPr>
          <w:rFonts w:cs="Arial"/>
          <w:lang w:eastAsia="en-AU"/>
        </w:rPr>
        <w:t>2019</w:t>
      </w:r>
      <w:r w:rsidRPr="00FD022E">
        <w:rPr>
          <w:rFonts w:cs="Arial"/>
          <w:lang w:eastAsia="en-AU"/>
        </w:rPr>
        <w:t>. Level 1 Ecological Risk Assessment</w:t>
      </w:r>
      <w:r w:rsidRPr="00FD022E">
        <w:rPr>
          <w:rFonts w:cs="Arial"/>
        </w:rPr>
        <w:t xml:space="preserve">, </w:t>
      </w:r>
      <w:r w:rsidRPr="00FD022E">
        <w:rPr>
          <w:rFonts w:cs="Arial"/>
          <w:lang w:eastAsia="en-AU"/>
        </w:rPr>
        <w:t xml:space="preserve">Fin Fish (Stout Whiting) Trawl Fishery. </w:t>
      </w:r>
      <w:hyperlink r:id="rId130" w:history="1">
        <w:r w:rsidR="00C92550" w:rsidRPr="00FD022E">
          <w:rPr>
            <w:rStyle w:val="Hyperlink"/>
            <w:rFonts w:eastAsia="Times New Roman" w:cs="Arial"/>
            <w:color w:val="0B0080"/>
          </w:rPr>
          <w:t>http://era.daf.qld.gov.au/id/eprint/7064/</w:t>
        </w:r>
      </w:hyperlink>
      <w:r w:rsidR="00034E94" w:rsidRPr="00FD022E">
        <w:rPr>
          <w:rFonts w:cs="Arial"/>
          <w:lang w:val="en-US" w:eastAsia="en-AU"/>
        </w:rPr>
        <w:t xml:space="preserve">. </w:t>
      </w:r>
      <w:r w:rsidR="002A7310" w:rsidRPr="00FD022E">
        <w:rPr>
          <w:rFonts w:cs="Arial"/>
          <w:lang w:val="en-US" w:eastAsia="en-AU"/>
        </w:rPr>
        <w:t>Accessed 24 Feb</w:t>
      </w:r>
      <w:r w:rsidR="00C70BA9" w:rsidRPr="00FD022E">
        <w:rPr>
          <w:rFonts w:cs="Arial"/>
          <w:lang w:val="en-US" w:eastAsia="en-AU"/>
        </w:rPr>
        <w:t>r</w:t>
      </w:r>
      <w:r w:rsidR="002A7310" w:rsidRPr="00FD022E">
        <w:rPr>
          <w:rFonts w:cs="Arial"/>
          <w:lang w:val="en-US" w:eastAsia="en-AU"/>
        </w:rPr>
        <w:t>uary 2020.</w:t>
      </w:r>
    </w:p>
    <w:p w14:paraId="14BEF7B3" w14:textId="3F1B73B3" w:rsidR="00034E94" w:rsidRPr="00FD022E" w:rsidRDefault="00034E94" w:rsidP="007F171B">
      <w:pPr>
        <w:pStyle w:val="CommentText"/>
        <w:spacing w:before="0" w:after="120" w:line="276" w:lineRule="auto"/>
        <w:rPr>
          <w:rFonts w:ascii="Arial" w:hAnsi="Arial" w:cs="Arial"/>
          <w:sz w:val="22"/>
          <w:szCs w:val="22"/>
        </w:rPr>
      </w:pPr>
      <w:r w:rsidRPr="00FD022E">
        <w:rPr>
          <w:rFonts w:ascii="Arial" w:hAnsi="Arial" w:cs="Arial"/>
          <w:sz w:val="22"/>
          <w:szCs w:val="22"/>
        </w:rPr>
        <w:t xml:space="preserve">Wassenberg, T. J. &amp; Hill, B. J. (1990). Partitioning of material discarded from prawn trawlers in Moreton Bay. Australian Journal of Marine and Freshwater Research 41, 27-36. </w:t>
      </w:r>
      <w:hyperlink r:id="rId131" w:history="1">
        <w:r w:rsidRPr="00FD022E">
          <w:rPr>
            <w:rStyle w:val="Hyperlink"/>
            <w:rFonts w:ascii="Arial" w:hAnsi="Arial" w:cs="Arial"/>
            <w:sz w:val="22"/>
            <w:szCs w:val="22"/>
          </w:rPr>
          <w:t>https://www.publish.csiro.au/mf/pdf/MF9900027</w:t>
        </w:r>
      </w:hyperlink>
      <w:r w:rsidRPr="00FD022E">
        <w:rPr>
          <w:rFonts w:ascii="Arial" w:hAnsi="Arial" w:cs="Arial"/>
          <w:sz w:val="22"/>
          <w:szCs w:val="22"/>
        </w:rPr>
        <w:t>. Accessed 8 April 2020.</w:t>
      </w:r>
    </w:p>
    <w:p w14:paraId="7EC1458C" w14:textId="5F5FE4C1" w:rsidR="00F212D5" w:rsidRPr="00FD022E" w:rsidRDefault="00F212D5" w:rsidP="007F171B">
      <w:pPr>
        <w:pStyle w:val="CommentText"/>
        <w:spacing w:before="0" w:after="120" w:line="276" w:lineRule="auto"/>
        <w:rPr>
          <w:rFonts w:ascii="Arial" w:hAnsi="Arial" w:cs="Arial"/>
          <w:color w:val="222222"/>
          <w:sz w:val="22"/>
          <w:szCs w:val="22"/>
          <w:shd w:val="clear" w:color="auto" w:fill="FFFFFF"/>
        </w:rPr>
      </w:pPr>
      <w:r w:rsidRPr="00FD022E">
        <w:rPr>
          <w:rFonts w:ascii="Arial" w:hAnsi="Arial" w:cs="Arial"/>
          <w:sz w:val="22"/>
          <w:szCs w:val="22"/>
          <w:shd w:val="clear" w:color="auto" w:fill="F5F5F5"/>
        </w:rPr>
        <w:t xml:space="preserve">Wikipedia. </w:t>
      </w:r>
      <w:hyperlink r:id="rId132" w:history="1">
        <w:r w:rsidRPr="00FD022E">
          <w:rPr>
            <w:rStyle w:val="Hyperlink"/>
            <w:rFonts w:ascii="Arial" w:hAnsi="Arial" w:cs="Arial"/>
            <w:sz w:val="22"/>
            <w:szCs w:val="22"/>
          </w:rPr>
          <w:t>https://en.wikipedia.org/wiki/Stout_whiting</w:t>
        </w:r>
      </w:hyperlink>
      <w:r w:rsidR="00390B89" w:rsidRPr="00FD022E">
        <w:rPr>
          <w:rStyle w:val="Hyperlink"/>
          <w:rFonts w:ascii="Arial" w:hAnsi="Arial" w:cs="Arial"/>
          <w:sz w:val="22"/>
          <w:szCs w:val="22"/>
        </w:rPr>
        <w:t xml:space="preserve">. </w:t>
      </w:r>
      <w:r w:rsidR="00390B89" w:rsidRPr="00FD022E">
        <w:rPr>
          <w:rFonts w:ascii="Arial" w:hAnsi="Arial" w:cs="Arial"/>
          <w:sz w:val="22"/>
          <w:szCs w:val="22"/>
        </w:rPr>
        <w:t>Accessed 8 April 2020.</w:t>
      </w:r>
    </w:p>
    <w:p w14:paraId="46E00EE7" w14:textId="54EE1EDC" w:rsidR="00C57EAA" w:rsidRPr="00653FE9" w:rsidRDefault="00C70BA9" w:rsidP="007F171B">
      <w:pPr>
        <w:autoSpaceDE w:val="0"/>
        <w:autoSpaceDN w:val="0"/>
        <w:adjustRightInd w:val="0"/>
        <w:spacing w:before="0" w:line="276" w:lineRule="auto"/>
        <w:rPr>
          <w:rFonts w:cs="Arial"/>
        </w:rPr>
      </w:pPr>
      <w:r w:rsidRPr="00FD022E">
        <w:rPr>
          <w:rFonts w:cs="Arial"/>
        </w:rPr>
        <w:t xml:space="preserve">Wortmann, J. and O’Neill, M.F., 2016. Stout Whiting Fishery Summary, Commercial Quota Setting for 2017. Queensland Department of Agriculture and Fisheries. </w:t>
      </w:r>
      <w:hyperlink r:id="rId133" w:history="1">
        <w:r w:rsidRPr="00FD022E">
          <w:rPr>
            <w:rStyle w:val="Hyperlink"/>
            <w:rFonts w:cs="Arial"/>
          </w:rPr>
          <w:t>http://era.daf.qld.gov.au/id/eprint/5199/1/Stout%20Whiting%20TACC%20for%202017%20-%20FINAL%2008062016.pdf</w:t>
        </w:r>
      </w:hyperlink>
      <w:r w:rsidR="00034E94" w:rsidRPr="00FD022E">
        <w:rPr>
          <w:rFonts w:cs="Arial"/>
          <w:lang w:val="en-US" w:eastAsia="en-AU"/>
        </w:rPr>
        <w:t xml:space="preserve">. </w:t>
      </w:r>
      <w:r w:rsidRPr="00FD022E">
        <w:rPr>
          <w:rFonts w:cs="Arial"/>
          <w:lang w:val="en-US" w:eastAsia="en-AU"/>
        </w:rPr>
        <w:t>Accessed 30 January 2020.</w:t>
      </w:r>
    </w:p>
    <w:sectPr w:rsidR="00C57EAA" w:rsidRPr="00653FE9" w:rsidSect="00231C67">
      <w:headerReference w:type="even" r:id="rId134"/>
      <w:headerReference w:type="default" r:id="rId135"/>
      <w:footerReference w:type="even" r:id="rId136"/>
      <w:footerReference w:type="default" r:id="rId137"/>
      <w:headerReference w:type="first" r:id="rId138"/>
      <w:footerReference w:type="first" r:id="rId139"/>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09CF05" w14:textId="77777777" w:rsidR="002C7C07" w:rsidRDefault="002C7C07" w:rsidP="00A60185">
      <w:pPr>
        <w:spacing w:after="0"/>
      </w:pPr>
      <w:r>
        <w:separator/>
      </w:r>
    </w:p>
  </w:endnote>
  <w:endnote w:type="continuationSeparator" w:id="0">
    <w:p w14:paraId="5A088993" w14:textId="77777777" w:rsidR="002C7C07" w:rsidRDefault="002C7C07" w:rsidP="00A60185">
      <w:pPr>
        <w:spacing w:after="0"/>
      </w:pPr>
      <w:r>
        <w:continuationSeparator/>
      </w:r>
    </w:p>
  </w:endnote>
  <w:endnote w:type="continuationNotice" w:id="1">
    <w:p w14:paraId="5AFA536F" w14:textId="77777777" w:rsidR="002C7C07" w:rsidRDefault="002C7C0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2D7E89" w:rsidRDefault="002D7E89">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2D7E89" w:rsidRDefault="002D7E89">
    <w:pPr>
      <w:pStyle w:val="Footer"/>
      <w:jc w:val="right"/>
    </w:pPr>
  </w:p>
  <w:p w14:paraId="6627FCF2" w14:textId="77777777" w:rsidR="002D7E89" w:rsidRDefault="002D7E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77777777" w:rsidR="002D7E89" w:rsidRPr="008676DA" w:rsidRDefault="002D7E89">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67</w:t>
    </w:r>
    <w:r w:rsidRPr="008676DA">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2D7E89" w:rsidRPr="00E5103E" w:rsidRDefault="002D7E89">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2D7E89" w:rsidRDefault="002D7E8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2D7E89" w:rsidRDefault="002D7E8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2D7E89" w:rsidRDefault="002D7E89">
        <w:pPr>
          <w:pStyle w:val="Footer"/>
          <w:jc w:val="center"/>
        </w:pPr>
        <w:r>
          <w:fldChar w:fldCharType="begin"/>
        </w:r>
        <w:r>
          <w:instrText xml:space="preserve"> PAGE   \* MERGEFORMAT </w:instrText>
        </w:r>
        <w:r>
          <w:fldChar w:fldCharType="separate"/>
        </w:r>
        <w:r>
          <w:rPr>
            <w:noProof/>
          </w:rPr>
          <w:t>70</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2D7E89" w:rsidRDefault="002D7E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EA3DDB" w14:textId="77777777" w:rsidR="002C7C07" w:rsidRDefault="002C7C07" w:rsidP="00A60185">
      <w:pPr>
        <w:spacing w:after="0"/>
      </w:pPr>
      <w:r>
        <w:separator/>
      </w:r>
    </w:p>
  </w:footnote>
  <w:footnote w:type="continuationSeparator" w:id="0">
    <w:p w14:paraId="734704DC" w14:textId="77777777" w:rsidR="002C7C07" w:rsidRDefault="002C7C07" w:rsidP="00A60185">
      <w:pPr>
        <w:spacing w:after="0"/>
      </w:pPr>
      <w:r>
        <w:continuationSeparator/>
      </w:r>
    </w:p>
  </w:footnote>
  <w:footnote w:type="continuationNotice" w:id="1">
    <w:p w14:paraId="377679F6" w14:textId="77777777" w:rsidR="002C7C07" w:rsidRDefault="002C7C0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9C3F2" w14:textId="547D51C2" w:rsidR="002D7E89" w:rsidRDefault="002D7E89">
    <w:pPr>
      <w:pStyle w:val="Header"/>
    </w:pPr>
    <w:r>
      <w:rPr>
        <w:noProof/>
        <w:lang w:eastAsia="en-AU"/>
      </w:rPr>
      <w:drawing>
        <wp:inline distT="0" distB="0" distL="0" distR="0" wp14:anchorId="66B668F9" wp14:editId="7EE60F11">
          <wp:extent cx="3409950" cy="105727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E6E67" w14:textId="52E239D9" w:rsidR="002D7E89" w:rsidRDefault="002D7E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26EBCD59" w:rsidR="002D7E89" w:rsidRDefault="002D7E89" w:rsidP="00E45765">
    <w:pPr>
      <w:pStyle w:val="Classification"/>
    </w:pPr>
    <w:r>
      <w:fldChar w:fldCharType="begin"/>
    </w:r>
    <w:r>
      <w:instrText xml:space="preserve"> DOCPROPERTY SecurityClassification \* MERGEFORMAT </w:instrText>
    </w:r>
    <w:r>
      <w:fldChar w:fldCharType="separate"/>
    </w:r>
    <w:r w:rsidR="00397636">
      <w:rPr>
        <w:b/>
        <w:bCs/>
        <w:lang w:val="en-US"/>
      </w:rPr>
      <w:t>Error! Unknown document property name.</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2D7E89" w:rsidRDefault="002D7E8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2D7E89" w:rsidRDefault="002D7E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4F90CA0"/>
    <w:multiLevelType w:val="hybridMultilevel"/>
    <w:tmpl w:val="43803DA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0601BFE"/>
    <w:multiLevelType w:val="hybridMultilevel"/>
    <w:tmpl w:val="36BA019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F745BC2"/>
    <w:multiLevelType w:val="multilevel"/>
    <w:tmpl w:val="029217B8"/>
    <w:numStyleLink w:val="BulletList"/>
  </w:abstractNum>
  <w:abstractNum w:abstractNumId="5"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803106"/>
    <w:multiLevelType w:val="hybridMultilevel"/>
    <w:tmpl w:val="D890C998"/>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C9E55BB"/>
    <w:multiLevelType w:val="hybridMultilevel"/>
    <w:tmpl w:val="DAD839BC"/>
    <w:lvl w:ilvl="0" w:tplc="3D3C78E6">
      <w:start w:val="1"/>
      <w:numFmt w:val="lowerLetter"/>
      <w:lvlText w:val="%1)"/>
      <w:lvlJc w:val="left"/>
      <w:pPr>
        <w:ind w:left="720" w:hanging="360"/>
      </w:pPr>
      <w:rPr>
        <w:b w:val="0"/>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4402A79"/>
    <w:multiLevelType w:val="multilevel"/>
    <w:tmpl w:val="59F68F2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EF3010"/>
    <w:multiLevelType w:val="multilevel"/>
    <w:tmpl w:val="211C9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FF3936"/>
    <w:multiLevelType w:val="hybridMultilevel"/>
    <w:tmpl w:val="DAD839BC"/>
    <w:lvl w:ilvl="0" w:tplc="3D3C78E6">
      <w:start w:val="1"/>
      <w:numFmt w:val="lowerLetter"/>
      <w:lvlText w:val="%1)"/>
      <w:lvlJc w:val="left"/>
      <w:pPr>
        <w:ind w:left="720" w:hanging="360"/>
      </w:pPr>
      <w:rPr>
        <w:b w:val="0"/>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FC34B28"/>
    <w:multiLevelType w:val="hybridMultilevel"/>
    <w:tmpl w:val="4ADC469C"/>
    <w:lvl w:ilvl="0" w:tplc="2332B9D4">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41521A19"/>
    <w:multiLevelType w:val="hybridMultilevel"/>
    <w:tmpl w:val="7CEE17C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7F70B33"/>
    <w:multiLevelType w:val="hybridMultilevel"/>
    <w:tmpl w:val="D890C998"/>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4DC96948"/>
    <w:multiLevelType w:val="hybridMultilevel"/>
    <w:tmpl w:val="9858DA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4EE326F8"/>
    <w:multiLevelType w:val="hybridMultilevel"/>
    <w:tmpl w:val="7CEE17C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57ED5D1C"/>
    <w:multiLevelType w:val="hybridMultilevel"/>
    <w:tmpl w:val="ACD615A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5456429"/>
    <w:multiLevelType w:val="multilevel"/>
    <w:tmpl w:val="E898CC72"/>
    <w:numStyleLink w:val="KeyPoints"/>
  </w:abstractNum>
  <w:abstractNum w:abstractNumId="20" w15:restartNumberingAfterBreak="0">
    <w:nsid w:val="6728313C"/>
    <w:multiLevelType w:val="hybridMultilevel"/>
    <w:tmpl w:val="F962E934"/>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7A74137"/>
    <w:multiLevelType w:val="hybridMultilevel"/>
    <w:tmpl w:val="41968A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7EC1038"/>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C096AC1"/>
    <w:multiLevelType w:val="hybridMultilevel"/>
    <w:tmpl w:val="00200450"/>
    <w:lvl w:ilvl="0" w:tplc="3C68EC46">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15:restartNumberingAfterBreak="0">
    <w:nsid w:val="767B18B5"/>
    <w:multiLevelType w:val="hybridMultilevel"/>
    <w:tmpl w:val="FEE6751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27"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28" w15:restartNumberingAfterBreak="0">
    <w:nsid w:val="7A155706"/>
    <w:multiLevelType w:val="hybridMultilevel"/>
    <w:tmpl w:val="B0E4953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A3E74C7"/>
    <w:multiLevelType w:val="hybridMultilevel"/>
    <w:tmpl w:val="8BD6F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EC821FE"/>
    <w:multiLevelType w:val="hybridMultilevel"/>
    <w:tmpl w:val="7CEE17C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4"/>
  </w:num>
  <w:num w:numId="2">
    <w:abstractNumId w:val="1"/>
  </w:num>
  <w:num w:numId="3">
    <w:abstractNumId w:val="10"/>
  </w:num>
  <w:num w:numId="4">
    <w:abstractNumId w:val="8"/>
  </w:num>
  <w:num w:numId="5">
    <w:abstractNumId w:val="19"/>
  </w:num>
  <w:num w:numId="6">
    <w:abstractNumId w:val="3"/>
  </w:num>
  <w:num w:numId="7">
    <w:abstractNumId w:val="5"/>
  </w:num>
  <w:num w:numId="8">
    <w:abstractNumId w:val="30"/>
  </w:num>
  <w:num w:numId="9">
    <w:abstractNumId w:val="4"/>
    <w:lvlOverride w:ilvl="0">
      <w:lvl w:ilvl="0">
        <w:start w:val="1"/>
        <w:numFmt w:val="bullet"/>
        <w:lvlText w:val=""/>
        <w:lvlJc w:val="left"/>
        <w:pPr>
          <w:ind w:left="369" w:hanging="369"/>
        </w:pPr>
        <w:rPr>
          <w:rFonts w:ascii="Symbol" w:hAnsi="Symbol" w:hint="default"/>
        </w:rPr>
      </w:lvl>
    </w:lvlOverride>
  </w:num>
  <w:num w:numId="10">
    <w:abstractNumId w:val="26"/>
  </w:num>
  <w:num w:numId="11">
    <w:abstractNumId w:val="27"/>
  </w:num>
  <w:num w:numId="12">
    <w:abstractNumId w:val="21"/>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18"/>
  </w:num>
  <w:num w:numId="17">
    <w:abstractNumId w:val="22"/>
  </w:num>
  <w:num w:numId="18">
    <w:abstractNumId w:val="9"/>
  </w:num>
  <w:num w:numId="19">
    <w:abstractNumId w:val="11"/>
  </w:num>
  <w:num w:numId="20">
    <w:abstractNumId w:val="15"/>
  </w:num>
  <w:num w:numId="21">
    <w:abstractNumId w:val="23"/>
  </w:num>
  <w:num w:numId="22">
    <w:abstractNumId w:val="3"/>
  </w:num>
  <w:num w:numId="23">
    <w:abstractNumId w:val="0"/>
  </w:num>
  <w:num w:numId="24">
    <w:abstractNumId w:val="2"/>
  </w:num>
  <w:num w:numId="25">
    <w:abstractNumId w:val="29"/>
  </w:num>
  <w:num w:numId="26">
    <w:abstractNumId w:val="28"/>
  </w:num>
  <w:num w:numId="27">
    <w:abstractNumId w:val="20"/>
  </w:num>
  <w:num w:numId="28">
    <w:abstractNumId w:val="8"/>
  </w:num>
  <w:num w:numId="29">
    <w:abstractNumId w:val="17"/>
  </w:num>
  <w:num w:numId="30">
    <w:abstractNumId w:val="7"/>
  </w:num>
  <w:num w:numId="31">
    <w:abstractNumId w:val="13"/>
  </w:num>
  <w:num w:numId="32">
    <w:abstractNumId w:val="12"/>
  </w:num>
  <w:num w:numId="33">
    <w:abstractNumId w:val="14"/>
  </w:num>
  <w:num w:numId="34">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0A85"/>
    <w:rsid w:val="00002ABD"/>
    <w:rsid w:val="00002CEF"/>
    <w:rsid w:val="00003548"/>
    <w:rsid w:val="00004AEE"/>
    <w:rsid w:val="00005CAA"/>
    <w:rsid w:val="00006175"/>
    <w:rsid w:val="00007679"/>
    <w:rsid w:val="00007F36"/>
    <w:rsid w:val="00010210"/>
    <w:rsid w:val="000106D6"/>
    <w:rsid w:val="00011909"/>
    <w:rsid w:val="000125A1"/>
    <w:rsid w:val="00012A33"/>
    <w:rsid w:val="00012D66"/>
    <w:rsid w:val="00013CBF"/>
    <w:rsid w:val="00014183"/>
    <w:rsid w:val="000141B7"/>
    <w:rsid w:val="00014775"/>
    <w:rsid w:val="0001595B"/>
    <w:rsid w:val="00015ADA"/>
    <w:rsid w:val="00016D74"/>
    <w:rsid w:val="00020C99"/>
    <w:rsid w:val="0002245D"/>
    <w:rsid w:val="000227A2"/>
    <w:rsid w:val="0002308E"/>
    <w:rsid w:val="00023ED4"/>
    <w:rsid w:val="00024211"/>
    <w:rsid w:val="0002480F"/>
    <w:rsid w:val="00024D69"/>
    <w:rsid w:val="0002707B"/>
    <w:rsid w:val="0003010D"/>
    <w:rsid w:val="00030396"/>
    <w:rsid w:val="00030521"/>
    <w:rsid w:val="0003197E"/>
    <w:rsid w:val="000321B6"/>
    <w:rsid w:val="00034ABE"/>
    <w:rsid w:val="00034C53"/>
    <w:rsid w:val="00034E94"/>
    <w:rsid w:val="00035F54"/>
    <w:rsid w:val="000364BF"/>
    <w:rsid w:val="0003656D"/>
    <w:rsid w:val="00036F59"/>
    <w:rsid w:val="0003737C"/>
    <w:rsid w:val="00040A5A"/>
    <w:rsid w:val="0004106D"/>
    <w:rsid w:val="000417CA"/>
    <w:rsid w:val="00041F62"/>
    <w:rsid w:val="000427A3"/>
    <w:rsid w:val="00044F94"/>
    <w:rsid w:val="00045267"/>
    <w:rsid w:val="000467A2"/>
    <w:rsid w:val="00047026"/>
    <w:rsid w:val="00050450"/>
    <w:rsid w:val="0005148E"/>
    <w:rsid w:val="00052147"/>
    <w:rsid w:val="00052177"/>
    <w:rsid w:val="0005259E"/>
    <w:rsid w:val="0005272D"/>
    <w:rsid w:val="00053C63"/>
    <w:rsid w:val="00054035"/>
    <w:rsid w:val="00056E19"/>
    <w:rsid w:val="0005759D"/>
    <w:rsid w:val="00057F54"/>
    <w:rsid w:val="00057F8E"/>
    <w:rsid w:val="00060995"/>
    <w:rsid w:val="000630C8"/>
    <w:rsid w:val="0006343A"/>
    <w:rsid w:val="00066637"/>
    <w:rsid w:val="000666CA"/>
    <w:rsid w:val="0006797E"/>
    <w:rsid w:val="00072C5A"/>
    <w:rsid w:val="0007405B"/>
    <w:rsid w:val="00074188"/>
    <w:rsid w:val="00074FFE"/>
    <w:rsid w:val="000759E5"/>
    <w:rsid w:val="00077E0E"/>
    <w:rsid w:val="00081E69"/>
    <w:rsid w:val="000825B2"/>
    <w:rsid w:val="00082605"/>
    <w:rsid w:val="000828DC"/>
    <w:rsid w:val="00082F21"/>
    <w:rsid w:val="00083497"/>
    <w:rsid w:val="00083903"/>
    <w:rsid w:val="00084AC6"/>
    <w:rsid w:val="000860F7"/>
    <w:rsid w:val="00086BCC"/>
    <w:rsid w:val="000900EC"/>
    <w:rsid w:val="00091608"/>
    <w:rsid w:val="000919CE"/>
    <w:rsid w:val="0009297C"/>
    <w:rsid w:val="0009333C"/>
    <w:rsid w:val="00093738"/>
    <w:rsid w:val="00094141"/>
    <w:rsid w:val="00095BEB"/>
    <w:rsid w:val="00095EBB"/>
    <w:rsid w:val="000966D4"/>
    <w:rsid w:val="0009704F"/>
    <w:rsid w:val="00097347"/>
    <w:rsid w:val="00097655"/>
    <w:rsid w:val="000A0F11"/>
    <w:rsid w:val="000A0F6C"/>
    <w:rsid w:val="000A125A"/>
    <w:rsid w:val="000A1E48"/>
    <w:rsid w:val="000A324C"/>
    <w:rsid w:val="000A3716"/>
    <w:rsid w:val="000A46C9"/>
    <w:rsid w:val="000A57CD"/>
    <w:rsid w:val="000A6BB4"/>
    <w:rsid w:val="000A6E17"/>
    <w:rsid w:val="000B1D68"/>
    <w:rsid w:val="000B2634"/>
    <w:rsid w:val="000B3758"/>
    <w:rsid w:val="000B3BD8"/>
    <w:rsid w:val="000B468B"/>
    <w:rsid w:val="000B4F39"/>
    <w:rsid w:val="000B5CC7"/>
    <w:rsid w:val="000B68FC"/>
    <w:rsid w:val="000B7681"/>
    <w:rsid w:val="000B790D"/>
    <w:rsid w:val="000B7B42"/>
    <w:rsid w:val="000C02B7"/>
    <w:rsid w:val="000C162F"/>
    <w:rsid w:val="000C1AB9"/>
    <w:rsid w:val="000C5100"/>
    <w:rsid w:val="000C5342"/>
    <w:rsid w:val="000C54EB"/>
    <w:rsid w:val="000C5B26"/>
    <w:rsid w:val="000C62E7"/>
    <w:rsid w:val="000C706A"/>
    <w:rsid w:val="000C7359"/>
    <w:rsid w:val="000C7501"/>
    <w:rsid w:val="000D00EF"/>
    <w:rsid w:val="000D0A53"/>
    <w:rsid w:val="000D0C94"/>
    <w:rsid w:val="000D1443"/>
    <w:rsid w:val="000D2162"/>
    <w:rsid w:val="000D2887"/>
    <w:rsid w:val="000D5661"/>
    <w:rsid w:val="000D5CB2"/>
    <w:rsid w:val="000D6D63"/>
    <w:rsid w:val="000D7061"/>
    <w:rsid w:val="000D7F4B"/>
    <w:rsid w:val="000E0081"/>
    <w:rsid w:val="000E07CF"/>
    <w:rsid w:val="000E0F77"/>
    <w:rsid w:val="000E31C1"/>
    <w:rsid w:val="000E41B6"/>
    <w:rsid w:val="000E43EA"/>
    <w:rsid w:val="000E46F9"/>
    <w:rsid w:val="000E554C"/>
    <w:rsid w:val="000E5BFB"/>
    <w:rsid w:val="000E61D4"/>
    <w:rsid w:val="000F0868"/>
    <w:rsid w:val="000F1138"/>
    <w:rsid w:val="000F2634"/>
    <w:rsid w:val="000F2CF2"/>
    <w:rsid w:val="000F3D88"/>
    <w:rsid w:val="000F4141"/>
    <w:rsid w:val="000F448A"/>
    <w:rsid w:val="000F486F"/>
    <w:rsid w:val="000F4FA3"/>
    <w:rsid w:val="000F51FC"/>
    <w:rsid w:val="000F5214"/>
    <w:rsid w:val="000F5982"/>
    <w:rsid w:val="000F5AED"/>
    <w:rsid w:val="000F61CF"/>
    <w:rsid w:val="000F625F"/>
    <w:rsid w:val="000F64D5"/>
    <w:rsid w:val="000F6943"/>
    <w:rsid w:val="000F6D58"/>
    <w:rsid w:val="000F7A31"/>
    <w:rsid w:val="000F7DB8"/>
    <w:rsid w:val="0010017A"/>
    <w:rsid w:val="00100BEF"/>
    <w:rsid w:val="0010105E"/>
    <w:rsid w:val="001019CF"/>
    <w:rsid w:val="00101CDF"/>
    <w:rsid w:val="00104974"/>
    <w:rsid w:val="001066F8"/>
    <w:rsid w:val="001109BE"/>
    <w:rsid w:val="00111326"/>
    <w:rsid w:val="00111796"/>
    <w:rsid w:val="001117DB"/>
    <w:rsid w:val="00111E21"/>
    <w:rsid w:val="00112790"/>
    <w:rsid w:val="00113760"/>
    <w:rsid w:val="00113E7E"/>
    <w:rsid w:val="00113EB5"/>
    <w:rsid w:val="00113F5F"/>
    <w:rsid w:val="0011498E"/>
    <w:rsid w:val="00114B53"/>
    <w:rsid w:val="00115441"/>
    <w:rsid w:val="0011557A"/>
    <w:rsid w:val="00115C38"/>
    <w:rsid w:val="001161A5"/>
    <w:rsid w:val="00117399"/>
    <w:rsid w:val="00117895"/>
    <w:rsid w:val="00117A45"/>
    <w:rsid w:val="00120259"/>
    <w:rsid w:val="001203F4"/>
    <w:rsid w:val="00120D57"/>
    <w:rsid w:val="00122319"/>
    <w:rsid w:val="001224AE"/>
    <w:rsid w:val="00126D93"/>
    <w:rsid w:val="00127133"/>
    <w:rsid w:val="00130017"/>
    <w:rsid w:val="001307A7"/>
    <w:rsid w:val="001310E4"/>
    <w:rsid w:val="00131329"/>
    <w:rsid w:val="00132E9B"/>
    <w:rsid w:val="001337D4"/>
    <w:rsid w:val="001338DA"/>
    <w:rsid w:val="00134108"/>
    <w:rsid w:val="001342EB"/>
    <w:rsid w:val="00134428"/>
    <w:rsid w:val="001344F2"/>
    <w:rsid w:val="00134B9A"/>
    <w:rsid w:val="00134C7B"/>
    <w:rsid w:val="00136A4F"/>
    <w:rsid w:val="00136E4B"/>
    <w:rsid w:val="00137B07"/>
    <w:rsid w:val="00142C28"/>
    <w:rsid w:val="001465E5"/>
    <w:rsid w:val="00147526"/>
    <w:rsid w:val="00147C12"/>
    <w:rsid w:val="0015089A"/>
    <w:rsid w:val="00151ECD"/>
    <w:rsid w:val="001527A1"/>
    <w:rsid w:val="00152EC5"/>
    <w:rsid w:val="00153090"/>
    <w:rsid w:val="001530DC"/>
    <w:rsid w:val="001537F5"/>
    <w:rsid w:val="001539E6"/>
    <w:rsid w:val="00154989"/>
    <w:rsid w:val="00155A9F"/>
    <w:rsid w:val="00155EDD"/>
    <w:rsid w:val="0015659C"/>
    <w:rsid w:val="00157139"/>
    <w:rsid w:val="00160262"/>
    <w:rsid w:val="00160B38"/>
    <w:rsid w:val="001613F8"/>
    <w:rsid w:val="0016152F"/>
    <w:rsid w:val="00164077"/>
    <w:rsid w:val="00166A72"/>
    <w:rsid w:val="0016780A"/>
    <w:rsid w:val="00170192"/>
    <w:rsid w:val="001701B0"/>
    <w:rsid w:val="001713FA"/>
    <w:rsid w:val="00171B1B"/>
    <w:rsid w:val="00171B61"/>
    <w:rsid w:val="00173704"/>
    <w:rsid w:val="00173CFF"/>
    <w:rsid w:val="00173E7F"/>
    <w:rsid w:val="00173EBF"/>
    <w:rsid w:val="001747BE"/>
    <w:rsid w:val="00175ED3"/>
    <w:rsid w:val="00176494"/>
    <w:rsid w:val="0017722A"/>
    <w:rsid w:val="00177C7E"/>
    <w:rsid w:val="00177FBB"/>
    <w:rsid w:val="001800E9"/>
    <w:rsid w:val="001842A2"/>
    <w:rsid w:val="001842D1"/>
    <w:rsid w:val="001843CC"/>
    <w:rsid w:val="001849EA"/>
    <w:rsid w:val="00184CCF"/>
    <w:rsid w:val="00184D07"/>
    <w:rsid w:val="00185546"/>
    <w:rsid w:val="0018736B"/>
    <w:rsid w:val="00187FA8"/>
    <w:rsid w:val="001913AE"/>
    <w:rsid w:val="0019159E"/>
    <w:rsid w:val="00192E6B"/>
    <w:rsid w:val="00192F5E"/>
    <w:rsid w:val="0019332B"/>
    <w:rsid w:val="00193D9F"/>
    <w:rsid w:val="001955CD"/>
    <w:rsid w:val="00196596"/>
    <w:rsid w:val="0019735D"/>
    <w:rsid w:val="00197645"/>
    <w:rsid w:val="00197772"/>
    <w:rsid w:val="001A013C"/>
    <w:rsid w:val="001A0AE5"/>
    <w:rsid w:val="001A14A4"/>
    <w:rsid w:val="001A17BB"/>
    <w:rsid w:val="001A18C2"/>
    <w:rsid w:val="001A281C"/>
    <w:rsid w:val="001A2D94"/>
    <w:rsid w:val="001A34A7"/>
    <w:rsid w:val="001A440E"/>
    <w:rsid w:val="001A51C8"/>
    <w:rsid w:val="001A528F"/>
    <w:rsid w:val="001A793D"/>
    <w:rsid w:val="001B007B"/>
    <w:rsid w:val="001B045E"/>
    <w:rsid w:val="001B23B4"/>
    <w:rsid w:val="001B297A"/>
    <w:rsid w:val="001B3785"/>
    <w:rsid w:val="001B3A80"/>
    <w:rsid w:val="001B3C7C"/>
    <w:rsid w:val="001B427F"/>
    <w:rsid w:val="001B4CA8"/>
    <w:rsid w:val="001B4E19"/>
    <w:rsid w:val="001B54F8"/>
    <w:rsid w:val="001B57BE"/>
    <w:rsid w:val="001B5AA8"/>
    <w:rsid w:val="001B5EA1"/>
    <w:rsid w:val="001B5EDC"/>
    <w:rsid w:val="001B686B"/>
    <w:rsid w:val="001B7160"/>
    <w:rsid w:val="001C1D12"/>
    <w:rsid w:val="001C2F17"/>
    <w:rsid w:val="001C3172"/>
    <w:rsid w:val="001C4F3D"/>
    <w:rsid w:val="001C603C"/>
    <w:rsid w:val="001C68E7"/>
    <w:rsid w:val="001C70CA"/>
    <w:rsid w:val="001D00AD"/>
    <w:rsid w:val="001D0A54"/>
    <w:rsid w:val="001D0CDC"/>
    <w:rsid w:val="001D13C5"/>
    <w:rsid w:val="001D1713"/>
    <w:rsid w:val="001D1BF0"/>
    <w:rsid w:val="001D1D82"/>
    <w:rsid w:val="001D4526"/>
    <w:rsid w:val="001D4871"/>
    <w:rsid w:val="001D5AF9"/>
    <w:rsid w:val="001D6C5A"/>
    <w:rsid w:val="001D7069"/>
    <w:rsid w:val="001E1182"/>
    <w:rsid w:val="001E1380"/>
    <w:rsid w:val="001E17EB"/>
    <w:rsid w:val="001E1D06"/>
    <w:rsid w:val="001E2F75"/>
    <w:rsid w:val="001E3CF6"/>
    <w:rsid w:val="001E53A2"/>
    <w:rsid w:val="001E639E"/>
    <w:rsid w:val="001E713F"/>
    <w:rsid w:val="001E7853"/>
    <w:rsid w:val="001F0991"/>
    <w:rsid w:val="001F27F3"/>
    <w:rsid w:val="001F29BF"/>
    <w:rsid w:val="001F2AE3"/>
    <w:rsid w:val="001F3980"/>
    <w:rsid w:val="001F3C88"/>
    <w:rsid w:val="001F3C99"/>
    <w:rsid w:val="001F4207"/>
    <w:rsid w:val="001F4CAA"/>
    <w:rsid w:val="001F4F92"/>
    <w:rsid w:val="001F596B"/>
    <w:rsid w:val="001F75AE"/>
    <w:rsid w:val="00200F87"/>
    <w:rsid w:val="002022E9"/>
    <w:rsid w:val="00202C90"/>
    <w:rsid w:val="00202F84"/>
    <w:rsid w:val="002031BA"/>
    <w:rsid w:val="0020377F"/>
    <w:rsid w:val="002055AD"/>
    <w:rsid w:val="00205E38"/>
    <w:rsid w:val="00206E55"/>
    <w:rsid w:val="0020799A"/>
    <w:rsid w:val="00210876"/>
    <w:rsid w:val="00210D66"/>
    <w:rsid w:val="00210F68"/>
    <w:rsid w:val="002112CA"/>
    <w:rsid w:val="00213DE8"/>
    <w:rsid w:val="00214C0E"/>
    <w:rsid w:val="00215128"/>
    <w:rsid w:val="00215FE3"/>
    <w:rsid w:val="00216118"/>
    <w:rsid w:val="0021630E"/>
    <w:rsid w:val="00216DC7"/>
    <w:rsid w:val="0021756E"/>
    <w:rsid w:val="00217C1C"/>
    <w:rsid w:val="00217ECA"/>
    <w:rsid w:val="002209AB"/>
    <w:rsid w:val="00221582"/>
    <w:rsid w:val="00221E97"/>
    <w:rsid w:val="00222BD0"/>
    <w:rsid w:val="00223C3E"/>
    <w:rsid w:val="00224789"/>
    <w:rsid w:val="002251E3"/>
    <w:rsid w:val="002257CB"/>
    <w:rsid w:val="0022661E"/>
    <w:rsid w:val="002270E2"/>
    <w:rsid w:val="00227603"/>
    <w:rsid w:val="00227A95"/>
    <w:rsid w:val="0023133F"/>
    <w:rsid w:val="002316BD"/>
    <w:rsid w:val="00231C67"/>
    <w:rsid w:val="0023366D"/>
    <w:rsid w:val="00234F4D"/>
    <w:rsid w:val="00237D40"/>
    <w:rsid w:val="002404FC"/>
    <w:rsid w:val="00241F33"/>
    <w:rsid w:val="00244621"/>
    <w:rsid w:val="00244C9D"/>
    <w:rsid w:val="00244D96"/>
    <w:rsid w:val="00244DAB"/>
    <w:rsid w:val="00244FC0"/>
    <w:rsid w:val="002472A7"/>
    <w:rsid w:val="002473FC"/>
    <w:rsid w:val="00250188"/>
    <w:rsid w:val="00252E3C"/>
    <w:rsid w:val="00252EF5"/>
    <w:rsid w:val="00254665"/>
    <w:rsid w:val="00254C2B"/>
    <w:rsid w:val="002559FD"/>
    <w:rsid w:val="00255BF9"/>
    <w:rsid w:val="00256A47"/>
    <w:rsid w:val="00260210"/>
    <w:rsid w:val="00261448"/>
    <w:rsid w:val="00261FE3"/>
    <w:rsid w:val="0026211D"/>
    <w:rsid w:val="00262198"/>
    <w:rsid w:val="00262521"/>
    <w:rsid w:val="00263514"/>
    <w:rsid w:val="0026445A"/>
    <w:rsid w:val="00265044"/>
    <w:rsid w:val="00267965"/>
    <w:rsid w:val="0027138D"/>
    <w:rsid w:val="002725F9"/>
    <w:rsid w:val="00272C6A"/>
    <w:rsid w:val="00273613"/>
    <w:rsid w:val="00273AC2"/>
    <w:rsid w:val="00273EEF"/>
    <w:rsid w:val="0027415B"/>
    <w:rsid w:val="002746B4"/>
    <w:rsid w:val="00274B3E"/>
    <w:rsid w:val="002776B1"/>
    <w:rsid w:val="002805DE"/>
    <w:rsid w:val="002816C3"/>
    <w:rsid w:val="00281A58"/>
    <w:rsid w:val="00281BEE"/>
    <w:rsid w:val="00282293"/>
    <w:rsid w:val="00282EA0"/>
    <w:rsid w:val="00283108"/>
    <w:rsid w:val="00285F1B"/>
    <w:rsid w:val="002863BD"/>
    <w:rsid w:val="00287189"/>
    <w:rsid w:val="0029048A"/>
    <w:rsid w:val="002908F7"/>
    <w:rsid w:val="0029136B"/>
    <w:rsid w:val="00291560"/>
    <w:rsid w:val="00292B1E"/>
    <w:rsid w:val="00292B81"/>
    <w:rsid w:val="00294578"/>
    <w:rsid w:val="00295E2C"/>
    <w:rsid w:val="0029751A"/>
    <w:rsid w:val="00297897"/>
    <w:rsid w:val="002A16C0"/>
    <w:rsid w:val="002A2D81"/>
    <w:rsid w:val="002A420C"/>
    <w:rsid w:val="002A4980"/>
    <w:rsid w:val="002A4A18"/>
    <w:rsid w:val="002A4A1F"/>
    <w:rsid w:val="002A501A"/>
    <w:rsid w:val="002A571C"/>
    <w:rsid w:val="002A630C"/>
    <w:rsid w:val="002A6B48"/>
    <w:rsid w:val="002A71A5"/>
    <w:rsid w:val="002A7310"/>
    <w:rsid w:val="002B168E"/>
    <w:rsid w:val="002B18AE"/>
    <w:rsid w:val="002B2D4F"/>
    <w:rsid w:val="002B3858"/>
    <w:rsid w:val="002B3C65"/>
    <w:rsid w:val="002B3E7C"/>
    <w:rsid w:val="002B5398"/>
    <w:rsid w:val="002B5638"/>
    <w:rsid w:val="002B6310"/>
    <w:rsid w:val="002B648C"/>
    <w:rsid w:val="002B66BD"/>
    <w:rsid w:val="002B6789"/>
    <w:rsid w:val="002B79B0"/>
    <w:rsid w:val="002C1A02"/>
    <w:rsid w:val="002C1C93"/>
    <w:rsid w:val="002C2137"/>
    <w:rsid w:val="002C3EE4"/>
    <w:rsid w:val="002C5066"/>
    <w:rsid w:val="002C51E9"/>
    <w:rsid w:val="002C5813"/>
    <w:rsid w:val="002C6DB4"/>
    <w:rsid w:val="002C7C07"/>
    <w:rsid w:val="002D0054"/>
    <w:rsid w:val="002D11E5"/>
    <w:rsid w:val="002D128A"/>
    <w:rsid w:val="002D1868"/>
    <w:rsid w:val="002D2183"/>
    <w:rsid w:val="002D2657"/>
    <w:rsid w:val="002D2D4E"/>
    <w:rsid w:val="002D34C3"/>
    <w:rsid w:val="002D42DF"/>
    <w:rsid w:val="002D4AAC"/>
    <w:rsid w:val="002D58F2"/>
    <w:rsid w:val="002D670D"/>
    <w:rsid w:val="002D7E89"/>
    <w:rsid w:val="002E18A6"/>
    <w:rsid w:val="002E28A3"/>
    <w:rsid w:val="002E4749"/>
    <w:rsid w:val="002E580C"/>
    <w:rsid w:val="002E64C8"/>
    <w:rsid w:val="002E6786"/>
    <w:rsid w:val="002E7801"/>
    <w:rsid w:val="002E7E12"/>
    <w:rsid w:val="002F045A"/>
    <w:rsid w:val="002F0B87"/>
    <w:rsid w:val="002F0C8B"/>
    <w:rsid w:val="002F2A17"/>
    <w:rsid w:val="002F564A"/>
    <w:rsid w:val="002F5DA6"/>
    <w:rsid w:val="002F7113"/>
    <w:rsid w:val="002F712A"/>
    <w:rsid w:val="002F7BDB"/>
    <w:rsid w:val="002F7ED2"/>
    <w:rsid w:val="0030039D"/>
    <w:rsid w:val="003009D9"/>
    <w:rsid w:val="00302924"/>
    <w:rsid w:val="00302DD2"/>
    <w:rsid w:val="0030326F"/>
    <w:rsid w:val="003034EE"/>
    <w:rsid w:val="00306B34"/>
    <w:rsid w:val="00307740"/>
    <w:rsid w:val="00310701"/>
    <w:rsid w:val="00310F46"/>
    <w:rsid w:val="003116F4"/>
    <w:rsid w:val="00313570"/>
    <w:rsid w:val="00314AD5"/>
    <w:rsid w:val="00314B2C"/>
    <w:rsid w:val="00314C7A"/>
    <w:rsid w:val="003150EF"/>
    <w:rsid w:val="003156EF"/>
    <w:rsid w:val="00315980"/>
    <w:rsid w:val="00316F7F"/>
    <w:rsid w:val="00317609"/>
    <w:rsid w:val="00317CD3"/>
    <w:rsid w:val="00317E05"/>
    <w:rsid w:val="00320AAC"/>
    <w:rsid w:val="00320CC0"/>
    <w:rsid w:val="003218E8"/>
    <w:rsid w:val="003227AD"/>
    <w:rsid w:val="00323CA8"/>
    <w:rsid w:val="00324B25"/>
    <w:rsid w:val="00325A2F"/>
    <w:rsid w:val="00325E34"/>
    <w:rsid w:val="00326536"/>
    <w:rsid w:val="00326FAA"/>
    <w:rsid w:val="003307AF"/>
    <w:rsid w:val="00330DCE"/>
    <w:rsid w:val="00331635"/>
    <w:rsid w:val="003316AE"/>
    <w:rsid w:val="00331E11"/>
    <w:rsid w:val="00332F90"/>
    <w:rsid w:val="003335F6"/>
    <w:rsid w:val="00334354"/>
    <w:rsid w:val="00334761"/>
    <w:rsid w:val="00334E56"/>
    <w:rsid w:val="0033540A"/>
    <w:rsid w:val="00335753"/>
    <w:rsid w:val="00337EBC"/>
    <w:rsid w:val="00340BF6"/>
    <w:rsid w:val="00341DCD"/>
    <w:rsid w:val="003425DD"/>
    <w:rsid w:val="0034387D"/>
    <w:rsid w:val="003440A6"/>
    <w:rsid w:val="003443D6"/>
    <w:rsid w:val="00345152"/>
    <w:rsid w:val="0034559E"/>
    <w:rsid w:val="0034563E"/>
    <w:rsid w:val="0034581B"/>
    <w:rsid w:val="003459F8"/>
    <w:rsid w:val="00345F24"/>
    <w:rsid w:val="00346416"/>
    <w:rsid w:val="003465E9"/>
    <w:rsid w:val="003466D3"/>
    <w:rsid w:val="00346725"/>
    <w:rsid w:val="003471E3"/>
    <w:rsid w:val="003475B0"/>
    <w:rsid w:val="003500B2"/>
    <w:rsid w:val="003504DE"/>
    <w:rsid w:val="00351223"/>
    <w:rsid w:val="003518D6"/>
    <w:rsid w:val="0035342F"/>
    <w:rsid w:val="0035460C"/>
    <w:rsid w:val="00355094"/>
    <w:rsid w:val="003556BD"/>
    <w:rsid w:val="00355C36"/>
    <w:rsid w:val="00356E9C"/>
    <w:rsid w:val="00360D05"/>
    <w:rsid w:val="00361819"/>
    <w:rsid w:val="00361AD9"/>
    <w:rsid w:val="0036238B"/>
    <w:rsid w:val="00362604"/>
    <w:rsid w:val="00362A63"/>
    <w:rsid w:val="0036328B"/>
    <w:rsid w:val="00364A1C"/>
    <w:rsid w:val="00365147"/>
    <w:rsid w:val="00365B25"/>
    <w:rsid w:val="00365F93"/>
    <w:rsid w:val="00366AE0"/>
    <w:rsid w:val="00367C00"/>
    <w:rsid w:val="0037016E"/>
    <w:rsid w:val="003703E8"/>
    <w:rsid w:val="00370573"/>
    <w:rsid w:val="003718ED"/>
    <w:rsid w:val="003727F6"/>
    <w:rsid w:val="00372908"/>
    <w:rsid w:val="003739BB"/>
    <w:rsid w:val="00373A11"/>
    <w:rsid w:val="00373FFE"/>
    <w:rsid w:val="00374DFD"/>
    <w:rsid w:val="003777B4"/>
    <w:rsid w:val="00377EC2"/>
    <w:rsid w:val="00380189"/>
    <w:rsid w:val="003809B5"/>
    <w:rsid w:val="00381C3D"/>
    <w:rsid w:val="00383020"/>
    <w:rsid w:val="00383605"/>
    <w:rsid w:val="003849BC"/>
    <w:rsid w:val="0038555B"/>
    <w:rsid w:val="003859CC"/>
    <w:rsid w:val="00385DA7"/>
    <w:rsid w:val="00386A8C"/>
    <w:rsid w:val="00387BDC"/>
    <w:rsid w:val="00387D68"/>
    <w:rsid w:val="00390B89"/>
    <w:rsid w:val="003923E6"/>
    <w:rsid w:val="00392AB9"/>
    <w:rsid w:val="00393834"/>
    <w:rsid w:val="003939C1"/>
    <w:rsid w:val="00393DF9"/>
    <w:rsid w:val="003941C8"/>
    <w:rsid w:val="00394706"/>
    <w:rsid w:val="00394787"/>
    <w:rsid w:val="00394D7E"/>
    <w:rsid w:val="00395D51"/>
    <w:rsid w:val="003975FD"/>
    <w:rsid w:val="00397636"/>
    <w:rsid w:val="003A0482"/>
    <w:rsid w:val="003A15C6"/>
    <w:rsid w:val="003A1B86"/>
    <w:rsid w:val="003A1C96"/>
    <w:rsid w:val="003A1E92"/>
    <w:rsid w:val="003A55B1"/>
    <w:rsid w:val="003A579F"/>
    <w:rsid w:val="003A7E3F"/>
    <w:rsid w:val="003B018B"/>
    <w:rsid w:val="003B057D"/>
    <w:rsid w:val="003B06A9"/>
    <w:rsid w:val="003B0ACA"/>
    <w:rsid w:val="003B0AF7"/>
    <w:rsid w:val="003B1B19"/>
    <w:rsid w:val="003B227D"/>
    <w:rsid w:val="003B2745"/>
    <w:rsid w:val="003B46AC"/>
    <w:rsid w:val="003B5945"/>
    <w:rsid w:val="003B60CC"/>
    <w:rsid w:val="003B6EB2"/>
    <w:rsid w:val="003B6FB6"/>
    <w:rsid w:val="003B7047"/>
    <w:rsid w:val="003C086D"/>
    <w:rsid w:val="003C0E18"/>
    <w:rsid w:val="003C1546"/>
    <w:rsid w:val="003C17AA"/>
    <w:rsid w:val="003C1A66"/>
    <w:rsid w:val="003C1B25"/>
    <w:rsid w:val="003C2443"/>
    <w:rsid w:val="003C285B"/>
    <w:rsid w:val="003C3DE3"/>
    <w:rsid w:val="003C4C11"/>
    <w:rsid w:val="003C5907"/>
    <w:rsid w:val="003C5DA3"/>
    <w:rsid w:val="003C77C1"/>
    <w:rsid w:val="003D0383"/>
    <w:rsid w:val="003D0F51"/>
    <w:rsid w:val="003D18E5"/>
    <w:rsid w:val="003D3477"/>
    <w:rsid w:val="003D48FD"/>
    <w:rsid w:val="003D4BCD"/>
    <w:rsid w:val="003D51ED"/>
    <w:rsid w:val="003D5E81"/>
    <w:rsid w:val="003D6C2B"/>
    <w:rsid w:val="003E01D8"/>
    <w:rsid w:val="003E1060"/>
    <w:rsid w:val="003E2100"/>
    <w:rsid w:val="003E2833"/>
    <w:rsid w:val="003E2ECC"/>
    <w:rsid w:val="003E4122"/>
    <w:rsid w:val="003E4571"/>
    <w:rsid w:val="003E5C82"/>
    <w:rsid w:val="003E7621"/>
    <w:rsid w:val="003E7780"/>
    <w:rsid w:val="003E7F43"/>
    <w:rsid w:val="003F4117"/>
    <w:rsid w:val="003F48BF"/>
    <w:rsid w:val="003F5989"/>
    <w:rsid w:val="003F6F5B"/>
    <w:rsid w:val="003F79D8"/>
    <w:rsid w:val="003F7CE5"/>
    <w:rsid w:val="0040053E"/>
    <w:rsid w:val="00400625"/>
    <w:rsid w:val="00400844"/>
    <w:rsid w:val="00400DBA"/>
    <w:rsid w:val="00401DA3"/>
    <w:rsid w:val="00402338"/>
    <w:rsid w:val="004024F6"/>
    <w:rsid w:val="00403196"/>
    <w:rsid w:val="0040342D"/>
    <w:rsid w:val="00404DF3"/>
    <w:rsid w:val="00405920"/>
    <w:rsid w:val="004060B1"/>
    <w:rsid w:val="004063B6"/>
    <w:rsid w:val="00411230"/>
    <w:rsid w:val="0041192D"/>
    <w:rsid w:val="00413EE1"/>
    <w:rsid w:val="004144AE"/>
    <w:rsid w:val="00415012"/>
    <w:rsid w:val="004165AA"/>
    <w:rsid w:val="00416B1C"/>
    <w:rsid w:val="0041790B"/>
    <w:rsid w:val="00417C3B"/>
    <w:rsid w:val="0042128E"/>
    <w:rsid w:val="0042143E"/>
    <w:rsid w:val="00421668"/>
    <w:rsid w:val="004218B6"/>
    <w:rsid w:val="00422319"/>
    <w:rsid w:val="00422B23"/>
    <w:rsid w:val="00423621"/>
    <w:rsid w:val="00423ED5"/>
    <w:rsid w:val="00425180"/>
    <w:rsid w:val="00426078"/>
    <w:rsid w:val="004269C2"/>
    <w:rsid w:val="00430CAE"/>
    <w:rsid w:val="004311E1"/>
    <w:rsid w:val="0043201F"/>
    <w:rsid w:val="00432B60"/>
    <w:rsid w:val="00433667"/>
    <w:rsid w:val="00433FCA"/>
    <w:rsid w:val="0043432D"/>
    <w:rsid w:val="00434C44"/>
    <w:rsid w:val="00434FC4"/>
    <w:rsid w:val="004353BF"/>
    <w:rsid w:val="00436EE1"/>
    <w:rsid w:val="004372E3"/>
    <w:rsid w:val="00440698"/>
    <w:rsid w:val="00441238"/>
    <w:rsid w:val="00442094"/>
    <w:rsid w:val="00442894"/>
    <w:rsid w:val="00442DA8"/>
    <w:rsid w:val="004436DF"/>
    <w:rsid w:val="00444568"/>
    <w:rsid w:val="00446664"/>
    <w:rsid w:val="004467A3"/>
    <w:rsid w:val="00446EEE"/>
    <w:rsid w:val="00450F8B"/>
    <w:rsid w:val="004522F2"/>
    <w:rsid w:val="004535EC"/>
    <w:rsid w:val="004538FF"/>
    <w:rsid w:val="004540E2"/>
    <w:rsid w:val="00454454"/>
    <w:rsid w:val="004563DE"/>
    <w:rsid w:val="0045783F"/>
    <w:rsid w:val="00457A50"/>
    <w:rsid w:val="00460352"/>
    <w:rsid w:val="004606C9"/>
    <w:rsid w:val="00463389"/>
    <w:rsid w:val="004638DE"/>
    <w:rsid w:val="00463A45"/>
    <w:rsid w:val="004649FA"/>
    <w:rsid w:val="00466091"/>
    <w:rsid w:val="00467924"/>
    <w:rsid w:val="004712A5"/>
    <w:rsid w:val="00471CC1"/>
    <w:rsid w:val="0047266F"/>
    <w:rsid w:val="00472FAB"/>
    <w:rsid w:val="004739AC"/>
    <w:rsid w:val="00473C8C"/>
    <w:rsid w:val="004758B2"/>
    <w:rsid w:val="00475A65"/>
    <w:rsid w:val="00475E08"/>
    <w:rsid w:val="00475E9A"/>
    <w:rsid w:val="00475EFC"/>
    <w:rsid w:val="004761B8"/>
    <w:rsid w:val="00476D6B"/>
    <w:rsid w:val="00477312"/>
    <w:rsid w:val="0048129D"/>
    <w:rsid w:val="00482AC4"/>
    <w:rsid w:val="00483100"/>
    <w:rsid w:val="004832DB"/>
    <w:rsid w:val="00483505"/>
    <w:rsid w:val="0048397D"/>
    <w:rsid w:val="00483C0F"/>
    <w:rsid w:val="00484710"/>
    <w:rsid w:val="00484AFD"/>
    <w:rsid w:val="00484C62"/>
    <w:rsid w:val="004853D2"/>
    <w:rsid w:val="00485522"/>
    <w:rsid w:val="00486AF1"/>
    <w:rsid w:val="00486C85"/>
    <w:rsid w:val="00486E02"/>
    <w:rsid w:val="00487036"/>
    <w:rsid w:val="00487573"/>
    <w:rsid w:val="00490692"/>
    <w:rsid w:val="00490C4A"/>
    <w:rsid w:val="00490EF0"/>
    <w:rsid w:val="004916AB"/>
    <w:rsid w:val="00492C16"/>
    <w:rsid w:val="0049500E"/>
    <w:rsid w:val="004951D6"/>
    <w:rsid w:val="00497159"/>
    <w:rsid w:val="004A0678"/>
    <w:rsid w:val="004A285D"/>
    <w:rsid w:val="004A48A3"/>
    <w:rsid w:val="004A4C57"/>
    <w:rsid w:val="004A5016"/>
    <w:rsid w:val="004A63AC"/>
    <w:rsid w:val="004A63B9"/>
    <w:rsid w:val="004A7321"/>
    <w:rsid w:val="004B06CF"/>
    <w:rsid w:val="004B0D92"/>
    <w:rsid w:val="004B0EC0"/>
    <w:rsid w:val="004B164B"/>
    <w:rsid w:val="004B1774"/>
    <w:rsid w:val="004B1CC8"/>
    <w:rsid w:val="004B22F1"/>
    <w:rsid w:val="004B38BD"/>
    <w:rsid w:val="004B5DD5"/>
    <w:rsid w:val="004B66F1"/>
    <w:rsid w:val="004B6C01"/>
    <w:rsid w:val="004B6DD8"/>
    <w:rsid w:val="004B733A"/>
    <w:rsid w:val="004C0A95"/>
    <w:rsid w:val="004C0AFF"/>
    <w:rsid w:val="004C11CA"/>
    <w:rsid w:val="004C12DD"/>
    <w:rsid w:val="004C1B8D"/>
    <w:rsid w:val="004C28DB"/>
    <w:rsid w:val="004C3EA0"/>
    <w:rsid w:val="004C4525"/>
    <w:rsid w:val="004C4F70"/>
    <w:rsid w:val="004C64C5"/>
    <w:rsid w:val="004C6539"/>
    <w:rsid w:val="004C6B1F"/>
    <w:rsid w:val="004C6D69"/>
    <w:rsid w:val="004C75FD"/>
    <w:rsid w:val="004C7E9F"/>
    <w:rsid w:val="004D04A1"/>
    <w:rsid w:val="004D08EF"/>
    <w:rsid w:val="004D318A"/>
    <w:rsid w:val="004D45AE"/>
    <w:rsid w:val="004D496D"/>
    <w:rsid w:val="004D4C85"/>
    <w:rsid w:val="004E1205"/>
    <w:rsid w:val="004E4EB2"/>
    <w:rsid w:val="004E6C95"/>
    <w:rsid w:val="004E7333"/>
    <w:rsid w:val="004F256C"/>
    <w:rsid w:val="004F3E26"/>
    <w:rsid w:val="004F43E3"/>
    <w:rsid w:val="004F45BF"/>
    <w:rsid w:val="004F5A2A"/>
    <w:rsid w:val="004F6C35"/>
    <w:rsid w:val="004F7169"/>
    <w:rsid w:val="004F79AE"/>
    <w:rsid w:val="0050031B"/>
    <w:rsid w:val="00500847"/>
    <w:rsid w:val="00500D66"/>
    <w:rsid w:val="005037E3"/>
    <w:rsid w:val="00503A8B"/>
    <w:rsid w:val="00503C84"/>
    <w:rsid w:val="00504000"/>
    <w:rsid w:val="00506229"/>
    <w:rsid w:val="005067D9"/>
    <w:rsid w:val="0050692E"/>
    <w:rsid w:val="00507675"/>
    <w:rsid w:val="005107E9"/>
    <w:rsid w:val="005116DA"/>
    <w:rsid w:val="00512878"/>
    <w:rsid w:val="00512FF6"/>
    <w:rsid w:val="00513D3D"/>
    <w:rsid w:val="00514C8E"/>
    <w:rsid w:val="00515D76"/>
    <w:rsid w:val="005163D7"/>
    <w:rsid w:val="00516DAE"/>
    <w:rsid w:val="00517B3C"/>
    <w:rsid w:val="0052081D"/>
    <w:rsid w:val="00521151"/>
    <w:rsid w:val="0052187B"/>
    <w:rsid w:val="00523905"/>
    <w:rsid w:val="00524274"/>
    <w:rsid w:val="005246F7"/>
    <w:rsid w:val="00524D63"/>
    <w:rsid w:val="0053043F"/>
    <w:rsid w:val="00531DBF"/>
    <w:rsid w:val="005329F4"/>
    <w:rsid w:val="005330E9"/>
    <w:rsid w:val="00533885"/>
    <w:rsid w:val="00534090"/>
    <w:rsid w:val="00534237"/>
    <w:rsid w:val="005353DB"/>
    <w:rsid w:val="00537B5C"/>
    <w:rsid w:val="005420D0"/>
    <w:rsid w:val="00542727"/>
    <w:rsid w:val="005431B8"/>
    <w:rsid w:val="005446D9"/>
    <w:rsid w:val="00545759"/>
    <w:rsid w:val="00545BE0"/>
    <w:rsid w:val="00546023"/>
    <w:rsid w:val="00546515"/>
    <w:rsid w:val="00546930"/>
    <w:rsid w:val="005478FE"/>
    <w:rsid w:val="00547C8C"/>
    <w:rsid w:val="005506DB"/>
    <w:rsid w:val="00550D61"/>
    <w:rsid w:val="00551D4C"/>
    <w:rsid w:val="00552DB8"/>
    <w:rsid w:val="00553017"/>
    <w:rsid w:val="005547BA"/>
    <w:rsid w:val="00554C6A"/>
    <w:rsid w:val="0055615F"/>
    <w:rsid w:val="00557756"/>
    <w:rsid w:val="005603C6"/>
    <w:rsid w:val="005616D2"/>
    <w:rsid w:val="00561FA7"/>
    <w:rsid w:val="00562AE2"/>
    <w:rsid w:val="00562C13"/>
    <w:rsid w:val="00562E85"/>
    <w:rsid w:val="0056332F"/>
    <w:rsid w:val="005640C6"/>
    <w:rsid w:val="005647A5"/>
    <w:rsid w:val="005653CB"/>
    <w:rsid w:val="0056782D"/>
    <w:rsid w:val="0056786F"/>
    <w:rsid w:val="005719B3"/>
    <w:rsid w:val="005726FB"/>
    <w:rsid w:val="0057295E"/>
    <w:rsid w:val="005731F4"/>
    <w:rsid w:val="00574B89"/>
    <w:rsid w:val="00574DD7"/>
    <w:rsid w:val="005751AC"/>
    <w:rsid w:val="00575208"/>
    <w:rsid w:val="005806BB"/>
    <w:rsid w:val="005818AF"/>
    <w:rsid w:val="00581BD9"/>
    <w:rsid w:val="00581C39"/>
    <w:rsid w:val="005834C9"/>
    <w:rsid w:val="00583889"/>
    <w:rsid w:val="0058398F"/>
    <w:rsid w:val="00584284"/>
    <w:rsid w:val="00584456"/>
    <w:rsid w:val="00584575"/>
    <w:rsid w:val="0058465A"/>
    <w:rsid w:val="0058468B"/>
    <w:rsid w:val="0058536D"/>
    <w:rsid w:val="00585C24"/>
    <w:rsid w:val="00586908"/>
    <w:rsid w:val="005869AD"/>
    <w:rsid w:val="00586DED"/>
    <w:rsid w:val="00586EBF"/>
    <w:rsid w:val="005903B6"/>
    <w:rsid w:val="005903DC"/>
    <w:rsid w:val="00590567"/>
    <w:rsid w:val="005916F1"/>
    <w:rsid w:val="005920B5"/>
    <w:rsid w:val="0059234F"/>
    <w:rsid w:val="0059757E"/>
    <w:rsid w:val="005A01FB"/>
    <w:rsid w:val="005A021F"/>
    <w:rsid w:val="005A0247"/>
    <w:rsid w:val="005A126E"/>
    <w:rsid w:val="005A25A7"/>
    <w:rsid w:val="005A2634"/>
    <w:rsid w:val="005A3EA9"/>
    <w:rsid w:val="005A452F"/>
    <w:rsid w:val="005A4C4A"/>
    <w:rsid w:val="005A4E9D"/>
    <w:rsid w:val="005A59BB"/>
    <w:rsid w:val="005A5C6C"/>
    <w:rsid w:val="005A680D"/>
    <w:rsid w:val="005A6C4C"/>
    <w:rsid w:val="005A783B"/>
    <w:rsid w:val="005B066E"/>
    <w:rsid w:val="005B140D"/>
    <w:rsid w:val="005B26F0"/>
    <w:rsid w:val="005B2722"/>
    <w:rsid w:val="005B2D31"/>
    <w:rsid w:val="005B312C"/>
    <w:rsid w:val="005B36B9"/>
    <w:rsid w:val="005B5F6F"/>
    <w:rsid w:val="005B66D8"/>
    <w:rsid w:val="005B7B21"/>
    <w:rsid w:val="005C00D6"/>
    <w:rsid w:val="005C0537"/>
    <w:rsid w:val="005C0636"/>
    <w:rsid w:val="005C0E17"/>
    <w:rsid w:val="005C10D2"/>
    <w:rsid w:val="005C17AC"/>
    <w:rsid w:val="005C1A05"/>
    <w:rsid w:val="005C1FEA"/>
    <w:rsid w:val="005C290D"/>
    <w:rsid w:val="005C3495"/>
    <w:rsid w:val="005C42FE"/>
    <w:rsid w:val="005C5A34"/>
    <w:rsid w:val="005C70E5"/>
    <w:rsid w:val="005C7844"/>
    <w:rsid w:val="005C7899"/>
    <w:rsid w:val="005D1583"/>
    <w:rsid w:val="005D2B7F"/>
    <w:rsid w:val="005D3F87"/>
    <w:rsid w:val="005D3FD8"/>
    <w:rsid w:val="005D5500"/>
    <w:rsid w:val="005D6CB9"/>
    <w:rsid w:val="005E1CB7"/>
    <w:rsid w:val="005E1DB1"/>
    <w:rsid w:val="005E3DFC"/>
    <w:rsid w:val="005E3EBF"/>
    <w:rsid w:val="005E5942"/>
    <w:rsid w:val="005E59CF"/>
    <w:rsid w:val="005E60AF"/>
    <w:rsid w:val="005F0371"/>
    <w:rsid w:val="005F06BF"/>
    <w:rsid w:val="005F0FAF"/>
    <w:rsid w:val="005F1B82"/>
    <w:rsid w:val="005F1BCF"/>
    <w:rsid w:val="005F1DEA"/>
    <w:rsid w:val="005F1F47"/>
    <w:rsid w:val="005F24DB"/>
    <w:rsid w:val="005F4BB3"/>
    <w:rsid w:val="005F5631"/>
    <w:rsid w:val="005F5A89"/>
    <w:rsid w:val="005F6330"/>
    <w:rsid w:val="005F67E5"/>
    <w:rsid w:val="005F768B"/>
    <w:rsid w:val="00600C46"/>
    <w:rsid w:val="00600E73"/>
    <w:rsid w:val="0060242B"/>
    <w:rsid w:val="0060325F"/>
    <w:rsid w:val="00603F78"/>
    <w:rsid w:val="006044A0"/>
    <w:rsid w:val="006048CC"/>
    <w:rsid w:val="006057ED"/>
    <w:rsid w:val="0060776E"/>
    <w:rsid w:val="00607A3A"/>
    <w:rsid w:val="00607FC9"/>
    <w:rsid w:val="00611557"/>
    <w:rsid w:val="00611D83"/>
    <w:rsid w:val="006120D2"/>
    <w:rsid w:val="00612F14"/>
    <w:rsid w:val="006130C3"/>
    <w:rsid w:val="00614417"/>
    <w:rsid w:val="00615774"/>
    <w:rsid w:val="00615A01"/>
    <w:rsid w:val="00615AD9"/>
    <w:rsid w:val="00616615"/>
    <w:rsid w:val="00616A21"/>
    <w:rsid w:val="00617332"/>
    <w:rsid w:val="0062262D"/>
    <w:rsid w:val="00622FE1"/>
    <w:rsid w:val="0062480C"/>
    <w:rsid w:val="0062521C"/>
    <w:rsid w:val="00625229"/>
    <w:rsid w:val="0062568A"/>
    <w:rsid w:val="00625FFA"/>
    <w:rsid w:val="006263EC"/>
    <w:rsid w:val="00626577"/>
    <w:rsid w:val="00626C02"/>
    <w:rsid w:val="00627E54"/>
    <w:rsid w:val="00630A2B"/>
    <w:rsid w:val="00632DC7"/>
    <w:rsid w:val="006332CC"/>
    <w:rsid w:val="0063332C"/>
    <w:rsid w:val="00633F59"/>
    <w:rsid w:val="00634301"/>
    <w:rsid w:val="006347F6"/>
    <w:rsid w:val="00635018"/>
    <w:rsid w:val="006357FB"/>
    <w:rsid w:val="00636969"/>
    <w:rsid w:val="006369AA"/>
    <w:rsid w:val="006406FC"/>
    <w:rsid w:val="00640E57"/>
    <w:rsid w:val="00640ECF"/>
    <w:rsid w:val="0064215B"/>
    <w:rsid w:val="00642B82"/>
    <w:rsid w:val="00643234"/>
    <w:rsid w:val="0064427D"/>
    <w:rsid w:val="00644FA1"/>
    <w:rsid w:val="00645C89"/>
    <w:rsid w:val="00646122"/>
    <w:rsid w:val="00646AA2"/>
    <w:rsid w:val="00650D58"/>
    <w:rsid w:val="006530B4"/>
    <w:rsid w:val="00653E16"/>
    <w:rsid w:val="00653FE9"/>
    <w:rsid w:val="00656259"/>
    <w:rsid w:val="00657220"/>
    <w:rsid w:val="00657362"/>
    <w:rsid w:val="006577BA"/>
    <w:rsid w:val="00657927"/>
    <w:rsid w:val="00657E9D"/>
    <w:rsid w:val="00660B62"/>
    <w:rsid w:val="00660CC6"/>
    <w:rsid w:val="00660DB9"/>
    <w:rsid w:val="0066104B"/>
    <w:rsid w:val="006614F0"/>
    <w:rsid w:val="00661B8B"/>
    <w:rsid w:val="006655EE"/>
    <w:rsid w:val="00666EF6"/>
    <w:rsid w:val="006672EC"/>
    <w:rsid w:val="006672FC"/>
    <w:rsid w:val="00667C10"/>
    <w:rsid w:val="00667EF4"/>
    <w:rsid w:val="00670C73"/>
    <w:rsid w:val="006713EC"/>
    <w:rsid w:val="00672C1E"/>
    <w:rsid w:val="00673473"/>
    <w:rsid w:val="0067531B"/>
    <w:rsid w:val="00675CA5"/>
    <w:rsid w:val="00676FCA"/>
    <w:rsid w:val="00677177"/>
    <w:rsid w:val="0068256F"/>
    <w:rsid w:val="00682B88"/>
    <w:rsid w:val="00682CF8"/>
    <w:rsid w:val="006834CB"/>
    <w:rsid w:val="006847DB"/>
    <w:rsid w:val="0068546A"/>
    <w:rsid w:val="006855D5"/>
    <w:rsid w:val="0068612E"/>
    <w:rsid w:val="006865AE"/>
    <w:rsid w:val="00686C50"/>
    <w:rsid w:val="00687C92"/>
    <w:rsid w:val="00690755"/>
    <w:rsid w:val="006911CB"/>
    <w:rsid w:val="00691D8A"/>
    <w:rsid w:val="006943EB"/>
    <w:rsid w:val="0069534E"/>
    <w:rsid w:val="0069669C"/>
    <w:rsid w:val="00697798"/>
    <w:rsid w:val="006A0B0E"/>
    <w:rsid w:val="006A1200"/>
    <w:rsid w:val="006A1EF5"/>
    <w:rsid w:val="006A23FC"/>
    <w:rsid w:val="006A32D6"/>
    <w:rsid w:val="006A3E8E"/>
    <w:rsid w:val="006A452D"/>
    <w:rsid w:val="006A4F4E"/>
    <w:rsid w:val="006A5239"/>
    <w:rsid w:val="006A576E"/>
    <w:rsid w:val="006A58D7"/>
    <w:rsid w:val="006A6C23"/>
    <w:rsid w:val="006B04B5"/>
    <w:rsid w:val="006B0858"/>
    <w:rsid w:val="006B14DB"/>
    <w:rsid w:val="006B1EE9"/>
    <w:rsid w:val="006B21C4"/>
    <w:rsid w:val="006B265E"/>
    <w:rsid w:val="006B6D93"/>
    <w:rsid w:val="006B6EF9"/>
    <w:rsid w:val="006B713E"/>
    <w:rsid w:val="006C0937"/>
    <w:rsid w:val="006C184E"/>
    <w:rsid w:val="006C232B"/>
    <w:rsid w:val="006C26A9"/>
    <w:rsid w:val="006C28AA"/>
    <w:rsid w:val="006C2BA0"/>
    <w:rsid w:val="006C3AD4"/>
    <w:rsid w:val="006C3D53"/>
    <w:rsid w:val="006C465D"/>
    <w:rsid w:val="006C4A1A"/>
    <w:rsid w:val="006C4D89"/>
    <w:rsid w:val="006C5012"/>
    <w:rsid w:val="006C676D"/>
    <w:rsid w:val="006C6D6A"/>
    <w:rsid w:val="006C77FF"/>
    <w:rsid w:val="006D0393"/>
    <w:rsid w:val="006D175F"/>
    <w:rsid w:val="006D1A83"/>
    <w:rsid w:val="006D1DF8"/>
    <w:rsid w:val="006D2A12"/>
    <w:rsid w:val="006D5CBB"/>
    <w:rsid w:val="006D6245"/>
    <w:rsid w:val="006D7278"/>
    <w:rsid w:val="006D7FF0"/>
    <w:rsid w:val="006E0A5C"/>
    <w:rsid w:val="006E0F01"/>
    <w:rsid w:val="006E1CFE"/>
    <w:rsid w:val="006E2657"/>
    <w:rsid w:val="006E320C"/>
    <w:rsid w:val="006E47F9"/>
    <w:rsid w:val="006E4D32"/>
    <w:rsid w:val="006E4EA3"/>
    <w:rsid w:val="006E5DFE"/>
    <w:rsid w:val="006E71F3"/>
    <w:rsid w:val="006E7851"/>
    <w:rsid w:val="006E78E6"/>
    <w:rsid w:val="006E7DD7"/>
    <w:rsid w:val="006F0A54"/>
    <w:rsid w:val="006F0CA4"/>
    <w:rsid w:val="006F10C4"/>
    <w:rsid w:val="006F1C8F"/>
    <w:rsid w:val="006F1D86"/>
    <w:rsid w:val="006F40E9"/>
    <w:rsid w:val="006F547F"/>
    <w:rsid w:val="006F5603"/>
    <w:rsid w:val="006F60BC"/>
    <w:rsid w:val="006F79A5"/>
    <w:rsid w:val="006F7B87"/>
    <w:rsid w:val="00701400"/>
    <w:rsid w:val="00701893"/>
    <w:rsid w:val="007018AC"/>
    <w:rsid w:val="00701F48"/>
    <w:rsid w:val="007037CF"/>
    <w:rsid w:val="00704725"/>
    <w:rsid w:val="007060F5"/>
    <w:rsid w:val="007061EC"/>
    <w:rsid w:val="00706689"/>
    <w:rsid w:val="00710186"/>
    <w:rsid w:val="00711469"/>
    <w:rsid w:val="00711A79"/>
    <w:rsid w:val="00712350"/>
    <w:rsid w:val="00712801"/>
    <w:rsid w:val="007167C0"/>
    <w:rsid w:val="00716881"/>
    <w:rsid w:val="00716FE4"/>
    <w:rsid w:val="00717EBF"/>
    <w:rsid w:val="00720317"/>
    <w:rsid w:val="00720481"/>
    <w:rsid w:val="00731CD5"/>
    <w:rsid w:val="007323CB"/>
    <w:rsid w:val="00732B28"/>
    <w:rsid w:val="00733193"/>
    <w:rsid w:val="007334B5"/>
    <w:rsid w:val="007335E5"/>
    <w:rsid w:val="00734CA7"/>
    <w:rsid w:val="0073586F"/>
    <w:rsid w:val="00735ABB"/>
    <w:rsid w:val="00735F59"/>
    <w:rsid w:val="007361FC"/>
    <w:rsid w:val="0073732F"/>
    <w:rsid w:val="007403E0"/>
    <w:rsid w:val="00740B0D"/>
    <w:rsid w:val="00742761"/>
    <w:rsid w:val="007430E0"/>
    <w:rsid w:val="00744DDA"/>
    <w:rsid w:val="00745AF5"/>
    <w:rsid w:val="00745E03"/>
    <w:rsid w:val="00746AAB"/>
    <w:rsid w:val="00746C63"/>
    <w:rsid w:val="00747210"/>
    <w:rsid w:val="00747403"/>
    <w:rsid w:val="00750186"/>
    <w:rsid w:val="00750493"/>
    <w:rsid w:val="00750D23"/>
    <w:rsid w:val="00751323"/>
    <w:rsid w:val="0075306F"/>
    <w:rsid w:val="00753767"/>
    <w:rsid w:val="00753F18"/>
    <w:rsid w:val="007543E4"/>
    <w:rsid w:val="0075501A"/>
    <w:rsid w:val="00755360"/>
    <w:rsid w:val="00755D3F"/>
    <w:rsid w:val="0075732A"/>
    <w:rsid w:val="007600F8"/>
    <w:rsid w:val="00760262"/>
    <w:rsid w:val="0076103B"/>
    <w:rsid w:val="00761A63"/>
    <w:rsid w:val="0076310C"/>
    <w:rsid w:val="00763A82"/>
    <w:rsid w:val="00765704"/>
    <w:rsid w:val="007664B7"/>
    <w:rsid w:val="007665B5"/>
    <w:rsid w:val="007665D5"/>
    <w:rsid w:val="00766B24"/>
    <w:rsid w:val="0076744F"/>
    <w:rsid w:val="00767582"/>
    <w:rsid w:val="00767BCE"/>
    <w:rsid w:val="00767EFC"/>
    <w:rsid w:val="007707DE"/>
    <w:rsid w:val="00770B5D"/>
    <w:rsid w:val="00771658"/>
    <w:rsid w:val="007729F5"/>
    <w:rsid w:val="0077489B"/>
    <w:rsid w:val="007752F1"/>
    <w:rsid w:val="00776768"/>
    <w:rsid w:val="007777A6"/>
    <w:rsid w:val="0078014D"/>
    <w:rsid w:val="00780763"/>
    <w:rsid w:val="00780C96"/>
    <w:rsid w:val="00780F91"/>
    <w:rsid w:val="007813CD"/>
    <w:rsid w:val="00781413"/>
    <w:rsid w:val="0078187A"/>
    <w:rsid w:val="00783ABD"/>
    <w:rsid w:val="00783DF6"/>
    <w:rsid w:val="00784332"/>
    <w:rsid w:val="007854E9"/>
    <w:rsid w:val="007879F6"/>
    <w:rsid w:val="0079016F"/>
    <w:rsid w:val="007908A8"/>
    <w:rsid w:val="007911A7"/>
    <w:rsid w:val="007911FE"/>
    <w:rsid w:val="00793E86"/>
    <w:rsid w:val="007941C5"/>
    <w:rsid w:val="007946F0"/>
    <w:rsid w:val="00794855"/>
    <w:rsid w:val="00794ED8"/>
    <w:rsid w:val="00796466"/>
    <w:rsid w:val="007964B5"/>
    <w:rsid w:val="00796D99"/>
    <w:rsid w:val="00797DB7"/>
    <w:rsid w:val="007A028E"/>
    <w:rsid w:val="007A2573"/>
    <w:rsid w:val="007A4D76"/>
    <w:rsid w:val="007A6D3D"/>
    <w:rsid w:val="007A6FD1"/>
    <w:rsid w:val="007B00E1"/>
    <w:rsid w:val="007B106C"/>
    <w:rsid w:val="007B12F2"/>
    <w:rsid w:val="007B15A4"/>
    <w:rsid w:val="007B190B"/>
    <w:rsid w:val="007B1A4E"/>
    <w:rsid w:val="007B2B0D"/>
    <w:rsid w:val="007B3D05"/>
    <w:rsid w:val="007B5503"/>
    <w:rsid w:val="007B5BB6"/>
    <w:rsid w:val="007B6170"/>
    <w:rsid w:val="007B61E7"/>
    <w:rsid w:val="007B682F"/>
    <w:rsid w:val="007B6C2A"/>
    <w:rsid w:val="007B6C62"/>
    <w:rsid w:val="007C0E0C"/>
    <w:rsid w:val="007C1354"/>
    <w:rsid w:val="007C179C"/>
    <w:rsid w:val="007C21E3"/>
    <w:rsid w:val="007C2AE2"/>
    <w:rsid w:val="007C386F"/>
    <w:rsid w:val="007C486C"/>
    <w:rsid w:val="007C488D"/>
    <w:rsid w:val="007C6BB3"/>
    <w:rsid w:val="007C6FD7"/>
    <w:rsid w:val="007D043E"/>
    <w:rsid w:val="007D0B98"/>
    <w:rsid w:val="007D14B4"/>
    <w:rsid w:val="007D1931"/>
    <w:rsid w:val="007D209F"/>
    <w:rsid w:val="007D2F0A"/>
    <w:rsid w:val="007D398C"/>
    <w:rsid w:val="007D3AD7"/>
    <w:rsid w:val="007D3B0D"/>
    <w:rsid w:val="007D406F"/>
    <w:rsid w:val="007D4793"/>
    <w:rsid w:val="007D49AA"/>
    <w:rsid w:val="007E0115"/>
    <w:rsid w:val="007E1B7F"/>
    <w:rsid w:val="007E24F6"/>
    <w:rsid w:val="007E2E78"/>
    <w:rsid w:val="007E33AD"/>
    <w:rsid w:val="007E3426"/>
    <w:rsid w:val="007E6086"/>
    <w:rsid w:val="007E6EBC"/>
    <w:rsid w:val="007F0195"/>
    <w:rsid w:val="007F1615"/>
    <w:rsid w:val="007F171B"/>
    <w:rsid w:val="007F19B3"/>
    <w:rsid w:val="007F1ABC"/>
    <w:rsid w:val="007F2ABC"/>
    <w:rsid w:val="007F5530"/>
    <w:rsid w:val="007F65DF"/>
    <w:rsid w:val="007F6D14"/>
    <w:rsid w:val="007F79BC"/>
    <w:rsid w:val="00800990"/>
    <w:rsid w:val="00800F64"/>
    <w:rsid w:val="00801050"/>
    <w:rsid w:val="008028D5"/>
    <w:rsid w:val="00802958"/>
    <w:rsid w:val="00802F0B"/>
    <w:rsid w:val="0080417B"/>
    <w:rsid w:val="0080553E"/>
    <w:rsid w:val="008059E1"/>
    <w:rsid w:val="00807A28"/>
    <w:rsid w:val="00807BB8"/>
    <w:rsid w:val="00807EA7"/>
    <w:rsid w:val="008103DA"/>
    <w:rsid w:val="0081083E"/>
    <w:rsid w:val="00810A67"/>
    <w:rsid w:val="00812205"/>
    <w:rsid w:val="0081251E"/>
    <w:rsid w:val="0081373F"/>
    <w:rsid w:val="00813955"/>
    <w:rsid w:val="00816B8F"/>
    <w:rsid w:val="00820ED7"/>
    <w:rsid w:val="00821442"/>
    <w:rsid w:val="008224E0"/>
    <w:rsid w:val="0082304B"/>
    <w:rsid w:val="00825787"/>
    <w:rsid w:val="00830DEC"/>
    <w:rsid w:val="00831A2C"/>
    <w:rsid w:val="00831DBC"/>
    <w:rsid w:val="00833CF7"/>
    <w:rsid w:val="0083451D"/>
    <w:rsid w:val="00834B8D"/>
    <w:rsid w:val="00834CDE"/>
    <w:rsid w:val="00834E02"/>
    <w:rsid w:val="0083506B"/>
    <w:rsid w:val="008364B9"/>
    <w:rsid w:val="0083650F"/>
    <w:rsid w:val="008366C5"/>
    <w:rsid w:val="008407F7"/>
    <w:rsid w:val="00841FF2"/>
    <w:rsid w:val="00842128"/>
    <w:rsid w:val="00842464"/>
    <w:rsid w:val="008436DC"/>
    <w:rsid w:val="008436EE"/>
    <w:rsid w:val="0084407A"/>
    <w:rsid w:val="0084431D"/>
    <w:rsid w:val="00844ED3"/>
    <w:rsid w:val="00845601"/>
    <w:rsid w:val="00846BE3"/>
    <w:rsid w:val="00850519"/>
    <w:rsid w:val="00850926"/>
    <w:rsid w:val="00850BED"/>
    <w:rsid w:val="00850D5E"/>
    <w:rsid w:val="008525E7"/>
    <w:rsid w:val="00853746"/>
    <w:rsid w:val="00855305"/>
    <w:rsid w:val="00855C5C"/>
    <w:rsid w:val="008567A9"/>
    <w:rsid w:val="00856A95"/>
    <w:rsid w:val="00861955"/>
    <w:rsid w:val="00861E7E"/>
    <w:rsid w:val="008638C9"/>
    <w:rsid w:val="00864D2B"/>
    <w:rsid w:val="00865A2F"/>
    <w:rsid w:val="0086670A"/>
    <w:rsid w:val="00866AF9"/>
    <w:rsid w:val="00866C8D"/>
    <w:rsid w:val="0086724A"/>
    <w:rsid w:val="00867590"/>
    <w:rsid w:val="008679B5"/>
    <w:rsid w:val="0087206C"/>
    <w:rsid w:val="008721CA"/>
    <w:rsid w:val="008737AE"/>
    <w:rsid w:val="00875A0D"/>
    <w:rsid w:val="00876600"/>
    <w:rsid w:val="008802A6"/>
    <w:rsid w:val="00883EB1"/>
    <w:rsid w:val="00885058"/>
    <w:rsid w:val="00885298"/>
    <w:rsid w:val="00885FE4"/>
    <w:rsid w:val="00887241"/>
    <w:rsid w:val="008903BD"/>
    <w:rsid w:val="00890906"/>
    <w:rsid w:val="00890BCC"/>
    <w:rsid w:val="00891FC0"/>
    <w:rsid w:val="00892769"/>
    <w:rsid w:val="00893305"/>
    <w:rsid w:val="008939F1"/>
    <w:rsid w:val="0089440B"/>
    <w:rsid w:val="0089464F"/>
    <w:rsid w:val="008968A4"/>
    <w:rsid w:val="008971AC"/>
    <w:rsid w:val="00897628"/>
    <w:rsid w:val="008A0D78"/>
    <w:rsid w:val="008A2023"/>
    <w:rsid w:val="008A28AD"/>
    <w:rsid w:val="008A30FB"/>
    <w:rsid w:val="008A365C"/>
    <w:rsid w:val="008A3C72"/>
    <w:rsid w:val="008A3C96"/>
    <w:rsid w:val="008A63F8"/>
    <w:rsid w:val="008A7550"/>
    <w:rsid w:val="008A7562"/>
    <w:rsid w:val="008A76BB"/>
    <w:rsid w:val="008B1B3A"/>
    <w:rsid w:val="008B4019"/>
    <w:rsid w:val="008B4214"/>
    <w:rsid w:val="008B65C9"/>
    <w:rsid w:val="008C0638"/>
    <w:rsid w:val="008C198D"/>
    <w:rsid w:val="008C2094"/>
    <w:rsid w:val="008C268E"/>
    <w:rsid w:val="008C2859"/>
    <w:rsid w:val="008C2D4A"/>
    <w:rsid w:val="008C2E30"/>
    <w:rsid w:val="008C3107"/>
    <w:rsid w:val="008C5323"/>
    <w:rsid w:val="008C7F39"/>
    <w:rsid w:val="008D0B1D"/>
    <w:rsid w:val="008D222A"/>
    <w:rsid w:val="008D2B65"/>
    <w:rsid w:val="008D3900"/>
    <w:rsid w:val="008D6E1D"/>
    <w:rsid w:val="008D7553"/>
    <w:rsid w:val="008E223B"/>
    <w:rsid w:val="008E3115"/>
    <w:rsid w:val="008E3556"/>
    <w:rsid w:val="008E5680"/>
    <w:rsid w:val="008F2102"/>
    <w:rsid w:val="008F3739"/>
    <w:rsid w:val="008F386E"/>
    <w:rsid w:val="008F38BB"/>
    <w:rsid w:val="008F39B4"/>
    <w:rsid w:val="008F4162"/>
    <w:rsid w:val="008F49AC"/>
    <w:rsid w:val="008F4A25"/>
    <w:rsid w:val="008F5560"/>
    <w:rsid w:val="008F576D"/>
    <w:rsid w:val="008F5F1A"/>
    <w:rsid w:val="008F6E30"/>
    <w:rsid w:val="009006AC"/>
    <w:rsid w:val="009006F0"/>
    <w:rsid w:val="00901FF8"/>
    <w:rsid w:val="00902312"/>
    <w:rsid w:val="00902886"/>
    <w:rsid w:val="00902C88"/>
    <w:rsid w:val="00903E02"/>
    <w:rsid w:val="00905605"/>
    <w:rsid w:val="00906A69"/>
    <w:rsid w:val="009106C7"/>
    <w:rsid w:val="009127F6"/>
    <w:rsid w:val="009128B5"/>
    <w:rsid w:val="00913175"/>
    <w:rsid w:val="009131DE"/>
    <w:rsid w:val="00913281"/>
    <w:rsid w:val="00913BD7"/>
    <w:rsid w:val="00915426"/>
    <w:rsid w:val="009154E3"/>
    <w:rsid w:val="00915887"/>
    <w:rsid w:val="00916444"/>
    <w:rsid w:val="00916E9B"/>
    <w:rsid w:val="00916EDB"/>
    <w:rsid w:val="00917406"/>
    <w:rsid w:val="0091750C"/>
    <w:rsid w:val="0092000C"/>
    <w:rsid w:val="00920852"/>
    <w:rsid w:val="00920861"/>
    <w:rsid w:val="00920969"/>
    <w:rsid w:val="00922B13"/>
    <w:rsid w:val="009242EF"/>
    <w:rsid w:val="00924A79"/>
    <w:rsid w:val="00924DD3"/>
    <w:rsid w:val="00925185"/>
    <w:rsid w:val="009257AD"/>
    <w:rsid w:val="00926096"/>
    <w:rsid w:val="00926126"/>
    <w:rsid w:val="00927BD9"/>
    <w:rsid w:val="009307F8"/>
    <w:rsid w:val="00930961"/>
    <w:rsid w:val="009309B3"/>
    <w:rsid w:val="00932291"/>
    <w:rsid w:val="0093277A"/>
    <w:rsid w:val="00932861"/>
    <w:rsid w:val="009329B5"/>
    <w:rsid w:val="00933B8C"/>
    <w:rsid w:val="00933CCA"/>
    <w:rsid w:val="0093408E"/>
    <w:rsid w:val="0093584B"/>
    <w:rsid w:val="00935CA5"/>
    <w:rsid w:val="00937374"/>
    <w:rsid w:val="00937DA0"/>
    <w:rsid w:val="00940375"/>
    <w:rsid w:val="0094094A"/>
    <w:rsid w:val="0094198B"/>
    <w:rsid w:val="00943483"/>
    <w:rsid w:val="009437A9"/>
    <w:rsid w:val="00944272"/>
    <w:rsid w:val="00944CB2"/>
    <w:rsid w:val="00945361"/>
    <w:rsid w:val="00946148"/>
    <w:rsid w:val="00946896"/>
    <w:rsid w:val="00947684"/>
    <w:rsid w:val="00950F73"/>
    <w:rsid w:val="009526EE"/>
    <w:rsid w:val="00952DDF"/>
    <w:rsid w:val="00953E0D"/>
    <w:rsid w:val="009566FB"/>
    <w:rsid w:val="00957101"/>
    <w:rsid w:val="009579E2"/>
    <w:rsid w:val="0096008E"/>
    <w:rsid w:val="009610A3"/>
    <w:rsid w:val="00961954"/>
    <w:rsid w:val="00962925"/>
    <w:rsid w:val="00963A83"/>
    <w:rsid w:val="00963B6A"/>
    <w:rsid w:val="00964563"/>
    <w:rsid w:val="009646AA"/>
    <w:rsid w:val="00964A47"/>
    <w:rsid w:val="0096746F"/>
    <w:rsid w:val="00967F62"/>
    <w:rsid w:val="00970950"/>
    <w:rsid w:val="00970A40"/>
    <w:rsid w:val="00971EF4"/>
    <w:rsid w:val="00972212"/>
    <w:rsid w:val="00974464"/>
    <w:rsid w:val="00974861"/>
    <w:rsid w:val="00974ECA"/>
    <w:rsid w:val="00974F32"/>
    <w:rsid w:val="00975B33"/>
    <w:rsid w:val="00976871"/>
    <w:rsid w:val="00977BF3"/>
    <w:rsid w:val="0098025D"/>
    <w:rsid w:val="009812D4"/>
    <w:rsid w:val="009813E4"/>
    <w:rsid w:val="009815C7"/>
    <w:rsid w:val="00981E74"/>
    <w:rsid w:val="00982DBE"/>
    <w:rsid w:val="00984223"/>
    <w:rsid w:val="00984D6A"/>
    <w:rsid w:val="00986434"/>
    <w:rsid w:val="009864B6"/>
    <w:rsid w:val="00986781"/>
    <w:rsid w:val="00990015"/>
    <w:rsid w:val="00990646"/>
    <w:rsid w:val="009915DC"/>
    <w:rsid w:val="00991E08"/>
    <w:rsid w:val="009920D8"/>
    <w:rsid w:val="009922FC"/>
    <w:rsid w:val="009936B6"/>
    <w:rsid w:val="00993B95"/>
    <w:rsid w:val="0099492C"/>
    <w:rsid w:val="00994B63"/>
    <w:rsid w:val="0099502E"/>
    <w:rsid w:val="009952F5"/>
    <w:rsid w:val="00995CCC"/>
    <w:rsid w:val="00997238"/>
    <w:rsid w:val="00997CB6"/>
    <w:rsid w:val="009A07A5"/>
    <w:rsid w:val="009A0D72"/>
    <w:rsid w:val="009A1276"/>
    <w:rsid w:val="009A13F2"/>
    <w:rsid w:val="009A1D46"/>
    <w:rsid w:val="009A2002"/>
    <w:rsid w:val="009A31A1"/>
    <w:rsid w:val="009A4046"/>
    <w:rsid w:val="009A54F7"/>
    <w:rsid w:val="009A60F8"/>
    <w:rsid w:val="009A6E19"/>
    <w:rsid w:val="009A7592"/>
    <w:rsid w:val="009B1D97"/>
    <w:rsid w:val="009B1F22"/>
    <w:rsid w:val="009B22A0"/>
    <w:rsid w:val="009B29B4"/>
    <w:rsid w:val="009B38BE"/>
    <w:rsid w:val="009B3F23"/>
    <w:rsid w:val="009B6A40"/>
    <w:rsid w:val="009B78C8"/>
    <w:rsid w:val="009C043B"/>
    <w:rsid w:val="009C057B"/>
    <w:rsid w:val="009C0718"/>
    <w:rsid w:val="009C0CFC"/>
    <w:rsid w:val="009C318C"/>
    <w:rsid w:val="009C3D0F"/>
    <w:rsid w:val="009C54E5"/>
    <w:rsid w:val="009C5D51"/>
    <w:rsid w:val="009C6BF1"/>
    <w:rsid w:val="009D013A"/>
    <w:rsid w:val="009D1543"/>
    <w:rsid w:val="009D16E7"/>
    <w:rsid w:val="009D1744"/>
    <w:rsid w:val="009D27FA"/>
    <w:rsid w:val="009D2C9E"/>
    <w:rsid w:val="009D32E7"/>
    <w:rsid w:val="009D3BFE"/>
    <w:rsid w:val="009D3DE6"/>
    <w:rsid w:val="009D5019"/>
    <w:rsid w:val="009D59FE"/>
    <w:rsid w:val="009D62CE"/>
    <w:rsid w:val="009D7C50"/>
    <w:rsid w:val="009E0063"/>
    <w:rsid w:val="009E13FA"/>
    <w:rsid w:val="009E188D"/>
    <w:rsid w:val="009E1944"/>
    <w:rsid w:val="009E1B19"/>
    <w:rsid w:val="009E2BFB"/>
    <w:rsid w:val="009E2D80"/>
    <w:rsid w:val="009E3B5C"/>
    <w:rsid w:val="009E4214"/>
    <w:rsid w:val="009E68B8"/>
    <w:rsid w:val="009F053A"/>
    <w:rsid w:val="009F0A24"/>
    <w:rsid w:val="009F1729"/>
    <w:rsid w:val="009F35E2"/>
    <w:rsid w:val="009F4823"/>
    <w:rsid w:val="009F4C3A"/>
    <w:rsid w:val="009F524F"/>
    <w:rsid w:val="009F56CD"/>
    <w:rsid w:val="009F65F9"/>
    <w:rsid w:val="009F68BA"/>
    <w:rsid w:val="009F69C6"/>
    <w:rsid w:val="009F6AEB"/>
    <w:rsid w:val="00A0129B"/>
    <w:rsid w:val="00A02FC6"/>
    <w:rsid w:val="00A0363E"/>
    <w:rsid w:val="00A03789"/>
    <w:rsid w:val="00A06277"/>
    <w:rsid w:val="00A07277"/>
    <w:rsid w:val="00A0777C"/>
    <w:rsid w:val="00A079DC"/>
    <w:rsid w:val="00A100D9"/>
    <w:rsid w:val="00A101A3"/>
    <w:rsid w:val="00A111C2"/>
    <w:rsid w:val="00A1124F"/>
    <w:rsid w:val="00A11D9D"/>
    <w:rsid w:val="00A127EE"/>
    <w:rsid w:val="00A133AE"/>
    <w:rsid w:val="00A13842"/>
    <w:rsid w:val="00A13893"/>
    <w:rsid w:val="00A13B37"/>
    <w:rsid w:val="00A17F5A"/>
    <w:rsid w:val="00A20C8E"/>
    <w:rsid w:val="00A21EB8"/>
    <w:rsid w:val="00A236A6"/>
    <w:rsid w:val="00A23801"/>
    <w:rsid w:val="00A23B7A"/>
    <w:rsid w:val="00A249B7"/>
    <w:rsid w:val="00A24B2E"/>
    <w:rsid w:val="00A26753"/>
    <w:rsid w:val="00A26FF1"/>
    <w:rsid w:val="00A338E7"/>
    <w:rsid w:val="00A33A30"/>
    <w:rsid w:val="00A33D7D"/>
    <w:rsid w:val="00A34071"/>
    <w:rsid w:val="00A34264"/>
    <w:rsid w:val="00A3506C"/>
    <w:rsid w:val="00A35A29"/>
    <w:rsid w:val="00A35CAA"/>
    <w:rsid w:val="00A36E7F"/>
    <w:rsid w:val="00A37343"/>
    <w:rsid w:val="00A40379"/>
    <w:rsid w:val="00A411F4"/>
    <w:rsid w:val="00A41E65"/>
    <w:rsid w:val="00A43E0A"/>
    <w:rsid w:val="00A44917"/>
    <w:rsid w:val="00A45635"/>
    <w:rsid w:val="00A46DCF"/>
    <w:rsid w:val="00A50BC7"/>
    <w:rsid w:val="00A50C71"/>
    <w:rsid w:val="00A50EBF"/>
    <w:rsid w:val="00A5177C"/>
    <w:rsid w:val="00A51DDD"/>
    <w:rsid w:val="00A525BB"/>
    <w:rsid w:val="00A52692"/>
    <w:rsid w:val="00A530C7"/>
    <w:rsid w:val="00A53638"/>
    <w:rsid w:val="00A54B36"/>
    <w:rsid w:val="00A5514A"/>
    <w:rsid w:val="00A55F5B"/>
    <w:rsid w:val="00A56547"/>
    <w:rsid w:val="00A57C8D"/>
    <w:rsid w:val="00A60185"/>
    <w:rsid w:val="00A60302"/>
    <w:rsid w:val="00A6060C"/>
    <w:rsid w:val="00A60D43"/>
    <w:rsid w:val="00A61AEE"/>
    <w:rsid w:val="00A61B19"/>
    <w:rsid w:val="00A62343"/>
    <w:rsid w:val="00A63262"/>
    <w:rsid w:val="00A6356E"/>
    <w:rsid w:val="00A63C71"/>
    <w:rsid w:val="00A63FA8"/>
    <w:rsid w:val="00A65C74"/>
    <w:rsid w:val="00A65FAC"/>
    <w:rsid w:val="00A661EA"/>
    <w:rsid w:val="00A664F8"/>
    <w:rsid w:val="00A665B9"/>
    <w:rsid w:val="00A66806"/>
    <w:rsid w:val="00A66DDB"/>
    <w:rsid w:val="00A66E51"/>
    <w:rsid w:val="00A66F8F"/>
    <w:rsid w:val="00A67259"/>
    <w:rsid w:val="00A67E10"/>
    <w:rsid w:val="00A71054"/>
    <w:rsid w:val="00A71287"/>
    <w:rsid w:val="00A713AA"/>
    <w:rsid w:val="00A72AE2"/>
    <w:rsid w:val="00A74EDE"/>
    <w:rsid w:val="00A750EF"/>
    <w:rsid w:val="00A7524F"/>
    <w:rsid w:val="00A75CA5"/>
    <w:rsid w:val="00A75F6F"/>
    <w:rsid w:val="00A7740B"/>
    <w:rsid w:val="00A7790A"/>
    <w:rsid w:val="00A803D8"/>
    <w:rsid w:val="00A806F4"/>
    <w:rsid w:val="00A82468"/>
    <w:rsid w:val="00A830E5"/>
    <w:rsid w:val="00A83F28"/>
    <w:rsid w:val="00A840A3"/>
    <w:rsid w:val="00A850CE"/>
    <w:rsid w:val="00A86ED5"/>
    <w:rsid w:val="00A87135"/>
    <w:rsid w:val="00A8770C"/>
    <w:rsid w:val="00A8777B"/>
    <w:rsid w:val="00A90180"/>
    <w:rsid w:val="00A9145D"/>
    <w:rsid w:val="00A91825"/>
    <w:rsid w:val="00A93280"/>
    <w:rsid w:val="00A94FB2"/>
    <w:rsid w:val="00A951EA"/>
    <w:rsid w:val="00A95F21"/>
    <w:rsid w:val="00A961C6"/>
    <w:rsid w:val="00AA1E16"/>
    <w:rsid w:val="00AA1E7C"/>
    <w:rsid w:val="00AA2548"/>
    <w:rsid w:val="00AA2DAA"/>
    <w:rsid w:val="00AA2E8B"/>
    <w:rsid w:val="00AA3B1A"/>
    <w:rsid w:val="00AA58C4"/>
    <w:rsid w:val="00AA59FE"/>
    <w:rsid w:val="00AA6328"/>
    <w:rsid w:val="00AA7003"/>
    <w:rsid w:val="00AA7E9E"/>
    <w:rsid w:val="00AB11C8"/>
    <w:rsid w:val="00AB194A"/>
    <w:rsid w:val="00AB234C"/>
    <w:rsid w:val="00AB4088"/>
    <w:rsid w:val="00AB535A"/>
    <w:rsid w:val="00AB58E7"/>
    <w:rsid w:val="00AB607B"/>
    <w:rsid w:val="00AB609E"/>
    <w:rsid w:val="00AB72E6"/>
    <w:rsid w:val="00AC04CB"/>
    <w:rsid w:val="00AC08A8"/>
    <w:rsid w:val="00AC0F81"/>
    <w:rsid w:val="00AC6AE4"/>
    <w:rsid w:val="00AC7B20"/>
    <w:rsid w:val="00AD2141"/>
    <w:rsid w:val="00AD222B"/>
    <w:rsid w:val="00AD316A"/>
    <w:rsid w:val="00AD356C"/>
    <w:rsid w:val="00AD56C8"/>
    <w:rsid w:val="00AD58F2"/>
    <w:rsid w:val="00AD64DF"/>
    <w:rsid w:val="00AD73D6"/>
    <w:rsid w:val="00AD79CB"/>
    <w:rsid w:val="00AD7B61"/>
    <w:rsid w:val="00AE01BE"/>
    <w:rsid w:val="00AE0C16"/>
    <w:rsid w:val="00AE1173"/>
    <w:rsid w:val="00AE1623"/>
    <w:rsid w:val="00AE1A2B"/>
    <w:rsid w:val="00AE1A40"/>
    <w:rsid w:val="00AE6B18"/>
    <w:rsid w:val="00AE7B03"/>
    <w:rsid w:val="00AF0BFD"/>
    <w:rsid w:val="00AF1776"/>
    <w:rsid w:val="00AF20E0"/>
    <w:rsid w:val="00AF3778"/>
    <w:rsid w:val="00AF4D73"/>
    <w:rsid w:val="00AF7B79"/>
    <w:rsid w:val="00B005E3"/>
    <w:rsid w:val="00B00A90"/>
    <w:rsid w:val="00B03007"/>
    <w:rsid w:val="00B04AA5"/>
    <w:rsid w:val="00B0512A"/>
    <w:rsid w:val="00B0529F"/>
    <w:rsid w:val="00B05CDE"/>
    <w:rsid w:val="00B0639B"/>
    <w:rsid w:val="00B06994"/>
    <w:rsid w:val="00B077B7"/>
    <w:rsid w:val="00B114BE"/>
    <w:rsid w:val="00B120AD"/>
    <w:rsid w:val="00B121E9"/>
    <w:rsid w:val="00B127FE"/>
    <w:rsid w:val="00B12B99"/>
    <w:rsid w:val="00B1399D"/>
    <w:rsid w:val="00B13A22"/>
    <w:rsid w:val="00B1418B"/>
    <w:rsid w:val="00B1585C"/>
    <w:rsid w:val="00B160B7"/>
    <w:rsid w:val="00B160E8"/>
    <w:rsid w:val="00B165B5"/>
    <w:rsid w:val="00B2076D"/>
    <w:rsid w:val="00B20E76"/>
    <w:rsid w:val="00B21195"/>
    <w:rsid w:val="00B22175"/>
    <w:rsid w:val="00B23750"/>
    <w:rsid w:val="00B23A93"/>
    <w:rsid w:val="00B23B8C"/>
    <w:rsid w:val="00B24B22"/>
    <w:rsid w:val="00B25310"/>
    <w:rsid w:val="00B253F7"/>
    <w:rsid w:val="00B270FC"/>
    <w:rsid w:val="00B27FEE"/>
    <w:rsid w:val="00B316F4"/>
    <w:rsid w:val="00B323C9"/>
    <w:rsid w:val="00B325AB"/>
    <w:rsid w:val="00B32F8F"/>
    <w:rsid w:val="00B33A4D"/>
    <w:rsid w:val="00B3492A"/>
    <w:rsid w:val="00B3664B"/>
    <w:rsid w:val="00B36D6E"/>
    <w:rsid w:val="00B37781"/>
    <w:rsid w:val="00B377C7"/>
    <w:rsid w:val="00B37C34"/>
    <w:rsid w:val="00B41391"/>
    <w:rsid w:val="00B44388"/>
    <w:rsid w:val="00B50602"/>
    <w:rsid w:val="00B50F5E"/>
    <w:rsid w:val="00B51861"/>
    <w:rsid w:val="00B5309A"/>
    <w:rsid w:val="00B53AA8"/>
    <w:rsid w:val="00B53CCC"/>
    <w:rsid w:val="00B54DE9"/>
    <w:rsid w:val="00B553EC"/>
    <w:rsid w:val="00B55E3F"/>
    <w:rsid w:val="00B6012C"/>
    <w:rsid w:val="00B60250"/>
    <w:rsid w:val="00B62009"/>
    <w:rsid w:val="00B62344"/>
    <w:rsid w:val="00B624B6"/>
    <w:rsid w:val="00B6342E"/>
    <w:rsid w:val="00B63C1E"/>
    <w:rsid w:val="00B66D42"/>
    <w:rsid w:val="00B67E51"/>
    <w:rsid w:val="00B703E3"/>
    <w:rsid w:val="00B71366"/>
    <w:rsid w:val="00B73E7F"/>
    <w:rsid w:val="00B769D2"/>
    <w:rsid w:val="00B77FAD"/>
    <w:rsid w:val="00B81811"/>
    <w:rsid w:val="00B866F1"/>
    <w:rsid w:val="00B90D61"/>
    <w:rsid w:val="00B9272F"/>
    <w:rsid w:val="00B928D6"/>
    <w:rsid w:val="00B92A69"/>
    <w:rsid w:val="00B932B3"/>
    <w:rsid w:val="00B93DD0"/>
    <w:rsid w:val="00B95B34"/>
    <w:rsid w:val="00B95EE0"/>
    <w:rsid w:val="00B9637B"/>
    <w:rsid w:val="00B96538"/>
    <w:rsid w:val="00B96ADD"/>
    <w:rsid w:val="00B96F41"/>
    <w:rsid w:val="00B972C4"/>
    <w:rsid w:val="00B97732"/>
    <w:rsid w:val="00B97B40"/>
    <w:rsid w:val="00BA0438"/>
    <w:rsid w:val="00BA09B7"/>
    <w:rsid w:val="00BA09DB"/>
    <w:rsid w:val="00BA0A6B"/>
    <w:rsid w:val="00BA27DE"/>
    <w:rsid w:val="00BA358F"/>
    <w:rsid w:val="00BA3ACD"/>
    <w:rsid w:val="00BA462A"/>
    <w:rsid w:val="00BA485C"/>
    <w:rsid w:val="00BA5D6E"/>
    <w:rsid w:val="00BA6453"/>
    <w:rsid w:val="00BA65A8"/>
    <w:rsid w:val="00BA6D19"/>
    <w:rsid w:val="00BA7461"/>
    <w:rsid w:val="00BA74BC"/>
    <w:rsid w:val="00BA7A53"/>
    <w:rsid w:val="00BA7DA9"/>
    <w:rsid w:val="00BA7FDD"/>
    <w:rsid w:val="00BB0609"/>
    <w:rsid w:val="00BB1512"/>
    <w:rsid w:val="00BB19B1"/>
    <w:rsid w:val="00BB227A"/>
    <w:rsid w:val="00BB33B9"/>
    <w:rsid w:val="00BB4003"/>
    <w:rsid w:val="00BB5290"/>
    <w:rsid w:val="00BB68BA"/>
    <w:rsid w:val="00BB7A78"/>
    <w:rsid w:val="00BC0495"/>
    <w:rsid w:val="00BC0D26"/>
    <w:rsid w:val="00BC4215"/>
    <w:rsid w:val="00BC5432"/>
    <w:rsid w:val="00BC791D"/>
    <w:rsid w:val="00BD120A"/>
    <w:rsid w:val="00BD1A6F"/>
    <w:rsid w:val="00BD1F94"/>
    <w:rsid w:val="00BD2046"/>
    <w:rsid w:val="00BD27D0"/>
    <w:rsid w:val="00BD3267"/>
    <w:rsid w:val="00BD3A29"/>
    <w:rsid w:val="00BD4C3D"/>
    <w:rsid w:val="00BD7393"/>
    <w:rsid w:val="00BE07C5"/>
    <w:rsid w:val="00BE0A87"/>
    <w:rsid w:val="00BE0B54"/>
    <w:rsid w:val="00BE0F48"/>
    <w:rsid w:val="00BE1392"/>
    <w:rsid w:val="00BE3884"/>
    <w:rsid w:val="00BE40B4"/>
    <w:rsid w:val="00BE557B"/>
    <w:rsid w:val="00BE63A3"/>
    <w:rsid w:val="00BE68A0"/>
    <w:rsid w:val="00BE6D3C"/>
    <w:rsid w:val="00BE7852"/>
    <w:rsid w:val="00BE7BB1"/>
    <w:rsid w:val="00BF0075"/>
    <w:rsid w:val="00BF0367"/>
    <w:rsid w:val="00BF0390"/>
    <w:rsid w:val="00BF13E4"/>
    <w:rsid w:val="00BF1BBE"/>
    <w:rsid w:val="00BF2135"/>
    <w:rsid w:val="00BF56C2"/>
    <w:rsid w:val="00BF6298"/>
    <w:rsid w:val="00BF7BC0"/>
    <w:rsid w:val="00BF7CEE"/>
    <w:rsid w:val="00BF7EE6"/>
    <w:rsid w:val="00C01137"/>
    <w:rsid w:val="00C0295C"/>
    <w:rsid w:val="00C02F35"/>
    <w:rsid w:val="00C02F96"/>
    <w:rsid w:val="00C03880"/>
    <w:rsid w:val="00C04854"/>
    <w:rsid w:val="00C048B1"/>
    <w:rsid w:val="00C053DD"/>
    <w:rsid w:val="00C058D1"/>
    <w:rsid w:val="00C05DCB"/>
    <w:rsid w:val="00C07DA6"/>
    <w:rsid w:val="00C12CC3"/>
    <w:rsid w:val="00C135CF"/>
    <w:rsid w:val="00C1418A"/>
    <w:rsid w:val="00C1464F"/>
    <w:rsid w:val="00C149E8"/>
    <w:rsid w:val="00C14CE0"/>
    <w:rsid w:val="00C16F4F"/>
    <w:rsid w:val="00C22951"/>
    <w:rsid w:val="00C22C54"/>
    <w:rsid w:val="00C23FEC"/>
    <w:rsid w:val="00C24B70"/>
    <w:rsid w:val="00C25C9C"/>
    <w:rsid w:val="00C2683F"/>
    <w:rsid w:val="00C27AB6"/>
    <w:rsid w:val="00C3184D"/>
    <w:rsid w:val="00C3199F"/>
    <w:rsid w:val="00C320FE"/>
    <w:rsid w:val="00C327A1"/>
    <w:rsid w:val="00C40268"/>
    <w:rsid w:val="00C40AD0"/>
    <w:rsid w:val="00C41597"/>
    <w:rsid w:val="00C42507"/>
    <w:rsid w:val="00C43275"/>
    <w:rsid w:val="00C43964"/>
    <w:rsid w:val="00C43E44"/>
    <w:rsid w:val="00C446D7"/>
    <w:rsid w:val="00C449F8"/>
    <w:rsid w:val="00C45DD3"/>
    <w:rsid w:val="00C47030"/>
    <w:rsid w:val="00C4714E"/>
    <w:rsid w:val="00C4760C"/>
    <w:rsid w:val="00C509DD"/>
    <w:rsid w:val="00C51A96"/>
    <w:rsid w:val="00C51CCA"/>
    <w:rsid w:val="00C546BC"/>
    <w:rsid w:val="00C5504F"/>
    <w:rsid w:val="00C5644B"/>
    <w:rsid w:val="00C56A19"/>
    <w:rsid w:val="00C571D8"/>
    <w:rsid w:val="00C573F7"/>
    <w:rsid w:val="00C5764E"/>
    <w:rsid w:val="00C57B55"/>
    <w:rsid w:val="00C57EAA"/>
    <w:rsid w:val="00C60D58"/>
    <w:rsid w:val="00C61F76"/>
    <w:rsid w:val="00C63376"/>
    <w:rsid w:val="00C656F8"/>
    <w:rsid w:val="00C674AA"/>
    <w:rsid w:val="00C70BA9"/>
    <w:rsid w:val="00C718F6"/>
    <w:rsid w:val="00C73193"/>
    <w:rsid w:val="00C73E80"/>
    <w:rsid w:val="00C743A7"/>
    <w:rsid w:val="00C74572"/>
    <w:rsid w:val="00C74B33"/>
    <w:rsid w:val="00C74F4E"/>
    <w:rsid w:val="00C74F97"/>
    <w:rsid w:val="00C75898"/>
    <w:rsid w:val="00C7658A"/>
    <w:rsid w:val="00C76C52"/>
    <w:rsid w:val="00C77545"/>
    <w:rsid w:val="00C807C2"/>
    <w:rsid w:val="00C80A91"/>
    <w:rsid w:val="00C81CCB"/>
    <w:rsid w:val="00C8214A"/>
    <w:rsid w:val="00C8276E"/>
    <w:rsid w:val="00C827C1"/>
    <w:rsid w:val="00C83B59"/>
    <w:rsid w:val="00C842AC"/>
    <w:rsid w:val="00C84397"/>
    <w:rsid w:val="00C854C4"/>
    <w:rsid w:val="00C855A0"/>
    <w:rsid w:val="00C85EEC"/>
    <w:rsid w:val="00C86073"/>
    <w:rsid w:val="00C868C1"/>
    <w:rsid w:val="00C86D90"/>
    <w:rsid w:val="00C90D66"/>
    <w:rsid w:val="00C91D1A"/>
    <w:rsid w:val="00C92195"/>
    <w:rsid w:val="00C92550"/>
    <w:rsid w:val="00C9313C"/>
    <w:rsid w:val="00C93221"/>
    <w:rsid w:val="00C93B12"/>
    <w:rsid w:val="00C93B81"/>
    <w:rsid w:val="00C95293"/>
    <w:rsid w:val="00C954C6"/>
    <w:rsid w:val="00C9582C"/>
    <w:rsid w:val="00C9643F"/>
    <w:rsid w:val="00C96688"/>
    <w:rsid w:val="00C967BE"/>
    <w:rsid w:val="00C972D6"/>
    <w:rsid w:val="00C97995"/>
    <w:rsid w:val="00C97FD4"/>
    <w:rsid w:val="00CA0723"/>
    <w:rsid w:val="00CA2E3C"/>
    <w:rsid w:val="00CA3A56"/>
    <w:rsid w:val="00CA5156"/>
    <w:rsid w:val="00CA5BD9"/>
    <w:rsid w:val="00CA7714"/>
    <w:rsid w:val="00CA7CA3"/>
    <w:rsid w:val="00CB06A4"/>
    <w:rsid w:val="00CB0F7E"/>
    <w:rsid w:val="00CB0FAD"/>
    <w:rsid w:val="00CB1690"/>
    <w:rsid w:val="00CB307A"/>
    <w:rsid w:val="00CB39C7"/>
    <w:rsid w:val="00CB4CCF"/>
    <w:rsid w:val="00CB6D4C"/>
    <w:rsid w:val="00CC04A8"/>
    <w:rsid w:val="00CC1027"/>
    <w:rsid w:val="00CC1CF1"/>
    <w:rsid w:val="00CC4365"/>
    <w:rsid w:val="00CC49B0"/>
    <w:rsid w:val="00CC66C5"/>
    <w:rsid w:val="00CC6851"/>
    <w:rsid w:val="00CC77AB"/>
    <w:rsid w:val="00CD0543"/>
    <w:rsid w:val="00CD06E3"/>
    <w:rsid w:val="00CD11B0"/>
    <w:rsid w:val="00CD20F5"/>
    <w:rsid w:val="00CD2ACA"/>
    <w:rsid w:val="00CD3D11"/>
    <w:rsid w:val="00CD41FE"/>
    <w:rsid w:val="00CD4D07"/>
    <w:rsid w:val="00CD5106"/>
    <w:rsid w:val="00CD52E5"/>
    <w:rsid w:val="00CD6FB5"/>
    <w:rsid w:val="00CD7919"/>
    <w:rsid w:val="00CE0142"/>
    <w:rsid w:val="00CE0750"/>
    <w:rsid w:val="00CE0A08"/>
    <w:rsid w:val="00CE46E3"/>
    <w:rsid w:val="00CE5C2A"/>
    <w:rsid w:val="00CE6128"/>
    <w:rsid w:val="00CE6F25"/>
    <w:rsid w:val="00CE705B"/>
    <w:rsid w:val="00CE71C2"/>
    <w:rsid w:val="00CF1501"/>
    <w:rsid w:val="00CF1C18"/>
    <w:rsid w:val="00CF1DE5"/>
    <w:rsid w:val="00CF3226"/>
    <w:rsid w:val="00CF34E9"/>
    <w:rsid w:val="00CF3954"/>
    <w:rsid w:val="00CF4293"/>
    <w:rsid w:val="00CF42D5"/>
    <w:rsid w:val="00CF4EDA"/>
    <w:rsid w:val="00CF590F"/>
    <w:rsid w:val="00CF7D7F"/>
    <w:rsid w:val="00D01481"/>
    <w:rsid w:val="00D01CEA"/>
    <w:rsid w:val="00D021CB"/>
    <w:rsid w:val="00D025D5"/>
    <w:rsid w:val="00D02AB8"/>
    <w:rsid w:val="00D041E9"/>
    <w:rsid w:val="00D0477B"/>
    <w:rsid w:val="00D05638"/>
    <w:rsid w:val="00D057D0"/>
    <w:rsid w:val="00D05EA6"/>
    <w:rsid w:val="00D0752A"/>
    <w:rsid w:val="00D079AD"/>
    <w:rsid w:val="00D10553"/>
    <w:rsid w:val="00D10576"/>
    <w:rsid w:val="00D10F1A"/>
    <w:rsid w:val="00D116F8"/>
    <w:rsid w:val="00D11D3D"/>
    <w:rsid w:val="00D13103"/>
    <w:rsid w:val="00D13596"/>
    <w:rsid w:val="00D13D3A"/>
    <w:rsid w:val="00D1499E"/>
    <w:rsid w:val="00D15C4E"/>
    <w:rsid w:val="00D16C5F"/>
    <w:rsid w:val="00D17596"/>
    <w:rsid w:val="00D20D00"/>
    <w:rsid w:val="00D219A0"/>
    <w:rsid w:val="00D21D54"/>
    <w:rsid w:val="00D22640"/>
    <w:rsid w:val="00D22E09"/>
    <w:rsid w:val="00D232A5"/>
    <w:rsid w:val="00D2410E"/>
    <w:rsid w:val="00D2468C"/>
    <w:rsid w:val="00D2475A"/>
    <w:rsid w:val="00D2514F"/>
    <w:rsid w:val="00D262E4"/>
    <w:rsid w:val="00D267D5"/>
    <w:rsid w:val="00D26D3A"/>
    <w:rsid w:val="00D27674"/>
    <w:rsid w:val="00D3023D"/>
    <w:rsid w:val="00D320CD"/>
    <w:rsid w:val="00D33152"/>
    <w:rsid w:val="00D34DFE"/>
    <w:rsid w:val="00D35555"/>
    <w:rsid w:val="00D35D07"/>
    <w:rsid w:val="00D361EF"/>
    <w:rsid w:val="00D362FB"/>
    <w:rsid w:val="00D40B13"/>
    <w:rsid w:val="00D4218D"/>
    <w:rsid w:val="00D4225B"/>
    <w:rsid w:val="00D429DC"/>
    <w:rsid w:val="00D43188"/>
    <w:rsid w:val="00D43566"/>
    <w:rsid w:val="00D44668"/>
    <w:rsid w:val="00D458F4"/>
    <w:rsid w:val="00D45EE3"/>
    <w:rsid w:val="00D460E7"/>
    <w:rsid w:val="00D463C6"/>
    <w:rsid w:val="00D46841"/>
    <w:rsid w:val="00D475B0"/>
    <w:rsid w:val="00D477D9"/>
    <w:rsid w:val="00D5042E"/>
    <w:rsid w:val="00D5047F"/>
    <w:rsid w:val="00D50618"/>
    <w:rsid w:val="00D509E9"/>
    <w:rsid w:val="00D52BE7"/>
    <w:rsid w:val="00D53B1C"/>
    <w:rsid w:val="00D53C58"/>
    <w:rsid w:val="00D53FD5"/>
    <w:rsid w:val="00D54EC8"/>
    <w:rsid w:val="00D55138"/>
    <w:rsid w:val="00D5780F"/>
    <w:rsid w:val="00D6027F"/>
    <w:rsid w:val="00D61CBE"/>
    <w:rsid w:val="00D63066"/>
    <w:rsid w:val="00D6335C"/>
    <w:rsid w:val="00D644AE"/>
    <w:rsid w:val="00D67A84"/>
    <w:rsid w:val="00D70859"/>
    <w:rsid w:val="00D70CF2"/>
    <w:rsid w:val="00D71AAC"/>
    <w:rsid w:val="00D7416C"/>
    <w:rsid w:val="00D74C9D"/>
    <w:rsid w:val="00D764FC"/>
    <w:rsid w:val="00D76EC2"/>
    <w:rsid w:val="00D77087"/>
    <w:rsid w:val="00D772A6"/>
    <w:rsid w:val="00D80577"/>
    <w:rsid w:val="00D81EC1"/>
    <w:rsid w:val="00D90553"/>
    <w:rsid w:val="00D915C9"/>
    <w:rsid w:val="00D9252D"/>
    <w:rsid w:val="00D95E5E"/>
    <w:rsid w:val="00D97CBC"/>
    <w:rsid w:val="00DA1B12"/>
    <w:rsid w:val="00DA23F7"/>
    <w:rsid w:val="00DA2795"/>
    <w:rsid w:val="00DA3001"/>
    <w:rsid w:val="00DA3A36"/>
    <w:rsid w:val="00DA4E89"/>
    <w:rsid w:val="00DA4E8C"/>
    <w:rsid w:val="00DA54C9"/>
    <w:rsid w:val="00DA5F22"/>
    <w:rsid w:val="00DA6739"/>
    <w:rsid w:val="00DA694C"/>
    <w:rsid w:val="00DA6CAE"/>
    <w:rsid w:val="00DA71AB"/>
    <w:rsid w:val="00DA7DE6"/>
    <w:rsid w:val="00DA7EFC"/>
    <w:rsid w:val="00DB0CD2"/>
    <w:rsid w:val="00DB17F2"/>
    <w:rsid w:val="00DB1A9E"/>
    <w:rsid w:val="00DB31D6"/>
    <w:rsid w:val="00DB342C"/>
    <w:rsid w:val="00DB4005"/>
    <w:rsid w:val="00DB4D33"/>
    <w:rsid w:val="00DB5748"/>
    <w:rsid w:val="00DB58A8"/>
    <w:rsid w:val="00DB6A39"/>
    <w:rsid w:val="00DB7B11"/>
    <w:rsid w:val="00DB7CC7"/>
    <w:rsid w:val="00DC34EB"/>
    <w:rsid w:val="00DC4C98"/>
    <w:rsid w:val="00DC6A71"/>
    <w:rsid w:val="00DC7D57"/>
    <w:rsid w:val="00DD1783"/>
    <w:rsid w:val="00DD18D2"/>
    <w:rsid w:val="00DD3071"/>
    <w:rsid w:val="00DD478E"/>
    <w:rsid w:val="00DD5116"/>
    <w:rsid w:val="00DD5677"/>
    <w:rsid w:val="00DD6CD5"/>
    <w:rsid w:val="00DD7A6B"/>
    <w:rsid w:val="00DD7AE7"/>
    <w:rsid w:val="00DE1041"/>
    <w:rsid w:val="00DE1770"/>
    <w:rsid w:val="00DE505C"/>
    <w:rsid w:val="00DE6656"/>
    <w:rsid w:val="00DF14BF"/>
    <w:rsid w:val="00DF1E5B"/>
    <w:rsid w:val="00DF2275"/>
    <w:rsid w:val="00DF25A8"/>
    <w:rsid w:val="00DF27FA"/>
    <w:rsid w:val="00DF2A7A"/>
    <w:rsid w:val="00DF2B4E"/>
    <w:rsid w:val="00DF3B87"/>
    <w:rsid w:val="00DF3F5E"/>
    <w:rsid w:val="00DF5291"/>
    <w:rsid w:val="00DF5653"/>
    <w:rsid w:val="00DF5BB9"/>
    <w:rsid w:val="00DF78CD"/>
    <w:rsid w:val="00E0046F"/>
    <w:rsid w:val="00E03141"/>
    <w:rsid w:val="00E03D6A"/>
    <w:rsid w:val="00E03E1F"/>
    <w:rsid w:val="00E03EC8"/>
    <w:rsid w:val="00E045C8"/>
    <w:rsid w:val="00E0489E"/>
    <w:rsid w:val="00E04B56"/>
    <w:rsid w:val="00E04D5B"/>
    <w:rsid w:val="00E0596E"/>
    <w:rsid w:val="00E05A6E"/>
    <w:rsid w:val="00E06DA0"/>
    <w:rsid w:val="00E06F66"/>
    <w:rsid w:val="00E0703A"/>
    <w:rsid w:val="00E07A54"/>
    <w:rsid w:val="00E13CDE"/>
    <w:rsid w:val="00E154D9"/>
    <w:rsid w:val="00E169F8"/>
    <w:rsid w:val="00E1706D"/>
    <w:rsid w:val="00E1730D"/>
    <w:rsid w:val="00E21AE7"/>
    <w:rsid w:val="00E225FC"/>
    <w:rsid w:val="00E22D38"/>
    <w:rsid w:val="00E2450F"/>
    <w:rsid w:val="00E275F3"/>
    <w:rsid w:val="00E30C76"/>
    <w:rsid w:val="00E30CF8"/>
    <w:rsid w:val="00E310B5"/>
    <w:rsid w:val="00E33428"/>
    <w:rsid w:val="00E3414D"/>
    <w:rsid w:val="00E34C39"/>
    <w:rsid w:val="00E356E5"/>
    <w:rsid w:val="00E357E4"/>
    <w:rsid w:val="00E35930"/>
    <w:rsid w:val="00E3603A"/>
    <w:rsid w:val="00E36F81"/>
    <w:rsid w:val="00E3768F"/>
    <w:rsid w:val="00E4027D"/>
    <w:rsid w:val="00E40A6F"/>
    <w:rsid w:val="00E4347A"/>
    <w:rsid w:val="00E43C3F"/>
    <w:rsid w:val="00E445BD"/>
    <w:rsid w:val="00E450DD"/>
    <w:rsid w:val="00E45765"/>
    <w:rsid w:val="00E45876"/>
    <w:rsid w:val="00E45A85"/>
    <w:rsid w:val="00E45BF7"/>
    <w:rsid w:val="00E45D16"/>
    <w:rsid w:val="00E46AA0"/>
    <w:rsid w:val="00E5098C"/>
    <w:rsid w:val="00E525DA"/>
    <w:rsid w:val="00E5359C"/>
    <w:rsid w:val="00E53AB1"/>
    <w:rsid w:val="00E5459C"/>
    <w:rsid w:val="00E5469B"/>
    <w:rsid w:val="00E54DCA"/>
    <w:rsid w:val="00E565BF"/>
    <w:rsid w:val="00E57AB7"/>
    <w:rsid w:val="00E60213"/>
    <w:rsid w:val="00E6090B"/>
    <w:rsid w:val="00E61171"/>
    <w:rsid w:val="00E61A27"/>
    <w:rsid w:val="00E65A31"/>
    <w:rsid w:val="00E65BC4"/>
    <w:rsid w:val="00E661B2"/>
    <w:rsid w:val="00E66BD6"/>
    <w:rsid w:val="00E6746A"/>
    <w:rsid w:val="00E7196B"/>
    <w:rsid w:val="00E71995"/>
    <w:rsid w:val="00E745C5"/>
    <w:rsid w:val="00E74D29"/>
    <w:rsid w:val="00E76472"/>
    <w:rsid w:val="00E76A75"/>
    <w:rsid w:val="00E76D8F"/>
    <w:rsid w:val="00E77385"/>
    <w:rsid w:val="00E77469"/>
    <w:rsid w:val="00E7766E"/>
    <w:rsid w:val="00E817E8"/>
    <w:rsid w:val="00E83C74"/>
    <w:rsid w:val="00E83CEE"/>
    <w:rsid w:val="00E843B5"/>
    <w:rsid w:val="00E84A74"/>
    <w:rsid w:val="00E84C65"/>
    <w:rsid w:val="00E86F11"/>
    <w:rsid w:val="00E87C8E"/>
    <w:rsid w:val="00E91263"/>
    <w:rsid w:val="00E9139A"/>
    <w:rsid w:val="00E914F5"/>
    <w:rsid w:val="00E91AD0"/>
    <w:rsid w:val="00E91B0F"/>
    <w:rsid w:val="00E91F18"/>
    <w:rsid w:val="00E9217E"/>
    <w:rsid w:val="00E9226D"/>
    <w:rsid w:val="00E92491"/>
    <w:rsid w:val="00E92652"/>
    <w:rsid w:val="00E9304F"/>
    <w:rsid w:val="00E93EC8"/>
    <w:rsid w:val="00E943AB"/>
    <w:rsid w:val="00E95286"/>
    <w:rsid w:val="00E97091"/>
    <w:rsid w:val="00EA416C"/>
    <w:rsid w:val="00EA48C9"/>
    <w:rsid w:val="00EA545F"/>
    <w:rsid w:val="00EA5737"/>
    <w:rsid w:val="00EA5941"/>
    <w:rsid w:val="00EA6DB3"/>
    <w:rsid w:val="00EB03C5"/>
    <w:rsid w:val="00EB135C"/>
    <w:rsid w:val="00EB1365"/>
    <w:rsid w:val="00EB1767"/>
    <w:rsid w:val="00EB2AFF"/>
    <w:rsid w:val="00EB2B0D"/>
    <w:rsid w:val="00EB3ED7"/>
    <w:rsid w:val="00EB569A"/>
    <w:rsid w:val="00EB6045"/>
    <w:rsid w:val="00EB60CE"/>
    <w:rsid w:val="00EB64EF"/>
    <w:rsid w:val="00EB7D53"/>
    <w:rsid w:val="00EB7DE1"/>
    <w:rsid w:val="00EB7FFE"/>
    <w:rsid w:val="00EC053E"/>
    <w:rsid w:val="00EC2079"/>
    <w:rsid w:val="00EC472E"/>
    <w:rsid w:val="00EC5CD2"/>
    <w:rsid w:val="00ED07F5"/>
    <w:rsid w:val="00ED0899"/>
    <w:rsid w:val="00ED0936"/>
    <w:rsid w:val="00ED0A48"/>
    <w:rsid w:val="00ED0F91"/>
    <w:rsid w:val="00ED15EF"/>
    <w:rsid w:val="00ED275F"/>
    <w:rsid w:val="00ED2B44"/>
    <w:rsid w:val="00ED36CE"/>
    <w:rsid w:val="00ED4BEB"/>
    <w:rsid w:val="00ED650E"/>
    <w:rsid w:val="00ED655B"/>
    <w:rsid w:val="00ED6F71"/>
    <w:rsid w:val="00ED73BE"/>
    <w:rsid w:val="00ED7610"/>
    <w:rsid w:val="00ED7705"/>
    <w:rsid w:val="00EE1198"/>
    <w:rsid w:val="00EE2669"/>
    <w:rsid w:val="00EE3146"/>
    <w:rsid w:val="00EE3954"/>
    <w:rsid w:val="00EE409C"/>
    <w:rsid w:val="00EE4B8F"/>
    <w:rsid w:val="00EE51F0"/>
    <w:rsid w:val="00EE5FD3"/>
    <w:rsid w:val="00EE7A8E"/>
    <w:rsid w:val="00EF1A49"/>
    <w:rsid w:val="00EF2FE1"/>
    <w:rsid w:val="00EF3401"/>
    <w:rsid w:val="00EF3AD0"/>
    <w:rsid w:val="00EF4626"/>
    <w:rsid w:val="00EF50BB"/>
    <w:rsid w:val="00EF53FF"/>
    <w:rsid w:val="00EF6A50"/>
    <w:rsid w:val="00F00192"/>
    <w:rsid w:val="00F00B1C"/>
    <w:rsid w:val="00F01DF6"/>
    <w:rsid w:val="00F0340D"/>
    <w:rsid w:val="00F035D3"/>
    <w:rsid w:val="00F0388E"/>
    <w:rsid w:val="00F04314"/>
    <w:rsid w:val="00F04536"/>
    <w:rsid w:val="00F045C1"/>
    <w:rsid w:val="00F04C9E"/>
    <w:rsid w:val="00F054F5"/>
    <w:rsid w:val="00F059A6"/>
    <w:rsid w:val="00F061ED"/>
    <w:rsid w:val="00F067EB"/>
    <w:rsid w:val="00F06856"/>
    <w:rsid w:val="00F073FD"/>
    <w:rsid w:val="00F12722"/>
    <w:rsid w:val="00F12C03"/>
    <w:rsid w:val="00F13E8E"/>
    <w:rsid w:val="00F15722"/>
    <w:rsid w:val="00F212D5"/>
    <w:rsid w:val="00F21C8A"/>
    <w:rsid w:val="00F22564"/>
    <w:rsid w:val="00F22E8B"/>
    <w:rsid w:val="00F23756"/>
    <w:rsid w:val="00F24883"/>
    <w:rsid w:val="00F2523A"/>
    <w:rsid w:val="00F259CC"/>
    <w:rsid w:val="00F25FFA"/>
    <w:rsid w:val="00F26280"/>
    <w:rsid w:val="00F264F9"/>
    <w:rsid w:val="00F30444"/>
    <w:rsid w:val="00F30613"/>
    <w:rsid w:val="00F310D2"/>
    <w:rsid w:val="00F31B13"/>
    <w:rsid w:val="00F3309B"/>
    <w:rsid w:val="00F34F54"/>
    <w:rsid w:val="00F35C24"/>
    <w:rsid w:val="00F36F3D"/>
    <w:rsid w:val="00F40046"/>
    <w:rsid w:val="00F41851"/>
    <w:rsid w:val="00F427BF"/>
    <w:rsid w:val="00F4297C"/>
    <w:rsid w:val="00F45932"/>
    <w:rsid w:val="00F45F0F"/>
    <w:rsid w:val="00F4605B"/>
    <w:rsid w:val="00F46C91"/>
    <w:rsid w:val="00F477BD"/>
    <w:rsid w:val="00F503F0"/>
    <w:rsid w:val="00F52C51"/>
    <w:rsid w:val="00F530B6"/>
    <w:rsid w:val="00F53491"/>
    <w:rsid w:val="00F535A2"/>
    <w:rsid w:val="00F54B0D"/>
    <w:rsid w:val="00F60C1A"/>
    <w:rsid w:val="00F60F47"/>
    <w:rsid w:val="00F61368"/>
    <w:rsid w:val="00F62416"/>
    <w:rsid w:val="00F629B8"/>
    <w:rsid w:val="00F63254"/>
    <w:rsid w:val="00F63797"/>
    <w:rsid w:val="00F64A44"/>
    <w:rsid w:val="00F65A1C"/>
    <w:rsid w:val="00F66F50"/>
    <w:rsid w:val="00F66F59"/>
    <w:rsid w:val="00F70383"/>
    <w:rsid w:val="00F7091E"/>
    <w:rsid w:val="00F72DCB"/>
    <w:rsid w:val="00F7370F"/>
    <w:rsid w:val="00F737E3"/>
    <w:rsid w:val="00F73B38"/>
    <w:rsid w:val="00F73C73"/>
    <w:rsid w:val="00F742AD"/>
    <w:rsid w:val="00F74F9B"/>
    <w:rsid w:val="00F74FEC"/>
    <w:rsid w:val="00F753F4"/>
    <w:rsid w:val="00F754E4"/>
    <w:rsid w:val="00F76160"/>
    <w:rsid w:val="00F766B8"/>
    <w:rsid w:val="00F768C4"/>
    <w:rsid w:val="00F76935"/>
    <w:rsid w:val="00F7785D"/>
    <w:rsid w:val="00F77B26"/>
    <w:rsid w:val="00F81884"/>
    <w:rsid w:val="00F82A28"/>
    <w:rsid w:val="00F82FF8"/>
    <w:rsid w:val="00F8330D"/>
    <w:rsid w:val="00F835C5"/>
    <w:rsid w:val="00F839FE"/>
    <w:rsid w:val="00F83F63"/>
    <w:rsid w:val="00F8421E"/>
    <w:rsid w:val="00F84305"/>
    <w:rsid w:val="00F8472A"/>
    <w:rsid w:val="00F8485C"/>
    <w:rsid w:val="00F84B83"/>
    <w:rsid w:val="00F8613A"/>
    <w:rsid w:val="00F863D3"/>
    <w:rsid w:val="00F86A5D"/>
    <w:rsid w:val="00F87149"/>
    <w:rsid w:val="00F876B7"/>
    <w:rsid w:val="00F87FFE"/>
    <w:rsid w:val="00F9004A"/>
    <w:rsid w:val="00F92164"/>
    <w:rsid w:val="00F93026"/>
    <w:rsid w:val="00F93A7C"/>
    <w:rsid w:val="00F9446D"/>
    <w:rsid w:val="00F945BC"/>
    <w:rsid w:val="00F94F52"/>
    <w:rsid w:val="00F954C9"/>
    <w:rsid w:val="00F96A68"/>
    <w:rsid w:val="00F96DB6"/>
    <w:rsid w:val="00FA19ED"/>
    <w:rsid w:val="00FA22AE"/>
    <w:rsid w:val="00FA36DC"/>
    <w:rsid w:val="00FA44D5"/>
    <w:rsid w:val="00FA4CF0"/>
    <w:rsid w:val="00FA4E75"/>
    <w:rsid w:val="00FA61AA"/>
    <w:rsid w:val="00FA69A4"/>
    <w:rsid w:val="00FA796C"/>
    <w:rsid w:val="00FB02E2"/>
    <w:rsid w:val="00FB0B27"/>
    <w:rsid w:val="00FB1279"/>
    <w:rsid w:val="00FB1495"/>
    <w:rsid w:val="00FB2472"/>
    <w:rsid w:val="00FB43CB"/>
    <w:rsid w:val="00FB47CB"/>
    <w:rsid w:val="00FB656E"/>
    <w:rsid w:val="00FB65E8"/>
    <w:rsid w:val="00FB6893"/>
    <w:rsid w:val="00FB7D7D"/>
    <w:rsid w:val="00FC1563"/>
    <w:rsid w:val="00FC2EBF"/>
    <w:rsid w:val="00FC391F"/>
    <w:rsid w:val="00FC43F5"/>
    <w:rsid w:val="00FC4E60"/>
    <w:rsid w:val="00FC5059"/>
    <w:rsid w:val="00FC55DE"/>
    <w:rsid w:val="00FC7280"/>
    <w:rsid w:val="00FD022E"/>
    <w:rsid w:val="00FD081A"/>
    <w:rsid w:val="00FD0C3D"/>
    <w:rsid w:val="00FD12F1"/>
    <w:rsid w:val="00FD1694"/>
    <w:rsid w:val="00FD1B71"/>
    <w:rsid w:val="00FD1F67"/>
    <w:rsid w:val="00FD20D5"/>
    <w:rsid w:val="00FD444E"/>
    <w:rsid w:val="00FD5E45"/>
    <w:rsid w:val="00FD6893"/>
    <w:rsid w:val="00FD7636"/>
    <w:rsid w:val="00FE0EB3"/>
    <w:rsid w:val="00FE10D5"/>
    <w:rsid w:val="00FE1CA3"/>
    <w:rsid w:val="00FE2002"/>
    <w:rsid w:val="00FE3229"/>
    <w:rsid w:val="00FE5611"/>
    <w:rsid w:val="00FE657A"/>
    <w:rsid w:val="00FE74C3"/>
    <w:rsid w:val="00FE76B8"/>
    <w:rsid w:val="00FE7982"/>
    <w:rsid w:val="00FE7C0C"/>
    <w:rsid w:val="00FE7ECF"/>
    <w:rsid w:val="00FF02EF"/>
    <w:rsid w:val="00FF0A8C"/>
    <w:rsid w:val="00FF215C"/>
    <w:rsid w:val="00FF49E8"/>
    <w:rsid w:val="00FF4AC6"/>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92C"/>
    <w:pPr>
      <w:spacing w:before="120" w:after="120"/>
    </w:pPr>
    <w:rPr>
      <w:sz w:val="22"/>
      <w:szCs w:val="22"/>
      <w:lang w:eastAsia="en-US"/>
    </w:rPr>
  </w:style>
  <w:style w:type="paragraph" w:styleId="Heading1">
    <w:name w:val="heading 1"/>
    <w:basedOn w:val="Normal"/>
    <w:next w:val="Normal"/>
    <w:link w:val="Heading1Char"/>
    <w:uiPriority w:val="9"/>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paragraph" w:styleId="Heading5">
    <w:name w:val="heading 5"/>
    <w:basedOn w:val="Heading4"/>
    <w:next w:val="BodyText"/>
    <w:link w:val="Heading5Char"/>
    <w:uiPriority w:val="9"/>
    <w:qFormat/>
    <w:rsid w:val="00BE1392"/>
    <w:pPr>
      <w:tabs>
        <w:tab w:val="num" w:pos="866"/>
        <w:tab w:val="left" w:pos="907"/>
      </w:tabs>
      <w:spacing w:line="300" w:lineRule="atLeast"/>
      <w:ind w:left="866" w:hanging="1008"/>
      <w:outlineLvl w:val="4"/>
    </w:pPr>
    <w:rPr>
      <w:rFonts w:eastAsia="Times New Roman" w:cs="Times New Roman"/>
      <w:b/>
      <w:bCs/>
      <w:i w:val="0"/>
      <w:szCs w:val="28"/>
      <w:lang w:eastAsia="en-AU"/>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contextualSpacing/>
    </w:pPr>
    <w:rPr>
      <w:rFonts w:cs="Arial"/>
      <w:sz w:val="20"/>
      <w:szCs w:val="18"/>
    </w:rPr>
  </w:style>
  <w:style w:type="paragraph" w:styleId="ListBullet2">
    <w:name w:val="List Bullet 2"/>
    <w:basedOn w:val="Normal"/>
    <w:uiPriority w:val="99"/>
    <w:unhideWhenUsed/>
    <w:rsid w:val="00CC1027"/>
    <w:pPr>
      <w:numPr>
        <w:numId w:val="11"/>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9"/>
      </w:numPr>
    </w:pPr>
  </w:style>
  <w:style w:type="paragraph" w:styleId="ListBullet4">
    <w:name w:val="List Bullet 4"/>
    <w:basedOn w:val="Normal"/>
    <w:uiPriority w:val="99"/>
    <w:unhideWhenUsed/>
    <w:rsid w:val="00091608"/>
    <w:pPr>
      <w:numPr>
        <w:ilvl w:val="3"/>
        <w:numId w:val="9"/>
      </w:numPr>
    </w:pPr>
  </w:style>
  <w:style w:type="paragraph" w:styleId="ListBullet5">
    <w:name w:val="List Bullet 5"/>
    <w:basedOn w:val="Normal"/>
    <w:uiPriority w:val="99"/>
    <w:unhideWhenUsed/>
    <w:rsid w:val="00091608"/>
    <w:pPr>
      <w:numPr>
        <w:ilvl w:val="4"/>
        <w:numId w:val="9"/>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uiPriority w:val="99"/>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9E2BFB"/>
    <w:pPr>
      <w:tabs>
        <w:tab w:val="right" w:leader="dot" w:pos="8931"/>
      </w:tabs>
      <w:spacing w:before="0" w:after="200" w:line="276" w:lineRule="auto"/>
      <w:ind w:left="992" w:right="-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9E2BFB"/>
    <w:pPr>
      <w:tabs>
        <w:tab w:val="right" w:leader="dot" w:pos="8931"/>
      </w:tabs>
      <w:spacing w:after="100"/>
      <w:ind w:left="440" w:right="-2"/>
    </w:pPr>
  </w:style>
  <w:style w:type="paragraph" w:styleId="TOC2">
    <w:name w:val="toc 2"/>
    <w:basedOn w:val="Normal"/>
    <w:next w:val="Normal"/>
    <w:autoRedefine/>
    <w:uiPriority w:val="39"/>
    <w:unhideWhenUsed/>
    <w:rsid w:val="009E2BFB"/>
    <w:pPr>
      <w:tabs>
        <w:tab w:val="right" w:leader="dot" w:pos="9214"/>
      </w:tabs>
      <w:spacing w:before="0" w:after="200" w:line="276" w:lineRule="auto"/>
      <w:ind w:left="426" w:right="-144"/>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10"/>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5163D7"/>
    <w:rPr>
      <w:color w:val="800080" w:themeColor="followedHyperlink"/>
      <w:u w:val="single"/>
    </w:rPr>
  </w:style>
  <w:style w:type="character" w:customStyle="1" w:styleId="Heading5Char">
    <w:name w:val="Heading 5 Char"/>
    <w:basedOn w:val="DefaultParagraphFont"/>
    <w:link w:val="Heading5"/>
    <w:uiPriority w:val="9"/>
    <w:rsid w:val="00BE1392"/>
    <w:rPr>
      <w:rFonts w:eastAsia="Times New Roman"/>
      <w:b/>
      <w:bCs/>
      <w:sz w:val="22"/>
      <w:szCs w:val="28"/>
    </w:rPr>
  </w:style>
  <w:style w:type="paragraph" w:styleId="BodyText">
    <w:name w:val="Body Text"/>
    <w:basedOn w:val="Normal"/>
    <w:link w:val="BodyTextChar"/>
    <w:rsid w:val="00BE1392"/>
    <w:pPr>
      <w:spacing w:before="0" w:line="300" w:lineRule="atLeast"/>
    </w:pPr>
    <w:rPr>
      <w:rFonts w:eastAsia="Times New Roman" w:cs="Arial"/>
      <w:sz w:val="20"/>
      <w:szCs w:val="20"/>
      <w:lang w:eastAsia="en-AU"/>
    </w:rPr>
  </w:style>
  <w:style w:type="character" w:customStyle="1" w:styleId="BodyTextChar">
    <w:name w:val="Body Text Char"/>
    <w:basedOn w:val="DefaultParagraphFont"/>
    <w:link w:val="BodyText"/>
    <w:rsid w:val="00BE1392"/>
    <w:rPr>
      <w:rFonts w:eastAsia="Times New Roman" w:cs="Arial"/>
    </w:rPr>
  </w:style>
  <w:style w:type="character" w:customStyle="1" w:styleId="ListParagraphChar">
    <w:name w:val="List Paragraph Char"/>
    <w:basedOn w:val="DefaultParagraphFont"/>
    <w:link w:val="ListParagraph"/>
    <w:uiPriority w:val="34"/>
    <w:rsid w:val="00BE1392"/>
    <w:rPr>
      <w:sz w:val="22"/>
      <w:szCs w:val="22"/>
      <w:lang w:eastAsia="en-US"/>
    </w:rPr>
  </w:style>
  <w:style w:type="character" w:customStyle="1" w:styleId="ref-url">
    <w:name w:val="ref-url"/>
    <w:basedOn w:val="DefaultParagraphFont"/>
    <w:rsid w:val="006C26A9"/>
  </w:style>
  <w:style w:type="character" w:customStyle="1" w:styleId="personname2">
    <w:name w:val="person_name2"/>
    <w:basedOn w:val="DefaultParagraphFont"/>
    <w:rsid w:val="006C26A9"/>
  </w:style>
  <w:style w:type="paragraph" w:customStyle="1" w:styleId="EndNoteBibliography">
    <w:name w:val="EndNote Bibliography"/>
    <w:basedOn w:val="Normal"/>
    <w:link w:val="EndNoteBibliographyChar"/>
    <w:rsid w:val="00AF1776"/>
    <w:pPr>
      <w:spacing w:before="0" w:after="160" w:line="240" w:lineRule="atLeast"/>
    </w:pPr>
    <w:rPr>
      <w:rFonts w:eastAsiaTheme="minorHAnsi" w:cs="Arial"/>
      <w:noProof/>
      <w:sz w:val="20"/>
      <w:szCs w:val="20"/>
      <w:lang w:val="en-US"/>
    </w:rPr>
  </w:style>
  <w:style w:type="character" w:customStyle="1" w:styleId="EndNoteBibliographyChar">
    <w:name w:val="EndNote Bibliography Char"/>
    <w:basedOn w:val="DefaultParagraphFont"/>
    <w:link w:val="EndNoteBibliography"/>
    <w:rsid w:val="00AF1776"/>
    <w:rPr>
      <w:rFonts w:eastAsiaTheme="minorHAnsi" w:cs="Arial"/>
      <w:noProof/>
      <w:lang w:val="en-US" w:eastAsia="en-US"/>
    </w:rPr>
  </w:style>
  <w:style w:type="character" w:styleId="HTMLCite">
    <w:name w:val="HTML Cite"/>
    <w:basedOn w:val="DefaultParagraphFont"/>
    <w:uiPriority w:val="99"/>
    <w:semiHidden/>
    <w:unhideWhenUsed/>
    <w:rsid w:val="000F51FC"/>
    <w:rPr>
      <w:i/>
      <w:iCs/>
    </w:rPr>
  </w:style>
  <w:style w:type="character" w:customStyle="1" w:styleId="personname">
    <w:name w:val="person_name"/>
    <w:basedOn w:val="DefaultParagraphFont"/>
    <w:rsid w:val="00421668"/>
  </w:style>
  <w:style w:type="character" w:customStyle="1" w:styleId="UnresolvedMention1">
    <w:name w:val="Unresolved Mention1"/>
    <w:basedOn w:val="DefaultParagraphFont"/>
    <w:uiPriority w:val="99"/>
    <w:semiHidden/>
    <w:unhideWhenUsed/>
    <w:rsid w:val="00BB33B9"/>
    <w:rPr>
      <w:color w:val="605E5C"/>
      <w:shd w:val="clear" w:color="auto" w:fill="E1DFDD"/>
    </w:rPr>
  </w:style>
  <w:style w:type="paragraph" w:customStyle="1" w:styleId="pdf">
    <w:name w:val="pdf"/>
    <w:basedOn w:val="Normal"/>
    <w:rsid w:val="00F22E8B"/>
    <w:pPr>
      <w:spacing w:before="0" w:after="0"/>
      <w:ind w:left="-336"/>
      <w:textAlignment w:val="baseline"/>
    </w:pPr>
    <w:rPr>
      <w:rFonts w:ascii="Times New Roman" w:eastAsia="Times New Roman" w:hAnsi="Times New Roman"/>
      <w:sz w:val="24"/>
      <w:szCs w:val="24"/>
      <w:lang w:eastAsia="en-AU"/>
    </w:rPr>
  </w:style>
  <w:style w:type="paragraph" w:customStyle="1" w:styleId="ReportTitle">
    <w:name w:val="Report Title"/>
    <w:basedOn w:val="Normal"/>
    <w:uiPriority w:val="11"/>
    <w:qFormat/>
    <w:rsid w:val="003C3DE3"/>
    <w:pPr>
      <w:spacing w:before="0" w:after="200" w:line="276" w:lineRule="auto"/>
    </w:pPr>
    <w:rPr>
      <w:b/>
      <w:color w:val="17365D" w:themeColor="text2" w:themeShade="BF"/>
      <w:sz w:val="52"/>
    </w:rPr>
  </w:style>
  <w:style w:type="character" w:styleId="UnresolvedMention">
    <w:name w:val="Unresolved Mention"/>
    <w:basedOn w:val="DefaultParagraphFont"/>
    <w:uiPriority w:val="99"/>
    <w:semiHidden/>
    <w:unhideWhenUsed/>
    <w:rsid w:val="00E04D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11771">
      <w:bodyDiv w:val="1"/>
      <w:marLeft w:val="0"/>
      <w:marRight w:val="0"/>
      <w:marTop w:val="0"/>
      <w:marBottom w:val="0"/>
      <w:divBdr>
        <w:top w:val="none" w:sz="0" w:space="0" w:color="auto"/>
        <w:left w:val="none" w:sz="0" w:space="0" w:color="auto"/>
        <w:bottom w:val="none" w:sz="0" w:space="0" w:color="auto"/>
        <w:right w:val="none" w:sz="0" w:space="0" w:color="auto"/>
      </w:divBdr>
      <w:divsChild>
        <w:div w:id="650987380">
          <w:marLeft w:val="0"/>
          <w:marRight w:val="0"/>
          <w:marTop w:val="225"/>
          <w:marBottom w:val="225"/>
          <w:divBdr>
            <w:top w:val="none" w:sz="0" w:space="0" w:color="auto"/>
            <w:left w:val="none" w:sz="0" w:space="0" w:color="auto"/>
            <w:bottom w:val="none" w:sz="0" w:space="0" w:color="auto"/>
            <w:right w:val="none" w:sz="0" w:space="0" w:color="auto"/>
          </w:divBdr>
          <w:divsChild>
            <w:div w:id="1869904318">
              <w:marLeft w:val="0"/>
              <w:marRight w:val="0"/>
              <w:marTop w:val="0"/>
              <w:marBottom w:val="0"/>
              <w:divBdr>
                <w:top w:val="none" w:sz="0" w:space="0" w:color="auto"/>
                <w:left w:val="none" w:sz="0" w:space="0" w:color="auto"/>
                <w:bottom w:val="none" w:sz="0" w:space="0" w:color="auto"/>
                <w:right w:val="none" w:sz="0" w:space="0" w:color="auto"/>
              </w:divBdr>
              <w:divsChild>
                <w:div w:id="1977832750">
                  <w:marLeft w:val="0"/>
                  <w:marRight w:val="0"/>
                  <w:marTop w:val="0"/>
                  <w:marBottom w:val="0"/>
                  <w:divBdr>
                    <w:top w:val="none" w:sz="0" w:space="0" w:color="auto"/>
                    <w:left w:val="none" w:sz="0" w:space="0" w:color="auto"/>
                    <w:bottom w:val="none" w:sz="0" w:space="0" w:color="auto"/>
                    <w:right w:val="none" w:sz="0" w:space="0" w:color="auto"/>
                  </w:divBdr>
                  <w:divsChild>
                    <w:div w:id="724135355">
                      <w:marLeft w:val="0"/>
                      <w:marRight w:val="0"/>
                      <w:marTop w:val="0"/>
                      <w:marBottom w:val="0"/>
                      <w:divBdr>
                        <w:top w:val="none" w:sz="0" w:space="0" w:color="auto"/>
                        <w:left w:val="none" w:sz="0" w:space="0" w:color="auto"/>
                        <w:bottom w:val="none" w:sz="0" w:space="0" w:color="auto"/>
                        <w:right w:val="none" w:sz="0" w:space="0" w:color="auto"/>
                      </w:divBdr>
                    </w:div>
                    <w:div w:id="132038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439260">
          <w:marLeft w:val="0"/>
          <w:marRight w:val="0"/>
          <w:marTop w:val="225"/>
          <w:marBottom w:val="225"/>
          <w:divBdr>
            <w:top w:val="none" w:sz="0" w:space="0" w:color="auto"/>
            <w:left w:val="none" w:sz="0" w:space="0" w:color="auto"/>
            <w:bottom w:val="none" w:sz="0" w:space="0" w:color="auto"/>
            <w:right w:val="none" w:sz="0" w:space="0" w:color="auto"/>
          </w:divBdr>
          <w:divsChild>
            <w:div w:id="126407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6503">
      <w:bodyDiv w:val="1"/>
      <w:marLeft w:val="0"/>
      <w:marRight w:val="0"/>
      <w:marTop w:val="0"/>
      <w:marBottom w:val="0"/>
      <w:divBdr>
        <w:top w:val="none" w:sz="0" w:space="0" w:color="auto"/>
        <w:left w:val="none" w:sz="0" w:space="0" w:color="auto"/>
        <w:bottom w:val="none" w:sz="0" w:space="0" w:color="auto"/>
        <w:right w:val="none" w:sz="0" w:space="0" w:color="auto"/>
      </w:divBdr>
    </w:div>
    <w:div w:id="110637724">
      <w:bodyDiv w:val="1"/>
      <w:marLeft w:val="0"/>
      <w:marRight w:val="0"/>
      <w:marTop w:val="0"/>
      <w:marBottom w:val="0"/>
      <w:divBdr>
        <w:top w:val="none" w:sz="0" w:space="0" w:color="auto"/>
        <w:left w:val="none" w:sz="0" w:space="0" w:color="auto"/>
        <w:bottom w:val="none" w:sz="0" w:space="0" w:color="auto"/>
        <w:right w:val="none" w:sz="0" w:space="0" w:color="auto"/>
      </w:divBdr>
    </w:div>
    <w:div w:id="191305606">
      <w:bodyDiv w:val="1"/>
      <w:marLeft w:val="0"/>
      <w:marRight w:val="0"/>
      <w:marTop w:val="0"/>
      <w:marBottom w:val="0"/>
      <w:divBdr>
        <w:top w:val="none" w:sz="0" w:space="0" w:color="auto"/>
        <w:left w:val="none" w:sz="0" w:space="0" w:color="auto"/>
        <w:bottom w:val="none" w:sz="0" w:space="0" w:color="auto"/>
        <w:right w:val="none" w:sz="0" w:space="0" w:color="auto"/>
      </w:divBdr>
    </w:div>
    <w:div w:id="239486559">
      <w:bodyDiv w:val="1"/>
      <w:marLeft w:val="0"/>
      <w:marRight w:val="0"/>
      <w:marTop w:val="0"/>
      <w:marBottom w:val="0"/>
      <w:divBdr>
        <w:top w:val="none" w:sz="0" w:space="0" w:color="auto"/>
        <w:left w:val="none" w:sz="0" w:space="0" w:color="auto"/>
        <w:bottom w:val="none" w:sz="0" w:space="0" w:color="auto"/>
        <w:right w:val="none" w:sz="0" w:space="0" w:color="auto"/>
      </w:divBdr>
    </w:div>
    <w:div w:id="425274513">
      <w:bodyDiv w:val="1"/>
      <w:marLeft w:val="0"/>
      <w:marRight w:val="0"/>
      <w:marTop w:val="0"/>
      <w:marBottom w:val="0"/>
      <w:divBdr>
        <w:top w:val="none" w:sz="0" w:space="0" w:color="auto"/>
        <w:left w:val="none" w:sz="0" w:space="0" w:color="auto"/>
        <w:bottom w:val="none" w:sz="0" w:space="0" w:color="auto"/>
        <w:right w:val="none" w:sz="0" w:space="0" w:color="auto"/>
      </w:divBdr>
      <w:divsChild>
        <w:div w:id="469639511">
          <w:marLeft w:val="0"/>
          <w:marRight w:val="0"/>
          <w:marTop w:val="0"/>
          <w:marBottom w:val="0"/>
          <w:divBdr>
            <w:top w:val="none" w:sz="0" w:space="0" w:color="auto"/>
            <w:left w:val="none" w:sz="0" w:space="0" w:color="auto"/>
            <w:bottom w:val="none" w:sz="0" w:space="0" w:color="auto"/>
            <w:right w:val="none" w:sz="0" w:space="0" w:color="auto"/>
          </w:divBdr>
        </w:div>
      </w:divsChild>
    </w:div>
    <w:div w:id="524710369">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997614818">
      <w:bodyDiv w:val="1"/>
      <w:marLeft w:val="0"/>
      <w:marRight w:val="0"/>
      <w:marTop w:val="0"/>
      <w:marBottom w:val="0"/>
      <w:divBdr>
        <w:top w:val="none" w:sz="0" w:space="0" w:color="auto"/>
        <w:left w:val="none" w:sz="0" w:space="0" w:color="auto"/>
        <w:bottom w:val="none" w:sz="0" w:space="0" w:color="auto"/>
        <w:right w:val="none" w:sz="0" w:space="0" w:color="auto"/>
      </w:divBdr>
    </w:div>
    <w:div w:id="1236209009">
      <w:bodyDiv w:val="1"/>
      <w:marLeft w:val="0"/>
      <w:marRight w:val="0"/>
      <w:marTop w:val="0"/>
      <w:marBottom w:val="0"/>
      <w:divBdr>
        <w:top w:val="none" w:sz="0" w:space="0" w:color="auto"/>
        <w:left w:val="none" w:sz="0" w:space="0" w:color="auto"/>
        <w:bottom w:val="none" w:sz="0" w:space="0" w:color="auto"/>
        <w:right w:val="none" w:sz="0" w:space="0" w:color="auto"/>
      </w:divBdr>
      <w:divsChild>
        <w:div w:id="342589030">
          <w:marLeft w:val="0"/>
          <w:marRight w:val="0"/>
          <w:marTop w:val="225"/>
          <w:marBottom w:val="225"/>
          <w:divBdr>
            <w:top w:val="none" w:sz="0" w:space="0" w:color="auto"/>
            <w:left w:val="none" w:sz="0" w:space="0" w:color="auto"/>
            <w:bottom w:val="none" w:sz="0" w:space="0" w:color="auto"/>
            <w:right w:val="none" w:sz="0" w:space="0" w:color="auto"/>
          </w:divBdr>
          <w:divsChild>
            <w:div w:id="2090761135">
              <w:marLeft w:val="0"/>
              <w:marRight w:val="0"/>
              <w:marTop w:val="0"/>
              <w:marBottom w:val="0"/>
              <w:divBdr>
                <w:top w:val="none" w:sz="0" w:space="0" w:color="auto"/>
                <w:left w:val="none" w:sz="0" w:space="0" w:color="auto"/>
                <w:bottom w:val="none" w:sz="0" w:space="0" w:color="auto"/>
                <w:right w:val="none" w:sz="0" w:space="0" w:color="auto"/>
              </w:divBdr>
              <w:divsChild>
                <w:div w:id="2137793428">
                  <w:marLeft w:val="0"/>
                  <w:marRight w:val="0"/>
                  <w:marTop w:val="0"/>
                  <w:marBottom w:val="0"/>
                  <w:divBdr>
                    <w:top w:val="none" w:sz="0" w:space="0" w:color="auto"/>
                    <w:left w:val="none" w:sz="0" w:space="0" w:color="auto"/>
                    <w:bottom w:val="none" w:sz="0" w:space="0" w:color="auto"/>
                    <w:right w:val="none" w:sz="0" w:space="0" w:color="auto"/>
                  </w:divBdr>
                  <w:divsChild>
                    <w:div w:id="131485680">
                      <w:marLeft w:val="0"/>
                      <w:marRight w:val="0"/>
                      <w:marTop w:val="0"/>
                      <w:marBottom w:val="0"/>
                      <w:divBdr>
                        <w:top w:val="none" w:sz="0" w:space="0" w:color="auto"/>
                        <w:left w:val="none" w:sz="0" w:space="0" w:color="auto"/>
                        <w:bottom w:val="none" w:sz="0" w:space="0" w:color="auto"/>
                        <w:right w:val="none" w:sz="0" w:space="0" w:color="auto"/>
                      </w:divBdr>
                    </w:div>
                    <w:div w:id="112407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872022">
          <w:marLeft w:val="0"/>
          <w:marRight w:val="0"/>
          <w:marTop w:val="225"/>
          <w:marBottom w:val="225"/>
          <w:divBdr>
            <w:top w:val="none" w:sz="0" w:space="0" w:color="auto"/>
            <w:left w:val="none" w:sz="0" w:space="0" w:color="auto"/>
            <w:bottom w:val="none" w:sz="0" w:space="0" w:color="auto"/>
            <w:right w:val="none" w:sz="0" w:space="0" w:color="auto"/>
          </w:divBdr>
          <w:divsChild>
            <w:div w:id="73729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007471">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1626570">
      <w:bodyDiv w:val="1"/>
      <w:marLeft w:val="0"/>
      <w:marRight w:val="0"/>
      <w:marTop w:val="0"/>
      <w:marBottom w:val="0"/>
      <w:divBdr>
        <w:top w:val="none" w:sz="0" w:space="0" w:color="auto"/>
        <w:left w:val="none" w:sz="0" w:space="0" w:color="auto"/>
        <w:bottom w:val="none" w:sz="0" w:space="0" w:color="auto"/>
        <w:right w:val="none" w:sz="0" w:space="0" w:color="auto"/>
      </w:divBdr>
      <w:divsChild>
        <w:div w:id="689375135">
          <w:marLeft w:val="0"/>
          <w:marRight w:val="0"/>
          <w:marTop w:val="0"/>
          <w:marBottom w:val="0"/>
          <w:divBdr>
            <w:top w:val="none" w:sz="0" w:space="0" w:color="auto"/>
            <w:left w:val="none" w:sz="0" w:space="0" w:color="auto"/>
            <w:bottom w:val="none" w:sz="0" w:space="0" w:color="auto"/>
            <w:right w:val="none" w:sz="0" w:space="0" w:color="auto"/>
          </w:divBdr>
          <w:divsChild>
            <w:div w:id="735858895">
              <w:marLeft w:val="0"/>
              <w:marRight w:val="0"/>
              <w:marTop w:val="0"/>
              <w:marBottom w:val="0"/>
              <w:divBdr>
                <w:top w:val="none" w:sz="0" w:space="0" w:color="auto"/>
                <w:left w:val="none" w:sz="0" w:space="0" w:color="auto"/>
                <w:bottom w:val="none" w:sz="0" w:space="0" w:color="auto"/>
                <w:right w:val="none" w:sz="0" w:space="0" w:color="auto"/>
              </w:divBdr>
              <w:divsChild>
                <w:div w:id="2072652487">
                  <w:marLeft w:val="0"/>
                  <w:marRight w:val="0"/>
                  <w:marTop w:val="0"/>
                  <w:marBottom w:val="0"/>
                  <w:divBdr>
                    <w:top w:val="none" w:sz="0" w:space="0" w:color="auto"/>
                    <w:left w:val="none" w:sz="0" w:space="0" w:color="auto"/>
                    <w:bottom w:val="none" w:sz="0" w:space="0" w:color="auto"/>
                    <w:right w:val="none" w:sz="0" w:space="0" w:color="auto"/>
                  </w:divBdr>
                  <w:divsChild>
                    <w:div w:id="785663521">
                      <w:marLeft w:val="150"/>
                      <w:marRight w:val="150"/>
                      <w:marTop w:val="0"/>
                      <w:marBottom w:val="0"/>
                      <w:divBdr>
                        <w:top w:val="none" w:sz="0" w:space="0" w:color="auto"/>
                        <w:left w:val="none" w:sz="0" w:space="0" w:color="auto"/>
                        <w:bottom w:val="none" w:sz="0" w:space="0" w:color="auto"/>
                        <w:right w:val="none" w:sz="0" w:space="0" w:color="auto"/>
                      </w:divBdr>
                      <w:divsChild>
                        <w:div w:id="1631859653">
                          <w:marLeft w:val="0"/>
                          <w:marRight w:val="0"/>
                          <w:marTop w:val="0"/>
                          <w:marBottom w:val="0"/>
                          <w:divBdr>
                            <w:top w:val="none" w:sz="0" w:space="0" w:color="auto"/>
                            <w:left w:val="none" w:sz="0" w:space="0" w:color="auto"/>
                            <w:bottom w:val="none" w:sz="0" w:space="0" w:color="auto"/>
                            <w:right w:val="none" w:sz="0" w:space="0" w:color="auto"/>
                          </w:divBdr>
                          <w:divsChild>
                            <w:div w:id="1906530096">
                              <w:marLeft w:val="0"/>
                              <w:marRight w:val="0"/>
                              <w:marTop w:val="0"/>
                              <w:marBottom w:val="240"/>
                              <w:divBdr>
                                <w:top w:val="none" w:sz="0" w:space="0" w:color="auto"/>
                                <w:left w:val="none" w:sz="0" w:space="0" w:color="auto"/>
                                <w:bottom w:val="none" w:sz="0" w:space="0" w:color="auto"/>
                                <w:right w:val="none" w:sz="0" w:space="0" w:color="auto"/>
                              </w:divBdr>
                              <w:divsChild>
                                <w:div w:id="1880819252">
                                  <w:marLeft w:val="0"/>
                                  <w:marRight w:val="0"/>
                                  <w:marTop w:val="0"/>
                                  <w:marBottom w:val="0"/>
                                  <w:divBdr>
                                    <w:top w:val="none" w:sz="0" w:space="0" w:color="auto"/>
                                    <w:left w:val="none" w:sz="0" w:space="0" w:color="auto"/>
                                    <w:bottom w:val="none" w:sz="0" w:space="0" w:color="auto"/>
                                    <w:right w:val="none" w:sz="0" w:space="0" w:color="auto"/>
                                  </w:divBdr>
                                  <w:divsChild>
                                    <w:div w:id="1910574034">
                                      <w:marLeft w:val="0"/>
                                      <w:marRight w:val="0"/>
                                      <w:marTop w:val="0"/>
                                      <w:marBottom w:val="0"/>
                                      <w:divBdr>
                                        <w:top w:val="none" w:sz="0" w:space="0" w:color="auto"/>
                                        <w:left w:val="none" w:sz="0" w:space="0" w:color="auto"/>
                                        <w:bottom w:val="none" w:sz="0" w:space="0" w:color="auto"/>
                                        <w:right w:val="none" w:sz="0" w:space="0" w:color="auto"/>
                                      </w:divBdr>
                                      <w:divsChild>
                                        <w:div w:id="817839068">
                                          <w:marLeft w:val="0"/>
                                          <w:marRight w:val="0"/>
                                          <w:marTop w:val="0"/>
                                          <w:marBottom w:val="0"/>
                                          <w:divBdr>
                                            <w:top w:val="none" w:sz="0" w:space="0" w:color="auto"/>
                                            <w:left w:val="none" w:sz="0" w:space="0" w:color="auto"/>
                                            <w:bottom w:val="none" w:sz="0" w:space="0" w:color="auto"/>
                                            <w:right w:val="none" w:sz="0" w:space="0" w:color="auto"/>
                                          </w:divBdr>
                                          <w:divsChild>
                                            <w:div w:id="1476680291">
                                              <w:marLeft w:val="0"/>
                                              <w:marRight w:val="0"/>
                                              <w:marTop w:val="0"/>
                                              <w:marBottom w:val="0"/>
                                              <w:divBdr>
                                                <w:top w:val="none" w:sz="0" w:space="0" w:color="auto"/>
                                                <w:left w:val="none" w:sz="0" w:space="0" w:color="auto"/>
                                                <w:bottom w:val="none" w:sz="0" w:space="0" w:color="auto"/>
                                                <w:right w:val="none" w:sz="0" w:space="0" w:color="auto"/>
                                              </w:divBdr>
                                              <w:divsChild>
                                                <w:div w:id="1726221288">
                                                  <w:marLeft w:val="0"/>
                                                  <w:marRight w:val="0"/>
                                                  <w:marTop w:val="0"/>
                                                  <w:marBottom w:val="0"/>
                                                  <w:divBdr>
                                                    <w:top w:val="none" w:sz="0" w:space="0" w:color="auto"/>
                                                    <w:left w:val="none" w:sz="0" w:space="0" w:color="auto"/>
                                                    <w:bottom w:val="none" w:sz="0" w:space="0" w:color="auto"/>
                                                    <w:right w:val="none" w:sz="0" w:space="0" w:color="auto"/>
                                                  </w:divBdr>
                                                  <w:divsChild>
                                                    <w:div w:id="84182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16143728">
      <w:bodyDiv w:val="1"/>
      <w:marLeft w:val="0"/>
      <w:marRight w:val="0"/>
      <w:marTop w:val="0"/>
      <w:marBottom w:val="0"/>
      <w:divBdr>
        <w:top w:val="none" w:sz="0" w:space="0" w:color="auto"/>
        <w:left w:val="none" w:sz="0" w:space="0" w:color="auto"/>
        <w:bottom w:val="none" w:sz="0" w:space="0" w:color="auto"/>
        <w:right w:val="none" w:sz="0" w:space="0" w:color="auto"/>
      </w:divBdr>
      <w:divsChild>
        <w:div w:id="481964558">
          <w:marLeft w:val="0"/>
          <w:marRight w:val="0"/>
          <w:marTop w:val="0"/>
          <w:marBottom w:val="0"/>
          <w:divBdr>
            <w:top w:val="none" w:sz="0" w:space="0" w:color="auto"/>
            <w:left w:val="none" w:sz="0" w:space="0" w:color="auto"/>
            <w:bottom w:val="none" w:sz="0" w:space="0" w:color="auto"/>
            <w:right w:val="none" w:sz="0" w:space="0" w:color="auto"/>
          </w:divBdr>
          <w:divsChild>
            <w:div w:id="1231306190">
              <w:marLeft w:val="0"/>
              <w:marRight w:val="0"/>
              <w:marTop w:val="0"/>
              <w:marBottom w:val="0"/>
              <w:divBdr>
                <w:top w:val="none" w:sz="0" w:space="0" w:color="auto"/>
                <w:left w:val="none" w:sz="0" w:space="0" w:color="auto"/>
                <w:bottom w:val="none" w:sz="0" w:space="0" w:color="auto"/>
                <w:right w:val="none" w:sz="0" w:space="0" w:color="auto"/>
              </w:divBdr>
              <w:divsChild>
                <w:div w:id="418143260">
                  <w:marLeft w:val="0"/>
                  <w:marRight w:val="0"/>
                  <w:marTop w:val="0"/>
                  <w:marBottom w:val="0"/>
                  <w:divBdr>
                    <w:top w:val="none" w:sz="0" w:space="0" w:color="auto"/>
                    <w:left w:val="none" w:sz="0" w:space="0" w:color="auto"/>
                    <w:bottom w:val="none" w:sz="0" w:space="0" w:color="auto"/>
                    <w:right w:val="none" w:sz="0" w:space="0" w:color="auto"/>
                  </w:divBdr>
                  <w:divsChild>
                    <w:div w:id="385179885">
                      <w:marLeft w:val="150"/>
                      <w:marRight w:val="150"/>
                      <w:marTop w:val="0"/>
                      <w:marBottom w:val="0"/>
                      <w:divBdr>
                        <w:top w:val="none" w:sz="0" w:space="0" w:color="auto"/>
                        <w:left w:val="none" w:sz="0" w:space="0" w:color="auto"/>
                        <w:bottom w:val="none" w:sz="0" w:space="0" w:color="auto"/>
                        <w:right w:val="none" w:sz="0" w:space="0" w:color="auto"/>
                      </w:divBdr>
                      <w:divsChild>
                        <w:div w:id="797453342">
                          <w:marLeft w:val="0"/>
                          <w:marRight w:val="0"/>
                          <w:marTop w:val="0"/>
                          <w:marBottom w:val="0"/>
                          <w:divBdr>
                            <w:top w:val="none" w:sz="0" w:space="0" w:color="auto"/>
                            <w:left w:val="none" w:sz="0" w:space="0" w:color="auto"/>
                            <w:bottom w:val="none" w:sz="0" w:space="0" w:color="auto"/>
                            <w:right w:val="none" w:sz="0" w:space="0" w:color="auto"/>
                          </w:divBdr>
                          <w:divsChild>
                            <w:div w:id="1428188249">
                              <w:marLeft w:val="0"/>
                              <w:marRight w:val="0"/>
                              <w:marTop w:val="0"/>
                              <w:marBottom w:val="240"/>
                              <w:divBdr>
                                <w:top w:val="none" w:sz="0" w:space="0" w:color="auto"/>
                                <w:left w:val="none" w:sz="0" w:space="0" w:color="auto"/>
                                <w:bottom w:val="none" w:sz="0" w:space="0" w:color="auto"/>
                                <w:right w:val="none" w:sz="0" w:space="0" w:color="auto"/>
                              </w:divBdr>
                              <w:divsChild>
                                <w:div w:id="1593784826">
                                  <w:marLeft w:val="0"/>
                                  <w:marRight w:val="0"/>
                                  <w:marTop w:val="0"/>
                                  <w:marBottom w:val="0"/>
                                  <w:divBdr>
                                    <w:top w:val="none" w:sz="0" w:space="0" w:color="auto"/>
                                    <w:left w:val="none" w:sz="0" w:space="0" w:color="auto"/>
                                    <w:bottom w:val="none" w:sz="0" w:space="0" w:color="auto"/>
                                    <w:right w:val="none" w:sz="0" w:space="0" w:color="auto"/>
                                  </w:divBdr>
                                  <w:divsChild>
                                    <w:div w:id="1961182862">
                                      <w:marLeft w:val="0"/>
                                      <w:marRight w:val="0"/>
                                      <w:marTop w:val="0"/>
                                      <w:marBottom w:val="0"/>
                                      <w:divBdr>
                                        <w:top w:val="none" w:sz="0" w:space="0" w:color="auto"/>
                                        <w:left w:val="none" w:sz="0" w:space="0" w:color="auto"/>
                                        <w:bottom w:val="none" w:sz="0" w:space="0" w:color="auto"/>
                                        <w:right w:val="none" w:sz="0" w:space="0" w:color="auto"/>
                                      </w:divBdr>
                                      <w:divsChild>
                                        <w:div w:id="1352024865">
                                          <w:marLeft w:val="0"/>
                                          <w:marRight w:val="0"/>
                                          <w:marTop w:val="0"/>
                                          <w:marBottom w:val="0"/>
                                          <w:divBdr>
                                            <w:top w:val="none" w:sz="0" w:space="0" w:color="auto"/>
                                            <w:left w:val="none" w:sz="0" w:space="0" w:color="auto"/>
                                            <w:bottom w:val="none" w:sz="0" w:space="0" w:color="auto"/>
                                            <w:right w:val="none" w:sz="0" w:space="0" w:color="auto"/>
                                          </w:divBdr>
                                          <w:divsChild>
                                            <w:div w:id="291717650">
                                              <w:marLeft w:val="0"/>
                                              <w:marRight w:val="0"/>
                                              <w:marTop w:val="0"/>
                                              <w:marBottom w:val="0"/>
                                              <w:divBdr>
                                                <w:top w:val="none" w:sz="0" w:space="0" w:color="auto"/>
                                                <w:left w:val="none" w:sz="0" w:space="0" w:color="auto"/>
                                                <w:bottom w:val="none" w:sz="0" w:space="0" w:color="auto"/>
                                                <w:right w:val="none" w:sz="0" w:space="0" w:color="auto"/>
                                              </w:divBdr>
                                              <w:divsChild>
                                                <w:div w:id="1883471428">
                                                  <w:marLeft w:val="0"/>
                                                  <w:marRight w:val="0"/>
                                                  <w:marTop w:val="0"/>
                                                  <w:marBottom w:val="0"/>
                                                  <w:divBdr>
                                                    <w:top w:val="none" w:sz="0" w:space="0" w:color="auto"/>
                                                    <w:left w:val="none" w:sz="0" w:space="0" w:color="auto"/>
                                                    <w:bottom w:val="none" w:sz="0" w:space="0" w:color="auto"/>
                                                    <w:right w:val="none" w:sz="0" w:space="0" w:color="auto"/>
                                                  </w:divBdr>
                                                  <w:divsChild>
                                                    <w:div w:id="50713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3883509">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44679067">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daf.qld.gov.au/business-priorities/fisheries/sustainable/sustainable-fisheries-strategy/sustainable-fisheries-expert-panel" TargetMode="External"/><Relationship Id="rId117" Type="http://schemas.openxmlformats.org/officeDocument/2006/relationships/hyperlink" Target="https://www.daf.qld.gov.au/__data/assets/pdf_file/0004/1402672/Sth-QLD-Trawl-ERA-Final.pdf" TargetMode="External"/><Relationship Id="rId21" Type="http://schemas.openxmlformats.org/officeDocument/2006/relationships/hyperlink" Target="http://www.environment.gov.au/marine/fisheries/qld/commercial-trawl" TargetMode="External"/><Relationship Id="rId42" Type="http://schemas.openxmlformats.org/officeDocument/2006/relationships/hyperlink" Target="https://www.publications.qld.gov.au/dataset/queensland-sustainable-fisheries-strategy/resource/dfbddda3-f0e4-47a2-ba25-644b999734d8" TargetMode="External"/><Relationship Id="rId47" Type="http://schemas.openxmlformats.org/officeDocument/2006/relationships/hyperlink" Target="https://link.springer.com/content/pdf/10.1007%2Fs002270050551.pdf" TargetMode="External"/><Relationship Id="rId63" Type="http://schemas.openxmlformats.org/officeDocument/2006/relationships/hyperlink" Target="https://www.daf.qld.gov.au/business-priorities/fisheries/sustainable/sustainable-fisheries-strategy/sustainable-fisheries-expert-panel" TargetMode="External"/><Relationship Id="rId68" Type="http://schemas.openxmlformats.org/officeDocument/2006/relationships/hyperlink" Target="https://www.daf.qld.gov.au/__data/assets/pdf_file/0017/55142/StoutWhiting-TrawlFishery-Logbook.pdf" TargetMode="External"/><Relationship Id="rId84" Type="http://schemas.openxmlformats.org/officeDocument/2006/relationships/hyperlink" Target="http://era.daf.qld.gov.au/id/eprint/7064/" TargetMode="External"/><Relationship Id="rId89" Type="http://schemas.openxmlformats.org/officeDocument/2006/relationships/hyperlink" Target="http://era.daf.qld.gov.au/id/eprint/7064/" TargetMode="External"/><Relationship Id="rId112" Type="http://schemas.openxmlformats.org/officeDocument/2006/relationships/hyperlink" Target="https://link.springer.com/content/pdf/10.1007%2Fs002270050125.pdf" TargetMode="External"/><Relationship Id="rId133" Type="http://schemas.openxmlformats.org/officeDocument/2006/relationships/hyperlink" Target="http://era.daf.qld.gov.au/id/eprint/5199/1/Stout%20Whiting%20TACC%20for%202017%20-%20FINAL%2008062016.pdf" TargetMode="External"/><Relationship Id="rId138" Type="http://schemas.openxmlformats.org/officeDocument/2006/relationships/header" Target="header5.xml"/><Relationship Id="rId16" Type="http://schemas.openxmlformats.org/officeDocument/2006/relationships/hyperlink" Target="https://www.publications.qld.gov.au/dataset/155ccffb-3a30-48c1-8144-7892e8a57339/resource/319c7e02-f07b-4b2e-8fd5-a435d2c2f3c9/fs_download/qld-sustainable-fisheries-strategy.pdf" TargetMode="External"/><Relationship Id="rId107" Type="http://schemas.openxmlformats.org/officeDocument/2006/relationships/hyperlink" Target="http://era.daf.qld.gov.au/id/eprint/4064/1/StoutWhitingFRDC92_101.pdf" TargetMode="External"/><Relationship Id="rId11" Type="http://schemas.openxmlformats.org/officeDocument/2006/relationships/header" Target="header1.xml"/><Relationship Id="rId32" Type="http://schemas.openxmlformats.org/officeDocument/2006/relationships/hyperlink" Target="https://www.daf.qld.gov.au/__data/assets/pdf_file/0003/73983/FisheryPerformanceMeasurement-StoutWhiting.pdf" TargetMode="External"/><Relationship Id="rId37" Type="http://schemas.openxmlformats.org/officeDocument/2006/relationships/hyperlink" Target="https://www.daf.qld.gov.au/__data/assets/pdf_file/0017/55142/StoutWhiting-TrawlFishery-Logbook.pdf" TargetMode="External"/><Relationship Id="rId53" Type="http://schemas.openxmlformats.org/officeDocument/2006/relationships/hyperlink" Target="http://era.daf.qld.gov.au/id/eprint/3709/1/BycatchFinalReport2007-FullReport.pdf" TargetMode="External"/><Relationship Id="rId58" Type="http://schemas.openxmlformats.org/officeDocument/2006/relationships/hyperlink" Target="https://www.researchgate.net/publication/248886300_Biology_of_four_species_of_whiting_Pisces_Sillaginidae_in_Botany_Bay_New_South_Wales" TargetMode="External"/><Relationship Id="rId74" Type="http://schemas.openxmlformats.org/officeDocument/2006/relationships/hyperlink" Target="http://era.daf.qld.gov.au/id/eprint/7064/" TargetMode="External"/><Relationship Id="rId79" Type="http://schemas.openxmlformats.org/officeDocument/2006/relationships/hyperlink" Target="http://era.daf.qld.gov.au/id/eprint/7064/" TargetMode="External"/><Relationship Id="rId102" Type="http://schemas.openxmlformats.org/officeDocument/2006/relationships/hyperlink" Target="http://era.daf.qld.gov.au/id/eprint/7064/" TargetMode="External"/><Relationship Id="rId123" Type="http://schemas.openxmlformats.org/officeDocument/2006/relationships/hyperlink" Target="http://www.environment.gov.au/system/files/pages/14a442a5-d118-41d9-963f-b8ad0d70fad9/files/2006-annual-status-report.pdf" TargetMode="External"/><Relationship Id="rId128" Type="http://schemas.openxmlformats.org/officeDocument/2006/relationships/hyperlink" Target="http://www.environment.gov.au/marine/fisheries/qld/commercial-trawl/application-2019" TargetMode="External"/><Relationship Id="rId5" Type="http://schemas.openxmlformats.org/officeDocument/2006/relationships/styles" Target="styles.xml"/><Relationship Id="rId90" Type="http://schemas.openxmlformats.org/officeDocument/2006/relationships/hyperlink" Target="http://era.daf.qld.gov.au/id/eprint/7064/" TargetMode="External"/><Relationship Id="rId95" Type="http://schemas.openxmlformats.org/officeDocument/2006/relationships/hyperlink" Target="http://era.daf.qld.gov.au/id/eprint/7064/" TargetMode="External"/><Relationship Id="rId22" Type="http://schemas.openxmlformats.org/officeDocument/2006/relationships/footer" Target="footer3.xml"/><Relationship Id="rId27" Type="http://schemas.openxmlformats.org/officeDocument/2006/relationships/hyperlink" Target="https://www.daf.qld.gov.au/__data/assets/pdf_file/0003/73983/FisheryPerformanceMeasurement-StoutWhiting.pdf" TargetMode="External"/><Relationship Id="rId43" Type="http://schemas.openxmlformats.org/officeDocument/2006/relationships/hyperlink" Target="file://upvvirtclus02fs/Users$/A21126/Profile/Downloads/qld-sustainable-fisheries-strategy.pdf" TargetMode="External"/><Relationship Id="rId48" Type="http://schemas.openxmlformats.org/officeDocument/2006/relationships/hyperlink" Target="https://www.daf.qld.gov.au/__data/assets/pdf_file/0017/55142/StoutWhiting-TrawlFishery-Logbook.pdf" TargetMode="External"/><Relationship Id="rId64" Type="http://schemas.openxmlformats.org/officeDocument/2006/relationships/hyperlink" Target="http://fish.gov.au/reports/species" TargetMode="External"/><Relationship Id="rId69" Type="http://schemas.openxmlformats.org/officeDocument/2006/relationships/hyperlink" Target="http://era.daf.qld.gov.au/id/eprint/5199/1/Stout%20Whiting%20TACC%20for%202017%20-%20FINAL%2008062016.pdf" TargetMode="External"/><Relationship Id="rId113" Type="http://schemas.openxmlformats.org/officeDocument/2006/relationships/hyperlink" Target="https://en.wikipedia.org/wiki/Digital_object_identifier" TargetMode="External"/><Relationship Id="rId118" Type="http://schemas.openxmlformats.org/officeDocument/2006/relationships/hyperlink" Target="http://www.vliz.be/en/imis?module=ref&amp;refid=6412&amp;printversion=1&amp;dropIMIStitle=1" TargetMode="External"/><Relationship Id="rId134" Type="http://schemas.openxmlformats.org/officeDocument/2006/relationships/header" Target="header3.xml"/><Relationship Id="rId139" Type="http://schemas.openxmlformats.org/officeDocument/2006/relationships/footer" Target="footer7.xml"/><Relationship Id="rId8" Type="http://schemas.openxmlformats.org/officeDocument/2006/relationships/footnotes" Target="footnotes.xml"/><Relationship Id="rId51" Type="http://schemas.openxmlformats.org/officeDocument/2006/relationships/hyperlink" Target="http://era.daf.qld.gov.au/id/eprint/7064/" TargetMode="External"/><Relationship Id="rId72" Type="http://schemas.openxmlformats.org/officeDocument/2006/relationships/hyperlink" Target="https://www.publications.qld.gov.au/dataset/queensland-sustainable-fisheries-strategy/resource/dfbddda3-f0e4-47a2-ba25-644b999734d8" TargetMode="External"/><Relationship Id="rId80" Type="http://schemas.openxmlformats.org/officeDocument/2006/relationships/hyperlink" Target="http://era.daf.qld.gov.au/id/eprint/3709/1/BycatchFinalReport2007-FullReport.pdf" TargetMode="External"/><Relationship Id="rId85" Type="http://schemas.openxmlformats.org/officeDocument/2006/relationships/hyperlink" Target="https://www.daf.qld.gov.au/__data/assets/pdf_file/0004/1402672/Sth-QLD-Trawl-ERA-Final.pdf" TargetMode="External"/><Relationship Id="rId93" Type="http://schemas.openxmlformats.org/officeDocument/2006/relationships/hyperlink" Target="http://era.daf.qld.gov.au/id/eprint/7064/" TargetMode="External"/><Relationship Id="rId98" Type="http://schemas.openxmlformats.org/officeDocument/2006/relationships/hyperlink" Target="http://era.daf.qld.gov.au/id/eprint/7064/" TargetMode="External"/><Relationship Id="rId121" Type="http://schemas.openxmlformats.org/officeDocument/2006/relationships/hyperlink" Target="https://www.daf.qld.gov.au/__data/assets/pdf_file/0004/1423831/Queensland-Fisheries-Summary-Report.pdf" TargetMode="Externa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yperlink" Target="https://www.publications.qld.gov.au/dataset/queensland-sustainable-fisheries-strategy/resource/dfbddda3-f0e4-47a2-ba25-644b999734d8" TargetMode="External"/><Relationship Id="rId25" Type="http://schemas.openxmlformats.org/officeDocument/2006/relationships/hyperlink" Target="https://www.daf.qld.gov.au/business-priorities/fisheries/sustainable/sustainable-fisheries-strategy/fishery-working-groups/trawl-working-group" TargetMode="External"/><Relationship Id="rId33" Type="http://schemas.openxmlformats.org/officeDocument/2006/relationships/hyperlink" Target="http://era.daf.qld.gov.au/id/eprint/7064/" TargetMode="External"/><Relationship Id="rId38" Type="http://schemas.openxmlformats.org/officeDocument/2006/relationships/hyperlink" Target="https://www.daf.qld.gov.au/__data/assets/pdf_file/0017/55142/StoutWhiting-TrawlFishery-Logbook.pdf" TargetMode="External"/><Relationship Id="rId46" Type="http://schemas.openxmlformats.org/officeDocument/2006/relationships/hyperlink" Target="http://www.environment.gov.au/marine/fisheries/qld/commercial-trawl/application-2019" TargetMode="External"/><Relationship Id="rId59" Type="http://schemas.openxmlformats.org/officeDocument/2006/relationships/hyperlink" Target="http://era.daf.qld.gov.au/id/eprint/4064/1/StoutWhitingFRDC92_101.pdf" TargetMode="External"/><Relationship Id="rId67" Type="http://schemas.openxmlformats.org/officeDocument/2006/relationships/hyperlink" Target="https://www.daf.qld.gov.au/__data/assets/pdf_file/0017/55142/StoutWhiting-TrawlFishery-Logbook.pdf" TargetMode="External"/><Relationship Id="rId103" Type="http://schemas.openxmlformats.org/officeDocument/2006/relationships/hyperlink" Target="http://www.environment.gov.au/topics/marine/marine-bioregional-plans/temperate-east" TargetMode="External"/><Relationship Id="rId108" Type="http://schemas.openxmlformats.org/officeDocument/2006/relationships/hyperlink" Target="http://npfindustry.com.au/Publications/Minimising%20Fishing%20Impacts/Brewer%20et%20al%202006.pdf" TargetMode="External"/><Relationship Id="rId116" Type="http://schemas.openxmlformats.org/officeDocument/2006/relationships/hyperlink" Target="https://onlinelibrary.wiley.com/doi/pdf/10.1111/j.1095-8649.1996.tb00002.x" TargetMode="External"/><Relationship Id="rId124" Type="http://schemas.openxmlformats.org/officeDocument/2006/relationships/hyperlink" Target="http://www.environment.gov.au/system/files/pages/14a442a5-d118-41d9-963f-b8ad0d70fad9/files/status-report-stout-whiting-2007.pdf" TargetMode="External"/><Relationship Id="rId129" Type="http://schemas.openxmlformats.org/officeDocument/2006/relationships/hyperlink" Target="http://fish.gov.au/report/211-Stout-Whiting-2018" TargetMode="External"/><Relationship Id="rId137" Type="http://schemas.openxmlformats.org/officeDocument/2006/relationships/footer" Target="footer6.xml"/><Relationship Id="rId20" Type="http://schemas.openxmlformats.org/officeDocument/2006/relationships/hyperlink" Target="https://www.publications.qld.gov.au/dataset/queensland-sustainable-fisheries-strategy/resource/dfbddda3-f0e4-47a2-ba25-644b999734d8" TargetMode="External"/><Relationship Id="rId41" Type="http://schemas.openxmlformats.org/officeDocument/2006/relationships/hyperlink" Target="https://www.daf.qld.gov.au/__data/assets/pdf_file/0017/55142/StoutWhiting-TrawlFishery-Logbook.pdf" TargetMode="External"/><Relationship Id="rId54" Type="http://schemas.openxmlformats.org/officeDocument/2006/relationships/hyperlink" Target="http://era.daf.qld.gov.au/id/eprint/1926/" TargetMode="External"/><Relationship Id="rId62" Type="http://schemas.openxmlformats.org/officeDocument/2006/relationships/hyperlink" Target="http://era.daf.qld.gov.au/id/eprint/4064/1/StoutWhitingFRDC92_101.pdf" TargetMode="External"/><Relationship Id="rId70" Type="http://schemas.openxmlformats.org/officeDocument/2006/relationships/hyperlink" Target="http://fish.gov.au/jurisdiction/queensland" TargetMode="External"/><Relationship Id="rId75" Type="http://schemas.openxmlformats.org/officeDocument/2006/relationships/hyperlink" Target="https://www.daf.qld.gov.au/__data/assets/pdf_file/0004/1402672/Sth-QLD-Trawl-ERA-Final.pdf" TargetMode="External"/><Relationship Id="rId83" Type="http://schemas.openxmlformats.org/officeDocument/2006/relationships/hyperlink" Target="http://era.daf.qld.gov.au/id/eprint/6552/1/FOP%20Stout%20Whiting%20Report%202012%20final.pdf" TargetMode="External"/><Relationship Id="rId88" Type="http://schemas.openxmlformats.org/officeDocument/2006/relationships/hyperlink" Target="http://era.daf.qld.gov.au/id/eprint/7064/" TargetMode="External"/><Relationship Id="rId91" Type="http://schemas.openxmlformats.org/officeDocument/2006/relationships/hyperlink" Target="https://www.daf.qld.gov.au/__data/assets/pdf_file/0004/1402672/Sth-QLD-Trawl-ERA-Final.pdf" TargetMode="External"/><Relationship Id="rId96" Type="http://schemas.openxmlformats.org/officeDocument/2006/relationships/hyperlink" Target="http://era.daf.qld.gov.au/id/eprint/7064/" TargetMode="External"/><Relationship Id="rId111" Type="http://schemas.openxmlformats.org/officeDocument/2006/relationships/hyperlink" Target="http://www.wildlifemarine.com.au/pubs/Stout%20whiting%20demog.pdf" TargetMode="External"/><Relationship Id="rId132" Type="http://schemas.openxmlformats.org/officeDocument/2006/relationships/hyperlink" Target="https://en.wikipedia.org/wiki/Stout_whiting"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environment.gov.au/resource/guidelines-ecologically-sustainable-management-fisheries" TargetMode="External"/><Relationship Id="rId23" Type="http://schemas.openxmlformats.org/officeDocument/2006/relationships/footer" Target="footer4.xml"/><Relationship Id="rId28" Type="http://schemas.openxmlformats.org/officeDocument/2006/relationships/hyperlink" Target="https://www.daf.qld.gov.au/__data/assets/pdf_file/0018/284112/fisheries-compliance-qld.pdf" TargetMode="External"/><Relationship Id="rId36" Type="http://schemas.openxmlformats.org/officeDocument/2006/relationships/hyperlink" Target="http://www.environment.gov.au/marine/publications/recovery-plan-marine-turtles-australia-2017" TargetMode="External"/><Relationship Id="rId49" Type="http://schemas.openxmlformats.org/officeDocument/2006/relationships/hyperlink" Target="http://www.environment.gov.au/marine/fisheries/qld/commercial-trawl/application-2019" TargetMode="External"/><Relationship Id="rId57" Type="http://schemas.openxmlformats.org/officeDocument/2006/relationships/hyperlink" Target="http://era.daf.qld.gov.au/id/eprint/7064/" TargetMode="External"/><Relationship Id="rId106" Type="http://schemas.openxmlformats.org/officeDocument/2006/relationships/hyperlink" Target="http://era.daf.qld.gov.au/id/eprint/4064/" TargetMode="External"/><Relationship Id="rId114" Type="http://schemas.openxmlformats.org/officeDocument/2006/relationships/hyperlink" Target="https://doi.org/10.1007%2Fs002270050551" TargetMode="External"/><Relationship Id="rId119" Type="http://schemas.openxmlformats.org/officeDocument/2006/relationships/hyperlink" Target="http://era.daf.qld.gov.au/id/eprint/3522/1/1-s2.0-S0165783607000057-main.pdf" TargetMode="External"/><Relationship Id="rId127" Type="http://schemas.openxmlformats.org/officeDocument/2006/relationships/hyperlink" Target="http://www.environment.gov.au/system/files/pages/6ada6b96-3ef4-48a4-9a8f-22f0fa878da1/files/2010-annual-status-report.pdf" TargetMode="External"/><Relationship Id="rId10" Type="http://schemas.openxmlformats.org/officeDocument/2006/relationships/footer" Target="footer1.xml"/><Relationship Id="rId31" Type="http://schemas.openxmlformats.org/officeDocument/2006/relationships/hyperlink" Target="file://upvvirtclus02fs/Users$/A21126/Profile/Downloads/qld-sustainable-fisheries-strategy.pdf" TargetMode="External"/><Relationship Id="rId44" Type="http://schemas.openxmlformats.org/officeDocument/2006/relationships/hyperlink" Target="http://era.daf.qld.gov.au/id/eprint/5199/1/Stout%20Whiting%20TACC%20for%202017%20-%20FINAL%2008062016.pdf" TargetMode="External"/><Relationship Id="rId52" Type="http://schemas.openxmlformats.org/officeDocument/2006/relationships/hyperlink" Target="http://www.wildlifemarine.com.au/pubs/Stout%20whiting%20demog.pdf" TargetMode="External"/><Relationship Id="rId60" Type="http://schemas.openxmlformats.org/officeDocument/2006/relationships/hyperlink" Target="https://link.springer.com/content/pdf/10.1007%2Fs002270050125.pdf" TargetMode="External"/><Relationship Id="rId65" Type="http://schemas.openxmlformats.org/officeDocument/2006/relationships/hyperlink" Target="http://era.daf.qld.gov.au/id/eprint/7064/" TargetMode="External"/><Relationship Id="rId73" Type="http://schemas.openxmlformats.org/officeDocument/2006/relationships/hyperlink" Target="file://upvvirtclus02fs/Users$/A21126/Profile/Downloads/qld-sustainable-fisheries-strategy.pdf" TargetMode="External"/><Relationship Id="rId78" Type="http://schemas.openxmlformats.org/officeDocument/2006/relationships/hyperlink" Target="http://npfindustry.com.au/Publications/Minimising%20Fishing%20Impacts/Brewer%20et%20al%202006.pdf" TargetMode="External"/><Relationship Id="rId81" Type="http://schemas.openxmlformats.org/officeDocument/2006/relationships/hyperlink" Target="http://npfindustry.com.au/Publications/Minimising%20Fishing%20Impacts/Brewer%20et%20al%202006.pdf" TargetMode="External"/><Relationship Id="rId86" Type="http://schemas.openxmlformats.org/officeDocument/2006/relationships/hyperlink" Target="http://era.daf.qld.gov.au/id/eprint/7064/" TargetMode="External"/><Relationship Id="rId94" Type="http://schemas.openxmlformats.org/officeDocument/2006/relationships/hyperlink" Target="http://era.daf.qld.gov.au/id/eprint/7064/" TargetMode="External"/><Relationship Id="rId99" Type="http://schemas.openxmlformats.org/officeDocument/2006/relationships/hyperlink" Target="http://www.environment.gov.au/topics/marine/marine-bioregional-plans/temperate-east" TargetMode="External"/><Relationship Id="rId101" Type="http://schemas.openxmlformats.org/officeDocument/2006/relationships/hyperlink" Target="http://era.daf.qld.gov.au/id/eprint/7064/" TargetMode="External"/><Relationship Id="rId122" Type="http://schemas.openxmlformats.org/officeDocument/2006/relationships/hyperlink" Target="http://www.environment.gov.au/system/files/pages/14a442a5-d118-41d9-963f-b8ad0d70fad9/files/2005-status-report-stout-whiting.pdf" TargetMode="External"/><Relationship Id="rId130" Type="http://schemas.openxmlformats.org/officeDocument/2006/relationships/hyperlink" Target="http://era.daf.qld.gov.au/id/eprint/7064/" TargetMode="External"/><Relationship Id="rId135"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s://www.daf.qld.gov.au/business-priorities/fisheries/sustainable/sustainable-fisheries-strategy/sustainable-fisheries-expert-panel" TargetMode="External"/><Relationship Id="rId39" Type="http://schemas.openxmlformats.org/officeDocument/2006/relationships/hyperlink" Target="http://era.daf.qld.gov.au/id/eprint/5199/1/Stout%20Whiting%20TACC%20for%202017%20-%20FINAL%2008062016.pdf" TargetMode="External"/><Relationship Id="rId109" Type="http://schemas.openxmlformats.org/officeDocument/2006/relationships/hyperlink" Target="http://era.daf.qld.gov.au/id/eprint/3709/1/BycatchFinalReport2007-FullReport.pdf" TargetMode="External"/><Relationship Id="rId34" Type="http://schemas.openxmlformats.org/officeDocument/2006/relationships/hyperlink" Target="https://www.publications.qld.gov.au/dataset/queensland-sustainable-fisheries-strategy/resource/fc7da976-661c-43ba-aaaa-9df8c2cb39d3" TargetMode="External"/><Relationship Id="rId50" Type="http://schemas.openxmlformats.org/officeDocument/2006/relationships/hyperlink" Target="http://era.daf.qld.gov.au/id/eprint/7064/" TargetMode="External"/><Relationship Id="rId55" Type="http://schemas.openxmlformats.org/officeDocument/2006/relationships/hyperlink" Target="http://era.daf.qld.gov.au/id/eprint/7064/" TargetMode="External"/><Relationship Id="rId76" Type="http://schemas.openxmlformats.org/officeDocument/2006/relationships/hyperlink" Target="http://era.daf.qld.gov.au/id/eprint/7064/" TargetMode="External"/><Relationship Id="rId97" Type="http://schemas.openxmlformats.org/officeDocument/2006/relationships/hyperlink" Target="http://era.daf.qld.gov.au/id/eprint/7064/" TargetMode="External"/><Relationship Id="rId104" Type="http://schemas.openxmlformats.org/officeDocument/2006/relationships/hyperlink" Target="https://australianmuseum.net.au/learn/animals/fishes/stout-whiting-sillago-robusta-stead-1908/" TargetMode="External"/><Relationship Id="rId120" Type="http://schemas.openxmlformats.org/officeDocument/2006/relationships/hyperlink" Target="http://www.environment.gov.au/system/files/pages/fc10464b-51b5-44f7-affe-fb665e405edd/files/stout-whiting-submission.pdf" TargetMode="External"/><Relationship Id="rId125" Type="http://schemas.openxmlformats.org/officeDocument/2006/relationships/hyperlink" Target="http://www.environment.gov.au/system/files/pages/6ada6b96-3ef4-48a4-9a8f-22f0fa878da1/files/2008-annual-status-report.pdf" TargetMode="External"/><Relationship Id="rId141"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era.daf.qld.gov.au/id/eprint/7064/" TargetMode="External"/><Relationship Id="rId92" Type="http://schemas.openxmlformats.org/officeDocument/2006/relationships/hyperlink" Target="http://www.environment.gov.au/topics/marine/marine-bioregional-plans/temperate-east" TargetMode="External"/><Relationship Id="rId2" Type="http://schemas.openxmlformats.org/officeDocument/2006/relationships/customXml" Target="../customXml/item2.xml"/><Relationship Id="rId29" Type="http://schemas.openxmlformats.org/officeDocument/2006/relationships/hyperlink" Target="https://www.daf.qld.gov.au/__data/assets/pdf_file/0017/55142/StoutWhiting-TrawlFishery-Logbook.pdf" TargetMode="External"/><Relationship Id="rId24" Type="http://schemas.openxmlformats.org/officeDocument/2006/relationships/hyperlink" Target="https://www.daf.qld.gov.au/business-priorities/fisheries/sustainable/sustainable-fisheries-strategy/fishery-working-groups" TargetMode="External"/><Relationship Id="rId40" Type="http://schemas.openxmlformats.org/officeDocument/2006/relationships/hyperlink" Target="https://www.daf.qld.gov.au/__data/assets/pdf_file/0017/55142/StoutWhiting-TrawlFishery-Logbook.pdf" TargetMode="External"/><Relationship Id="rId45" Type="http://schemas.openxmlformats.org/officeDocument/2006/relationships/hyperlink" Target="file://upvvirtclus02fs/Users$/A21126/Profile/Downloads/qld-sustainable-fisheries-strategy.pdf" TargetMode="External"/><Relationship Id="rId66" Type="http://schemas.openxmlformats.org/officeDocument/2006/relationships/hyperlink" Target="http://era.daf.qld.gov.au/id/eprint/7064/" TargetMode="External"/><Relationship Id="rId87" Type="http://schemas.openxmlformats.org/officeDocument/2006/relationships/hyperlink" Target="http://era.daf.qld.gov.au/id/eprint/7064/" TargetMode="External"/><Relationship Id="rId110" Type="http://schemas.openxmlformats.org/officeDocument/2006/relationships/hyperlink" Target="http://fish.gov.au/reports/species" TargetMode="External"/><Relationship Id="rId115" Type="http://schemas.openxmlformats.org/officeDocument/2006/relationships/hyperlink" Target="https://link.springer.com/content/pdf/10.1007%2Fs002270050551.pdf" TargetMode="External"/><Relationship Id="rId131" Type="http://schemas.openxmlformats.org/officeDocument/2006/relationships/hyperlink" Target="https://www.publish.csiro.au/mf/pdf/MF9900027" TargetMode="External"/><Relationship Id="rId136" Type="http://schemas.openxmlformats.org/officeDocument/2006/relationships/footer" Target="footer5.xml"/><Relationship Id="rId61" Type="http://schemas.openxmlformats.org/officeDocument/2006/relationships/hyperlink" Target="https://link.springer.com/content/pdf/10.1007%2Fs002270050551.pdf" TargetMode="External"/><Relationship Id="rId82" Type="http://schemas.openxmlformats.org/officeDocument/2006/relationships/hyperlink" Target="http://era.daf.qld.gov.au/id/eprint/7064/" TargetMode="External"/><Relationship Id="rId19" Type="http://schemas.openxmlformats.org/officeDocument/2006/relationships/hyperlink" Target="https://www.publications.qld.gov.au/dataset/155ccffb-3a30-48c1-8144-7892e8a57339/resource/319c7e02-f07b-4b2e-8fd5-a435d2c2f3c9/fs_download/qld-sustainable-fisheries-strategy.pdf" TargetMode="External"/><Relationship Id="rId14" Type="http://schemas.openxmlformats.org/officeDocument/2006/relationships/header" Target="header2.xml"/><Relationship Id="rId30" Type="http://schemas.openxmlformats.org/officeDocument/2006/relationships/hyperlink" Target="https://www.publications.qld.gov.au/dataset/queensland-sustainable-fisheries-strategy/resource/dfbddda3-f0e4-47a2-ba25-644b999734d8" TargetMode="External"/><Relationship Id="rId35" Type="http://schemas.openxmlformats.org/officeDocument/2006/relationships/hyperlink" Target="http://www.environment.gov.au/biodiversity/threatened/publications/tap/marine-debris-2018" TargetMode="External"/><Relationship Id="rId56" Type="http://schemas.openxmlformats.org/officeDocument/2006/relationships/hyperlink" Target="https://www.daf.qld.gov.au/__data/assets/pdf_file/0004/1402672/Sth-QLD-Trawl-ERA-Final.pdf" TargetMode="External"/><Relationship Id="rId77" Type="http://schemas.openxmlformats.org/officeDocument/2006/relationships/hyperlink" Target="http://era.daf.qld.gov.au/id/eprint/7064/" TargetMode="External"/><Relationship Id="rId100" Type="http://schemas.openxmlformats.org/officeDocument/2006/relationships/hyperlink" Target="http://era.daf.qld.gov.au/id/eprint/7064/" TargetMode="External"/><Relationship Id="rId105" Type="http://schemas.openxmlformats.org/officeDocument/2006/relationships/hyperlink" Target="https://pdfs.semanticscholar.org/672c/ece4f47f7e8bb504bfa373d6dd29c6dd919b.pdf?_ga=2.125078154.1022843153.1580951138-202270578.1580951138" TargetMode="External"/><Relationship Id="rId126" Type="http://schemas.openxmlformats.org/officeDocument/2006/relationships/hyperlink" Target="http://www.environment.gov.au/system/files/pages/6ada6b96-3ef4-48a4-9a8f-22f0fa878da1/files/2009-annual-status-repor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702BB0BD-100C-4189-9E5A-60462747A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B5678F-530A-4029-B428-7DA0C072575A}">
  <ds:schemaRefs>
    <ds:schemaRef ds:uri="http://schemas.microsoft.com/sharepoint/v3/contenttype/forms"/>
  </ds:schemaRefs>
</ds:datastoreItem>
</file>

<file path=customXml/itemProps3.xml><?xml version="1.0" encoding="utf-8"?>
<ds:datastoreItem xmlns:ds="http://schemas.openxmlformats.org/officeDocument/2006/customXml" ds:itemID="{3E81A0BE-B880-43B9-8AD3-03931E621EDC}">
  <ds:schemaRefs>
    <ds:schemaRef ds:uri="http://schemas.microsoft.com/office/2006/metadata/properties"/>
    <ds:schemaRef ds:uri="http://schemas.microsoft.com/office/infopath/2007/PartnerControls"/>
    <ds:schemaRef ds:uri="ac7ce04e-ea5d-4d46-bab0-39b1fa6a6f3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21711</Words>
  <Characters>123754</Characters>
  <Application>Microsoft Office Word</Application>
  <DocSecurity>4</DocSecurity>
  <Lines>1031</Lines>
  <Paragraphs>290</Paragraphs>
  <ScaleCrop>false</ScaleCrop>
  <HeadingPairs>
    <vt:vector size="2" baseType="variant">
      <vt:variant>
        <vt:lpstr>Title</vt:lpstr>
      </vt:variant>
      <vt:variant>
        <vt:i4>1</vt:i4>
      </vt:variant>
    </vt:vector>
  </HeadingPairs>
  <TitlesOfParts>
    <vt:vector size="1" baseType="lpstr">
      <vt:lpstr/>
    </vt:vector>
  </TitlesOfParts>
  <Company>Department of Agriculture, Water and the Environment</Company>
  <LinksUpToDate>false</LinksUpToDate>
  <CharactersWithSpaces>145175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Commercial Trawl (Fin Fish) Fishery</dc:title>
  <dc:creator>Department of Agriculture, Water and the Environment</dc:creator>
  <cp:lastModifiedBy>Bec Durack</cp:lastModifiedBy>
  <cp:revision>2</cp:revision>
  <dcterms:created xsi:type="dcterms:W3CDTF">2020-08-26T05:23:00Z</dcterms:created>
  <dcterms:modified xsi:type="dcterms:W3CDTF">2020-08-26T05:23:00Z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