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184CA" w14:textId="7EE9ACF4" w:rsidR="00CF5CAE" w:rsidRPr="00B0197B" w:rsidRDefault="00CF5CAE" w:rsidP="00CF5CAE">
      <w:pPr>
        <w:jc w:val="right"/>
      </w:pPr>
      <w:r w:rsidRPr="0012744F">
        <w:t xml:space="preserve">Ref: </w:t>
      </w:r>
      <w:r w:rsidR="005E6524">
        <w:t>002068366</w:t>
      </w:r>
    </w:p>
    <w:p w14:paraId="0FD184CB" w14:textId="77777777" w:rsidR="00CF5CAE" w:rsidRDefault="00CF5CAE" w:rsidP="00CF5CAE">
      <w:pPr>
        <w:contextualSpacing/>
      </w:pPr>
    </w:p>
    <w:p w14:paraId="0FD184CC" w14:textId="77777777" w:rsidR="00CF5CAE" w:rsidRDefault="00CF5CAE" w:rsidP="00CF5CAE">
      <w:pPr>
        <w:contextualSpacing/>
      </w:pPr>
    </w:p>
    <w:p w14:paraId="0FD184CD" w14:textId="77777777" w:rsidR="00CF5CAE" w:rsidRDefault="00CF5CAE" w:rsidP="00CF5CAE">
      <w:pPr>
        <w:contextualSpacing/>
      </w:pPr>
    </w:p>
    <w:p w14:paraId="44AB4199" w14:textId="354A0B7F" w:rsidR="00250919" w:rsidRDefault="0053758B" w:rsidP="00250919">
      <w:pPr>
        <w:contextualSpacing/>
      </w:pPr>
      <w:r w:rsidRPr="0053758B">
        <w:t>Mr Sean Sloan</w:t>
      </w:r>
      <w:r w:rsidR="00250919" w:rsidRPr="0053758B">
        <w:br/>
      </w:r>
      <w:r w:rsidRPr="0053758B">
        <w:t>Executive Director</w:t>
      </w:r>
      <w:r w:rsidR="00250919" w:rsidRPr="0053758B">
        <w:br/>
      </w:r>
      <w:r w:rsidRPr="0053758B">
        <w:t>Fisheries and Aquaculture Division</w:t>
      </w:r>
      <w:r w:rsidRPr="0053758B">
        <w:br/>
        <w:t>Department of Primary Industries and Development</w:t>
      </w:r>
      <w:r w:rsidRPr="0053758B">
        <w:br/>
      </w:r>
      <w:r w:rsidR="00250919" w:rsidRPr="0053758B">
        <w:t xml:space="preserve">GPO Box </w:t>
      </w:r>
      <w:r w:rsidRPr="0053758B">
        <w:t>1671</w:t>
      </w:r>
      <w:r w:rsidR="00250919" w:rsidRPr="0053758B">
        <w:t xml:space="preserve"> </w:t>
      </w:r>
      <w:r w:rsidR="00250919" w:rsidRPr="0053758B">
        <w:br/>
      </w:r>
      <w:r w:rsidRPr="0053758B">
        <w:t>ADELAIDE</w:t>
      </w:r>
      <w:r w:rsidR="00250919" w:rsidRPr="0053758B">
        <w:t xml:space="preserve">  SA  </w:t>
      </w:r>
      <w:r w:rsidRPr="0053758B">
        <w:t>5001</w:t>
      </w:r>
    </w:p>
    <w:p w14:paraId="0FD184D0" w14:textId="77777777" w:rsidR="00CF5CAE" w:rsidRDefault="00CF5CAE" w:rsidP="0053758B">
      <w:pPr>
        <w:spacing w:after="120" w:line="240" w:lineRule="auto"/>
      </w:pPr>
    </w:p>
    <w:p w14:paraId="70F53099" w14:textId="5457B48F" w:rsidR="00874D88" w:rsidRPr="0053758B" w:rsidRDefault="00874D88" w:rsidP="0053758B">
      <w:pPr>
        <w:spacing w:before="120" w:after="120" w:line="240" w:lineRule="auto"/>
      </w:pPr>
      <w:r w:rsidRPr="0053758B">
        <w:t xml:space="preserve">Dear </w:t>
      </w:r>
      <w:r w:rsidR="00B82C24" w:rsidRPr="0053758B">
        <w:t xml:space="preserve">Mr </w:t>
      </w:r>
      <w:r w:rsidR="0053758B" w:rsidRPr="0053758B">
        <w:t xml:space="preserve">Sloan </w:t>
      </w:r>
    </w:p>
    <w:p w14:paraId="0FD184D2" w14:textId="7BC8EC7E" w:rsidR="00CF5CAE" w:rsidRPr="0053758B" w:rsidRDefault="00CF5CAE" w:rsidP="0053758B">
      <w:pPr>
        <w:widowControl w:val="0"/>
        <w:spacing w:before="120" w:after="120" w:line="240" w:lineRule="auto"/>
        <w:rPr>
          <w:rFonts w:cs="Arial"/>
        </w:rPr>
      </w:pPr>
      <w:r w:rsidRPr="00A00676">
        <w:rPr>
          <w:rFonts w:cs="Arial"/>
          <w:lang w:val="en-US"/>
        </w:rPr>
        <w:t xml:space="preserve">I am writing to you as Delegate of the Minister for the Environment in relation to the </w:t>
      </w:r>
      <w:r w:rsidR="004B1820" w:rsidRPr="00A00676">
        <w:rPr>
          <w:rFonts w:cs="Arial"/>
          <w:lang w:val="en-US"/>
        </w:rPr>
        <w:t>reass</w:t>
      </w:r>
      <w:bookmarkStart w:id="0" w:name="_GoBack"/>
      <w:bookmarkEnd w:id="0"/>
      <w:r w:rsidR="004B1820" w:rsidRPr="00A00676">
        <w:rPr>
          <w:rFonts w:cs="Arial"/>
          <w:lang w:val="en-US"/>
        </w:rPr>
        <w:t xml:space="preserve">essment </w:t>
      </w:r>
      <w:r w:rsidRPr="00A00676">
        <w:rPr>
          <w:rFonts w:cs="Arial"/>
          <w:lang w:val="en-US"/>
        </w:rPr>
        <w:t xml:space="preserve">of the </w:t>
      </w:r>
      <w:r w:rsidR="0053758B" w:rsidRPr="00A00676">
        <w:rPr>
          <w:rFonts w:cs="Arial"/>
          <w:lang w:val="en-US"/>
        </w:rPr>
        <w:t xml:space="preserve">South Australian Beach-cast Marine Algae Fishery </w:t>
      </w:r>
      <w:r w:rsidR="00B82C24" w:rsidRPr="00A00676">
        <w:rPr>
          <w:rFonts w:cs="Arial"/>
        </w:rPr>
        <w:t xml:space="preserve">(the </w:t>
      </w:r>
      <w:r w:rsidR="00DD1580" w:rsidRPr="00A00676">
        <w:rPr>
          <w:rFonts w:cs="Arial"/>
          <w:lang w:val="en-US"/>
        </w:rPr>
        <w:t>fishery</w:t>
      </w:r>
      <w:r w:rsidR="00B82C24" w:rsidRPr="00A00676">
        <w:rPr>
          <w:rFonts w:cs="Arial"/>
        </w:rPr>
        <w:t xml:space="preserve">) </w:t>
      </w:r>
      <w:r w:rsidRPr="00A00676">
        <w:rPr>
          <w:rFonts w:cs="Arial"/>
        </w:rPr>
        <w:t>under the</w:t>
      </w:r>
      <w:r w:rsidR="007204EA">
        <w:rPr>
          <w:rFonts w:cs="Arial"/>
        </w:rPr>
        <w:t xml:space="preserve"> </w:t>
      </w:r>
      <w:r w:rsidRPr="00A00676">
        <w:rPr>
          <w:rFonts w:cs="Arial"/>
          <w:i/>
        </w:rPr>
        <w:t>Environment</w:t>
      </w:r>
      <w:r w:rsidR="007204EA">
        <w:rPr>
          <w:rFonts w:cs="Arial"/>
          <w:i/>
        </w:rPr>
        <w:t xml:space="preserve"> </w:t>
      </w:r>
      <w:r w:rsidRPr="00A00676">
        <w:rPr>
          <w:rFonts w:cs="Arial"/>
          <w:i/>
        </w:rPr>
        <w:t xml:space="preserve">Protection and Biodiversity Conservation Act 1999 </w:t>
      </w:r>
      <w:r w:rsidRPr="00A00676">
        <w:rPr>
          <w:rFonts w:cs="Arial"/>
        </w:rPr>
        <w:t>(EPBC Act).</w:t>
      </w:r>
    </w:p>
    <w:p w14:paraId="05C6684C" w14:textId="143CB43A" w:rsidR="007204EA" w:rsidRDefault="00874D88" w:rsidP="0053758B">
      <w:pPr>
        <w:spacing w:before="120" w:after="120" w:line="240" w:lineRule="auto"/>
        <w:rPr>
          <w:rFonts w:cs="Arial"/>
        </w:rPr>
      </w:pPr>
      <w:r w:rsidRPr="00A00676">
        <w:rPr>
          <w:rFonts w:cs="Arial"/>
        </w:rPr>
        <w:t xml:space="preserve">In </w:t>
      </w:r>
      <w:r w:rsidR="0053758B" w:rsidRPr="00A00676">
        <w:t>April 2018</w:t>
      </w:r>
      <w:r w:rsidRPr="00A00676">
        <w:rPr>
          <w:rFonts w:cs="Arial"/>
        </w:rPr>
        <w:t xml:space="preserve">, the </w:t>
      </w:r>
      <w:r w:rsidR="0053758B" w:rsidRPr="00A00676">
        <w:rPr>
          <w:rFonts w:cs="Arial"/>
          <w:bCs/>
        </w:rPr>
        <w:t xml:space="preserve">Department of Primary Industries and Regions </w:t>
      </w:r>
      <w:r w:rsidR="007204EA">
        <w:rPr>
          <w:rFonts w:cs="Arial"/>
          <w:lang w:val="en-US"/>
        </w:rPr>
        <w:t>South Australia</w:t>
      </w:r>
      <w:r w:rsidR="007204EA" w:rsidRPr="00A00676">
        <w:rPr>
          <w:rFonts w:cs="Arial"/>
          <w:lang w:val="en-US"/>
        </w:rPr>
        <w:t xml:space="preserve"> </w:t>
      </w:r>
      <w:r w:rsidR="0053758B" w:rsidRPr="00A00676">
        <w:rPr>
          <w:rFonts w:cs="Arial"/>
          <w:bCs/>
        </w:rPr>
        <w:t>(PIRSA)</w:t>
      </w:r>
      <w:r w:rsidRPr="00A00676">
        <w:rPr>
          <w:rFonts w:cs="Arial"/>
        </w:rPr>
        <w:t xml:space="preserve"> </w:t>
      </w:r>
      <w:r w:rsidR="00B82C24" w:rsidRPr="00A00676">
        <w:rPr>
          <w:rFonts w:cs="Arial"/>
        </w:rPr>
        <w:t xml:space="preserve">applied for </w:t>
      </w:r>
      <w:r w:rsidRPr="00A00676">
        <w:rPr>
          <w:rFonts w:cs="Arial"/>
        </w:rPr>
        <w:t>export approval for the fishery</w:t>
      </w:r>
      <w:r w:rsidR="00B82C24" w:rsidRPr="00A00676">
        <w:rPr>
          <w:rFonts w:cs="Arial"/>
        </w:rPr>
        <w:t xml:space="preserve"> under the EPBC Act</w:t>
      </w:r>
      <w:r w:rsidRPr="00A00676">
        <w:rPr>
          <w:rFonts w:cs="Arial"/>
        </w:rPr>
        <w:t>.</w:t>
      </w:r>
      <w:r w:rsidR="0053758B" w:rsidRPr="00A00676">
        <w:rPr>
          <w:rFonts w:cs="Arial"/>
        </w:rPr>
        <w:t xml:space="preserve"> </w:t>
      </w:r>
      <w:r w:rsidR="007204EA">
        <w:rPr>
          <w:rFonts w:cs="Arial"/>
        </w:rPr>
        <w:t>In June 2018, PIRSA provided an addendum to its application following the issuing of an exploratory permit to harvest beach-cast marine algae in an unfished area. The application and the addendum were placed on the Department’s website for a mandatory public comment period of at least 20 business days.</w:t>
      </w:r>
    </w:p>
    <w:p w14:paraId="1317B857" w14:textId="2659C504" w:rsidR="00874D88" w:rsidRPr="00A00676" w:rsidRDefault="00A00676" w:rsidP="0053758B">
      <w:pPr>
        <w:spacing w:before="120" w:after="120" w:line="240" w:lineRule="auto"/>
        <w:rPr>
          <w:rFonts w:cs="Arial"/>
        </w:rPr>
      </w:pPr>
      <w:r w:rsidRPr="00A00676">
        <w:rPr>
          <w:rFonts w:cs="Arial"/>
        </w:rPr>
        <w:t xml:space="preserve">In May 2018, the Department </w:t>
      </w:r>
      <w:r w:rsidR="00847C58">
        <w:rPr>
          <w:rFonts w:cs="Arial"/>
        </w:rPr>
        <w:t xml:space="preserve">of the Environment and Energy </w:t>
      </w:r>
      <w:r w:rsidRPr="00A00676">
        <w:rPr>
          <w:rFonts w:cs="Arial"/>
        </w:rPr>
        <w:t>granted a short-term approval as a wildlife trade operation until 21</w:t>
      </w:r>
      <w:r w:rsidR="007204EA">
        <w:rPr>
          <w:rFonts w:cs="Arial"/>
        </w:rPr>
        <w:t> </w:t>
      </w:r>
      <w:r w:rsidRPr="00A00676">
        <w:rPr>
          <w:rFonts w:cs="Arial"/>
        </w:rPr>
        <w:t>September</w:t>
      </w:r>
      <w:r w:rsidR="007204EA">
        <w:rPr>
          <w:rFonts w:cs="Arial"/>
        </w:rPr>
        <w:t> </w:t>
      </w:r>
      <w:r w:rsidRPr="00A00676">
        <w:rPr>
          <w:rFonts w:cs="Arial"/>
        </w:rPr>
        <w:t xml:space="preserve">2018 to allow time </w:t>
      </w:r>
      <w:r w:rsidR="0053758B" w:rsidRPr="00A00676">
        <w:rPr>
          <w:rFonts w:cs="Arial"/>
        </w:rPr>
        <w:t xml:space="preserve">to undertake a full assessment </w:t>
      </w:r>
      <w:r w:rsidRPr="00A00676">
        <w:rPr>
          <w:rFonts w:cs="Arial"/>
        </w:rPr>
        <w:t>for</w:t>
      </w:r>
      <w:r w:rsidR="0053758B" w:rsidRPr="00A00676">
        <w:rPr>
          <w:rFonts w:cs="Arial"/>
        </w:rPr>
        <w:t xml:space="preserve"> impacts </w:t>
      </w:r>
      <w:r w:rsidR="00780411">
        <w:rPr>
          <w:rFonts w:cs="Arial"/>
        </w:rPr>
        <w:t xml:space="preserve">on matters of national environmental significance </w:t>
      </w:r>
      <w:r w:rsidR="00780411" w:rsidRPr="00A00676">
        <w:rPr>
          <w:rFonts w:cs="Arial"/>
        </w:rPr>
        <w:t>under the EPBC Act</w:t>
      </w:r>
      <w:r w:rsidR="0053758B" w:rsidRPr="00A00676">
        <w:rPr>
          <w:rFonts w:cs="Arial"/>
        </w:rPr>
        <w:t>, including co</w:t>
      </w:r>
      <w:r w:rsidRPr="00A00676">
        <w:rPr>
          <w:rFonts w:cs="Arial"/>
        </w:rPr>
        <w:t>nsideration for public comments</w:t>
      </w:r>
      <w:r w:rsidR="0053758B" w:rsidRPr="00A00676">
        <w:rPr>
          <w:rFonts w:cs="Arial"/>
        </w:rPr>
        <w:t>.</w:t>
      </w:r>
      <w:r w:rsidR="00780411">
        <w:rPr>
          <w:rFonts w:cs="Arial"/>
        </w:rPr>
        <w:t xml:space="preserve"> </w:t>
      </w:r>
    </w:p>
    <w:p w14:paraId="2099200A" w14:textId="07A39904" w:rsidR="001E0328" w:rsidRPr="0028692B" w:rsidRDefault="00874D88" w:rsidP="0053758B">
      <w:pPr>
        <w:spacing w:before="120" w:after="120" w:line="240" w:lineRule="auto"/>
        <w:rPr>
          <w:rFonts w:cs="Arial"/>
        </w:rPr>
      </w:pPr>
      <w:r w:rsidRPr="0028692B">
        <w:rPr>
          <w:rFonts w:cs="Arial"/>
        </w:rPr>
        <w:t>The application has</w:t>
      </w:r>
      <w:r w:rsidR="00D9244E">
        <w:rPr>
          <w:rFonts w:cs="Arial"/>
        </w:rPr>
        <w:t xml:space="preserve"> now</w:t>
      </w:r>
      <w:r w:rsidRPr="0028692B">
        <w:rPr>
          <w:rFonts w:cs="Arial"/>
        </w:rPr>
        <w:t xml:space="preserve"> been assessed </w:t>
      </w:r>
      <w:r w:rsidR="00DB2566" w:rsidRPr="0028692B">
        <w:rPr>
          <w:rFonts w:cs="Arial"/>
        </w:rPr>
        <w:t xml:space="preserve">and I have declared the </w:t>
      </w:r>
      <w:r w:rsidR="00DD1580" w:rsidRPr="0028692B">
        <w:rPr>
          <w:rFonts w:cs="Arial"/>
          <w:lang w:val="en-US"/>
        </w:rPr>
        <w:t>fishery</w:t>
      </w:r>
      <w:r w:rsidR="00DD1580" w:rsidRPr="0028692B" w:rsidDel="00DD1580">
        <w:rPr>
          <w:rFonts w:cs="Arial"/>
        </w:rPr>
        <w:t xml:space="preserve"> </w:t>
      </w:r>
      <w:r w:rsidR="00CF5CAE" w:rsidRPr="0028692B">
        <w:t xml:space="preserve">an approved wildlife trade operation </w:t>
      </w:r>
      <w:r w:rsidR="00DD1580" w:rsidRPr="0028692B">
        <w:t xml:space="preserve">under Part 13A of the EPBC Act </w:t>
      </w:r>
      <w:r w:rsidR="00CF5CAE" w:rsidRPr="0028692B">
        <w:t xml:space="preserve">until </w:t>
      </w:r>
      <w:r w:rsidR="00780411" w:rsidRPr="0028692B">
        <w:t>17 September </w:t>
      </w:r>
      <w:r w:rsidR="0053758B" w:rsidRPr="0028692B">
        <w:t>2021</w:t>
      </w:r>
      <w:r w:rsidR="00CF5CAE" w:rsidRPr="0028692B">
        <w:t xml:space="preserve">. </w:t>
      </w:r>
      <w:r w:rsidR="001E0328" w:rsidRPr="0028692B">
        <w:rPr>
          <w:rFonts w:cs="Arial"/>
          <w:color w:val="000000"/>
          <w:lang w:val="en-US"/>
        </w:rPr>
        <w:t>The</w:t>
      </w:r>
      <w:r w:rsidR="001E0328" w:rsidRPr="0028692B">
        <w:rPr>
          <w:rFonts w:cs="Arial"/>
        </w:rPr>
        <w:t xml:space="preserve"> list of exempt native specimens has also been amended </w:t>
      </w:r>
      <w:r w:rsidR="00220CFF" w:rsidRPr="0028692B">
        <w:rPr>
          <w:rFonts w:cs="Arial"/>
        </w:rPr>
        <w:t xml:space="preserve">to allow export of product from the </w:t>
      </w:r>
      <w:r w:rsidR="00DD1580" w:rsidRPr="0028692B">
        <w:rPr>
          <w:rFonts w:cs="Arial"/>
          <w:lang w:val="en-US"/>
        </w:rPr>
        <w:t>fishery</w:t>
      </w:r>
      <w:r w:rsidR="00DD1580" w:rsidRPr="0028692B" w:rsidDel="00DD1580">
        <w:rPr>
          <w:rFonts w:cs="Arial"/>
        </w:rPr>
        <w:t xml:space="preserve"> </w:t>
      </w:r>
      <w:r w:rsidR="00220CFF" w:rsidRPr="0028692B">
        <w:t>while the specimens are covered by the declaration</w:t>
      </w:r>
      <w:r w:rsidR="001E0328" w:rsidRPr="0028692B">
        <w:rPr>
          <w:rFonts w:cs="Arial"/>
        </w:rPr>
        <w:t xml:space="preserve">. </w:t>
      </w:r>
    </w:p>
    <w:p w14:paraId="0FD184D3" w14:textId="62E8128D" w:rsidR="00CF5CAE" w:rsidRPr="0028692B" w:rsidRDefault="00DB2566" w:rsidP="0053758B">
      <w:pPr>
        <w:spacing w:before="120" w:after="120" w:line="240" w:lineRule="auto"/>
      </w:pPr>
      <w:r w:rsidRPr="0028692B">
        <w:rPr>
          <w:rFonts w:cs="Arial"/>
        </w:rPr>
        <w:t xml:space="preserve">The </w:t>
      </w:r>
      <w:r w:rsidR="00DD1580" w:rsidRPr="0028692B">
        <w:rPr>
          <w:rFonts w:cs="Arial"/>
        </w:rPr>
        <w:t>Part 13A declaration includes conditions that were agreed by officials from both departments as areas requiring ongoing attention</w:t>
      </w:r>
      <w:r w:rsidRPr="0028692B">
        <w:rPr>
          <w:rFonts w:cs="Arial"/>
        </w:rPr>
        <w:t xml:space="preserve">. These are set out at </w:t>
      </w:r>
      <w:r w:rsidRPr="0028692B">
        <w:rPr>
          <w:rFonts w:cs="Arial"/>
          <w:u w:val="single"/>
        </w:rPr>
        <w:t>Attachment 1</w:t>
      </w:r>
      <w:r w:rsidRPr="0028692B">
        <w:rPr>
          <w:rFonts w:cs="Arial"/>
        </w:rPr>
        <w:t>.</w:t>
      </w:r>
      <w:r w:rsidR="00D558DD" w:rsidRPr="0028692B">
        <w:rPr>
          <w:rFonts w:cs="Arial"/>
          <w:color w:val="1F497D"/>
        </w:rPr>
        <w:t xml:space="preserve"> </w:t>
      </w:r>
    </w:p>
    <w:p w14:paraId="0FD184E3" w14:textId="3B4C2DAC" w:rsidR="00CF5CAE" w:rsidRPr="00EC2CD6" w:rsidRDefault="00CF5CAE" w:rsidP="0053758B">
      <w:pPr>
        <w:spacing w:before="120" w:after="120" w:line="240" w:lineRule="auto"/>
        <w:rPr>
          <w:rFonts w:cs="Arial"/>
        </w:rPr>
      </w:pPr>
      <w:r w:rsidRPr="00EC2CD6">
        <w:rPr>
          <w:rFonts w:cs="Arial"/>
        </w:rPr>
        <w:t>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w:t>
      </w:r>
      <w:r w:rsidR="00D558DD" w:rsidRPr="00EC2CD6">
        <w:rPr>
          <w:rFonts w:cs="Arial"/>
        </w:rPr>
        <w:t xml:space="preserve"> at </w:t>
      </w:r>
      <w:r w:rsidR="00D558DD" w:rsidRPr="00EC2CD6">
        <w:rPr>
          <w:rFonts w:cs="Arial"/>
          <w:u w:val="single"/>
        </w:rPr>
        <w:t xml:space="preserve">Attachment </w:t>
      </w:r>
      <w:r w:rsidR="00780411" w:rsidRPr="00EC2CD6">
        <w:rPr>
          <w:rFonts w:cs="Arial"/>
          <w:u w:val="single"/>
        </w:rPr>
        <w:t>2</w:t>
      </w:r>
      <w:r w:rsidRPr="00EC2CD6">
        <w:rPr>
          <w:rFonts w:cs="Arial"/>
        </w:rPr>
        <w:t>.</w:t>
      </w:r>
    </w:p>
    <w:p w14:paraId="0FD184E5" w14:textId="77777777" w:rsidR="00CF5CAE" w:rsidRDefault="00CF5CAE" w:rsidP="0053758B">
      <w:pPr>
        <w:spacing w:after="120" w:line="240" w:lineRule="auto"/>
        <w:rPr>
          <w:rFonts w:cs="Arial"/>
        </w:rPr>
      </w:pPr>
      <w:bookmarkStart w:id="1" w:name="bkStart"/>
      <w:bookmarkEnd w:id="1"/>
      <w:r w:rsidRPr="00822585">
        <w:rPr>
          <w:rFonts w:cs="Arial"/>
        </w:rPr>
        <w:t>Yours sincerely</w:t>
      </w:r>
    </w:p>
    <w:p w14:paraId="0FD184E6" w14:textId="77777777" w:rsidR="00CF5CAE" w:rsidRDefault="00CF5CAE" w:rsidP="0053758B">
      <w:pPr>
        <w:spacing w:after="120" w:line="240" w:lineRule="auto"/>
      </w:pPr>
    </w:p>
    <w:p w14:paraId="0FD184E7" w14:textId="763CEFFE" w:rsidR="00CF5CAE" w:rsidRDefault="00750E4E" w:rsidP="0053758B">
      <w:pPr>
        <w:spacing w:before="120" w:after="120" w:line="240" w:lineRule="auto"/>
      </w:pPr>
      <w:r>
        <w:t>[signed]</w:t>
      </w:r>
    </w:p>
    <w:p w14:paraId="0FD184E8" w14:textId="4D20E3F5" w:rsidR="00CF5CAE" w:rsidRDefault="00CF5CAE" w:rsidP="0053758B">
      <w:pPr>
        <w:tabs>
          <w:tab w:val="left" w:pos="284"/>
        </w:tabs>
        <w:spacing w:before="120" w:after="120" w:line="240" w:lineRule="auto"/>
      </w:pPr>
      <w:r w:rsidRPr="0028692B">
        <w:t>Paul Murphy</w:t>
      </w:r>
      <w:r w:rsidRPr="0028692B">
        <w:br/>
      </w:r>
      <w:r w:rsidRPr="0028692B">
        <w:br/>
      </w:r>
      <w:r w:rsidRPr="0028692B">
        <w:rPr>
          <w:rFonts w:cs="Arial"/>
        </w:rPr>
        <w:t>Delegate of the Minister for the Environment</w:t>
      </w:r>
      <w:r w:rsidR="00EA61DD" w:rsidRPr="0028692B">
        <w:rPr>
          <w:rFonts w:cs="Arial"/>
        </w:rPr>
        <w:t xml:space="preserve"> </w:t>
      </w:r>
      <w:r w:rsidRPr="0028692B">
        <w:br/>
      </w:r>
      <w:r w:rsidR="00750E4E">
        <w:t>20</w:t>
      </w:r>
      <w:r w:rsidR="00780411" w:rsidRPr="0028692B">
        <w:t xml:space="preserve"> </w:t>
      </w:r>
      <w:r w:rsidR="0053758B" w:rsidRPr="0028692B">
        <w:t>September 2018</w:t>
      </w:r>
    </w:p>
    <w:p w14:paraId="0FD184EC" w14:textId="77777777" w:rsidR="00CF5CAE" w:rsidRDefault="00CF5CAE" w:rsidP="0053758B">
      <w:pPr>
        <w:tabs>
          <w:tab w:val="left" w:pos="284"/>
        </w:tabs>
        <w:spacing w:before="120" w:after="120" w:line="240" w:lineRule="auto"/>
        <w:rPr>
          <w:rFonts w:cs="Arial"/>
        </w:rPr>
      </w:pPr>
    </w:p>
    <w:p w14:paraId="0D129129" w14:textId="77777777" w:rsidR="0053758B" w:rsidRDefault="0053758B" w:rsidP="00CF5CAE">
      <w:pPr>
        <w:tabs>
          <w:tab w:val="left" w:pos="284"/>
        </w:tabs>
        <w:rPr>
          <w:rFonts w:cs="Arial"/>
        </w:rPr>
        <w:sectPr w:rsidR="0053758B" w:rsidSect="00C325B9">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425" w:footer="425" w:gutter="0"/>
          <w:pgNumType w:start="1"/>
          <w:cols w:space="708"/>
          <w:titlePg/>
          <w:docGrid w:linePitch="360"/>
        </w:sectPr>
      </w:pPr>
    </w:p>
    <w:p w14:paraId="1F38B3E4" w14:textId="77777777" w:rsidR="0097325B" w:rsidRDefault="0097325B">
      <w:pPr>
        <w:spacing w:after="0" w:line="240" w:lineRule="auto"/>
        <w:rPr>
          <w:rFonts w:cs="Arial"/>
          <w:b/>
          <w:bCs/>
        </w:rPr>
      </w:pPr>
      <w:r>
        <w:rPr>
          <w:rFonts w:cs="Arial"/>
          <w:b/>
          <w:bCs/>
        </w:rPr>
        <w:lastRenderedPageBreak/>
        <w:br w:type="page"/>
      </w:r>
    </w:p>
    <w:p w14:paraId="0FD184ED" w14:textId="031A338F" w:rsidR="00CF5CAE" w:rsidRPr="00E14857" w:rsidRDefault="00CF5CAE" w:rsidP="00CF5CAE">
      <w:pPr>
        <w:jc w:val="center"/>
        <w:rPr>
          <w:rFonts w:cs="Arial"/>
        </w:rPr>
      </w:pPr>
      <w:r w:rsidRPr="0028692B">
        <w:rPr>
          <w:rFonts w:cs="Arial"/>
          <w:b/>
          <w:bCs/>
        </w:rPr>
        <w:lastRenderedPageBreak/>
        <w:t xml:space="preserve">Conditions on the approved wildlife trade operation declaration for the </w:t>
      </w:r>
      <w:r w:rsidR="005E6524" w:rsidRPr="0028692B">
        <w:rPr>
          <w:rFonts w:cs="Arial"/>
          <w:b/>
          <w:bCs/>
        </w:rPr>
        <w:t>South Australian Beach-cast Marine Algae</w:t>
      </w:r>
      <w:r w:rsidRPr="0028692B">
        <w:rPr>
          <w:rFonts w:cs="Arial"/>
          <w:b/>
          <w:bCs/>
        </w:rPr>
        <w:t> Fishery</w:t>
      </w:r>
      <w:r w:rsidRPr="0028692B">
        <w:rPr>
          <w:rFonts w:cs="Arial"/>
          <w:b/>
        </w:rPr>
        <w:t xml:space="preserve"> - </w:t>
      </w:r>
      <w:r w:rsidR="005E6524" w:rsidRPr="0028692B">
        <w:rPr>
          <w:b/>
        </w:rPr>
        <w:t>September</w:t>
      </w:r>
      <w:r w:rsidRPr="0028692B">
        <w:rPr>
          <w:b/>
        </w:rPr>
        <w:t xml:space="preserve"> </w:t>
      </w:r>
      <w:r w:rsidR="005E6524" w:rsidRPr="0028692B">
        <w:rPr>
          <w:b/>
        </w:rPr>
        <w:t>2018</w:t>
      </w:r>
    </w:p>
    <w:p w14:paraId="3697B3F1" w14:textId="0F856DBC" w:rsidR="00C92447" w:rsidRPr="00AE1A0F" w:rsidRDefault="00C92447" w:rsidP="00C92447">
      <w:pPr>
        <w:pStyle w:val="ListNumber"/>
        <w:tabs>
          <w:tab w:val="clear" w:pos="360"/>
        </w:tabs>
        <w:spacing w:before="60" w:after="60"/>
        <w:ind w:left="0" w:firstLine="0"/>
        <w:rPr>
          <w:rFonts w:ascii="Times New Roman" w:hAnsi="Times New Roman"/>
        </w:rPr>
      </w:pPr>
      <w:r>
        <w:rPr>
          <w:rFonts w:cs="Arial"/>
        </w:rPr>
        <w:t>O</w:t>
      </w:r>
      <w:r w:rsidRPr="00AE1A0F">
        <w:rPr>
          <w:rFonts w:ascii="Times New Roman" w:hAnsi="Times New Roman"/>
        </w:rPr>
        <w:t xml:space="preserve">peration of the South Australian Beach-cast Marine Algae Fishery will be carried out in accordance with the Fisheries Management (Miscellaneous Developmental Fishery) Regulations 2013 (SA), the Fisheries Management (Miscellaneous Fishery) Regulations 2015 (SA), and the Fisheries Management (General) Regulations 2017 (SA) in force under the </w:t>
      </w:r>
      <w:r w:rsidRPr="00AE1A0F">
        <w:rPr>
          <w:rFonts w:ascii="Times New Roman" w:hAnsi="Times New Roman"/>
          <w:i/>
        </w:rPr>
        <w:t>Fisheries Management Act 2007</w:t>
      </w:r>
      <w:r w:rsidRPr="00AE1A0F">
        <w:rPr>
          <w:rFonts w:ascii="Times New Roman" w:hAnsi="Times New Roman"/>
        </w:rPr>
        <w:t xml:space="preserve"> (SA).</w:t>
      </w:r>
    </w:p>
    <w:p w14:paraId="74DEE297" w14:textId="77777777" w:rsidR="00C92447" w:rsidRPr="00AE1A0F" w:rsidRDefault="00C92447" w:rsidP="00C92447">
      <w:pPr>
        <w:spacing w:before="60" w:after="60"/>
        <w:ind w:left="369" w:hanging="369"/>
      </w:pPr>
    </w:p>
    <w:p w14:paraId="25A7A3FB" w14:textId="10341D6C" w:rsidR="00C92447" w:rsidRPr="00AE1A0F" w:rsidRDefault="00C92447" w:rsidP="00C92447">
      <w:pPr>
        <w:pStyle w:val="ListNumber"/>
        <w:tabs>
          <w:tab w:val="clear" w:pos="360"/>
        </w:tabs>
        <w:spacing w:before="60" w:after="60"/>
        <w:ind w:left="0" w:firstLine="0"/>
        <w:rPr>
          <w:rFonts w:ascii="Times New Roman" w:hAnsi="Times New Roman"/>
        </w:rPr>
      </w:pPr>
      <w:r w:rsidRPr="00AE1A0F">
        <w:rPr>
          <w:rFonts w:ascii="Times New Roman" w:hAnsi="Times New Roman"/>
        </w:rPr>
        <w:t>The Department of Primary Industries and Regions, South Australia to inform the Department of the Environment and Energy of any intended material changes to the SA Beach-cast Marine Algae Fishery’s management arrangements that may affect the assessment against which EPBC Act decisions are made.</w:t>
      </w:r>
    </w:p>
    <w:p w14:paraId="2B4AA808" w14:textId="77777777" w:rsidR="00C92447" w:rsidRPr="00AE1A0F" w:rsidRDefault="00C92447" w:rsidP="00C92447">
      <w:pPr>
        <w:spacing w:before="60" w:after="60"/>
        <w:ind w:left="369" w:hanging="369"/>
      </w:pPr>
    </w:p>
    <w:p w14:paraId="6A1CF832" w14:textId="5FCF631F" w:rsidR="00C92447" w:rsidRPr="00AE1A0F" w:rsidRDefault="00C92447" w:rsidP="00C92447">
      <w:pPr>
        <w:pStyle w:val="ListNumber"/>
        <w:tabs>
          <w:tab w:val="clear" w:pos="360"/>
        </w:tabs>
        <w:spacing w:before="60" w:after="60"/>
        <w:ind w:left="0" w:firstLine="0"/>
        <w:rPr>
          <w:rFonts w:ascii="Times New Roman" w:hAnsi="Times New Roman"/>
        </w:rPr>
      </w:pPr>
      <w:r w:rsidRPr="00AE1A0F">
        <w:rPr>
          <w:rFonts w:ascii="Times New Roman" w:hAnsi="Times New Roman"/>
        </w:rPr>
        <w:t xml:space="preserve">The Department of Primary Industries and Regions, South Australia to produce and present reports to the Department of the Environment and Energy annually as per Appendix B of the </w:t>
      </w:r>
      <w:r w:rsidRPr="00AE1A0F">
        <w:rPr>
          <w:rFonts w:ascii="Times New Roman" w:hAnsi="Times New Roman"/>
          <w:i/>
        </w:rPr>
        <w:t xml:space="preserve">Guidelines for the Ecologically Sustainable Management of Fisheries - 2nd </w:t>
      </w:r>
      <w:r w:rsidRPr="00AE1A0F">
        <w:rPr>
          <w:rFonts w:ascii="Times New Roman" w:hAnsi="Times New Roman"/>
          <w:i/>
          <w:iCs/>
        </w:rPr>
        <w:t>Edition</w:t>
      </w:r>
      <w:r w:rsidRPr="00AE1A0F">
        <w:rPr>
          <w:rFonts w:ascii="Times New Roman" w:hAnsi="Times New Roman"/>
        </w:rPr>
        <w:t xml:space="preserve">. </w:t>
      </w:r>
    </w:p>
    <w:p w14:paraId="746A8654" w14:textId="77777777" w:rsidR="00C92447" w:rsidRPr="00AE1A0F" w:rsidRDefault="00C92447" w:rsidP="00C92447">
      <w:pPr>
        <w:spacing w:before="60" w:after="60"/>
        <w:ind w:left="369" w:hanging="369"/>
      </w:pPr>
    </w:p>
    <w:p w14:paraId="35B0417F" w14:textId="780A13F8" w:rsidR="00C92447" w:rsidRDefault="00C92447" w:rsidP="00C92447">
      <w:pPr>
        <w:pStyle w:val="ListNumber"/>
        <w:tabs>
          <w:tab w:val="clear" w:pos="360"/>
        </w:tabs>
        <w:spacing w:before="60" w:after="60"/>
        <w:ind w:left="0" w:firstLine="0"/>
        <w:rPr>
          <w:rFonts w:ascii="Times New Roman" w:hAnsi="Times New Roman"/>
        </w:rPr>
      </w:pPr>
      <w:r w:rsidRPr="004D483A">
        <w:rPr>
          <w:rFonts w:ascii="Times New Roman" w:hAnsi="Times New Roman"/>
        </w:rPr>
        <w:t xml:space="preserve">PIRSA to take all reasonable steps to mitigate adverse impacts on migratory shorebirds by the operations  of Miscellaneous Fishery Y078 (harvesting and/or transporting of beach-cast wrack), including through: </w:t>
      </w:r>
    </w:p>
    <w:p w14:paraId="45CD7E14" w14:textId="77777777" w:rsidR="00C92447" w:rsidRPr="004D483A" w:rsidRDefault="00C92447" w:rsidP="00C92447">
      <w:pPr>
        <w:pStyle w:val="ListNumber"/>
        <w:numPr>
          <w:ilvl w:val="0"/>
          <w:numId w:val="9"/>
        </w:numPr>
        <w:spacing w:before="60" w:after="60"/>
        <w:rPr>
          <w:rFonts w:ascii="Times New Roman" w:hAnsi="Times New Roman"/>
        </w:rPr>
      </w:pPr>
      <w:r>
        <w:rPr>
          <w:rFonts w:ascii="Times New Roman" w:hAnsi="Times New Roman"/>
        </w:rPr>
        <w:t xml:space="preserve">implementing </w:t>
      </w:r>
      <w:r w:rsidRPr="004D483A">
        <w:rPr>
          <w:rFonts w:ascii="Times New Roman" w:hAnsi="Times New Roman"/>
        </w:rPr>
        <w:t>a management strategy that ensures at least 50% of the licence area is excluded from the fishery operations at all times, including closing the area from the Beachport Conservation Park to approximately one kilometre north of Blowhole Road;</w:t>
      </w:r>
    </w:p>
    <w:p w14:paraId="776A900A" w14:textId="77777777" w:rsidR="00C92447" w:rsidRDefault="00C92447" w:rsidP="00C92447">
      <w:pPr>
        <w:pStyle w:val="ListNumber"/>
        <w:numPr>
          <w:ilvl w:val="0"/>
          <w:numId w:val="9"/>
        </w:numPr>
        <w:spacing w:before="60" w:after="60"/>
        <w:rPr>
          <w:rFonts w:ascii="Times New Roman" w:hAnsi="Times New Roman"/>
        </w:rPr>
      </w:pPr>
      <w:r w:rsidRPr="004D483A">
        <w:rPr>
          <w:rFonts w:ascii="Times New Roman" w:hAnsi="Times New Roman"/>
        </w:rPr>
        <w:t>avoiding the removal of all non-target species from the harvest area;</w:t>
      </w:r>
    </w:p>
    <w:p w14:paraId="4E24DA79" w14:textId="77777777" w:rsidR="00C92447" w:rsidRPr="004D483A" w:rsidRDefault="00C92447" w:rsidP="00C92447">
      <w:pPr>
        <w:pStyle w:val="ListNumber"/>
        <w:numPr>
          <w:ilvl w:val="0"/>
          <w:numId w:val="9"/>
        </w:numPr>
        <w:spacing w:before="60" w:after="60"/>
        <w:rPr>
          <w:rFonts w:ascii="Times New Roman" w:hAnsi="Times New Roman"/>
        </w:rPr>
      </w:pPr>
      <w:r w:rsidRPr="004D483A">
        <w:rPr>
          <w:rFonts w:ascii="Times New Roman" w:hAnsi="Times New Roman"/>
          <w:lang w:val="en-US"/>
        </w:rPr>
        <w:t>imposing additional requirements in the period from 1 September to 15 May (inclusive) each year, on sandy beaches along Wrights Bay, Nora Creina, Stinky Beach and the Rivoli Bay area from approximately one kilometre north of Blowhole Road to the southern end of the Fishery, including only permitting harvesting to occur</w:t>
      </w:r>
      <w:r>
        <w:rPr>
          <w:rFonts w:ascii="Times New Roman" w:hAnsi="Times New Roman"/>
          <w:lang w:val="en-US"/>
        </w:rPr>
        <w:t>:</w:t>
      </w:r>
    </w:p>
    <w:p w14:paraId="76DE441F" w14:textId="77777777" w:rsidR="00C92447" w:rsidRPr="004D483A" w:rsidRDefault="00C92447" w:rsidP="00C92447">
      <w:pPr>
        <w:pStyle w:val="ListNumber"/>
        <w:numPr>
          <w:ilvl w:val="1"/>
          <w:numId w:val="9"/>
        </w:numPr>
        <w:spacing w:before="60" w:after="60"/>
        <w:rPr>
          <w:rFonts w:ascii="Times New Roman" w:hAnsi="Times New Roman"/>
        </w:rPr>
      </w:pPr>
      <w:r w:rsidRPr="004D483A">
        <w:rPr>
          <w:rFonts w:ascii="Times New Roman" w:hAnsi="Times New Roman"/>
          <w:lang w:val="en-US"/>
        </w:rPr>
        <w:t>by way of hand harvesting (assisted by mechanical winch if required);</w:t>
      </w:r>
    </w:p>
    <w:p w14:paraId="47E8563E" w14:textId="77777777" w:rsidR="00C92447" w:rsidRPr="004D483A" w:rsidRDefault="00C92447" w:rsidP="00C92447">
      <w:pPr>
        <w:pStyle w:val="ListNumber"/>
        <w:numPr>
          <w:ilvl w:val="1"/>
          <w:numId w:val="9"/>
        </w:numPr>
        <w:spacing w:before="60" w:after="60"/>
        <w:rPr>
          <w:rFonts w:ascii="Times New Roman" w:hAnsi="Times New Roman"/>
        </w:rPr>
      </w:pPr>
      <w:r w:rsidRPr="004D483A">
        <w:rPr>
          <w:rFonts w:ascii="Times New Roman" w:hAnsi="Times New Roman"/>
          <w:lang w:val="en-US"/>
        </w:rPr>
        <w:t>on a maximum of 8 calendar days (or any part thereof) per calendar month, and a maximum of 4 calendar days (or any part thereof) between 1 May and 15 May, with each harvesting day to be advised to PIRSA prior to the commencement of harvesting; and</w:t>
      </w:r>
    </w:p>
    <w:p w14:paraId="37416177" w14:textId="77777777" w:rsidR="00C92447" w:rsidRDefault="00C92447" w:rsidP="00C92447">
      <w:pPr>
        <w:pStyle w:val="ListNumber"/>
        <w:numPr>
          <w:ilvl w:val="1"/>
          <w:numId w:val="9"/>
        </w:numPr>
        <w:spacing w:before="60" w:after="60"/>
        <w:rPr>
          <w:rFonts w:ascii="Times New Roman" w:hAnsi="Times New Roman"/>
        </w:rPr>
      </w:pPr>
      <w:r w:rsidRPr="004D483A">
        <w:rPr>
          <w:rFonts w:ascii="Times New Roman" w:hAnsi="Times New Roman"/>
        </w:rPr>
        <w:t>through the use of up to two vehicles (4 wheel drive utility, or similar, with a trailer with a gross vehicle mass of 3.5 tonne), with up to three people per vehicle, on any one day; and</w:t>
      </w:r>
    </w:p>
    <w:p w14:paraId="6244DD02" w14:textId="77777777" w:rsidR="00C92447" w:rsidRDefault="00C92447" w:rsidP="00C92447">
      <w:pPr>
        <w:pStyle w:val="ListNumber"/>
        <w:numPr>
          <w:ilvl w:val="0"/>
          <w:numId w:val="9"/>
        </w:numPr>
        <w:spacing w:before="60" w:after="60"/>
        <w:rPr>
          <w:rFonts w:ascii="Times New Roman" w:hAnsi="Times New Roman"/>
        </w:rPr>
      </w:pPr>
      <w:r w:rsidRPr="004D483A">
        <w:rPr>
          <w:rFonts w:ascii="Times New Roman" w:hAnsi="Times New Roman"/>
        </w:rPr>
        <w:t>prohibiting harvest operations within 100 metres either side of any nesting areas where Thinornis rubricollis (Hooded Plovers) are currently nesting and/or caring for dependent young, in all areas at all times</w:t>
      </w:r>
    </w:p>
    <w:p w14:paraId="06DF7A36" w14:textId="77777777" w:rsidR="00C92447" w:rsidRDefault="00C92447" w:rsidP="00C92447">
      <w:pPr>
        <w:pStyle w:val="ListNumber"/>
        <w:numPr>
          <w:ilvl w:val="0"/>
          <w:numId w:val="0"/>
        </w:numPr>
        <w:spacing w:before="60" w:after="60"/>
        <w:ind w:left="369" w:hanging="369"/>
        <w:rPr>
          <w:rFonts w:ascii="Times New Roman" w:hAnsi="Times New Roman"/>
        </w:rPr>
      </w:pPr>
    </w:p>
    <w:p w14:paraId="46600CFC" w14:textId="3D4F5E9A" w:rsidR="00C92447" w:rsidRDefault="00C92447" w:rsidP="00C92447">
      <w:pPr>
        <w:pStyle w:val="ListNumber"/>
        <w:tabs>
          <w:tab w:val="clear" w:pos="360"/>
        </w:tabs>
        <w:spacing w:before="60" w:after="60"/>
        <w:ind w:left="0" w:firstLine="0"/>
        <w:rPr>
          <w:rFonts w:ascii="Times New Roman" w:hAnsi="Times New Roman"/>
        </w:rPr>
      </w:pPr>
      <w:r w:rsidRPr="004D483A">
        <w:rPr>
          <w:rFonts w:ascii="Times New Roman" w:hAnsi="Times New Roman"/>
        </w:rPr>
        <w:t>PIRSA to take all reasonable steps to mitigate adverse impacts on migratory shorebirds by the operations of the Exploratory Fishing Permit EP0</w:t>
      </w:r>
      <w:r w:rsidR="00D875EF">
        <w:rPr>
          <w:rFonts w:ascii="Times New Roman" w:hAnsi="Times New Roman"/>
        </w:rPr>
        <w:t>0</w:t>
      </w:r>
      <w:r w:rsidRPr="004D483A">
        <w:rPr>
          <w:rFonts w:ascii="Times New Roman" w:hAnsi="Times New Roman"/>
        </w:rPr>
        <w:t>03 within the SA Beach-cast Marine Algae Fishery, including harvesting and/or transporting of beach-cast wrack. Mitigation measures must include:</w:t>
      </w:r>
    </w:p>
    <w:p w14:paraId="6DDEEF31" w14:textId="77777777" w:rsidR="00C92447" w:rsidRPr="004D483A" w:rsidRDefault="00C92447" w:rsidP="00C92447">
      <w:pPr>
        <w:pStyle w:val="ListNumber"/>
        <w:numPr>
          <w:ilvl w:val="0"/>
          <w:numId w:val="10"/>
        </w:numPr>
        <w:spacing w:before="60" w:after="60"/>
        <w:rPr>
          <w:rFonts w:ascii="Times New Roman" w:hAnsi="Times New Roman"/>
        </w:rPr>
      </w:pPr>
      <w:r w:rsidRPr="004D483A">
        <w:rPr>
          <w:rFonts w:ascii="Times New Roman" w:hAnsi="Times New Roman"/>
        </w:rPr>
        <w:t>ensuring at least 50 per cent of the permit area is excluded from the harvesting operations at all times;</w:t>
      </w:r>
    </w:p>
    <w:p w14:paraId="1C8B2E3A" w14:textId="77777777" w:rsidR="00C92447" w:rsidRPr="004D483A" w:rsidRDefault="00C92447" w:rsidP="00C92447">
      <w:pPr>
        <w:pStyle w:val="ListNumber"/>
        <w:numPr>
          <w:ilvl w:val="0"/>
          <w:numId w:val="10"/>
        </w:numPr>
        <w:spacing w:before="60" w:after="60"/>
        <w:rPr>
          <w:rFonts w:ascii="Times New Roman" w:hAnsi="Times New Roman"/>
        </w:rPr>
      </w:pPr>
      <w:r w:rsidRPr="004D483A">
        <w:rPr>
          <w:rFonts w:ascii="Times New Roman" w:hAnsi="Times New Roman"/>
        </w:rPr>
        <w:t xml:space="preserve">avoiding the removal of all non-target species from the harvest area; </w:t>
      </w:r>
    </w:p>
    <w:p w14:paraId="227931A0" w14:textId="77777777" w:rsidR="00C92447" w:rsidRDefault="00C92447" w:rsidP="00C92447">
      <w:pPr>
        <w:pStyle w:val="ListNumber"/>
        <w:numPr>
          <w:ilvl w:val="0"/>
          <w:numId w:val="10"/>
        </w:numPr>
        <w:spacing w:before="60" w:after="60"/>
        <w:rPr>
          <w:rFonts w:ascii="Times New Roman" w:hAnsi="Times New Roman"/>
        </w:rPr>
      </w:pPr>
      <w:r w:rsidRPr="004D483A">
        <w:rPr>
          <w:rFonts w:ascii="Times New Roman" w:hAnsi="Times New Roman"/>
        </w:rPr>
        <w:t xml:space="preserve">restrict harvesting in the period from 1 September to 15 May (inclusive) each year to sandy beaches: </w:t>
      </w:r>
    </w:p>
    <w:p w14:paraId="1E7196B4" w14:textId="77777777" w:rsidR="00C92447" w:rsidRPr="004D483A" w:rsidRDefault="00C92447" w:rsidP="00C92447">
      <w:pPr>
        <w:pStyle w:val="ListNumber"/>
        <w:numPr>
          <w:ilvl w:val="1"/>
          <w:numId w:val="10"/>
        </w:numPr>
        <w:spacing w:before="60" w:after="60"/>
        <w:rPr>
          <w:rFonts w:ascii="Times New Roman" w:hAnsi="Times New Roman"/>
        </w:rPr>
      </w:pPr>
      <w:r>
        <w:rPr>
          <w:rFonts w:ascii="Times New Roman" w:hAnsi="Times New Roman"/>
        </w:rPr>
        <w:t xml:space="preserve">by </w:t>
      </w:r>
      <w:r w:rsidRPr="004D483A">
        <w:rPr>
          <w:rFonts w:ascii="Times New Roman" w:hAnsi="Times New Roman"/>
          <w:lang w:val="en-US"/>
        </w:rPr>
        <w:t>way of hand harvesting (assisted by mechanical winch if required);</w:t>
      </w:r>
    </w:p>
    <w:p w14:paraId="06AF2720" w14:textId="77777777" w:rsidR="00C92447" w:rsidRPr="004D483A" w:rsidRDefault="00C92447" w:rsidP="00C92447">
      <w:pPr>
        <w:pStyle w:val="ListNumber"/>
        <w:numPr>
          <w:ilvl w:val="1"/>
          <w:numId w:val="10"/>
        </w:numPr>
        <w:spacing w:before="60" w:after="60"/>
        <w:rPr>
          <w:rFonts w:ascii="Times New Roman" w:hAnsi="Times New Roman"/>
        </w:rPr>
      </w:pPr>
      <w:r w:rsidRPr="004D483A">
        <w:rPr>
          <w:rFonts w:ascii="Times New Roman" w:hAnsi="Times New Roman"/>
          <w:lang w:val="en-US"/>
        </w:rPr>
        <w:t xml:space="preserve">on a maximum of 8 calendar days (or any part thereof) per calendar month, and a maximum of 4 calendar days per calendar month (or any part thereof) between 1 May </w:t>
      </w:r>
      <w:r w:rsidRPr="004D483A">
        <w:rPr>
          <w:rFonts w:ascii="Times New Roman" w:hAnsi="Times New Roman"/>
          <w:lang w:val="en-US"/>
        </w:rPr>
        <w:lastRenderedPageBreak/>
        <w:t>and 15 May, with each harvesting day to be advised to PIRSA prior to the commencement of harvesting; and</w:t>
      </w:r>
    </w:p>
    <w:p w14:paraId="087C9ECA" w14:textId="77777777" w:rsidR="00C92447" w:rsidRPr="004D483A" w:rsidRDefault="00C92447" w:rsidP="00C92447">
      <w:pPr>
        <w:pStyle w:val="ListNumber"/>
        <w:numPr>
          <w:ilvl w:val="1"/>
          <w:numId w:val="10"/>
        </w:numPr>
        <w:spacing w:before="60" w:after="60"/>
        <w:rPr>
          <w:rFonts w:ascii="Times New Roman" w:hAnsi="Times New Roman"/>
        </w:rPr>
      </w:pPr>
      <w:r w:rsidRPr="004D483A">
        <w:rPr>
          <w:rFonts w:ascii="Times New Roman" w:hAnsi="Times New Roman"/>
          <w:lang w:val="en-US"/>
        </w:rPr>
        <w:t>through the use of up to one vehicle (4 wheel drive utility, or similar, with a trailer with a gross vehicle mass of 3.5 tonne), with up to three people per vehicle, on any one day; and</w:t>
      </w:r>
    </w:p>
    <w:p w14:paraId="2FE46CA6" w14:textId="77777777" w:rsidR="00C92447" w:rsidRPr="004D483A" w:rsidRDefault="00C92447" w:rsidP="00C92447">
      <w:pPr>
        <w:pStyle w:val="ListNumber"/>
        <w:numPr>
          <w:ilvl w:val="0"/>
          <w:numId w:val="10"/>
        </w:numPr>
        <w:spacing w:before="60" w:after="60"/>
        <w:rPr>
          <w:rFonts w:ascii="Times New Roman" w:hAnsi="Times New Roman"/>
        </w:rPr>
      </w:pPr>
      <w:r w:rsidRPr="004D483A">
        <w:rPr>
          <w:rFonts w:ascii="Times New Roman" w:hAnsi="Times New Roman"/>
          <w:lang w:val="en-US"/>
        </w:rPr>
        <w:t>prohibiting harvest operations within 100 metres either side of any nesting areas where Thinornis rubricollis (Hooded Plovers) are currently nesting and/or caring for dependent young, in all areas at all times.</w:t>
      </w:r>
    </w:p>
    <w:p w14:paraId="6928D7CC" w14:textId="77777777" w:rsidR="00C92447" w:rsidRDefault="00C92447" w:rsidP="00C92447">
      <w:pPr>
        <w:pStyle w:val="ListNumber"/>
        <w:numPr>
          <w:ilvl w:val="0"/>
          <w:numId w:val="0"/>
        </w:numPr>
        <w:spacing w:before="60" w:after="60"/>
        <w:ind w:left="369"/>
        <w:rPr>
          <w:rFonts w:ascii="Times New Roman" w:hAnsi="Times New Roman"/>
          <w:lang w:val="en-US"/>
        </w:rPr>
      </w:pPr>
    </w:p>
    <w:p w14:paraId="5EEB8F7D" w14:textId="2DE676A4" w:rsidR="00C92447" w:rsidRPr="004D483A" w:rsidRDefault="00C92447" w:rsidP="00C92447">
      <w:pPr>
        <w:pStyle w:val="ListNumber"/>
        <w:tabs>
          <w:tab w:val="clear" w:pos="360"/>
        </w:tabs>
        <w:spacing w:before="60" w:after="60"/>
        <w:ind w:left="0" w:firstLine="0"/>
        <w:rPr>
          <w:rFonts w:ascii="Times New Roman" w:hAnsi="Times New Roman"/>
        </w:rPr>
      </w:pPr>
      <w:r w:rsidRPr="004D483A">
        <w:rPr>
          <w:rFonts w:ascii="Times New Roman" w:hAnsi="Times New Roman"/>
        </w:rPr>
        <w:t>PIRSA, in collaboration with the SA Department of Environment and Water, industry and where possible, the community to:</w:t>
      </w:r>
    </w:p>
    <w:p w14:paraId="0DEC9B36" w14:textId="77777777" w:rsidR="00C92447" w:rsidRPr="004D483A" w:rsidRDefault="00C92447" w:rsidP="00C92447">
      <w:pPr>
        <w:pStyle w:val="ListNumber"/>
        <w:numPr>
          <w:ilvl w:val="0"/>
          <w:numId w:val="11"/>
        </w:numPr>
        <w:spacing w:before="60" w:after="60"/>
        <w:rPr>
          <w:rFonts w:ascii="Times New Roman" w:hAnsi="Times New Roman"/>
        </w:rPr>
      </w:pPr>
      <w:r w:rsidRPr="004D483A">
        <w:rPr>
          <w:rFonts w:ascii="Times New Roman" w:hAnsi="Times New Roman"/>
        </w:rPr>
        <w:t>implement a monitoring program to annually assess the impact of the SA Beach-Cast Marine Algae Fishery on migratory shorebirds; and</w:t>
      </w:r>
    </w:p>
    <w:p w14:paraId="490B1034" w14:textId="77777777" w:rsidR="00C92447" w:rsidRPr="004D483A" w:rsidRDefault="00C92447" w:rsidP="00C92447">
      <w:pPr>
        <w:pStyle w:val="ListNumber"/>
        <w:numPr>
          <w:ilvl w:val="0"/>
          <w:numId w:val="11"/>
        </w:numPr>
        <w:spacing w:before="60" w:after="60"/>
        <w:rPr>
          <w:rFonts w:ascii="Times New Roman" w:hAnsi="Times New Roman"/>
        </w:rPr>
      </w:pPr>
      <w:r>
        <w:rPr>
          <w:rFonts w:ascii="Times New Roman" w:hAnsi="Times New Roman"/>
        </w:rPr>
        <w:t>c</w:t>
      </w:r>
      <w:r w:rsidRPr="004D483A">
        <w:rPr>
          <w:rFonts w:ascii="Times New Roman" w:hAnsi="Times New Roman"/>
        </w:rPr>
        <w:t>ontinue to support research with the aim of understanding and effectively managing the ecological risk posed by the fishery to shorebirds and all relevant terrestrial and coastal ecosystems.</w:t>
      </w:r>
    </w:p>
    <w:p w14:paraId="48796D76" w14:textId="77777777" w:rsidR="00C92447" w:rsidRPr="004D483A" w:rsidRDefault="00C92447" w:rsidP="00C92447">
      <w:pPr>
        <w:pStyle w:val="ListNumber"/>
        <w:numPr>
          <w:ilvl w:val="0"/>
          <w:numId w:val="0"/>
        </w:numPr>
        <w:spacing w:before="60" w:after="60"/>
        <w:ind w:left="369" w:hanging="369"/>
        <w:rPr>
          <w:rFonts w:ascii="Times New Roman" w:hAnsi="Times New Roman"/>
        </w:rPr>
      </w:pPr>
    </w:p>
    <w:p w14:paraId="0FD184F3" w14:textId="0F7E1C06" w:rsidR="00CF5CAE" w:rsidRDefault="00CF5CAE" w:rsidP="0028692B">
      <w:pPr>
        <w:pStyle w:val="ListNumber"/>
        <w:numPr>
          <w:ilvl w:val="0"/>
          <w:numId w:val="0"/>
        </w:numPr>
        <w:sectPr w:rsidR="00CF5CAE" w:rsidSect="00C325B9">
          <w:headerReference w:type="first" r:id="rId14"/>
          <w:pgSz w:w="11906" w:h="16838"/>
          <w:pgMar w:top="1134" w:right="1418" w:bottom="1134" w:left="1418" w:header="425" w:footer="425" w:gutter="0"/>
          <w:pgNumType w:start="1"/>
          <w:cols w:space="708"/>
          <w:titlePg/>
          <w:docGrid w:linePitch="360"/>
        </w:sectPr>
      </w:pPr>
    </w:p>
    <w:p w14:paraId="0FD184FD" w14:textId="77777777" w:rsidR="00545F4F" w:rsidRPr="002201D7" w:rsidRDefault="00545F4F" w:rsidP="00EE62DA">
      <w:pPr>
        <w:spacing w:before="120" w:after="120"/>
        <w:jc w:val="center"/>
        <w:rPr>
          <w:rFonts w:cs="Arial"/>
          <w:b/>
          <w:u w:val="single"/>
        </w:rPr>
      </w:pPr>
      <w:r w:rsidRPr="00642837">
        <w:rPr>
          <w:rFonts w:cs="Arial"/>
          <w:b/>
          <w:u w:val="single"/>
        </w:rPr>
        <w:lastRenderedPageBreak/>
        <w:t xml:space="preserve">Notification </w:t>
      </w:r>
      <w:r w:rsidRPr="00504C08">
        <w:rPr>
          <w:rFonts w:cs="Arial"/>
          <w:b/>
          <w:u w:val="single"/>
        </w:rPr>
        <w:t>of Reviewable Decisions and Rights of Review</w:t>
      </w:r>
      <w:r w:rsidRPr="00504C08">
        <w:rPr>
          <w:rStyle w:val="FootnoteReference"/>
          <w:rFonts w:cs="Arial"/>
          <w:b/>
          <w:u w:val="single"/>
        </w:rPr>
        <w:footnoteReference w:id="1"/>
      </w:r>
    </w:p>
    <w:p w14:paraId="38166F1F" w14:textId="77777777" w:rsidR="00D558DD" w:rsidRPr="00F73B16" w:rsidRDefault="00D558DD" w:rsidP="00D558DD">
      <w:pPr>
        <w:spacing w:before="120" w:after="120"/>
        <w:rPr>
          <w:rFonts w:cs="Arial"/>
        </w:rPr>
      </w:pPr>
      <w:r w:rsidRPr="00F73B16">
        <w:rPr>
          <w:rFonts w:cs="Arial"/>
        </w:rPr>
        <w:t xml:space="preserve">There is a right of review to the Administrative Appeals Tribunal in relation to certain decisions made by the Minister or the Minister’s delegate under the </w:t>
      </w:r>
      <w:r w:rsidRPr="00F73B16">
        <w:rPr>
          <w:rFonts w:cs="Arial"/>
          <w:i/>
        </w:rPr>
        <w:t xml:space="preserve">Environment Protection and Biodiversity Conservation Act 1999 </w:t>
      </w:r>
      <w:r w:rsidRPr="00F73B16">
        <w:rPr>
          <w:rFonts w:cs="Arial"/>
        </w:rPr>
        <w:t xml:space="preserve">(EPBC Act). </w:t>
      </w:r>
    </w:p>
    <w:p w14:paraId="4FB1DC84" w14:textId="77777777" w:rsidR="00D558DD" w:rsidRDefault="00D558DD" w:rsidP="00D558DD">
      <w:pPr>
        <w:spacing w:before="120" w:after="120"/>
        <w:rPr>
          <w:rFonts w:cs="Arial"/>
        </w:rPr>
      </w:pPr>
      <w:r w:rsidRPr="005D2F53">
        <w:rPr>
          <w:rFonts w:cs="Arial"/>
        </w:rPr>
        <w:t xml:space="preserve">Section 303GJ of the EPBC Act provides that applications may be made to the Administrative Appeals Tribunal for the review of the following decisions of the Minister: </w:t>
      </w:r>
    </w:p>
    <w:p w14:paraId="75658F23" w14:textId="77777777" w:rsidR="00D558DD" w:rsidRPr="00112175" w:rsidRDefault="00D558DD" w:rsidP="00D558DD">
      <w:pPr>
        <w:spacing w:before="120" w:after="120"/>
        <w:ind w:left="357"/>
        <w:rPr>
          <w:rFonts w:cs="Arial"/>
        </w:rPr>
      </w:pPr>
      <w:r w:rsidRPr="00112175">
        <w:rPr>
          <w:rFonts w:cs="Arial"/>
        </w:rPr>
        <w:t xml:space="preserve">(1) Subject to subsection (2), an application may be made to the Administrative Appeals Tribunal for review of a decision: </w:t>
      </w:r>
    </w:p>
    <w:p w14:paraId="54313417" w14:textId="77777777" w:rsidR="00D558DD" w:rsidRPr="00112175" w:rsidRDefault="00D558DD" w:rsidP="00D558DD">
      <w:pPr>
        <w:spacing w:before="120" w:after="120"/>
        <w:ind w:left="720"/>
        <w:rPr>
          <w:rFonts w:cs="Arial"/>
        </w:rPr>
      </w:pPr>
      <w:r w:rsidRPr="00112175">
        <w:rPr>
          <w:rFonts w:cs="Arial"/>
        </w:rPr>
        <w:t xml:space="preserve">(a) to issue or refuse a permit; or </w:t>
      </w:r>
    </w:p>
    <w:p w14:paraId="7EA8324A" w14:textId="77777777" w:rsidR="00D558DD" w:rsidRPr="00112175" w:rsidRDefault="00D558DD" w:rsidP="00D558DD">
      <w:pPr>
        <w:spacing w:before="120" w:after="120"/>
        <w:ind w:left="720"/>
        <w:rPr>
          <w:rFonts w:cs="Arial"/>
        </w:rPr>
      </w:pPr>
      <w:r w:rsidRPr="00112175">
        <w:rPr>
          <w:rFonts w:cs="Arial"/>
        </w:rPr>
        <w:t xml:space="preserve">(b) to specify, vary or revoke a condition of a permit; or </w:t>
      </w:r>
    </w:p>
    <w:p w14:paraId="159E3C38" w14:textId="77777777" w:rsidR="00D558DD" w:rsidRPr="00112175" w:rsidRDefault="00D558DD" w:rsidP="00D558DD">
      <w:pPr>
        <w:spacing w:before="120" w:after="120"/>
        <w:ind w:left="720"/>
        <w:rPr>
          <w:rFonts w:cs="Arial"/>
        </w:rPr>
      </w:pPr>
      <w:r w:rsidRPr="00112175">
        <w:rPr>
          <w:rFonts w:cs="Arial"/>
        </w:rPr>
        <w:t xml:space="preserve">(c) to impose a further condition of a permit; or </w:t>
      </w:r>
    </w:p>
    <w:p w14:paraId="7278E338" w14:textId="77777777" w:rsidR="00D558DD" w:rsidRPr="00112175" w:rsidRDefault="00D558DD" w:rsidP="00D558DD">
      <w:pPr>
        <w:spacing w:before="120" w:after="120"/>
        <w:ind w:left="720"/>
        <w:rPr>
          <w:rFonts w:cs="Arial"/>
        </w:rPr>
      </w:pPr>
      <w:r w:rsidRPr="00112175">
        <w:rPr>
          <w:rFonts w:cs="Arial"/>
        </w:rPr>
        <w:t xml:space="preserve">(d) to transfer or refuse to transfer a permit; or </w:t>
      </w:r>
    </w:p>
    <w:p w14:paraId="22B1C1FF" w14:textId="77777777" w:rsidR="00D558DD" w:rsidRPr="00112175" w:rsidRDefault="00D558DD" w:rsidP="00D558DD">
      <w:pPr>
        <w:spacing w:before="120" w:after="120"/>
        <w:ind w:left="720"/>
        <w:rPr>
          <w:rFonts w:cs="Arial"/>
        </w:rPr>
      </w:pPr>
      <w:r w:rsidRPr="00112175">
        <w:rPr>
          <w:rFonts w:cs="Arial"/>
        </w:rPr>
        <w:t xml:space="preserve">(e) to suspend or cancel a permit; or </w:t>
      </w:r>
    </w:p>
    <w:p w14:paraId="186C27C9" w14:textId="77777777" w:rsidR="00D558DD" w:rsidRPr="00112175" w:rsidRDefault="00D558DD" w:rsidP="00D558DD">
      <w:pPr>
        <w:spacing w:before="120" w:after="120"/>
        <w:ind w:left="720"/>
        <w:rPr>
          <w:rFonts w:cs="Arial"/>
        </w:rPr>
      </w:pPr>
      <w:r w:rsidRPr="00112175">
        <w:rPr>
          <w:rFonts w:cs="Arial"/>
        </w:rPr>
        <w:t xml:space="preserve">(f) to issue or refuse a certificate under subsection 303CC(5); or </w:t>
      </w:r>
    </w:p>
    <w:p w14:paraId="083EFCD3" w14:textId="77777777" w:rsidR="00D558DD" w:rsidRPr="00112175" w:rsidRDefault="00D558DD" w:rsidP="00D558DD">
      <w:pPr>
        <w:spacing w:before="120" w:after="120"/>
        <w:ind w:left="720"/>
        <w:rPr>
          <w:rFonts w:cs="Arial"/>
        </w:rPr>
      </w:pPr>
      <w:r w:rsidRPr="00112175">
        <w:rPr>
          <w:rFonts w:cs="Arial"/>
        </w:rPr>
        <w:t xml:space="preserve">(g) of the Secretary under a determination in force under section 303EU; or </w:t>
      </w:r>
    </w:p>
    <w:p w14:paraId="7375E3F8" w14:textId="77777777" w:rsidR="00D558DD" w:rsidRDefault="00D558DD" w:rsidP="00D558DD">
      <w:pPr>
        <w:spacing w:before="120" w:after="120"/>
        <w:ind w:left="720"/>
        <w:rPr>
          <w:rFonts w:cs="Arial"/>
        </w:rPr>
      </w:pPr>
      <w:r w:rsidRPr="00112175">
        <w:rPr>
          <w:rFonts w:cs="Arial"/>
        </w:rPr>
        <w:t>(h) to make or refuse a declaration under section 303FN, 303FO or 303FP; or</w:t>
      </w:r>
    </w:p>
    <w:p w14:paraId="0CB79F93" w14:textId="77777777" w:rsidR="00D558DD" w:rsidRDefault="00D558DD" w:rsidP="00D558DD">
      <w:pPr>
        <w:spacing w:before="120" w:after="120"/>
        <w:ind w:left="720"/>
        <w:rPr>
          <w:rFonts w:cs="Arial"/>
        </w:rPr>
      </w:pPr>
      <w:r w:rsidRPr="00112175">
        <w:rPr>
          <w:rFonts w:cs="Arial"/>
        </w:rPr>
        <w:t>(i) to vary or revoke a declaration under section 303FN, 303FO or 303FP.</w:t>
      </w:r>
    </w:p>
    <w:p w14:paraId="7B719541" w14:textId="77777777" w:rsidR="00D558DD" w:rsidRDefault="00D558DD" w:rsidP="00D558DD">
      <w:pPr>
        <w:spacing w:before="120" w:after="120"/>
        <w:ind w:left="357"/>
        <w:rPr>
          <w:rFonts w:cs="Arial"/>
        </w:rPr>
      </w:pPr>
      <w:r w:rsidRPr="00112175">
        <w:rPr>
          <w:rFonts w:cs="Arial"/>
        </w:rPr>
        <w:t>(2) Subsection (1) does not apply to a decision made personally by the Minister (but the subsection does apply to a decision made by a delegate of the Minister).</w:t>
      </w:r>
    </w:p>
    <w:p w14:paraId="4F77CA0F" w14:textId="77777777" w:rsidR="00D558DD" w:rsidRPr="00F73B16" w:rsidRDefault="00D558DD" w:rsidP="00D558DD">
      <w:pPr>
        <w:pStyle w:val="ListBullet"/>
        <w:numPr>
          <w:ilvl w:val="0"/>
          <w:numId w:val="0"/>
        </w:numPr>
        <w:spacing w:before="120" w:after="120"/>
        <w:rPr>
          <w:rFonts w:cs="Arial"/>
        </w:rPr>
      </w:pPr>
      <w:r w:rsidRPr="00F73B16">
        <w:rPr>
          <w:rFonts w:cs="Arial"/>
        </w:rPr>
        <w:t>If you are dissatisfied with a decision of a type listed above you may:</w:t>
      </w:r>
    </w:p>
    <w:p w14:paraId="418F8D92" w14:textId="77777777" w:rsidR="00D558DD" w:rsidRPr="00F73B16" w:rsidRDefault="00D558DD" w:rsidP="00D558DD">
      <w:pPr>
        <w:pStyle w:val="ListBullet"/>
        <w:rPr>
          <w:rFonts w:cs="Arial"/>
        </w:rPr>
      </w:pPr>
      <w:r w:rsidRPr="00F73B16">
        <w:rPr>
          <w:rFonts w:cs="Arial"/>
        </w:rPr>
        <w:t>by notice, provided in writing, request that the Minister or the Minister’s delegate give you a statement in writing setting out the reasons for the decision; and</w:t>
      </w:r>
    </w:p>
    <w:p w14:paraId="3B36F800" w14:textId="77777777" w:rsidR="00D558DD" w:rsidRPr="00F73B16" w:rsidRDefault="00D558DD" w:rsidP="00D558DD">
      <w:pPr>
        <w:pStyle w:val="ListBullet"/>
        <w:rPr>
          <w:rFonts w:cs="Arial"/>
        </w:rPr>
      </w:pPr>
      <w:r w:rsidRPr="00F73B16">
        <w:rPr>
          <w:rFonts w:cs="Arial"/>
        </w:rPr>
        <w:t xml:space="preserve">apply to the Administrative Appeals Tribunal (AAT) for independent merits review of the decision. Application for review of a decision must be made to the AAT within 28 days after the day on which you have received the reviewable decision. However an extension of time for lodging an application may be granted by the AAT under certain circumstances. Please visit the AAT’s website at </w:t>
      </w:r>
      <w:hyperlink r:id="rId15" w:history="1">
        <w:r w:rsidRPr="00F73B16">
          <w:rPr>
            <w:rStyle w:val="Hyperlink"/>
            <w:rFonts w:cs="Arial"/>
            <w:color w:val="auto"/>
          </w:rPr>
          <w:t>http://www.aat.gov.au/</w:t>
        </w:r>
      </w:hyperlink>
      <w:r w:rsidRPr="00F73B16">
        <w:rPr>
          <w:rFonts w:cs="Arial"/>
        </w:rPr>
        <w:t xml:space="preserve"> or telephone 1300 366 700 for further information. The role of the AAT is to provide a review mechanism that is fair, just, economical, informal and quick.</w:t>
      </w:r>
    </w:p>
    <w:p w14:paraId="46D4E94C" w14:textId="77777777" w:rsidR="00D558DD" w:rsidRPr="00F73B16" w:rsidRDefault="00D558DD" w:rsidP="00D558DD">
      <w:pPr>
        <w:spacing w:before="120" w:after="120"/>
        <w:rPr>
          <w:rFonts w:cs="Arial"/>
          <w:b/>
        </w:rPr>
      </w:pPr>
      <w:r w:rsidRPr="00F73B16">
        <w:rPr>
          <w:rFonts w:cs="Arial"/>
          <w:b/>
        </w:rPr>
        <w:t xml:space="preserve">Applications &amp; Costs </w:t>
      </w:r>
    </w:p>
    <w:p w14:paraId="7106E585" w14:textId="77777777" w:rsidR="00D558DD" w:rsidRPr="00F73B16" w:rsidRDefault="00D558DD" w:rsidP="00D558DD">
      <w:pPr>
        <w:spacing w:before="120" w:after="120"/>
        <w:rPr>
          <w:rFonts w:cs="Arial"/>
        </w:rPr>
      </w:pPr>
      <w:r w:rsidRPr="00F73B16">
        <w:rPr>
          <w:rFonts w:cs="Arial"/>
        </w:rPr>
        <w:t xml:space="preserve">Applications to the AAT are made by lodging an Application Form (Form 1). This can be found on the AAT’s website </w:t>
      </w:r>
      <w:hyperlink r:id="rId16" w:history="1">
        <w:r w:rsidRPr="00F73B16">
          <w:rPr>
            <w:rStyle w:val="Hyperlink"/>
            <w:rFonts w:cs="Arial"/>
            <w:color w:val="auto"/>
          </w:rPr>
          <w:t>http://www.aat.gov.au/</w:t>
        </w:r>
      </w:hyperlink>
      <w:r w:rsidRPr="00F73B16">
        <w:rPr>
          <w:rFonts w:cs="Arial"/>
        </w:rPr>
        <w:t xml:space="preserve">. </w:t>
      </w:r>
    </w:p>
    <w:p w14:paraId="30A00226" w14:textId="77777777" w:rsidR="00D558DD" w:rsidRPr="00F73B16" w:rsidRDefault="00D558DD" w:rsidP="00D558DD">
      <w:pPr>
        <w:spacing w:before="120" w:after="120"/>
        <w:rPr>
          <w:rFonts w:cs="Arial"/>
        </w:rPr>
      </w:pPr>
      <w:r w:rsidRPr="00F73B16">
        <w:rPr>
          <w:rFonts w:cs="Arial"/>
        </w:rPr>
        <w:t xml:space="preserve">There are no strict timelines in which the AAT must review the decision, however the first Conference between the parties will usually be held within 6-10 weeks of the Application </w:t>
      </w:r>
      <w:r w:rsidRPr="00F73B16">
        <w:rPr>
          <w:rFonts w:cs="Arial"/>
        </w:rPr>
        <w:lastRenderedPageBreak/>
        <w:t>being lodged. The time frame for review of certain decisions can be expedited in some circumstances.</w:t>
      </w:r>
    </w:p>
    <w:p w14:paraId="057F35C3" w14:textId="77777777" w:rsidR="00D558DD" w:rsidRPr="00F73B16" w:rsidRDefault="00D558DD" w:rsidP="00D558DD">
      <w:pPr>
        <w:spacing w:before="120" w:after="120"/>
        <w:rPr>
          <w:rFonts w:cs="Arial"/>
        </w:rPr>
      </w:pPr>
      <w:r w:rsidRPr="00F73B16">
        <w:rPr>
          <w:rFonts w:cs="Arial"/>
        </w:rPr>
        <w:t xml:space="preserve">The cost of lodging an application for review is $884 (GST inclusive) (current as of 1 July 2016). </w:t>
      </w:r>
    </w:p>
    <w:p w14:paraId="7C3E3807" w14:textId="77777777" w:rsidR="00D558DD" w:rsidRPr="00F73B16" w:rsidRDefault="00D558DD" w:rsidP="00D558DD">
      <w:pPr>
        <w:spacing w:before="120" w:after="120"/>
        <w:rPr>
          <w:rFonts w:cs="Arial"/>
        </w:rPr>
      </w:pPr>
      <w:r w:rsidRPr="00F73B16">
        <w:rPr>
          <w:rFonts w:cs="Arial"/>
        </w:rPr>
        <w:t xml:space="preserve">You may be eligible to pay a reduced fee of $100.00 if:  </w:t>
      </w:r>
    </w:p>
    <w:p w14:paraId="79F85B9A" w14:textId="77777777" w:rsidR="00D558DD" w:rsidRPr="00F73B16" w:rsidRDefault="00D558DD" w:rsidP="00D558DD">
      <w:pPr>
        <w:pStyle w:val="ListBullet"/>
        <w:spacing w:before="120" w:after="120"/>
        <w:rPr>
          <w:rFonts w:cs="Arial"/>
        </w:rPr>
      </w:pPr>
      <w:r w:rsidRPr="00F73B16">
        <w:rPr>
          <w:rFonts w:cs="Arial"/>
        </w:rPr>
        <w:t>you are receiving legal aid for your application;</w:t>
      </w:r>
    </w:p>
    <w:p w14:paraId="47DF14E9" w14:textId="77777777" w:rsidR="00D558DD" w:rsidRPr="00F73B16" w:rsidRDefault="00D558DD" w:rsidP="00D558DD">
      <w:pPr>
        <w:pStyle w:val="ListBullet"/>
        <w:spacing w:before="120" w:after="120"/>
        <w:rPr>
          <w:rFonts w:cs="Arial"/>
        </w:rPr>
      </w:pPr>
      <w:r w:rsidRPr="00F73B16">
        <w:rPr>
          <w:rFonts w:cs="Arial"/>
        </w:rPr>
        <w:t>you hold a health care card, a Commonwealth seniors health card or any other card issued by the Department of Social Services or the Department of Veteran’s Affairs that entitles the holder to Commonwealth health concessions;</w:t>
      </w:r>
    </w:p>
    <w:p w14:paraId="5432131F" w14:textId="77777777" w:rsidR="00D558DD" w:rsidRPr="00F73B16" w:rsidRDefault="00D558DD" w:rsidP="00D558DD">
      <w:pPr>
        <w:pStyle w:val="ListBullet"/>
        <w:spacing w:before="120" w:after="120"/>
        <w:rPr>
          <w:rFonts w:cs="Arial"/>
        </w:rPr>
      </w:pPr>
      <w:r w:rsidRPr="00F73B16">
        <w:rPr>
          <w:rFonts w:cs="Arial"/>
        </w:rPr>
        <w:t>you are in prison or lawfully detained in a public institution;</w:t>
      </w:r>
    </w:p>
    <w:p w14:paraId="20147C5B" w14:textId="77777777" w:rsidR="00D558DD" w:rsidRPr="00F73B16" w:rsidRDefault="00D558DD" w:rsidP="00D558DD">
      <w:pPr>
        <w:pStyle w:val="ListBullet"/>
        <w:spacing w:before="120" w:after="120"/>
        <w:rPr>
          <w:rFonts w:cs="Arial"/>
        </w:rPr>
      </w:pPr>
      <w:r w:rsidRPr="00F73B16">
        <w:rPr>
          <w:rFonts w:cs="Arial"/>
        </w:rPr>
        <w:t xml:space="preserve">you are under 18 years of age; or </w:t>
      </w:r>
    </w:p>
    <w:p w14:paraId="4CF37EB5" w14:textId="77777777" w:rsidR="00D558DD" w:rsidRPr="00F73B16" w:rsidRDefault="00D558DD" w:rsidP="00D558DD">
      <w:pPr>
        <w:pStyle w:val="ListBullet"/>
        <w:spacing w:before="120" w:after="120"/>
        <w:rPr>
          <w:rFonts w:cs="Arial"/>
        </w:rPr>
      </w:pPr>
      <w:r w:rsidRPr="00F73B16">
        <w:rPr>
          <w:rFonts w:cs="Arial"/>
        </w:rPr>
        <w:t xml:space="preserve">you are receiving youth allowance, Austudy or ABSTUDY. </w:t>
      </w:r>
    </w:p>
    <w:p w14:paraId="3450C2D1" w14:textId="77777777" w:rsidR="00D558DD" w:rsidRPr="00F73B16" w:rsidRDefault="00D558DD" w:rsidP="00D558DD">
      <w:pPr>
        <w:pStyle w:val="NormalWeb"/>
        <w:spacing w:before="120" w:beforeAutospacing="0" w:after="120" w:afterAutospacing="0" w:line="276" w:lineRule="auto"/>
        <w:rPr>
          <w:rFonts w:ascii="Arial" w:hAnsi="Arial" w:cs="Arial"/>
          <w:sz w:val="22"/>
          <w:szCs w:val="22"/>
        </w:rPr>
      </w:pPr>
      <w:r w:rsidRPr="00F73B16">
        <w:rPr>
          <w:rFonts w:ascii="Arial" w:hAnsi="Arial" w:cs="Arial"/>
          <w:sz w:val="22"/>
          <w:szCs w:val="22"/>
        </w:rPr>
        <w:t>You may also be eligible for a reduced fee if you can demonstrate to the AAT that paying the full fee would cause you financial hardship. Further information can be found on the AAT’s website.</w:t>
      </w:r>
    </w:p>
    <w:p w14:paraId="194E9655" w14:textId="77777777" w:rsidR="00D558DD" w:rsidRDefault="00D558DD" w:rsidP="00D558DD">
      <w:pPr>
        <w:spacing w:before="120" w:after="120"/>
        <w:rPr>
          <w:rFonts w:cs="Arial"/>
          <w:b/>
        </w:rPr>
      </w:pPr>
    </w:p>
    <w:p w14:paraId="76E9FC83" w14:textId="77777777" w:rsidR="00D558DD" w:rsidRPr="00F73B16" w:rsidRDefault="00D558DD" w:rsidP="00D558DD">
      <w:pPr>
        <w:spacing w:before="120" w:after="120"/>
        <w:rPr>
          <w:rFonts w:cs="Arial"/>
          <w:b/>
        </w:rPr>
      </w:pPr>
      <w:r w:rsidRPr="00F73B16">
        <w:rPr>
          <w:rFonts w:cs="Arial"/>
          <w:b/>
        </w:rPr>
        <w:t>Contact Details</w:t>
      </w:r>
    </w:p>
    <w:p w14:paraId="0989324B" w14:textId="77777777" w:rsidR="00D558DD" w:rsidRPr="00F73B16" w:rsidRDefault="00D558DD" w:rsidP="00D558DD">
      <w:pPr>
        <w:spacing w:before="120" w:after="120"/>
        <w:rPr>
          <w:rFonts w:cs="Arial"/>
        </w:rPr>
      </w:pPr>
      <w:r w:rsidRPr="00F73B16">
        <w:rPr>
          <w:rFonts w:cs="Arial"/>
        </w:rPr>
        <w:t>Further information or enquiries relating to the decision should be directed to:</w:t>
      </w:r>
    </w:p>
    <w:p w14:paraId="6F5B0EBB" w14:textId="77777777" w:rsidR="00D558DD" w:rsidRPr="00F73B16" w:rsidRDefault="00D558DD" w:rsidP="00D558DD">
      <w:pPr>
        <w:spacing w:after="0"/>
        <w:ind w:left="720"/>
        <w:rPr>
          <w:rFonts w:cs="Arial"/>
        </w:rPr>
      </w:pPr>
      <w:r w:rsidRPr="00F73B16">
        <w:rPr>
          <w:rFonts w:cs="Arial"/>
        </w:rPr>
        <w:t>The Director</w:t>
      </w:r>
    </w:p>
    <w:p w14:paraId="13511193" w14:textId="1B5F1274" w:rsidR="00D558DD" w:rsidRPr="00F73B16" w:rsidRDefault="00EE52A5" w:rsidP="00D558DD">
      <w:pPr>
        <w:spacing w:after="0"/>
        <w:ind w:left="720"/>
        <w:rPr>
          <w:rFonts w:cs="Arial"/>
          <w:u w:val="single"/>
        </w:rPr>
      </w:pPr>
      <w:r>
        <w:rPr>
          <w:rFonts w:cs="Arial"/>
        </w:rPr>
        <w:t>Wildlife Trade Assessments Section</w:t>
      </w:r>
      <w:r w:rsidR="00D558DD" w:rsidRPr="00F73B16">
        <w:rPr>
          <w:rFonts w:cs="Arial"/>
        </w:rPr>
        <w:br/>
        <w:t>Department of the Environment and Energy</w:t>
      </w:r>
      <w:r w:rsidR="00D558DD" w:rsidRPr="00F73B16">
        <w:rPr>
          <w:rFonts w:cs="Arial"/>
        </w:rPr>
        <w:br/>
        <w:t>GPO Box 787</w:t>
      </w:r>
      <w:r w:rsidR="00D558DD" w:rsidRPr="00F73B16">
        <w:rPr>
          <w:rFonts w:cs="Arial"/>
        </w:rPr>
        <w:br/>
        <w:t>Canberra ACT 2601</w:t>
      </w:r>
      <w:r w:rsidR="00D558DD" w:rsidRPr="00F73B16">
        <w:rPr>
          <w:rFonts w:cs="Arial"/>
        </w:rPr>
        <w:br/>
      </w:r>
      <w:r w:rsidR="00D558DD" w:rsidRPr="00F73B16">
        <w:rPr>
          <w:rFonts w:cs="Arial"/>
          <w:bCs/>
        </w:rPr>
        <w:t>Telephone:</w:t>
      </w:r>
      <w:r w:rsidR="00D558DD" w:rsidRPr="00F73B16">
        <w:rPr>
          <w:rFonts w:cs="Arial"/>
        </w:rPr>
        <w:t xml:space="preserve"> +61 (02</w:t>
      </w:r>
      <w:r w:rsidR="00740DA6">
        <w:rPr>
          <w:rFonts w:cs="Arial"/>
        </w:rPr>
        <w:t>)</w:t>
      </w:r>
      <w:r w:rsidR="00D558DD" w:rsidRPr="00F73B16">
        <w:rPr>
          <w:rFonts w:cs="Arial"/>
        </w:rPr>
        <w:t xml:space="preserve"> 6274 1917</w:t>
      </w:r>
      <w:r w:rsidR="00D558DD" w:rsidRPr="00F73B16">
        <w:rPr>
          <w:rFonts w:cs="Arial"/>
        </w:rPr>
        <w:br/>
      </w:r>
      <w:r w:rsidR="00D558DD" w:rsidRPr="00F73B16">
        <w:rPr>
          <w:rFonts w:cs="Arial"/>
          <w:bCs/>
        </w:rPr>
        <w:t>Email:</w:t>
      </w:r>
      <w:r w:rsidR="00D558DD" w:rsidRPr="00F73B16">
        <w:rPr>
          <w:rFonts w:cs="Arial"/>
        </w:rPr>
        <w:t xml:space="preserve"> </w:t>
      </w:r>
      <w:r w:rsidR="00D558DD" w:rsidRPr="00F73B16">
        <w:rPr>
          <w:rFonts w:cs="Arial"/>
          <w:u w:val="single"/>
        </w:rPr>
        <w:t>sustainablefisheries@environment.gov.au</w:t>
      </w:r>
    </w:p>
    <w:p w14:paraId="281BEEC6" w14:textId="77777777" w:rsidR="00D558DD" w:rsidRPr="00F73B16" w:rsidRDefault="00D558DD" w:rsidP="00D558DD">
      <w:pPr>
        <w:spacing w:before="120" w:after="120"/>
        <w:rPr>
          <w:rFonts w:cs="Arial"/>
        </w:rPr>
      </w:pPr>
      <w:r w:rsidRPr="00F73B16">
        <w:rPr>
          <w:rFonts w:cs="Arial"/>
        </w:rPr>
        <w:t xml:space="preserve">Alternatively you may contact the AAT at their Principal Registry or the Deputy Registrar, Administrative Appeals Tribunal in your Capital City or Territory. </w:t>
      </w:r>
    </w:p>
    <w:p w14:paraId="52A3E883" w14:textId="77777777" w:rsidR="00D558DD" w:rsidRPr="00F73B16" w:rsidRDefault="00D558DD" w:rsidP="00D558DD">
      <w:pPr>
        <w:spacing w:after="0"/>
        <w:ind w:left="720"/>
        <w:rPr>
          <w:rFonts w:cs="Arial"/>
        </w:rPr>
      </w:pPr>
      <w:r w:rsidRPr="00F73B16">
        <w:rPr>
          <w:rFonts w:cs="Arial"/>
        </w:rPr>
        <w:t>Administrative Appeals Tribunal</w:t>
      </w:r>
      <w:r w:rsidRPr="00F73B16">
        <w:rPr>
          <w:rFonts w:cs="Arial"/>
        </w:rPr>
        <w:br/>
        <w:t>Street address: Level 6, 83 Clarence Street, Sydney</w:t>
      </w:r>
      <w:r w:rsidRPr="00F73B16">
        <w:rPr>
          <w:rFonts w:cs="Arial"/>
        </w:rPr>
        <w:br/>
        <w:t>Mailing address: GPO Box 9955, Sydney, NSW 2001</w:t>
      </w:r>
      <w:r w:rsidRPr="00F73B16">
        <w:rPr>
          <w:rFonts w:cs="Arial"/>
        </w:rPr>
        <w:br/>
        <w:t xml:space="preserve">T: 1800 228 333 and (02) 9276 5000 </w:t>
      </w:r>
      <w:r w:rsidRPr="00F73B16">
        <w:rPr>
          <w:rFonts w:cs="Arial"/>
        </w:rPr>
        <w:br/>
        <w:t>F: (02) 9276 5599</w:t>
      </w:r>
    </w:p>
    <w:p w14:paraId="751BC779" w14:textId="77777777" w:rsidR="00D558DD" w:rsidRPr="00F73B16" w:rsidRDefault="00D558DD" w:rsidP="00D558DD">
      <w:pPr>
        <w:pStyle w:val="NormalWeb"/>
        <w:spacing w:before="0" w:beforeAutospacing="0" w:after="0" w:afterAutospacing="0"/>
        <w:ind w:left="720"/>
        <w:rPr>
          <w:rFonts w:ascii="Arial" w:hAnsi="Arial" w:cs="Arial"/>
          <w:sz w:val="22"/>
          <w:szCs w:val="22"/>
        </w:rPr>
      </w:pPr>
      <w:r w:rsidRPr="00F73B16">
        <w:rPr>
          <w:rFonts w:ascii="Arial" w:hAnsi="Arial" w:cs="Arial"/>
          <w:sz w:val="22"/>
          <w:szCs w:val="22"/>
        </w:rPr>
        <w:t xml:space="preserve">E: </w:t>
      </w:r>
      <w:hyperlink r:id="rId17" w:history="1">
        <w:r w:rsidRPr="00F73B16">
          <w:rPr>
            <w:rStyle w:val="Hyperlink"/>
            <w:rFonts w:ascii="Arial" w:hAnsi="Arial" w:cs="Arial"/>
            <w:color w:val="auto"/>
            <w:sz w:val="22"/>
            <w:szCs w:val="22"/>
          </w:rPr>
          <w:t>generalreviews@aat.gov.au</w:t>
        </w:r>
      </w:hyperlink>
      <w:r w:rsidRPr="00F73B16">
        <w:rPr>
          <w:rFonts w:ascii="Arial" w:hAnsi="Arial" w:cs="Arial"/>
          <w:sz w:val="22"/>
          <w:szCs w:val="22"/>
        </w:rPr>
        <w:br/>
        <w:t xml:space="preserve">W: </w:t>
      </w:r>
      <w:hyperlink r:id="rId18" w:history="1">
        <w:r w:rsidRPr="00F73B16">
          <w:rPr>
            <w:rStyle w:val="Hyperlink"/>
            <w:rFonts w:ascii="Arial" w:hAnsi="Arial" w:cs="Arial"/>
            <w:color w:val="auto"/>
            <w:sz w:val="22"/>
            <w:szCs w:val="22"/>
          </w:rPr>
          <w:t>http://www.aat.gov.au</w:t>
        </w:r>
      </w:hyperlink>
      <w:r w:rsidRPr="00F73B16">
        <w:rPr>
          <w:rFonts w:ascii="Arial" w:hAnsi="Arial" w:cs="Arial"/>
          <w:sz w:val="22"/>
          <w:szCs w:val="22"/>
        </w:rPr>
        <w:t xml:space="preserve"> </w:t>
      </w:r>
    </w:p>
    <w:p w14:paraId="45C05DA6" w14:textId="77777777" w:rsidR="00D558DD" w:rsidRDefault="00D558DD" w:rsidP="00D558DD">
      <w:pPr>
        <w:spacing w:before="120" w:after="120"/>
        <w:rPr>
          <w:rFonts w:cs="Arial"/>
          <w:b/>
        </w:rPr>
      </w:pPr>
    </w:p>
    <w:p w14:paraId="7FD58A55" w14:textId="77777777" w:rsidR="00D558DD" w:rsidRPr="00F73B16" w:rsidRDefault="00D558DD" w:rsidP="00D558DD">
      <w:pPr>
        <w:spacing w:before="120" w:after="120"/>
        <w:rPr>
          <w:rFonts w:cs="Arial"/>
          <w:b/>
        </w:rPr>
      </w:pPr>
      <w:r w:rsidRPr="00F73B16">
        <w:rPr>
          <w:rFonts w:cs="Arial"/>
          <w:b/>
        </w:rPr>
        <w:t>Freedom of Information Request</w:t>
      </w:r>
    </w:p>
    <w:p w14:paraId="3E28E7B3" w14:textId="77777777" w:rsidR="00D558DD" w:rsidRPr="00F73B16" w:rsidRDefault="00D558DD" w:rsidP="00D558DD">
      <w:pPr>
        <w:spacing w:before="120" w:after="120"/>
        <w:rPr>
          <w:rFonts w:eastAsia="Times New Roman" w:cs="Arial"/>
        </w:rPr>
      </w:pPr>
      <w:r w:rsidRPr="00F73B16">
        <w:rPr>
          <w:rFonts w:eastAsia="Times New Roman" w:cs="Arial"/>
        </w:rPr>
        <w:t xml:space="preserve">You may make an application under the </w:t>
      </w:r>
      <w:r w:rsidRPr="00F73B16">
        <w:rPr>
          <w:rFonts w:eastAsia="Times New Roman" w:cs="Arial"/>
          <w:i/>
          <w:iCs/>
        </w:rPr>
        <w:t>Freedom of Information Act 1982</w:t>
      </w:r>
      <w:r w:rsidRPr="00F73B16">
        <w:rPr>
          <w:rFonts w:eastAsia="Times New Roman" w:cs="Arial"/>
        </w:rPr>
        <w:t xml:space="preserve"> (FOI Act) to access documents. Further information can be found at </w:t>
      </w:r>
      <w:hyperlink r:id="rId19" w:history="1">
        <w:r w:rsidRPr="00F73B16">
          <w:rPr>
            <w:rStyle w:val="Hyperlink"/>
            <w:rFonts w:eastAsia="Times New Roman" w:cs="Arial"/>
            <w:color w:val="auto"/>
          </w:rPr>
          <w:t>http://www.environment.gov.au/foi/index.html</w:t>
        </w:r>
      </w:hyperlink>
      <w:r>
        <w:rPr>
          <w:rStyle w:val="Hyperlink"/>
          <w:rFonts w:eastAsia="Times New Roman" w:cs="Arial"/>
          <w:color w:val="auto"/>
        </w:rPr>
        <w:t>.</w:t>
      </w:r>
      <w:r w:rsidRPr="003B0028">
        <w:rPr>
          <w:rStyle w:val="Hyperlink"/>
          <w:rFonts w:eastAsia="Times New Roman" w:cs="Arial"/>
          <w:color w:val="auto"/>
          <w:u w:val="none"/>
        </w:rPr>
        <w:t xml:space="preserve"> </w:t>
      </w:r>
      <w:r w:rsidRPr="00F73B16">
        <w:rPr>
          <w:rFonts w:eastAsia="Times New Roman" w:cs="Arial"/>
        </w:rPr>
        <w:t xml:space="preserve">Please contact the Freedom of Information Contact Officer at </w:t>
      </w:r>
      <w:hyperlink r:id="rId20" w:history="1">
        <w:r w:rsidRPr="00F73B16">
          <w:rPr>
            <w:rStyle w:val="Hyperlink"/>
            <w:rFonts w:cs="Arial"/>
            <w:color w:val="auto"/>
          </w:rPr>
          <w:t>foi@environment.gov.au</w:t>
        </w:r>
      </w:hyperlink>
      <w:r w:rsidRPr="00F73B16">
        <w:rPr>
          <w:rFonts w:cs="Arial"/>
        </w:rPr>
        <w:t xml:space="preserve"> for more information. </w:t>
      </w:r>
    </w:p>
    <w:p w14:paraId="0FD1852C" w14:textId="77777777" w:rsidR="0050646D" w:rsidRPr="00CF5CAE" w:rsidRDefault="0050646D" w:rsidP="00D558DD">
      <w:pPr>
        <w:spacing w:before="200"/>
      </w:pPr>
    </w:p>
    <w:sectPr w:rsidR="0050646D" w:rsidRPr="00CF5CAE" w:rsidSect="00C325B9">
      <w:headerReference w:type="first" r:id="rId21"/>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07098" w14:textId="77777777" w:rsidR="00B17997" w:rsidRDefault="00B179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593CA" w14:textId="77777777" w:rsidR="00B17997" w:rsidRDefault="00B1799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584BE" w14:textId="77777777" w:rsidR="00B17997" w:rsidRDefault="00B179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0FD1854D" w14:textId="77777777"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6745C" w14:textId="77777777" w:rsidR="00B17997" w:rsidRDefault="00B179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095E2" w14:textId="77777777" w:rsidR="00B17997" w:rsidRDefault="00B179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3" w14:textId="52DE6CDD" w:rsidR="00F8686F" w:rsidRPr="00FA0CF5" w:rsidRDefault="00DD1580" w:rsidP="00FA0CF5">
    <w:pPr>
      <w:pStyle w:val="Header"/>
    </w:pPr>
    <w:r>
      <w:rPr>
        <w:noProof/>
        <w:lang w:eastAsia="en-AU"/>
      </w:rPr>
      <w:drawing>
        <wp:inline distT="0" distB="0" distL="0" distR="0" wp14:anchorId="5B437667" wp14:editId="5335D2A2">
          <wp:extent cx="4223385" cy="718185"/>
          <wp:effectExtent l="0" t="0" r="5715" b="5715"/>
          <wp:docPr id="1" name="Picture 1"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3385" cy="71818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6" w14:textId="77777777" w:rsidR="00F8686F" w:rsidRPr="00BB418A" w:rsidRDefault="00F8686F" w:rsidP="00BB418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9" w14:textId="079F97AD" w:rsidR="00F8686F" w:rsidRDefault="00B43958" w:rsidP="00C6319E">
    <w:pPr>
      <w:pStyle w:val="Header"/>
    </w:pPr>
    <w:r>
      <w:rPr>
        <w:noProof/>
        <w:lang w:eastAsia="en-AU"/>
      </w:rPr>
      <w:drawing>
        <wp:inline distT="0" distB="0" distL="0" distR="0" wp14:anchorId="0FD1854C" wp14:editId="5CFA4115">
          <wp:extent cx="4216400" cy="723900"/>
          <wp:effectExtent l="0" t="0" r="0" b="0"/>
          <wp:docPr id="3" name="Picture 3"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6400" cy="723900"/>
                  </a:xfrm>
                  <a:prstGeom prst="rect">
                    <a:avLst/>
                  </a:prstGeom>
                  <a:noFill/>
                  <a:ln>
                    <a:noFill/>
                  </a:ln>
                </pic:spPr>
              </pic:pic>
            </a:graphicData>
          </a:graphic>
        </wp:inline>
      </w:drawing>
    </w:r>
  </w:p>
  <w:p w14:paraId="41CC7094" w14:textId="1C8CABFC" w:rsidR="00EC2CD6" w:rsidRDefault="00EC2CD6" w:rsidP="00EC2CD6">
    <w:pPr>
      <w:pStyle w:val="Header"/>
      <w:jc w:val="right"/>
    </w:pPr>
    <w:r>
      <w:t>Attachment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35569F1"/>
    <w:multiLevelType w:val="hybridMultilevel"/>
    <w:tmpl w:val="AA96F0E6"/>
    <w:lvl w:ilvl="0" w:tplc="0C090017">
      <w:start w:val="1"/>
      <w:numFmt w:val="lowerLetter"/>
      <w:lvlText w:val="%1)"/>
      <w:lvlJc w:val="left"/>
      <w:pPr>
        <w:ind w:left="720" w:hanging="360"/>
      </w:pPr>
    </w:lvl>
    <w:lvl w:ilvl="1" w:tplc="0C09001B">
      <w:start w:val="1"/>
      <w:numFmt w:val="lowerRoman"/>
      <w:lvlText w:val="%2."/>
      <w:lvlJc w:val="righ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F745BC2"/>
    <w:multiLevelType w:val="multilevel"/>
    <w:tmpl w:val="E5E89F92"/>
    <w:numStyleLink w:val="BulletList"/>
  </w:abstractNum>
  <w:abstractNum w:abstractNumId="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BEC7F73"/>
    <w:multiLevelType w:val="hybridMultilevel"/>
    <w:tmpl w:val="CE2E7A3C"/>
    <w:lvl w:ilvl="0" w:tplc="BF14EA5C">
      <w:start w:val="1"/>
      <w:numFmt w:val="lowerRoman"/>
      <w:pStyle w:val="ListNumber3"/>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52037D38"/>
    <w:multiLevelType w:val="hybridMultilevel"/>
    <w:tmpl w:val="A49EC446"/>
    <w:lvl w:ilvl="0" w:tplc="6AC44B72">
      <w:start w:val="1"/>
      <w:numFmt w:val="decimal"/>
      <w:pStyle w:val="ListNumber"/>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D6579E"/>
    <w:multiLevelType w:val="hybridMultilevel"/>
    <w:tmpl w:val="AA96F0E6"/>
    <w:lvl w:ilvl="0" w:tplc="0C090017">
      <w:start w:val="1"/>
      <w:numFmt w:val="lowerLetter"/>
      <w:lvlText w:val="%1)"/>
      <w:lvlJc w:val="left"/>
      <w:pPr>
        <w:ind w:left="720" w:hanging="360"/>
      </w:pPr>
    </w:lvl>
    <w:lvl w:ilvl="1" w:tplc="0C09001B">
      <w:start w:val="1"/>
      <w:numFmt w:val="lowerRoman"/>
      <w:lvlText w:val="%2."/>
      <w:lvlJc w:val="righ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5456429"/>
    <w:multiLevelType w:val="multilevel"/>
    <w:tmpl w:val="21503F32"/>
    <w:lvl w:ilvl="0">
      <w:start w:val="1"/>
      <w:numFmt w:val="decimal"/>
      <w:lvlText w:val="%1."/>
      <w:lvlJc w:val="left"/>
      <w:pPr>
        <w:ind w:left="369" w:hanging="369"/>
      </w:pPr>
      <w:rPr>
        <w:rFonts w:ascii="Arial" w:hAnsi="Arial" w:hint="default"/>
        <w:b w:val="0"/>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15:restartNumberingAfterBreak="0">
    <w:nsid w:val="78A17AC3"/>
    <w:multiLevelType w:val="hybridMultilevel"/>
    <w:tmpl w:val="AA96F0E6"/>
    <w:lvl w:ilvl="0" w:tplc="0C090017">
      <w:start w:val="1"/>
      <w:numFmt w:val="lowerLetter"/>
      <w:lvlText w:val="%1)"/>
      <w:lvlJc w:val="left"/>
      <w:pPr>
        <w:ind w:left="720" w:hanging="360"/>
      </w:pPr>
    </w:lvl>
    <w:lvl w:ilvl="1" w:tplc="0C09001B">
      <w:start w:val="1"/>
      <w:numFmt w:val="lowerRoman"/>
      <w:lvlText w:val="%2."/>
      <w:lvlJc w:val="righ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0"/>
  </w:num>
  <w:num w:numId="3">
    <w:abstractNumId w:val="4"/>
  </w:num>
  <w:num w:numId="4">
    <w:abstractNumId w:val="3"/>
  </w:num>
  <w:num w:numId="5">
    <w:abstractNumId w:val="8"/>
  </w:num>
  <w:num w:numId="6">
    <w:abstractNumId w:val="2"/>
  </w:num>
  <w:num w:numId="7">
    <w:abstractNumId w:val="6"/>
  </w:num>
  <w:num w:numId="8">
    <w:abstractNumId w:val="5"/>
  </w:num>
  <w:num w:numId="9">
    <w:abstractNumId w:val="10"/>
  </w:num>
  <w:num w:numId="10">
    <w:abstractNumId w:val="1"/>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drawingGridHorizontalSpacing w:val="110"/>
  <w:displayHorizontalDrawingGridEvery w:val="2"/>
  <w:displayVerticalDrawingGridEvery w:val="2"/>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6099"/>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6118"/>
    <w:rsid w:val="002209AB"/>
    <w:rsid w:val="00220CFF"/>
    <w:rsid w:val="00224D4E"/>
    <w:rsid w:val="002251E3"/>
    <w:rsid w:val="00227A95"/>
    <w:rsid w:val="00227FEA"/>
    <w:rsid w:val="00235467"/>
    <w:rsid w:val="002473FC"/>
    <w:rsid w:val="00250919"/>
    <w:rsid w:val="00252E3C"/>
    <w:rsid w:val="00261931"/>
    <w:rsid w:val="00261EFE"/>
    <w:rsid w:val="00262198"/>
    <w:rsid w:val="00267CD5"/>
    <w:rsid w:val="00285F1B"/>
    <w:rsid w:val="0028692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26F"/>
    <w:rsid w:val="00310675"/>
    <w:rsid w:val="00310701"/>
    <w:rsid w:val="003125D2"/>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17E20"/>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646D"/>
    <w:rsid w:val="00507234"/>
    <w:rsid w:val="00514C8E"/>
    <w:rsid w:val="00520CCE"/>
    <w:rsid w:val="0052361B"/>
    <w:rsid w:val="00525EF4"/>
    <w:rsid w:val="0052681E"/>
    <w:rsid w:val="00527851"/>
    <w:rsid w:val="00531DBF"/>
    <w:rsid w:val="00535D49"/>
    <w:rsid w:val="0053758B"/>
    <w:rsid w:val="0054376F"/>
    <w:rsid w:val="00545040"/>
    <w:rsid w:val="00545759"/>
    <w:rsid w:val="00545BE0"/>
    <w:rsid w:val="00545F4F"/>
    <w:rsid w:val="0056198E"/>
    <w:rsid w:val="00562E85"/>
    <w:rsid w:val="0056332F"/>
    <w:rsid w:val="0056373D"/>
    <w:rsid w:val="00566906"/>
    <w:rsid w:val="005675AE"/>
    <w:rsid w:val="00581C39"/>
    <w:rsid w:val="00585198"/>
    <w:rsid w:val="00586CB3"/>
    <w:rsid w:val="00587579"/>
    <w:rsid w:val="005903B6"/>
    <w:rsid w:val="005931E7"/>
    <w:rsid w:val="005A0247"/>
    <w:rsid w:val="005B140D"/>
    <w:rsid w:val="005C1970"/>
    <w:rsid w:val="005C1FEA"/>
    <w:rsid w:val="005C2672"/>
    <w:rsid w:val="005C3495"/>
    <w:rsid w:val="005D6F37"/>
    <w:rsid w:val="005E35DC"/>
    <w:rsid w:val="005E3DFC"/>
    <w:rsid w:val="005E5D52"/>
    <w:rsid w:val="005E60AF"/>
    <w:rsid w:val="005E6524"/>
    <w:rsid w:val="005F0814"/>
    <w:rsid w:val="005F1DEA"/>
    <w:rsid w:val="0060462F"/>
    <w:rsid w:val="0060602D"/>
    <w:rsid w:val="00607FC9"/>
    <w:rsid w:val="0061002D"/>
    <w:rsid w:val="0061374A"/>
    <w:rsid w:val="00621170"/>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1FA0"/>
    <w:rsid w:val="00713FA2"/>
    <w:rsid w:val="00716663"/>
    <w:rsid w:val="007167C0"/>
    <w:rsid w:val="00720481"/>
    <w:rsid w:val="007204EA"/>
    <w:rsid w:val="00720E46"/>
    <w:rsid w:val="00721704"/>
    <w:rsid w:val="0073057B"/>
    <w:rsid w:val="00733193"/>
    <w:rsid w:val="00733C36"/>
    <w:rsid w:val="00740DA6"/>
    <w:rsid w:val="00742DA9"/>
    <w:rsid w:val="00744429"/>
    <w:rsid w:val="007470BF"/>
    <w:rsid w:val="00750E4E"/>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0411"/>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F20CB"/>
    <w:rsid w:val="007F2EED"/>
    <w:rsid w:val="007F332D"/>
    <w:rsid w:val="00800F64"/>
    <w:rsid w:val="00802F0B"/>
    <w:rsid w:val="00810A67"/>
    <w:rsid w:val="00813398"/>
    <w:rsid w:val="00813F3B"/>
    <w:rsid w:val="00821A31"/>
    <w:rsid w:val="00821AC5"/>
    <w:rsid w:val="00831030"/>
    <w:rsid w:val="008316C6"/>
    <w:rsid w:val="00833CF7"/>
    <w:rsid w:val="00843089"/>
    <w:rsid w:val="00845601"/>
    <w:rsid w:val="00847C58"/>
    <w:rsid w:val="008518B4"/>
    <w:rsid w:val="00854F44"/>
    <w:rsid w:val="00855C5C"/>
    <w:rsid w:val="008565B9"/>
    <w:rsid w:val="0086185F"/>
    <w:rsid w:val="00874D88"/>
    <w:rsid w:val="00882459"/>
    <w:rsid w:val="00890C23"/>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325B"/>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C99"/>
    <w:rsid w:val="00A00676"/>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3C4"/>
    <w:rsid w:val="00AC73E5"/>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529F"/>
    <w:rsid w:val="00B1418B"/>
    <w:rsid w:val="00B14B15"/>
    <w:rsid w:val="00B17997"/>
    <w:rsid w:val="00B21195"/>
    <w:rsid w:val="00B214FE"/>
    <w:rsid w:val="00B24B22"/>
    <w:rsid w:val="00B25310"/>
    <w:rsid w:val="00B27B11"/>
    <w:rsid w:val="00B32F8F"/>
    <w:rsid w:val="00B404DC"/>
    <w:rsid w:val="00B43958"/>
    <w:rsid w:val="00B54DE9"/>
    <w:rsid w:val="00B553EC"/>
    <w:rsid w:val="00B62B98"/>
    <w:rsid w:val="00B65E27"/>
    <w:rsid w:val="00B66855"/>
    <w:rsid w:val="00B66EBE"/>
    <w:rsid w:val="00B70ED4"/>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92447"/>
    <w:rsid w:val="00CA0723"/>
    <w:rsid w:val="00CA086D"/>
    <w:rsid w:val="00CA369D"/>
    <w:rsid w:val="00CB0489"/>
    <w:rsid w:val="00CB1690"/>
    <w:rsid w:val="00CC1AE6"/>
    <w:rsid w:val="00CC39F8"/>
    <w:rsid w:val="00CC4365"/>
    <w:rsid w:val="00CC5F7D"/>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30A0"/>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58DD"/>
    <w:rsid w:val="00D62131"/>
    <w:rsid w:val="00D64914"/>
    <w:rsid w:val="00D77838"/>
    <w:rsid w:val="00D80F3B"/>
    <w:rsid w:val="00D875EF"/>
    <w:rsid w:val="00D9244E"/>
    <w:rsid w:val="00D949E4"/>
    <w:rsid w:val="00D97C0B"/>
    <w:rsid w:val="00DA1B12"/>
    <w:rsid w:val="00DA54C9"/>
    <w:rsid w:val="00DA6739"/>
    <w:rsid w:val="00DA6CAE"/>
    <w:rsid w:val="00DB1A9E"/>
    <w:rsid w:val="00DB2566"/>
    <w:rsid w:val="00DB31D6"/>
    <w:rsid w:val="00DB4005"/>
    <w:rsid w:val="00DB4CBF"/>
    <w:rsid w:val="00DB556D"/>
    <w:rsid w:val="00DB7659"/>
    <w:rsid w:val="00DC34EB"/>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1DF5"/>
    <w:rsid w:val="00EA337A"/>
    <w:rsid w:val="00EA5941"/>
    <w:rsid w:val="00EA61DD"/>
    <w:rsid w:val="00EB02BE"/>
    <w:rsid w:val="00EB4974"/>
    <w:rsid w:val="00EB4DFB"/>
    <w:rsid w:val="00EB60CE"/>
    <w:rsid w:val="00EB7D53"/>
    <w:rsid w:val="00EC24FD"/>
    <w:rsid w:val="00EC2CD6"/>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0FD18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28692B"/>
    <w:pPr>
      <w:numPr>
        <w:numId w:val="7"/>
      </w:numPr>
      <w:spacing w:before="120" w:after="120" w:line="240" w:lineRule="auto"/>
      <w:ind w:left="369" w:hanging="369"/>
    </w:pPr>
  </w:style>
  <w:style w:type="paragraph" w:styleId="ListNumber2">
    <w:name w:val="List Number 2"/>
    <w:basedOn w:val="Normal"/>
    <w:uiPriority w:val="99"/>
    <w:rsid w:val="0028692B"/>
    <w:pPr>
      <w:spacing w:before="60" w:after="60" w:line="240" w:lineRule="auto"/>
      <w:ind w:left="369"/>
    </w:pPr>
    <w:rPr>
      <w:bCs/>
      <w:color w:val="FF0000"/>
    </w:rPr>
  </w:style>
  <w:style w:type="paragraph" w:styleId="ListNumber3">
    <w:name w:val="List Number 3"/>
    <w:basedOn w:val="Normal"/>
    <w:uiPriority w:val="99"/>
    <w:rsid w:val="0028692B"/>
    <w:pPr>
      <w:numPr>
        <w:numId w:val="8"/>
      </w:numPr>
      <w:spacing w:before="60" w:after="60" w:line="240" w:lineRule="auto"/>
      <w:ind w:left="839" w:hanging="357"/>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Default">
    <w:name w:val="Default"/>
    <w:rsid w:val="00EC2CD6"/>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aat.gov.au"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generalreviews@aat.gov.au" TargetMode="External"/><Relationship Id="rId2" Type="http://schemas.openxmlformats.org/officeDocument/2006/relationships/numbering" Target="numbering.xml"/><Relationship Id="rId16" Type="http://schemas.openxmlformats.org/officeDocument/2006/relationships/hyperlink" Target="http://www.aat.gov.au/" TargetMode="External"/><Relationship Id="rId20" Type="http://schemas.openxmlformats.org/officeDocument/2006/relationships/hyperlink" Target="mailto:foi@environmen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aat.gov.a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environment.gov.au/foi/index.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4F0019-CC8A-4340-A098-699FF35E9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4CE16EE5.dotm</Template>
  <TotalTime>0</TotalTime>
  <Pages>6</Pages>
  <Words>1656</Words>
  <Characters>9445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PIRSA - Mr Sean Sloan – September 2018</dc:title>
  <dc:creator/>
  <cp:lastModifiedBy/>
  <cp:revision>1</cp:revision>
  <dcterms:created xsi:type="dcterms:W3CDTF">2018-09-25T23:50:00Z</dcterms:created>
  <dcterms:modified xsi:type="dcterms:W3CDTF">2018-09-25T23:51:00Z</dcterms:modified>
</cp:coreProperties>
</file>