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jpeg" ContentType="image/jpeg"/>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2C" w:rsidRPr="00F6308F" w:rsidRDefault="007430E0" w:rsidP="001955CD">
      <w:pPr>
        <w:widowControl w:val="0"/>
        <w:tabs>
          <w:tab w:val="left" w:pos="6700"/>
        </w:tabs>
        <w:spacing w:after="120"/>
        <w:jc w:val="center"/>
        <w:rPr>
          <w:rFonts w:cs="Arial"/>
          <w:b/>
          <w:sz w:val="48"/>
        </w:rPr>
      </w:pPr>
      <w:r>
        <w:rPr>
          <w:rFonts w:cs="Arial"/>
          <w:b/>
          <w:noProof/>
          <w:sz w:val="48"/>
          <w:lang w:eastAsia="en-AU"/>
        </w:rPr>
        <w:drawing>
          <wp:inline distT="0" distB="0" distL="0" distR="0">
            <wp:extent cx="3648075" cy="23622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r w:rsidRPr="00F6308F">
        <w:rPr>
          <w:rFonts w:cs="Arial"/>
          <w:sz w:val="36"/>
        </w:rPr>
        <w:t>Assessment of the</w:t>
      </w:r>
    </w:p>
    <w:p w:rsidR="00B6012C" w:rsidRPr="00F6308F" w:rsidRDefault="005A3C4B" w:rsidP="001955CD">
      <w:pPr>
        <w:pStyle w:val="Heading6"/>
        <w:spacing w:after="120"/>
        <w:jc w:val="center"/>
        <w:rPr>
          <w:rFonts w:ascii="Arial" w:hAnsi="Arial" w:cs="Arial"/>
          <w:b w:val="0"/>
          <w:i/>
          <w:sz w:val="36"/>
        </w:rPr>
      </w:pPr>
      <w:r>
        <w:rPr>
          <w:rFonts w:ascii="Arial" w:hAnsi="Arial" w:cs="Arial"/>
          <w:sz w:val="36"/>
        </w:rPr>
        <w:t>Tasmanian Giant Crab Fishery</w:t>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066E65" w:rsidP="001955CD">
      <w:pPr>
        <w:pStyle w:val="Heading7"/>
        <w:rPr>
          <w:rFonts w:ascii="Arial" w:hAnsi="Arial" w:cs="Arial"/>
          <w:lang w:val="en-AU"/>
        </w:rPr>
      </w:pPr>
      <w:r w:rsidRPr="00066E65">
        <w:rPr>
          <w:rFonts w:ascii="Arial" w:hAnsi="Arial" w:cs="Arial"/>
          <w:lang w:val="en-AU"/>
        </w:rPr>
        <w:t>July 2014</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7E6086">
        <w:rPr>
          <w:rFonts w:ascii="Arial" w:hAnsi="Arial" w:cs="Arial"/>
          <w:sz w:val="16"/>
          <w:szCs w:val="16"/>
        </w:rPr>
        <w:t xml:space="preserve"> Commonwealth of Australia, 2014</w:t>
      </w:r>
      <w:r w:rsidRPr="00480A40">
        <w:rPr>
          <w:rFonts w:ascii="Arial" w:hAnsi="Arial" w:cs="Arial"/>
          <w:sz w:val="16"/>
          <w:szCs w:val="16"/>
        </w:rPr>
        <w:t>.</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inline distT="0" distB="0" distL="0" distR="0">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7C21E3" w:rsidRPr="00066E65" w:rsidRDefault="007C21E3" w:rsidP="007C21E3">
      <w:pPr>
        <w:pStyle w:val="NormalWeb"/>
        <w:rPr>
          <w:rFonts w:ascii="Arial" w:hAnsi="Arial" w:cs="Arial"/>
          <w:sz w:val="16"/>
          <w:szCs w:val="16"/>
        </w:rPr>
      </w:pPr>
      <w:r w:rsidRPr="005A3C4B">
        <w:rPr>
          <w:rFonts w:ascii="Arial" w:hAnsi="Arial" w:cs="Arial"/>
          <w:i/>
          <w:sz w:val="16"/>
          <w:szCs w:val="16"/>
        </w:rPr>
        <w:t>Assessment o</w:t>
      </w:r>
      <w:r w:rsidR="005A3C4B" w:rsidRPr="005A3C4B">
        <w:rPr>
          <w:rFonts w:ascii="Arial" w:hAnsi="Arial" w:cs="Arial"/>
          <w:i/>
          <w:sz w:val="16"/>
          <w:szCs w:val="16"/>
        </w:rPr>
        <w:t xml:space="preserve">f the Tasmanian Giant Crab Fishery </w:t>
      </w:r>
      <w:r w:rsidR="00066E65" w:rsidRPr="00066E65">
        <w:rPr>
          <w:rFonts w:ascii="Arial" w:hAnsi="Arial" w:cs="Arial"/>
          <w:i/>
          <w:sz w:val="16"/>
          <w:szCs w:val="16"/>
        </w:rPr>
        <w:t>July</w:t>
      </w:r>
      <w:r w:rsidRPr="00066E65">
        <w:rPr>
          <w:rFonts w:ascii="Arial" w:hAnsi="Arial" w:cs="Arial"/>
          <w:i/>
          <w:sz w:val="16"/>
          <w:szCs w:val="16"/>
        </w:rPr>
        <w:t xml:space="preserve"> 201</w:t>
      </w:r>
      <w:r w:rsidR="005A3C4B" w:rsidRPr="00066E65">
        <w:rPr>
          <w:rFonts w:ascii="Arial" w:hAnsi="Arial" w:cs="Arial"/>
          <w:i/>
          <w:sz w:val="16"/>
          <w:szCs w:val="16"/>
        </w:rPr>
        <w:t>4</w:t>
      </w:r>
      <w:r w:rsidRPr="00066E65">
        <w:rPr>
          <w:rFonts w:ascii="Arial" w:hAnsi="Arial" w:cs="Arial"/>
          <w:sz w:val="16"/>
          <w:szCs w:val="16"/>
        </w:rPr>
        <w:t xml:space="preserve"> is licensed by the Commonwealth of Australia for use under a Creative Commons By Attribution 3.0 Australia </w:t>
      </w:r>
      <w:proofErr w:type="spellStart"/>
      <w:r w:rsidRPr="00066E65">
        <w:rPr>
          <w:rFonts w:ascii="Arial" w:hAnsi="Arial" w:cs="Arial"/>
          <w:sz w:val="16"/>
          <w:szCs w:val="16"/>
        </w:rPr>
        <w:t>licence</w:t>
      </w:r>
      <w:proofErr w:type="spellEnd"/>
      <w:r w:rsidRPr="00066E65">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066E65">
        <w:rPr>
          <w:rFonts w:ascii="Arial" w:hAnsi="Arial" w:cs="Arial"/>
          <w:sz w:val="16"/>
          <w:szCs w:val="16"/>
        </w:rPr>
        <w:t>licence</w:t>
      </w:r>
      <w:proofErr w:type="spellEnd"/>
      <w:r w:rsidRPr="00066E65">
        <w:rPr>
          <w:rFonts w:ascii="Arial" w:hAnsi="Arial" w:cs="Arial"/>
          <w:sz w:val="16"/>
          <w:szCs w:val="16"/>
        </w:rPr>
        <w:t xml:space="preserve"> conditions see: http://creativecommons.org/licenses/by/3.0/au/.</w:t>
      </w:r>
    </w:p>
    <w:p w:rsidR="007C21E3" w:rsidRPr="00480A40" w:rsidRDefault="007C21E3" w:rsidP="007C21E3">
      <w:pPr>
        <w:pStyle w:val="NormalWeb"/>
        <w:rPr>
          <w:rFonts w:ascii="Arial" w:hAnsi="Arial" w:cs="Arial"/>
          <w:sz w:val="16"/>
          <w:szCs w:val="16"/>
        </w:rPr>
      </w:pPr>
      <w:r w:rsidRPr="00066E65">
        <w:rPr>
          <w:rFonts w:ascii="Arial" w:hAnsi="Arial" w:cs="Arial"/>
          <w:sz w:val="16"/>
          <w:szCs w:val="16"/>
        </w:rPr>
        <w:t>This report should be attributed as ‘</w:t>
      </w:r>
      <w:r w:rsidR="005A3C4B" w:rsidRPr="00066E65">
        <w:rPr>
          <w:rFonts w:ascii="Arial" w:hAnsi="Arial" w:cs="Arial"/>
          <w:i/>
          <w:sz w:val="16"/>
          <w:szCs w:val="16"/>
        </w:rPr>
        <w:t xml:space="preserve">Assessment of the Tasmanian Giant Crab Fishery </w:t>
      </w:r>
      <w:r w:rsidR="00066E65" w:rsidRPr="00066E65">
        <w:rPr>
          <w:rFonts w:ascii="Arial" w:hAnsi="Arial" w:cs="Arial"/>
          <w:i/>
          <w:sz w:val="16"/>
          <w:szCs w:val="16"/>
        </w:rPr>
        <w:t xml:space="preserve">July </w:t>
      </w:r>
      <w:r w:rsidR="005A3C4B" w:rsidRPr="00066E65">
        <w:rPr>
          <w:rFonts w:ascii="Arial" w:hAnsi="Arial" w:cs="Arial"/>
          <w:i/>
          <w:sz w:val="16"/>
          <w:szCs w:val="16"/>
        </w:rPr>
        <w:t>2014</w:t>
      </w:r>
      <w:r w:rsidRPr="00066E65">
        <w:rPr>
          <w:rFonts w:ascii="Arial" w:hAnsi="Arial" w:cs="Arial"/>
          <w:sz w:val="16"/>
          <w:szCs w:val="16"/>
        </w:rPr>
        <w:t>, Commonwealth</w:t>
      </w:r>
      <w:r w:rsidRPr="00480A40">
        <w:rPr>
          <w:rFonts w:ascii="Arial" w:hAnsi="Arial" w:cs="Arial"/>
          <w:sz w:val="16"/>
          <w:szCs w:val="16"/>
        </w:rPr>
        <w:t xml:space="preserve"> of Australia </w:t>
      </w:r>
      <w:r w:rsidR="007E6086">
        <w:rPr>
          <w:rFonts w:ascii="Arial" w:hAnsi="Arial" w:cs="Arial"/>
          <w:sz w:val="16"/>
          <w:szCs w:val="16"/>
        </w:rPr>
        <w:t>2014</w:t>
      </w:r>
      <w:r w:rsidRPr="000400C3">
        <w:rPr>
          <w:rFonts w:ascii="Arial" w:hAnsi="Arial" w:cs="Arial"/>
          <w:sz w:val="16"/>
          <w:szCs w:val="16"/>
        </w:rPr>
        <w:t>’</w:t>
      </w:r>
      <w:r w:rsidRPr="00480A40">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F6308F">
        <w:rPr>
          <w:rFonts w:ascii="Arial" w:hAnsi="Arial" w:cs="Arial"/>
          <w:sz w:val="16"/>
          <w:szCs w:val="16"/>
          <w:lang w:val="en-AU"/>
        </w:rPr>
        <w:t>or the Australian Government.</w:t>
      </w:r>
    </w:p>
    <w:p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Pr="00975D57" w:rsidRDefault="00B6012C" w:rsidP="00975D57">
      <w:pPr>
        <w:pStyle w:val="Heading1"/>
        <w:spacing w:after="0"/>
        <w:jc w:val="center"/>
      </w:pPr>
      <w:r w:rsidRPr="00F6308F">
        <w:rPr>
          <w:sz w:val="24"/>
        </w:rPr>
        <w:br w:type="page"/>
      </w:r>
    </w:p>
    <w:p w:rsidR="00B6012C" w:rsidRPr="00F6308F" w:rsidRDefault="00B6012C" w:rsidP="001955CD">
      <w:pPr>
        <w:pStyle w:val="Heading1"/>
        <w:spacing w:after="0"/>
        <w:jc w:val="center"/>
      </w:pPr>
      <w:r w:rsidRPr="00F6308F">
        <w:lastRenderedPageBreak/>
        <w:t>Contents</w:t>
      </w:r>
    </w:p>
    <w:p w:rsidR="00B6012C" w:rsidRDefault="00B6012C" w:rsidP="001955CD">
      <w:pPr>
        <w:rPr>
          <w:rFonts w:cs="Arial"/>
          <w:b/>
        </w:rPr>
      </w:pPr>
    </w:p>
    <w:p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the </w:t>
      </w:r>
      <w:r w:rsidR="00975D57">
        <w:rPr>
          <w:rFonts w:cs="Arial"/>
          <w:b/>
          <w:noProof/>
        </w:rPr>
        <w:t>Tasmanian Giant Crab Fishery</w:t>
      </w:r>
      <w:r w:rsidRPr="00FF44D5">
        <w:rPr>
          <w:rFonts w:cs="Arial"/>
          <w:b/>
          <w:noProof/>
          <w:webHidden/>
        </w:rPr>
        <w:tab/>
      </w:r>
      <w:r w:rsidR="00C141EE"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C141EE" w:rsidRPr="00FF44D5">
        <w:rPr>
          <w:rFonts w:cs="Arial"/>
          <w:b/>
          <w:noProof/>
          <w:webHidden/>
        </w:rPr>
      </w:r>
      <w:r w:rsidR="00C141EE" w:rsidRPr="00FF44D5">
        <w:rPr>
          <w:rFonts w:cs="Arial"/>
          <w:b/>
          <w:noProof/>
          <w:webHidden/>
        </w:rPr>
        <w:fldChar w:fldCharType="separate"/>
      </w:r>
      <w:r w:rsidR="00652123">
        <w:rPr>
          <w:rFonts w:cs="Arial"/>
          <w:b/>
          <w:noProof/>
          <w:webHidden/>
        </w:rPr>
        <w:t>1</w:t>
      </w:r>
      <w:r w:rsidR="00C141EE"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2:</w:t>
      </w:r>
      <w:r w:rsidRPr="00FF44D5">
        <w:rPr>
          <w:rFonts w:cs="Arial"/>
          <w:b/>
          <w:noProof/>
        </w:rPr>
        <w:tab/>
        <w:t xml:space="preserve">Progress in implementation </w:t>
      </w:r>
      <w:r w:rsidRPr="00975D57">
        <w:rPr>
          <w:rFonts w:cs="Arial"/>
          <w:b/>
          <w:noProof/>
        </w:rPr>
        <w:t xml:space="preserve">of recommendations made in the </w:t>
      </w:r>
      <w:r w:rsidR="00975D57" w:rsidRPr="00975D57">
        <w:rPr>
          <w:rFonts w:cs="Arial"/>
          <w:b/>
          <w:noProof/>
        </w:rPr>
        <w:t>2009</w:t>
      </w:r>
      <w:r w:rsidRPr="00975D57">
        <w:rPr>
          <w:rFonts w:cs="Arial"/>
          <w:b/>
          <w:noProof/>
        </w:rPr>
        <w:t xml:space="preserve"> assessment of the</w:t>
      </w:r>
      <w:r w:rsidRPr="00975D57">
        <w:t xml:space="preserve"> </w:t>
      </w:r>
      <w:r w:rsidR="00975D57" w:rsidRPr="00975D57">
        <w:rPr>
          <w:rFonts w:cs="Arial"/>
          <w:b/>
          <w:noProof/>
        </w:rPr>
        <w:t>Tasmanian Giant Crab Fishery</w:t>
      </w:r>
      <w:r w:rsidRPr="00FF44D5">
        <w:rPr>
          <w:rFonts w:cs="Arial"/>
          <w:b/>
          <w:noProof/>
          <w:webHidden/>
        </w:rPr>
        <w:tab/>
      </w:r>
      <w:r w:rsidR="00C141EE"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C141EE" w:rsidRPr="00FF44D5">
        <w:rPr>
          <w:rFonts w:cs="Arial"/>
          <w:b/>
          <w:noProof/>
          <w:webHidden/>
        </w:rPr>
      </w:r>
      <w:r w:rsidR="00C141EE" w:rsidRPr="00FF44D5">
        <w:rPr>
          <w:rFonts w:cs="Arial"/>
          <w:b/>
          <w:noProof/>
          <w:webHidden/>
        </w:rPr>
        <w:fldChar w:fldCharType="separate"/>
      </w:r>
      <w:r w:rsidR="00652123">
        <w:rPr>
          <w:rFonts w:cs="Arial"/>
          <w:b/>
          <w:noProof/>
          <w:webHidden/>
        </w:rPr>
        <w:t>6</w:t>
      </w:r>
      <w:r w:rsidR="00C141EE"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 xml:space="preserve">Table 2 contains an update on the progress that has been made by the </w:t>
      </w:r>
      <w:r w:rsidR="00454CFC">
        <w:rPr>
          <w:rFonts w:cs="Arial"/>
          <w:noProof/>
        </w:rPr>
        <w:t xml:space="preserve">Tasmanian </w:t>
      </w:r>
      <w:r w:rsidR="00975D57" w:rsidRPr="00975D57">
        <w:rPr>
          <w:rFonts w:cs="Arial"/>
          <w:noProof/>
        </w:rPr>
        <w:t>Department of Primary Industries, Parks, Water, and Environment</w:t>
      </w:r>
      <w:r w:rsidRPr="00975D57">
        <w:rPr>
          <w:rFonts w:cs="Arial"/>
          <w:noProof/>
        </w:rPr>
        <w:t xml:space="preserve"> in implementing the recommendations made in the </w:t>
      </w:r>
      <w:r w:rsidR="00975D57" w:rsidRPr="00975D57">
        <w:rPr>
          <w:rFonts w:cs="Arial"/>
          <w:noProof/>
        </w:rPr>
        <w:t>2009</w:t>
      </w:r>
      <w:r>
        <w:rPr>
          <w:rFonts w:cs="Arial"/>
          <w:noProof/>
        </w:rPr>
        <w:t> assessment</w:t>
      </w:r>
      <w:r w:rsidRPr="00FF44D5">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 xml:space="preserve">Table 3: </w:t>
      </w:r>
      <w:r w:rsidRPr="00FF44D5">
        <w:rPr>
          <w:rFonts w:cs="Arial"/>
          <w:b/>
          <w:noProof/>
        </w:rPr>
        <w:tab/>
        <w:t>The Department o</w:t>
      </w:r>
      <w:r>
        <w:rPr>
          <w:rFonts w:cs="Arial"/>
          <w:b/>
          <w:noProof/>
        </w:rPr>
        <w:t>f the Environment’s</w:t>
      </w:r>
      <w:r w:rsidRPr="00FF44D5">
        <w:rPr>
          <w:rFonts w:cs="Arial"/>
          <w:b/>
          <w:noProof/>
        </w:rPr>
        <w:t xml:space="preserve">’ assessment of the </w:t>
      </w:r>
      <w:r w:rsidR="00975D57" w:rsidRPr="00975D57">
        <w:rPr>
          <w:rFonts w:cs="Arial"/>
          <w:b/>
          <w:noProof/>
        </w:rPr>
        <w:t>Tasmanian Giant Crab Fishery</w:t>
      </w:r>
      <w:r>
        <w:rPr>
          <w:rFonts w:cs="Arial"/>
          <w:b/>
          <w:noProof/>
        </w:rPr>
        <w:t xml:space="preserve"> </w:t>
      </w:r>
      <w:r w:rsidRPr="00FF44D5">
        <w:rPr>
          <w:rFonts w:cs="Arial"/>
          <w:b/>
          <w:noProof/>
        </w:rPr>
        <w:t xml:space="preserve">against the requirements of the EPBC Act related to decisions made </w:t>
      </w:r>
      <w:r w:rsidRPr="00975D57">
        <w:rPr>
          <w:rFonts w:cs="Arial"/>
          <w:b/>
          <w:noProof/>
        </w:rPr>
        <w:t>under Part 13 and Part</w:t>
      </w:r>
      <w:r w:rsidRPr="00FF44D5">
        <w:rPr>
          <w:rFonts w:cs="Arial"/>
          <w:b/>
          <w:noProof/>
        </w:rPr>
        <w:t> 13A.</w:t>
      </w:r>
      <w:r w:rsidRPr="00FF44D5">
        <w:rPr>
          <w:rFonts w:cs="Arial"/>
          <w:b/>
          <w:noProof/>
          <w:webHidden/>
        </w:rPr>
        <w:tab/>
      </w:r>
      <w:r w:rsidR="00C141EE" w:rsidRPr="00FF44D5">
        <w:rPr>
          <w:rFonts w:cs="Arial"/>
          <w:b/>
          <w:noProof/>
          <w:webHidden/>
        </w:rPr>
        <w:fldChar w:fldCharType="begin"/>
      </w:r>
      <w:r w:rsidRPr="00FF44D5">
        <w:rPr>
          <w:rFonts w:cs="Arial"/>
          <w:b/>
          <w:noProof/>
          <w:webHidden/>
        </w:rPr>
        <w:instrText xml:space="preserve"> PAGEREF </w:instrText>
      </w:r>
      <w:r w:rsidRPr="00360DE1">
        <w:rPr>
          <w:rFonts w:cs="Arial"/>
          <w:b/>
          <w:noProof/>
        </w:rPr>
        <w:instrText>_Toc316301050</w:instrText>
      </w:r>
      <w:r w:rsidRPr="00FF44D5">
        <w:rPr>
          <w:rFonts w:cs="Arial"/>
          <w:b/>
          <w:noProof/>
          <w:webHidden/>
        </w:rPr>
        <w:instrText xml:space="preserve"> \h </w:instrText>
      </w:r>
      <w:r w:rsidR="00C141EE" w:rsidRPr="00FF44D5">
        <w:rPr>
          <w:rFonts w:cs="Arial"/>
          <w:b/>
          <w:noProof/>
          <w:webHidden/>
        </w:rPr>
      </w:r>
      <w:r w:rsidR="00C141EE" w:rsidRPr="00FF44D5">
        <w:rPr>
          <w:rFonts w:cs="Arial"/>
          <w:b/>
          <w:noProof/>
          <w:webHidden/>
        </w:rPr>
        <w:fldChar w:fldCharType="separate"/>
      </w:r>
      <w:r w:rsidR="00652123">
        <w:rPr>
          <w:rFonts w:cs="Arial"/>
          <w:b/>
          <w:noProof/>
          <w:webHidden/>
        </w:rPr>
        <w:t>10</w:t>
      </w:r>
      <w:r w:rsidR="00C141EE"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Table 3 contains the D</w:t>
      </w:r>
      <w:r w:rsidRPr="00FF44D5">
        <w:rPr>
          <w:rFonts w:cs="Arial"/>
          <w:noProof/>
        </w:rPr>
        <w:t xml:space="preserve">epartment’s assessment of the </w:t>
      </w:r>
      <w:r>
        <w:rPr>
          <w:rFonts w:cs="Arial"/>
          <w:noProof/>
        </w:rPr>
        <w:t>fishery</w:t>
      </w:r>
      <w:r w:rsidRPr="00FF44D5">
        <w:rPr>
          <w:rFonts w:cs="Arial"/>
          <w:noProof/>
        </w:rPr>
        <w:t>’</w:t>
      </w:r>
      <w:r>
        <w:rPr>
          <w:rFonts w:cs="Arial"/>
          <w:noProof/>
        </w:rPr>
        <w:t xml:space="preserve">s </w:t>
      </w:r>
      <w:r w:rsidRPr="00FF44D5">
        <w:rPr>
          <w:rFonts w:cs="Arial"/>
          <w:noProof/>
        </w:rPr>
        <w:t xml:space="preserve">management arrangements against all the relevant parts of the </w:t>
      </w:r>
      <w:r w:rsidRPr="00FF44D5">
        <w:rPr>
          <w:rFonts w:cs="Arial"/>
          <w:i/>
          <w:noProof/>
        </w:rPr>
        <w:t>Environment Protection and Biodiversity Conservation Act 1999</w:t>
      </w:r>
      <w:r w:rsidRPr="00FF44D5">
        <w:rPr>
          <w:rFonts w:cs="Arial"/>
          <w:noProof/>
        </w:rPr>
        <w:t xml:space="preserve"> that the </w:t>
      </w:r>
      <w:r w:rsidRPr="00975D57">
        <w:rPr>
          <w:rFonts w:cs="Arial"/>
          <w:noProof/>
        </w:rPr>
        <w:t>delegate must consider</w:t>
      </w:r>
      <w:r w:rsidRPr="00FF44D5">
        <w:rPr>
          <w:rFonts w:cs="Arial"/>
          <w:noProof/>
        </w:rPr>
        <w:t xml:space="preserve"> before making a decision.</w:t>
      </w:r>
    </w:p>
    <w:p w:rsidR="00B6012C" w:rsidRPr="00FF44D5" w:rsidRDefault="00B6012C" w:rsidP="001955CD">
      <w:pPr>
        <w:tabs>
          <w:tab w:val="right" w:leader="dot" w:pos="8302"/>
        </w:tabs>
        <w:ind w:left="1166" w:right="792" w:hanging="1166"/>
        <w:rPr>
          <w:rFonts w:cs="Arial"/>
          <w:b/>
          <w:noProof/>
        </w:rPr>
      </w:pPr>
      <w:r w:rsidRPr="00FF44D5">
        <w:rPr>
          <w:rFonts w:cs="Arial"/>
          <w:b/>
          <w:noProof/>
        </w:rPr>
        <w:t>T</w:t>
      </w:r>
      <w:r>
        <w:rPr>
          <w:rFonts w:cs="Arial"/>
          <w:b/>
          <w:noProof/>
        </w:rPr>
        <w:t>he Department of the</w:t>
      </w:r>
      <w:r w:rsidRPr="00FF44D5">
        <w:rPr>
          <w:rFonts w:cs="Arial"/>
          <w:b/>
          <w:noProof/>
        </w:rPr>
        <w:t xml:space="preserve"> Environment</w:t>
      </w:r>
      <w:r>
        <w:rPr>
          <w:rFonts w:cs="Arial"/>
          <w:b/>
          <w:noProof/>
        </w:rPr>
        <w:t>’s</w:t>
      </w:r>
      <w:r w:rsidRPr="00FF44D5">
        <w:rPr>
          <w:rFonts w:cs="Arial"/>
          <w:b/>
          <w:noProof/>
        </w:rPr>
        <w:t xml:space="preserve"> final re</w:t>
      </w:r>
      <w:r>
        <w:rPr>
          <w:rFonts w:cs="Arial"/>
          <w:b/>
          <w:noProof/>
        </w:rPr>
        <w:t>commendations to the</w:t>
      </w:r>
      <w:r w:rsidR="00975D57">
        <w:rPr>
          <w:rFonts w:cs="Arial"/>
          <w:b/>
          <w:noProof/>
        </w:rPr>
        <w:t xml:space="preserve"> </w:t>
      </w:r>
      <w:r w:rsidR="00454CFC">
        <w:rPr>
          <w:rFonts w:cs="Arial"/>
          <w:b/>
          <w:noProof/>
        </w:rPr>
        <w:t xml:space="preserve">Tasmanian </w:t>
      </w:r>
      <w:r w:rsidR="00975D57">
        <w:rPr>
          <w:rFonts w:cs="Arial"/>
          <w:b/>
          <w:noProof/>
        </w:rPr>
        <w:t>Department of Primary Industries, Parks, Water and Environment</w:t>
      </w:r>
      <w:r>
        <w:rPr>
          <w:rFonts w:cs="Arial"/>
          <w:b/>
          <w:noProof/>
        </w:rPr>
        <w:t xml:space="preserve"> </w:t>
      </w:r>
      <w:r w:rsidRPr="00FF44D5">
        <w:rPr>
          <w:rFonts w:cs="Arial"/>
          <w:b/>
          <w:noProof/>
        </w:rPr>
        <w:t>for the</w:t>
      </w:r>
      <w:r w:rsidR="00975D57">
        <w:rPr>
          <w:rFonts w:cs="Arial"/>
          <w:b/>
          <w:noProof/>
        </w:rPr>
        <w:t xml:space="preserve"> </w:t>
      </w:r>
      <w:r w:rsidR="00975D57" w:rsidRPr="00975D57">
        <w:rPr>
          <w:rFonts w:cs="Arial"/>
          <w:b/>
          <w:noProof/>
        </w:rPr>
        <w:t>Tasmanian Giant Crab Fishery</w:t>
      </w:r>
      <w:r w:rsidR="00975D57" w:rsidRPr="00975D57">
        <w:rPr>
          <w:rFonts w:cs="Arial"/>
          <w:b/>
          <w:noProof/>
          <w:webHidden/>
        </w:rPr>
        <w:tab/>
      </w:r>
      <w:r w:rsidR="00CB2F40">
        <w:rPr>
          <w:rFonts w:cs="Arial"/>
          <w:b/>
          <w:noProof/>
          <w:webHidden/>
        </w:rPr>
        <w:t>18</w:t>
      </w:r>
    </w:p>
    <w:p w:rsidR="00B6012C" w:rsidRPr="00FF44D5" w:rsidRDefault="00B6012C" w:rsidP="001955CD">
      <w:pPr>
        <w:tabs>
          <w:tab w:val="right" w:leader="dot" w:pos="8302"/>
        </w:tabs>
        <w:ind w:left="1166" w:right="792"/>
        <w:rPr>
          <w:rFonts w:cs="Arial"/>
          <w:noProof/>
        </w:rPr>
      </w:pPr>
      <w:r>
        <w:rPr>
          <w:rFonts w:cs="Arial"/>
          <w:noProof/>
        </w:rPr>
        <w:t>This section contains the D</w:t>
      </w:r>
      <w:r w:rsidRPr="00FF44D5">
        <w:rPr>
          <w:rFonts w:cs="Arial"/>
          <w:noProof/>
        </w:rPr>
        <w:t>epartme</w:t>
      </w:r>
      <w:r>
        <w:rPr>
          <w:rFonts w:cs="Arial"/>
          <w:noProof/>
        </w:rPr>
        <w:t>nt’s assessment of the fishery</w:t>
      </w:r>
      <w:r w:rsidRPr="00FF44D5">
        <w:rPr>
          <w:rFonts w:cs="Arial"/>
          <w:noProof/>
        </w:rPr>
        <w:t>’</w:t>
      </w:r>
      <w:r>
        <w:rPr>
          <w:rFonts w:cs="Arial"/>
          <w:noProof/>
        </w:rPr>
        <w:t>s</w:t>
      </w:r>
      <w:r w:rsidRPr="00FF44D5">
        <w:rPr>
          <w:rFonts w:cs="Arial"/>
          <w:b/>
          <w:noProof/>
        </w:rPr>
        <w:t xml:space="preserve"> </w:t>
      </w:r>
      <w:r w:rsidRPr="00FF44D5">
        <w:rPr>
          <w:rFonts w:cs="Arial"/>
          <w:noProof/>
        </w:rPr>
        <w:t>per</w:t>
      </w:r>
      <w:r>
        <w:rPr>
          <w:rFonts w:cs="Arial"/>
          <w:noProof/>
        </w:rPr>
        <w:t xml:space="preserve">formance against the Australian Government’s </w:t>
      </w:r>
      <w:r w:rsidRPr="00F33231">
        <w:rPr>
          <w:rFonts w:cs="Arial"/>
          <w:i/>
          <w:noProof/>
        </w:rPr>
        <w:t>Guidelines for the Ecologically Sustainable Management of Fisheries – 2</w:t>
      </w:r>
      <w:r w:rsidRPr="00F33231">
        <w:rPr>
          <w:rFonts w:cs="Arial"/>
          <w:i/>
          <w:noProof/>
          <w:vertAlign w:val="superscript"/>
        </w:rPr>
        <w:t xml:space="preserve">nd </w:t>
      </w:r>
      <w:r w:rsidRPr="00F33231">
        <w:rPr>
          <w:rFonts w:cs="Arial"/>
          <w:i/>
          <w:noProof/>
        </w:rPr>
        <w:t>Edition</w:t>
      </w:r>
      <w:r w:rsidRPr="00FF44D5">
        <w:rPr>
          <w:rFonts w:cs="Arial"/>
          <w:noProof/>
        </w:rPr>
        <w:t xml:space="preserve"> and outlines </w:t>
      </w:r>
      <w:r>
        <w:rPr>
          <w:rFonts w:cs="Arial"/>
          <w:noProof/>
        </w:rPr>
        <w:t>the reasons the D</w:t>
      </w:r>
      <w:r w:rsidRPr="00092CE3">
        <w:rPr>
          <w:rFonts w:cs="Arial"/>
          <w:noProof/>
        </w:rPr>
        <w:t xml:space="preserve">epartment recommends </w:t>
      </w:r>
      <w:r>
        <w:rPr>
          <w:rFonts w:cs="Arial"/>
          <w:noProof/>
        </w:rPr>
        <w:t xml:space="preserve">that </w:t>
      </w:r>
      <w:r w:rsidR="00454CFC">
        <w:rPr>
          <w:rFonts w:cs="Arial"/>
          <w:noProof/>
        </w:rPr>
        <w:t xml:space="preserve">product derived from </w:t>
      </w:r>
      <w:r>
        <w:rPr>
          <w:rFonts w:cs="Arial"/>
          <w:noProof/>
        </w:rPr>
        <w:t xml:space="preserve">the fishery </w:t>
      </w:r>
      <w:r w:rsidRPr="00A14FF4">
        <w:rPr>
          <w:rFonts w:cs="Arial"/>
        </w:rPr>
        <w:t xml:space="preserve">be </w:t>
      </w:r>
      <w:r w:rsidRPr="00975D57">
        <w:rPr>
          <w:rFonts w:cs="Arial"/>
        </w:rPr>
        <w:t>included in the list of exempt native specimens</w:t>
      </w:r>
      <w:r w:rsidRPr="00975D57">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4:</w:t>
      </w:r>
      <w:r w:rsidRPr="00FF44D5">
        <w:rPr>
          <w:rFonts w:cs="Arial"/>
          <w:b/>
          <w:noProof/>
        </w:rPr>
        <w:tab/>
        <w:t xml:space="preserve">The </w:t>
      </w:r>
      <w:r w:rsidR="00975D57" w:rsidRPr="00490F1A">
        <w:rPr>
          <w:rFonts w:cs="Arial"/>
          <w:b/>
          <w:noProof/>
        </w:rPr>
        <w:t>Tasmanian Giant Crab Fishery</w:t>
      </w:r>
      <w:r w:rsidRPr="00490F1A" w:rsidDel="002E45A2">
        <w:rPr>
          <w:rFonts w:cs="Arial"/>
          <w:b/>
          <w:noProof/>
        </w:rPr>
        <w:t xml:space="preserve"> </w:t>
      </w:r>
      <w:r w:rsidRPr="00490F1A">
        <w:rPr>
          <w:rFonts w:cs="Arial"/>
          <w:b/>
          <w:noProof/>
        </w:rPr>
        <w:t xml:space="preserve">Assessment – Summary of Issues and Recommendations, </w:t>
      </w:r>
      <w:r w:rsidR="00490F1A" w:rsidRPr="00490F1A">
        <w:rPr>
          <w:rFonts w:cs="Arial"/>
          <w:b/>
          <w:noProof/>
        </w:rPr>
        <w:t>July 2014</w:t>
      </w:r>
      <w:r w:rsidRPr="00FF44D5">
        <w:rPr>
          <w:rFonts w:cs="Arial"/>
          <w:b/>
          <w:noProof/>
          <w:webHidden/>
        </w:rPr>
        <w:tab/>
      </w:r>
      <w:r w:rsidR="00C141EE"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C141EE" w:rsidRPr="00FF44D5">
        <w:rPr>
          <w:rFonts w:cs="Arial"/>
          <w:b/>
          <w:noProof/>
          <w:webHidden/>
        </w:rPr>
      </w:r>
      <w:r w:rsidR="00C141EE" w:rsidRPr="00FF44D5">
        <w:rPr>
          <w:rFonts w:cs="Arial"/>
          <w:b/>
          <w:noProof/>
          <w:webHidden/>
        </w:rPr>
        <w:fldChar w:fldCharType="separate"/>
      </w:r>
      <w:r w:rsidR="00652123">
        <w:rPr>
          <w:rFonts w:cs="Arial"/>
          <w:b/>
          <w:noProof/>
          <w:webHidden/>
        </w:rPr>
        <w:t>22</w:t>
      </w:r>
      <w:r w:rsidR="00C141EE"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for the </w:t>
      </w:r>
      <w:r>
        <w:rPr>
          <w:rFonts w:cs="Arial"/>
          <w:noProof/>
        </w:rPr>
        <w:t xml:space="preserve">fishery </w:t>
      </w:r>
      <w:r w:rsidRPr="00FF44D5">
        <w:rPr>
          <w:rFonts w:cs="Arial"/>
          <w:noProof/>
        </w:rPr>
        <w:t xml:space="preserve">and outlines the proposed recommendations that would form part of </w:t>
      </w:r>
      <w:r w:rsidRPr="00490F1A">
        <w:rPr>
          <w:rFonts w:cs="Arial"/>
          <w:noProof/>
        </w:rPr>
        <w:t xml:space="preserve">the delegate’s decision to </w:t>
      </w:r>
      <w:r w:rsidRPr="00490F1A">
        <w:rPr>
          <w:rFonts w:cs="Arial"/>
        </w:rPr>
        <w:t>include product derived from the fishery in the list of exempt native specimens.</w:t>
      </w:r>
    </w:p>
    <w:p w:rsidR="00B6012C" w:rsidRPr="00A14FF4" w:rsidRDefault="00B6012C" w:rsidP="001955CD">
      <w:pPr>
        <w:rPr>
          <w:rFonts w:cs="Arial"/>
          <w:b/>
        </w:rPr>
      </w:pPr>
    </w:p>
    <w:p w:rsidR="00B6012C" w:rsidRPr="00F6308F" w:rsidRDefault="00B6012C" w:rsidP="001955CD">
      <w:pPr>
        <w:pStyle w:val="Heading1"/>
        <w:spacing w:after="120"/>
        <w:ind w:left="-709"/>
        <w:rPr>
          <w:sz w:val="24"/>
          <w:szCs w:val="24"/>
        </w:rPr>
        <w:sectPr w:rsidR="00B6012C" w:rsidRPr="00F6308F" w:rsidSect="001955CD">
          <w:headerReference w:type="even" r:id="rId10"/>
          <w:headerReference w:type="default" r:id="rId11"/>
          <w:footerReference w:type="even" r:id="rId12"/>
          <w:footerReference w:type="default" r:id="rId13"/>
          <w:headerReference w:type="first" r:id="rId14"/>
          <w:footerReference w:type="first" r:id="rId15"/>
          <w:pgSz w:w="11906" w:h="16838"/>
          <w:pgMar w:top="1418" w:right="1276" w:bottom="567" w:left="1418" w:header="425" w:footer="425" w:gutter="0"/>
          <w:pgNumType w:start="1"/>
          <w:cols w:space="708"/>
          <w:titlePg/>
          <w:docGrid w:linePitch="360"/>
        </w:sectPr>
      </w:pPr>
    </w:p>
    <w:p w:rsidR="00B6012C" w:rsidRPr="00F6308F" w:rsidRDefault="00B6012C" w:rsidP="00DF2B4E">
      <w:pPr>
        <w:pStyle w:val="Heading1"/>
        <w:spacing w:after="120"/>
        <w:rPr>
          <w:szCs w:val="24"/>
        </w:rPr>
      </w:pPr>
      <w:bookmarkStart w:id="0" w:name="_Toc316301048"/>
      <w:r w:rsidRPr="00F6308F">
        <w:rPr>
          <w:szCs w:val="24"/>
        </w:rPr>
        <w:t xml:space="preserve">Table 1: Summary of the </w:t>
      </w:r>
      <w:bookmarkEnd w:id="0"/>
      <w:r w:rsidR="005A3C4B">
        <w:rPr>
          <w:szCs w:val="24"/>
        </w:rPr>
        <w:t>Tasmanian Giant Crab Fishery</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200" w:type="dxa"/>
            <w:tcBorders>
              <w:top w:val="single" w:sz="4" w:space="0" w:color="auto"/>
              <w:left w:val="single" w:sz="4" w:space="0" w:color="auto"/>
              <w:bottom w:val="single" w:sz="4" w:space="0" w:color="auto"/>
              <w:right w:val="single" w:sz="4" w:space="0" w:color="auto"/>
            </w:tcBorders>
          </w:tcPr>
          <w:p w:rsidR="005A3C4B" w:rsidRPr="005A3C4B" w:rsidRDefault="005A3C4B" w:rsidP="005A3C4B">
            <w:pPr>
              <w:numPr>
                <w:ilvl w:val="0"/>
                <w:numId w:val="33"/>
              </w:numPr>
              <w:tabs>
                <w:tab w:val="clear" w:pos="1080"/>
              </w:tabs>
              <w:adjustRightInd w:val="0"/>
              <w:spacing w:after="0"/>
              <w:ind w:left="288" w:hanging="288"/>
              <w:rPr>
                <w:rFonts w:cs="Arial"/>
                <w:i/>
              </w:rPr>
            </w:pPr>
            <w:r w:rsidRPr="006D0F85">
              <w:rPr>
                <w:rFonts w:cs="Arial"/>
              </w:rPr>
              <w:t>Tasmanian</w:t>
            </w:r>
            <w:r w:rsidRPr="005A3C4B">
              <w:rPr>
                <w:rFonts w:cs="Arial"/>
                <w:i/>
              </w:rPr>
              <w:t xml:space="preserve"> Living Marine Resources Management Act 1995</w:t>
            </w:r>
          </w:p>
          <w:p w:rsidR="005A3C4B" w:rsidRPr="005A3C4B" w:rsidRDefault="00CB526E" w:rsidP="005A3C4B">
            <w:pPr>
              <w:numPr>
                <w:ilvl w:val="0"/>
                <w:numId w:val="33"/>
              </w:numPr>
              <w:tabs>
                <w:tab w:val="clear" w:pos="1080"/>
              </w:tabs>
              <w:adjustRightInd w:val="0"/>
              <w:spacing w:after="0"/>
              <w:ind w:left="288" w:hanging="288"/>
              <w:rPr>
                <w:rFonts w:cs="Arial"/>
                <w:i/>
              </w:rPr>
            </w:pPr>
            <w:r w:rsidRPr="006D0F85">
              <w:rPr>
                <w:rFonts w:cs="Arial"/>
              </w:rPr>
              <w:t>Tasmanian</w:t>
            </w:r>
            <w:r w:rsidRPr="00CB526E">
              <w:rPr>
                <w:rFonts w:cs="Arial"/>
                <w:i/>
              </w:rPr>
              <w:t xml:space="preserve"> </w:t>
            </w:r>
            <w:r w:rsidR="00B178E2">
              <w:rPr>
                <w:rFonts w:cs="Arial"/>
                <w:i/>
              </w:rPr>
              <w:t>Fisheries (</w:t>
            </w:r>
            <w:r w:rsidR="00E854FE">
              <w:rPr>
                <w:rFonts w:cs="Arial"/>
                <w:i/>
              </w:rPr>
              <w:t>g</w:t>
            </w:r>
            <w:r w:rsidR="00B178E2">
              <w:rPr>
                <w:rFonts w:cs="Arial"/>
                <w:i/>
              </w:rPr>
              <w:t xml:space="preserve">iant </w:t>
            </w:r>
            <w:r w:rsidR="00E854FE">
              <w:rPr>
                <w:rFonts w:cs="Arial"/>
                <w:i/>
              </w:rPr>
              <w:t>c</w:t>
            </w:r>
            <w:r w:rsidR="006D0F85">
              <w:rPr>
                <w:rFonts w:cs="Arial"/>
                <w:i/>
              </w:rPr>
              <w:t>rab) r</w:t>
            </w:r>
            <w:r w:rsidR="005A3C4B" w:rsidRPr="005A3C4B">
              <w:rPr>
                <w:rFonts w:cs="Arial"/>
                <w:i/>
              </w:rPr>
              <w:t>ules 2013</w:t>
            </w:r>
            <w:r w:rsidR="005A3C4B" w:rsidRPr="005A3C4B">
              <w:rPr>
                <w:rFonts w:cs="Arial"/>
              </w:rPr>
              <w:t xml:space="preserve"> (the Management Plan)</w:t>
            </w:r>
          </w:p>
          <w:p w:rsidR="005A3C4B" w:rsidRPr="005A3C4B" w:rsidRDefault="005A3C4B" w:rsidP="005A3C4B">
            <w:pPr>
              <w:numPr>
                <w:ilvl w:val="0"/>
                <w:numId w:val="33"/>
              </w:numPr>
              <w:tabs>
                <w:tab w:val="clear" w:pos="1080"/>
              </w:tabs>
              <w:adjustRightInd w:val="0"/>
              <w:spacing w:after="0"/>
              <w:ind w:left="288" w:hanging="288"/>
              <w:rPr>
                <w:rFonts w:cs="Arial"/>
                <w:i/>
              </w:rPr>
            </w:pPr>
            <w:r w:rsidRPr="005A3C4B">
              <w:rPr>
                <w:rFonts w:cs="Arial"/>
              </w:rPr>
              <w:t>Institute for Marine and Antarctic St</w:t>
            </w:r>
            <w:r w:rsidR="003D5B25">
              <w:rPr>
                <w:rFonts w:cs="Arial"/>
              </w:rPr>
              <w:t xml:space="preserve">udies - </w:t>
            </w:r>
            <w:r w:rsidRPr="005A3C4B">
              <w:rPr>
                <w:rFonts w:cs="Arial"/>
                <w:i/>
              </w:rPr>
              <w:t>Fishery Assessment Report: Tasmanian Giant Crab Fishery 2009/10</w:t>
            </w:r>
            <w:r w:rsidRPr="005A3C4B">
              <w:rPr>
                <w:rFonts w:cs="Arial"/>
              </w:rPr>
              <w:t xml:space="preserve"> (IMAS Fishery Assessment Report)</w:t>
            </w:r>
          </w:p>
          <w:p w:rsidR="005A3C4B" w:rsidRPr="00A070D5" w:rsidRDefault="005A3C4B" w:rsidP="005A3C4B">
            <w:pPr>
              <w:numPr>
                <w:ilvl w:val="0"/>
                <w:numId w:val="33"/>
              </w:numPr>
              <w:tabs>
                <w:tab w:val="clear" w:pos="1080"/>
              </w:tabs>
              <w:adjustRightInd w:val="0"/>
              <w:spacing w:after="0"/>
              <w:ind w:left="288" w:hanging="288"/>
              <w:rPr>
                <w:rFonts w:cs="Arial"/>
                <w:i/>
              </w:rPr>
            </w:pPr>
            <w:r w:rsidRPr="005A3C4B">
              <w:rPr>
                <w:rFonts w:cs="Arial"/>
              </w:rPr>
              <w:t>Application to th</w:t>
            </w:r>
            <w:r w:rsidR="00301E80">
              <w:rPr>
                <w:rFonts w:cs="Arial"/>
              </w:rPr>
              <w:t>e Department of the Environment on</w:t>
            </w:r>
            <w:r w:rsidRPr="005A3C4B">
              <w:rPr>
                <w:rFonts w:cs="Arial"/>
              </w:rPr>
              <w:t xml:space="preserve"> the T</w:t>
            </w:r>
            <w:r w:rsidR="00301E80">
              <w:rPr>
                <w:rFonts w:cs="Arial"/>
              </w:rPr>
              <w:t xml:space="preserve">asmanian Giant Crab Fishery 2014 </w:t>
            </w:r>
          </w:p>
          <w:p w:rsidR="00B6012C" w:rsidRPr="003D5B25" w:rsidRDefault="003D5B25" w:rsidP="00301E80">
            <w:pPr>
              <w:numPr>
                <w:ilvl w:val="0"/>
                <w:numId w:val="33"/>
              </w:numPr>
              <w:tabs>
                <w:tab w:val="clear" w:pos="1080"/>
              </w:tabs>
              <w:adjustRightInd w:val="0"/>
              <w:spacing w:after="0"/>
              <w:ind w:left="288" w:hanging="288"/>
              <w:rPr>
                <w:rFonts w:cs="Arial"/>
                <w:i/>
              </w:rPr>
            </w:pPr>
            <w:r w:rsidRPr="003D5B25">
              <w:rPr>
                <w:rFonts w:cs="Arial"/>
              </w:rPr>
              <w:t>Fisheries Research and Development Corporation</w:t>
            </w:r>
            <w:r>
              <w:rPr>
                <w:rFonts w:cs="Arial"/>
                <w:i/>
              </w:rPr>
              <w:t xml:space="preserve"> - </w:t>
            </w:r>
            <w:r w:rsidR="00A070D5" w:rsidRPr="00A070D5">
              <w:rPr>
                <w:rFonts w:cs="Arial"/>
                <w:i/>
              </w:rPr>
              <w:t>Status of Key Australian Fish Stocks Reports 2012</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rPr>
            </w:pPr>
            <w:r w:rsidRPr="009B3A55">
              <w:rPr>
                <w:rFonts w:cs="Arial"/>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5A3C4B" w:rsidRPr="005A3C4B" w:rsidRDefault="005A3C4B" w:rsidP="005A3C4B">
            <w:pPr>
              <w:adjustRightInd w:val="0"/>
              <w:rPr>
                <w:rFonts w:cs="Arial"/>
                <w:snapToGrid w:val="0"/>
              </w:rPr>
            </w:pPr>
            <w:r w:rsidRPr="005A3C4B">
              <w:rPr>
                <w:rFonts w:cs="Arial"/>
                <w:noProof/>
                <w:snapToGrid w:val="0"/>
                <w:lang w:eastAsia="en-AU"/>
              </w:rPr>
              <w:drawing>
                <wp:inline distT="0" distB="0" distL="0" distR="0">
                  <wp:extent cx="3648710" cy="3252470"/>
                  <wp:effectExtent l="19050" t="0" r="8890" b="0"/>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3648710" cy="3252470"/>
                          </a:xfrm>
                          <a:prstGeom prst="rect">
                            <a:avLst/>
                          </a:prstGeom>
                          <a:noFill/>
                          <a:ln w="9525">
                            <a:noFill/>
                            <a:miter lim="800000"/>
                            <a:headEnd/>
                            <a:tailEnd/>
                          </a:ln>
                        </pic:spPr>
                      </pic:pic>
                    </a:graphicData>
                  </a:graphic>
                </wp:inline>
              </w:drawing>
            </w:r>
          </w:p>
          <w:p w:rsidR="005A3C4B" w:rsidRPr="00454CFC" w:rsidRDefault="005A3C4B" w:rsidP="005A3C4B">
            <w:pPr>
              <w:adjustRightInd w:val="0"/>
              <w:rPr>
                <w:rFonts w:cs="Arial"/>
                <w:b/>
                <w:snapToGrid w:val="0"/>
                <w:sz w:val="20"/>
                <w:szCs w:val="20"/>
              </w:rPr>
            </w:pPr>
            <w:r w:rsidRPr="005A3C4B">
              <w:rPr>
                <w:rFonts w:cs="Arial"/>
                <w:i/>
                <w:snapToGrid w:val="0"/>
              </w:rPr>
              <w:t xml:space="preserve"> </w:t>
            </w:r>
            <w:r w:rsidR="00221E1F" w:rsidRPr="00221E1F">
              <w:rPr>
                <w:rFonts w:cs="Arial"/>
                <w:b/>
                <w:snapToGrid w:val="0"/>
                <w:sz w:val="20"/>
                <w:szCs w:val="20"/>
              </w:rPr>
              <w:t xml:space="preserve">Figure 1: Map of </w:t>
            </w:r>
            <w:r w:rsidR="00454CFC">
              <w:rPr>
                <w:rFonts w:cs="Arial"/>
                <w:b/>
                <w:snapToGrid w:val="0"/>
                <w:sz w:val="20"/>
                <w:szCs w:val="20"/>
              </w:rPr>
              <w:t xml:space="preserve">fishing effort in </w:t>
            </w:r>
            <w:r w:rsidR="00221E1F" w:rsidRPr="00221E1F">
              <w:rPr>
                <w:rFonts w:cs="Arial"/>
                <w:b/>
                <w:snapToGrid w:val="0"/>
                <w:sz w:val="20"/>
                <w:szCs w:val="20"/>
              </w:rPr>
              <w:t>the Tasmanian Giant Crab Fishery (Source, IMAS)</w:t>
            </w:r>
          </w:p>
          <w:p w:rsidR="00B6012C" w:rsidRDefault="005A3C4B" w:rsidP="005A3C4B">
            <w:pPr>
              <w:rPr>
                <w:rFonts w:cs="Arial"/>
                <w:snapToGrid w:val="0"/>
              </w:rPr>
            </w:pPr>
            <w:r w:rsidRPr="005A3C4B">
              <w:rPr>
                <w:rFonts w:cs="Arial"/>
                <w:snapToGrid w:val="0"/>
              </w:rPr>
              <w:t>The area of the fishery includes waters surrounding the state of Tasmania generally south of 39º12′ and out to the outer edge of the Australian Exclusive Economic Zone. The vast majority of the T</w:t>
            </w:r>
            <w:r w:rsidR="00301E80">
              <w:rPr>
                <w:rFonts w:cs="Arial"/>
                <w:snapToGrid w:val="0"/>
              </w:rPr>
              <w:t>asmanian Giant Crab Fishery</w:t>
            </w:r>
            <w:r w:rsidRPr="005A3C4B">
              <w:rPr>
                <w:rFonts w:cs="Arial"/>
                <w:snapToGrid w:val="0"/>
              </w:rPr>
              <w:t xml:space="preserve"> is in Commonwealth </w:t>
            </w:r>
            <w:proofErr w:type="gramStart"/>
            <w:r w:rsidRPr="005A3C4B">
              <w:rPr>
                <w:rFonts w:cs="Arial"/>
                <w:snapToGrid w:val="0"/>
              </w:rPr>
              <w:t>waters</w:t>
            </w:r>
            <w:r w:rsidR="00042EFF">
              <w:rPr>
                <w:rFonts w:cs="Arial"/>
                <w:snapToGrid w:val="0"/>
              </w:rPr>
              <w:t>,</w:t>
            </w:r>
            <w:proofErr w:type="gramEnd"/>
            <w:r w:rsidRPr="005A3C4B">
              <w:rPr>
                <w:rFonts w:cs="Arial"/>
                <w:snapToGrid w:val="0"/>
              </w:rPr>
              <w:t xml:space="preserve"> however the entire fishery is managed by Tasmania under an Offshore Constitutional Settlement (OCS) between the Australian Government and the Government of Tasmania.</w:t>
            </w:r>
          </w:p>
          <w:p w:rsidR="00454CFC" w:rsidRPr="009B3A55" w:rsidRDefault="00454CFC" w:rsidP="00FA4E17">
            <w:pPr>
              <w:rPr>
                <w:rFonts w:cs="Arial"/>
                <w:snapToGrid w:val="0"/>
                <w:color w:val="3366FF"/>
              </w:rPr>
            </w:pPr>
            <w:r>
              <w:rPr>
                <w:rFonts w:cs="Arial"/>
                <w:snapToGrid w:val="0"/>
              </w:rPr>
              <w:t xml:space="preserve">Within the area of the fishery, most fishing effort takes place </w:t>
            </w:r>
            <w:r w:rsidR="00FA4E17">
              <w:rPr>
                <w:rFonts w:cs="Arial"/>
                <w:snapToGrid w:val="0"/>
              </w:rPr>
              <w:t>on</w:t>
            </w:r>
            <w:r>
              <w:rPr>
                <w:rFonts w:cs="Arial"/>
                <w:snapToGrid w:val="0"/>
              </w:rPr>
              <w:t xml:space="preserve"> the </w:t>
            </w:r>
            <w:r w:rsidR="00FA4E17">
              <w:rPr>
                <w:rFonts w:cs="Arial"/>
                <w:snapToGrid w:val="0"/>
              </w:rPr>
              <w:t xml:space="preserve">edge of the </w:t>
            </w:r>
            <w:r>
              <w:rPr>
                <w:rFonts w:cs="Arial"/>
                <w:snapToGrid w:val="0"/>
              </w:rPr>
              <w:t xml:space="preserve">continental </w:t>
            </w:r>
            <w:r w:rsidR="00FA4E17">
              <w:rPr>
                <w:rFonts w:cs="Arial"/>
                <w:snapToGrid w:val="0"/>
              </w:rPr>
              <w:t>slope, as highlighted in Figure 1.</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Target Species</w:t>
            </w:r>
          </w:p>
        </w:tc>
        <w:tc>
          <w:tcPr>
            <w:tcW w:w="7200" w:type="dxa"/>
            <w:tcBorders>
              <w:top w:val="single" w:sz="4" w:space="0" w:color="auto"/>
              <w:left w:val="single" w:sz="4" w:space="0" w:color="auto"/>
              <w:bottom w:val="single" w:sz="4" w:space="0" w:color="auto"/>
              <w:right w:val="single" w:sz="4" w:space="0" w:color="auto"/>
            </w:tcBorders>
          </w:tcPr>
          <w:p w:rsidR="00B6012C" w:rsidRPr="00FC2C06" w:rsidRDefault="00301E80" w:rsidP="006D0F85">
            <w:pPr>
              <w:rPr>
                <w:snapToGrid w:val="0"/>
                <w:lang w:val="en-GB"/>
              </w:rPr>
            </w:pPr>
            <w:r w:rsidRPr="00301E80">
              <w:rPr>
                <w:snapToGrid w:val="0"/>
              </w:rPr>
              <w:t xml:space="preserve">Giant crabs </w:t>
            </w:r>
            <w:r w:rsidRPr="00301E80">
              <w:rPr>
                <w:i/>
                <w:snapToGrid w:val="0"/>
              </w:rPr>
              <w:t>(</w:t>
            </w:r>
            <w:proofErr w:type="spellStart"/>
            <w:r w:rsidRPr="00301E80">
              <w:rPr>
                <w:i/>
                <w:snapToGrid w:val="0"/>
              </w:rPr>
              <w:t>Pseudocarcinus</w:t>
            </w:r>
            <w:proofErr w:type="spellEnd"/>
            <w:r w:rsidRPr="00301E80">
              <w:rPr>
                <w:i/>
                <w:snapToGrid w:val="0"/>
              </w:rPr>
              <w:t xml:space="preserve"> </w:t>
            </w:r>
            <w:proofErr w:type="spellStart"/>
            <w:r w:rsidRPr="00301E80">
              <w:rPr>
                <w:i/>
                <w:snapToGrid w:val="0"/>
              </w:rPr>
              <w:t>gigas</w:t>
            </w:r>
            <w:proofErr w:type="spellEnd"/>
            <w:r w:rsidRPr="00301E80">
              <w:rPr>
                <w:i/>
                <w:snapToGrid w:val="0"/>
              </w:rPr>
              <w:t>)</w:t>
            </w:r>
            <w:r w:rsidRPr="00301E80">
              <w:rPr>
                <w:snapToGrid w:val="0"/>
              </w:rPr>
              <w:t xml:space="preserve"> </w:t>
            </w:r>
            <w:r w:rsidRPr="00301E80">
              <w:rPr>
                <w:snapToGrid w:val="0"/>
                <w:lang w:val="en-GB"/>
              </w:rPr>
              <w:t xml:space="preserve">are endemic to the waters of southern Australia, extending from </w:t>
            </w:r>
            <w:r w:rsidR="00964711">
              <w:rPr>
                <w:snapToGrid w:val="0"/>
                <w:lang w:val="en-GB"/>
              </w:rPr>
              <w:t xml:space="preserve">waters offshore of </w:t>
            </w:r>
            <w:r w:rsidR="00156AF4">
              <w:rPr>
                <w:snapToGrid w:val="0"/>
                <w:lang w:val="en-GB"/>
              </w:rPr>
              <w:t>Perth in Western </w:t>
            </w:r>
            <w:r w:rsidRPr="00301E80">
              <w:rPr>
                <w:snapToGrid w:val="0"/>
                <w:lang w:val="en-GB"/>
              </w:rPr>
              <w:t>Australia to Victoria and the waters surrounding Tasmania</w:t>
            </w:r>
            <w:r w:rsidRPr="00301E80">
              <w:rPr>
                <w:snapToGrid w:val="0"/>
              </w:rPr>
              <w:t>.</w:t>
            </w:r>
            <w:r w:rsidR="009551CC">
              <w:rPr>
                <w:snapToGrid w:val="0"/>
              </w:rPr>
              <w:t xml:space="preserve"> Giant </w:t>
            </w:r>
            <w:r w:rsidR="00FA4E17">
              <w:rPr>
                <w:snapToGrid w:val="0"/>
              </w:rPr>
              <w:t>c</w:t>
            </w:r>
            <w:r w:rsidR="009551CC">
              <w:rPr>
                <w:snapToGrid w:val="0"/>
              </w:rPr>
              <w:t>rabs</w:t>
            </w:r>
            <w:r w:rsidR="00FC2C06">
              <w:rPr>
                <w:snapToGrid w:val="0"/>
              </w:rPr>
              <w:t xml:space="preserve"> are </w:t>
            </w:r>
            <w:r w:rsidR="00FC2C06" w:rsidRPr="00FC2C06">
              <w:rPr>
                <w:snapToGrid w:val="0"/>
                <w:lang w:val="en-GB"/>
              </w:rPr>
              <w:t>slow growing and long-lived</w:t>
            </w:r>
            <w:r w:rsidR="00FC2C06">
              <w:rPr>
                <w:snapToGrid w:val="0"/>
                <w:lang w:val="en-GB"/>
              </w:rPr>
              <w:t xml:space="preserve"> (30+ years) and</w:t>
            </w:r>
            <w:r w:rsidR="009551CC">
              <w:rPr>
                <w:snapToGrid w:val="0"/>
              </w:rPr>
              <w:t xml:space="preserve"> can be found at depths of between 18-400</w:t>
            </w:r>
            <w:r w:rsidR="006D0F85">
              <w:rPr>
                <w:snapToGrid w:val="0"/>
              </w:rPr>
              <w:t xml:space="preserve"> </w:t>
            </w:r>
            <w:r w:rsidR="009551CC">
              <w:rPr>
                <w:snapToGrid w:val="0"/>
              </w:rPr>
              <w:t>m</w:t>
            </w:r>
            <w:r w:rsidR="006D0F85">
              <w:rPr>
                <w:snapToGrid w:val="0"/>
              </w:rPr>
              <w:t>etres (m)</w:t>
            </w:r>
            <w:r w:rsidR="000B4939">
              <w:rPr>
                <w:snapToGrid w:val="0"/>
              </w:rPr>
              <w:t>,</w:t>
            </w:r>
            <w:r w:rsidR="009551CC">
              <w:rPr>
                <w:snapToGrid w:val="0"/>
              </w:rPr>
              <w:t xml:space="preserve"> with </w:t>
            </w:r>
            <w:r w:rsidR="006D0F85">
              <w:rPr>
                <w:snapToGrid w:val="0"/>
              </w:rPr>
              <w:t>most</w:t>
            </w:r>
            <w:r w:rsidR="009551CC">
              <w:rPr>
                <w:snapToGrid w:val="0"/>
              </w:rPr>
              <w:t xml:space="preserve"> harvesting occurring</w:t>
            </w:r>
            <w:r w:rsidR="000B4939">
              <w:rPr>
                <w:snapToGrid w:val="0"/>
              </w:rPr>
              <w:t xml:space="preserve"> at depth</w:t>
            </w:r>
            <w:r w:rsidR="00FA4E17">
              <w:rPr>
                <w:snapToGrid w:val="0"/>
              </w:rPr>
              <w:t>s</w:t>
            </w:r>
            <w:r w:rsidR="000B4939">
              <w:rPr>
                <w:snapToGrid w:val="0"/>
              </w:rPr>
              <w:t xml:space="preserve"> between 140 </w:t>
            </w:r>
            <w:r w:rsidR="006D0F85">
              <w:rPr>
                <w:snapToGrid w:val="0"/>
              </w:rPr>
              <w:t xml:space="preserve">m </w:t>
            </w:r>
            <w:r w:rsidR="000B4939">
              <w:rPr>
                <w:snapToGrid w:val="0"/>
              </w:rPr>
              <w:t>and 270</w:t>
            </w:r>
            <w:r w:rsidR="006D0F85">
              <w:rPr>
                <w:snapToGrid w:val="0"/>
              </w:rPr>
              <w:t xml:space="preserve"> </w:t>
            </w:r>
            <w:r w:rsidR="000B4939">
              <w:rPr>
                <w:snapToGrid w:val="0"/>
              </w:rPr>
              <w:t>m</w:t>
            </w:r>
            <w:r w:rsidR="00FC2C06">
              <w:rPr>
                <w:rFonts w:ascii="Times New Roman" w:eastAsia="Times New Roman" w:hAnsi="Times New Roman"/>
                <w:sz w:val="24"/>
                <w:szCs w:val="24"/>
                <w:lang w:val="en-GB"/>
              </w:rPr>
              <w:t>.</w:t>
            </w:r>
            <w:r w:rsidR="00565B53" w:rsidRPr="00412B3A">
              <w:rPr>
                <w:snapToGrid w:val="0"/>
              </w:rPr>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124348" w:rsidRDefault="003D5B25" w:rsidP="001955CD">
            <w:r>
              <w:t>T</w:t>
            </w:r>
            <w:r w:rsidR="00565B53" w:rsidRPr="00412B3A">
              <w:t>he Total Allowable Catch (TAC) for giant crab</w:t>
            </w:r>
            <w:r w:rsidR="006D0F85">
              <w:t>s</w:t>
            </w:r>
            <w:r w:rsidR="00565B53" w:rsidRPr="00412B3A">
              <w:t xml:space="preserve"> </w:t>
            </w:r>
            <w:r w:rsidR="00CE0FA6">
              <w:t xml:space="preserve">in the fishery </w:t>
            </w:r>
            <w:r w:rsidR="00565B53" w:rsidRPr="00412B3A">
              <w:t xml:space="preserve">has been reduced significantly since quota management was introduced </w:t>
            </w:r>
            <w:r w:rsidR="00CE0FA6">
              <w:t xml:space="preserve">in </w:t>
            </w:r>
            <w:r w:rsidR="00565B53" w:rsidRPr="00412B3A">
              <w:t xml:space="preserve">the late </w:t>
            </w:r>
            <w:r w:rsidR="000B4939">
              <w:t>19</w:t>
            </w:r>
            <w:r w:rsidR="00A070D5">
              <w:t>90s. T</w:t>
            </w:r>
            <w:r w:rsidR="00565B53" w:rsidRPr="00412B3A">
              <w:t>he TAC was initially set at 104</w:t>
            </w:r>
            <w:r w:rsidR="000B4939">
              <w:t xml:space="preserve"> </w:t>
            </w:r>
            <w:r w:rsidR="00A070D5">
              <w:t xml:space="preserve">tonnes </w:t>
            </w:r>
            <w:r w:rsidR="00124348">
              <w:t xml:space="preserve">(t) in 2000, </w:t>
            </w:r>
            <w:r w:rsidR="00A070D5">
              <w:t xml:space="preserve">however, </w:t>
            </w:r>
            <w:r w:rsidR="00124348">
              <w:t xml:space="preserve">was reduced to 47 t in 2010/11 to prevent stock decline and increase economic yield. For the 2014/15 quota year, </w:t>
            </w:r>
            <w:r w:rsidR="00A070D5">
              <w:t>the TAC</w:t>
            </w:r>
            <w:r w:rsidR="00565B53" w:rsidRPr="00412B3A">
              <w:t xml:space="preserve"> </w:t>
            </w:r>
            <w:r w:rsidR="0086031A">
              <w:t>was</w:t>
            </w:r>
            <w:r w:rsidR="00565B53" w:rsidRPr="00412B3A">
              <w:t xml:space="preserve"> </w:t>
            </w:r>
            <w:r w:rsidR="0086031A">
              <w:t xml:space="preserve">further </w:t>
            </w:r>
            <w:r w:rsidR="00565B53" w:rsidRPr="00412B3A">
              <w:t>reduced to 38.3</w:t>
            </w:r>
            <w:r w:rsidR="00A070D5">
              <w:t xml:space="preserve"> t, a reduction of 25%</w:t>
            </w:r>
            <w:r w:rsidR="0086031A">
              <w:t xml:space="preserve">, to attempt to increase </w:t>
            </w:r>
            <w:r w:rsidR="00565B53" w:rsidRPr="00412B3A">
              <w:t>catch rates to more economically viable levels and increase biomass.</w:t>
            </w:r>
            <w:r w:rsidR="00042EFF">
              <w:t xml:space="preserve"> </w:t>
            </w:r>
          </w:p>
          <w:p w:rsidR="00807209" w:rsidRPr="00807209" w:rsidRDefault="000B4939" w:rsidP="00D702A8">
            <w:r>
              <w:t>T</w:t>
            </w:r>
            <w:r w:rsidRPr="000B4939">
              <w:t xml:space="preserve">he </w:t>
            </w:r>
            <w:r w:rsidRPr="000B4939">
              <w:rPr>
                <w:i/>
              </w:rPr>
              <w:t>Status of Key Australian Fish Stocks Reports 2012</w:t>
            </w:r>
            <w:r w:rsidRPr="000B4939">
              <w:t xml:space="preserve"> determined that the stock status for </w:t>
            </w:r>
            <w:r w:rsidR="00D702A8">
              <w:t>g</w:t>
            </w:r>
            <w:r w:rsidRPr="000B4939">
              <w:t xml:space="preserve">iant </w:t>
            </w:r>
            <w:r w:rsidR="00D702A8">
              <w:t>c</w:t>
            </w:r>
            <w:r w:rsidRPr="000B4939">
              <w:t xml:space="preserve">rabs in southern Australia </w:t>
            </w:r>
            <w:r w:rsidR="00964711">
              <w:t>was</w:t>
            </w:r>
            <w:r w:rsidR="00964711" w:rsidRPr="000B4939">
              <w:t xml:space="preserve"> </w:t>
            </w:r>
            <w:r w:rsidRPr="000B4939">
              <w:t>sustainable</w:t>
            </w:r>
            <w:r w:rsidR="00964711">
              <w:t xml:space="preserve"> in 2012</w:t>
            </w:r>
            <w:r w:rsidRPr="000B4939">
              <w:t>.</w:t>
            </w:r>
            <w:r w:rsidR="00964711">
              <w:t xml:space="preserve"> </w:t>
            </w:r>
            <w:r w:rsidR="00807209">
              <w:t>This</w:t>
            </w:r>
            <w:r w:rsidR="00964711">
              <w:t xml:space="preserve"> report noted</w:t>
            </w:r>
            <w:r w:rsidRPr="000B4939">
              <w:t xml:space="preserve"> that the Tasmanian </w:t>
            </w:r>
            <w:r w:rsidR="0086031A">
              <w:t xml:space="preserve">component of the </w:t>
            </w:r>
            <w:r w:rsidRPr="000B4939">
              <w:t xml:space="preserve">stock </w:t>
            </w:r>
            <w:r w:rsidR="00964711">
              <w:t>wa</w:t>
            </w:r>
            <w:r w:rsidRPr="000B4939">
              <w:t xml:space="preserve">s not considered to be recruitment overfished and, due to the level of fishing mortality, </w:t>
            </w:r>
            <w:r w:rsidR="00807209">
              <w:t>wa</w:t>
            </w:r>
            <w:r w:rsidRPr="000B4939">
              <w:t>s unlikely to become so.</w:t>
            </w:r>
            <w:r w:rsidR="00964711">
              <w:t xml:space="preserve"> </w:t>
            </w:r>
            <w:r w:rsidR="00807209">
              <w:t xml:space="preserve">An update of the </w:t>
            </w:r>
            <w:r w:rsidR="00807209" w:rsidRPr="00807209">
              <w:rPr>
                <w:i/>
              </w:rPr>
              <w:t>Status of Key Australian Fish Stocks Reports</w:t>
            </w:r>
            <w:r w:rsidR="00807209">
              <w:t xml:space="preserve"> is due in late 2014.</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proofErr w:type="spellStart"/>
            <w:r w:rsidRPr="009B3A55">
              <w:rPr>
                <w:rFonts w:cs="Arial"/>
                <w:b/>
                <w:snapToGrid w:val="0"/>
              </w:rPr>
              <w:t>Byproduct</w:t>
            </w:r>
            <w:proofErr w:type="spellEnd"/>
            <w:r w:rsidRPr="009B3A55">
              <w:rPr>
                <w:rFonts w:cs="Arial"/>
                <w:b/>
                <w:snapToGrid w:val="0"/>
              </w:rPr>
              <w:t xml:space="preserve"> Species</w:t>
            </w:r>
          </w:p>
        </w:tc>
        <w:tc>
          <w:tcPr>
            <w:tcW w:w="7200" w:type="dxa"/>
            <w:tcBorders>
              <w:top w:val="single" w:sz="4" w:space="0" w:color="auto"/>
              <w:left w:val="single" w:sz="4" w:space="0" w:color="auto"/>
              <w:bottom w:val="single" w:sz="4" w:space="0" w:color="auto"/>
              <w:right w:val="single" w:sz="4" w:space="0" w:color="auto"/>
            </w:tcBorders>
          </w:tcPr>
          <w:p w:rsidR="00B6012C" w:rsidRPr="00490F1A" w:rsidRDefault="0050191F" w:rsidP="00CE0FA6">
            <w:pPr>
              <w:rPr>
                <w:snapToGrid w:val="0"/>
              </w:rPr>
            </w:pPr>
            <w:r>
              <w:rPr>
                <w:snapToGrid w:val="0"/>
              </w:rPr>
              <w:t xml:space="preserve">Fishers record </w:t>
            </w:r>
            <w:proofErr w:type="spellStart"/>
            <w:r>
              <w:rPr>
                <w:snapToGrid w:val="0"/>
              </w:rPr>
              <w:t>byproduct</w:t>
            </w:r>
            <w:proofErr w:type="spellEnd"/>
            <w:r>
              <w:rPr>
                <w:snapToGrid w:val="0"/>
              </w:rPr>
              <w:t xml:space="preserve"> species taken in the fishery’s logbook,</w:t>
            </w:r>
            <w:r w:rsidR="00565B53" w:rsidRPr="00412B3A">
              <w:rPr>
                <w:snapToGrid w:val="0"/>
              </w:rPr>
              <w:t xml:space="preserve"> the Gi</w:t>
            </w:r>
            <w:r w:rsidR="003D5B25">
              <w:rPr>
                <w:snapToGrid w:val="0"/>
              </w:rPr>
              <w:t xml:space="preserve">ant Crab Catch Record Book. </w:t>
            </w:r>
            <w:r w:rsidR="003D5B25" w:rsidRPr="003D5B25">
              <w:rPr>
                <w:snapToGrid w:val="0"/>
              </w:rPr>
              <w:t xml:space="preserve">Species retained as </w:t>
            </w:r>
            <w:proofErr w:type="spellStart"/>
            <w:r w:rsidR="003D5B25" w:rsidRPr="003D5B25">
              <w:rPr>
                <w:snapToGrid w:val="0"/>
              </w:rPr>
              <w:t>byproduct</w:t>
            </w:r>
            <w:proofErr w:type="spellEnd"/>
            <w:r w:rsidR="003D5B25" w:rsidRPr="003D5B25">
              <w:rPr>
                <w:snapToGrid w:val="0"/>
              </w:rPr>
              <w:t xml:space="preserve"> include </w:t>
            </w:r>
            <w:r w:rsidR="00807209">
              <w:rPr>
                <w:snapToGrid w:val="0"/>
              </w:rPr>
              <w:t>c</w:t>
            </w:r>
            <w:r w:rsidR="003D5B25" w:rsidRPr="003D5B25">
              <w:rPr>
                <w:snapToGrid w:val="0"/>
              </w:rPr>
              <w:t>od (</w:t>
            </w:r>
            <w:proofErr w:type="spellStart"/>
            <w:r w:rsidR="003D5B25" w:rsidRPr="003D5B25">
              <w:rPr>
                <w:i/>
                <w:snapToGrid w:val="0"/>
              </w:rPr>
              <w:t>Pseudophycis</w:t>
            </w:r>
            <w:proofErr w:type="spellEnd"/>
            <w:r w:rsidR="003D5B25" w:rsidRPr="003D5B25">
              <w:rPr>
                <w:i/>
                <w:snapToGrid w:val="0"/>
              </w:rPr>
              <w:t xml:space="preserve"> </w:t>
            </w:r>
            <w:proofErr w:type="spellStart"/>
            <w:r w:rsidR="003D5B25" w:rsidRPr="003D5B25">
              <w:rPr>
                <w:i/>
                <w:snapToGrid w:val="0"/>
              </w:rPr>
              <w:t>barbata</w:t>
            </w:r>
            <w:proofErr w:type="spellEnd"/>
            <w:r w:rsidR="003D5B25" w:rsidRPr="003D5B25">
              <w:rPr>
                <w:i/>
                <w:snapToGrid w:val="0"/>
              </w:rPr>
              <w:t>)</w:t>
            </w:r>
            <w:r w:rsidR="003D5B25" w:rsidRPr="003D5B25">
              <w:rPr>
                <w:snapToGrid w:val="0"/>
              </w:rPr>
              <w:t xml:space="preserve">, </w:t>
            </w:r>
            <w:r w:rsidR="004520C5">
              <w:rPr>
                <w:snapToGrid w:val="0"/>
              </w:rPr>
              <w:t>c</w:t>
            </w:r>
            <w:r w:rsidR="003D5B25" w:rsidRPr="003D5B25">
              <w:rPr>
                <w:snapToGrid w:val="0"/>
              </w:rPr>
              <w:t>onger eel (</w:t>
            </w:r>
            <w:r w:rsidR="003D5B25" w:rsidRPr="003D5B25">
              <w:rPr>
                <w:i/>
                <w:snapToGrid w:val="0"/>
              </w:rPr>
              <w:t xml:space="preserve">Conger </w:t>
            </w:r>
            <w:proofErr w:type="spellStart"/>
            <w:r w:rsidR="003D5B25" w:rsidRPr="003D5B25">
              <w:rPr>
                <w:i/>
                <w:snapToGrid w:val="0"/>
              </w:rPr>
              <w:t>verreauxi</w:t>
            </w:r>
            <w:proofErr w:type="spellEnd"/>
            <w:r w:rsidR="003D5B25" w:rsidRPr="003D5B25">
              <w:rPr>
                <w:i/>
                <w:snapToGrid w:val="0"/>
              </w:rPr>
              <w:t>)</w:t>
            </w:r>
            <w:r w:rsidR="003D5B25" w:rsidRPr="003D5B25">
              <w:rPr>
                <w:snapToGrid w:val="0"/>
              </w:rPr>
              <w:t xml:space="preserve">, </w:t>
            </w:r>
            <w:r w:rsidR="006574B9">
              <w:rPr>
                <w:snapToGrid w:val="0"/>
              </w:rPr>
              <w:t>p</w:t>
            </w:r>
            <w:r w:rsidR="003D5B25" w:rsidRPr="003D5B25">
              <w:rPr>
                <w:snapToGrid w:val="0"/>
              </w:rPr>
              <w:t>ink ling (</w:t>
            </w:r>
            <w:proofErr w:type="spellStart"/>
            <w:r w:rsidR="003D5B25" w:rsidRPr="003D5B25">
              <w:rPr>
                <w:i/>
                <w:snapToGrid w:val="0"/>
              </w:rPr>
              <w:t>Genypterus</w:t>
            </w:r>
            <w:proofErr w:type="spellEnd"/>
            <w:r w:rsidR="003D5B25" w:rsidRPr="003D5B25">
              <w:rPr>
                <w:i/>
                <w:snapToGrid w:val="0"/>
              </w:rPr>
              <w:t xml:space="preserve"> </w:t>
            </w:r>
            <w:proofErr w:type="spellStart"/>
            <w:r w:rsidR="003D5B25" w:rsidRPr="003D5B25">
              <w:rPr>
                <w:i/>
                <w:snapToGrid w:val="0"/>
              </w:rPr>
              <w:t>blacodes</w:t>
            </w:r>
            <w:proofErr w:type="spellEnd"/>
            <w:r w:rsidR="003D5B25" w:rsidRPr="003D5B25">
              <w:rPr>
                <w:i/>
                <w:snapToGrid w:val="0"/>
              </w:rPr>
              <w:t>)</w:t>
            </w:r>
            <w:r w:rsidR="003D5B25" w:rsidRPr="003D5B25">
              <w:rPr>
                <w:snapToGrid w:val="0"/>
              </w:rPr>
              <w:t xml:space="preserve">, and </w:t>
            </w:r>
            <w:r w:rsidR="004520C5">
              <w:rPr>
                <w:snapToGrid w:val="0"/>
              </w:rPr>
              <w:t>m</w:t>
            </w:r>
            <w:r w:rsidR="003D5B25" w:rsidRPr="003D5B25">
              <w:rPr>
                <w:snapToGrid w:val="0"/>
              </w:rPr>
              <w:t>orwong (</w:t>
            </w:r>
            <w:proofErr w:type="spellStart"/>
            <w:r w:rsidR="003D5B25" w:rsidRPr="003D5B25">
              <w:rPr>
                <w:i/>
                <w:snapToGrid w:val="0"/>
              </w:rPr>
              <w:t>Nemadactylus</w:t>
            </w:r>
            <w:proofErr w:type="spellEnd"/>
            <w:r w:rsidR="003D5B25" w:rsidRPr="003D5B25">
              <w:rPr>
                <w:i/>
                <w:snapToGrid w:val="0"/>
              </w:rPr>
              <w:t xml:space="preserve"> </w:t>
            </w:r>
            <w:r w:rsidR="006574B9">
              <w:rPr>
                <w:i/>
                <w:snapToGrid w:val="0"/>
              </w:rPr>
              <w:t>spp.</w:t>
            </w:r>
            <w:r w:rsidR="003D5B25" w:rsidRPr="003D5B25">
              <w:rPr>
                <w:i/>
                <w:snapToGrid w:val="0"/>
              </w:rPr>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Gear</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565B53" w:rsidP="004520C5">
            <w:pPr>
              <w:rPr>
                <w:rFonts w:cs="Arial"/>
                <w:snapToGrid w:val="0"/>
                <w:color w:val="3366FF"/>
              </w:rPr>
            </w:pPr>
            <w:r w:rsidRPr="00412B3A">
              <w:rPr>
                <w:snapToGrid w:val="0"/>
              </w:rPr>
              <w:t xml:space="preserve">The </w:t>
            </w:r>
            <w:r w:rsidR="003D5B25" w:rsidRPr="003D5B25">
              <w:rPr>
                <w:snapToGrid w:val="0"/>
              </w:rPr>
              <w:t>Tasmanian Giant Crab Fishery</w:t>
            </w:r>
            <w:r w:rsidRPr="00412B3A">
              <w:rPr>
                <w:snapToGrid w:val="0"/>
              </w:rPr>
              <w:t xml:space="preserve"> initially harvested giant crabs with modified rock lobster pots, however larger, heavier steel pots</w:t>
            </w:r>
            <w:r>
              <w:rPr>
                <w:snapToGrid w:val="0"/>
              </w:rPr>
              <w:t xml:space="preserve"> (traps)</w:t>
            </w:r>
            <w:r w:rsidRPr="00412B3A">
              <w:rPr>
                <w:snapToGrid w:val="0"/>
              </w:rPr>
              <w:t xml:space="preserve"> are now used to target the species. There are limits on the number</w:t>
            </w:r>
            <w:r w:rsidR="004520C5">
              <w:rPr>
                <w:snapToGrid w:val="0"/>
              </w:rPr>
              <w:t>,</w:t>
            </w:r>
            <w:r w:rsidRPr="00412B3A">
              <w:rPr>
                <w:snapToGrid w:val="0"/>
              </w:rPr>
              <w:t xml:space="preserve"> dimensions and structure of giant crab traps that can be deployed </w:t>
            </w:r>
            <w:r w:rsidR="004520C5">
              <w:rPr>
                <w:snapToGrid w:val="0"/>
              </w:rPr>
              <w:t>from</w:t>
            </w:r>
            <w:r w:rsidRPr="00412B3A">
              <w:rPr>
                <w:snapToGrid w:val="0"/>
              </w:rPr>
              <w:t xml:space="preserve"> each licensed vessel. </w:t>
            </w:r>
            <w:r w:rsidR="004520C5">
              <w:rPr>
                <w:snapToGrid w:val="0"/>
              </w:rPr>
              <w:t>A mandatory requirement for e</w:t>
            </w:r>
            <w:r w:rsidRPr="00412B3A">
              <w:rPr>
                <w:snapToGrid w:val="0"/>
              </w:rPr>
              <w:t xml:space="preserve">ach trap </w:t>
            </w:r>
            <w:r w:rsidR="004520C5">
              <w:rPr>
                <w:snapToGrid w:val="0"/>
              </w:rPr>
              <w:t>is</w:t>
            </w:r>
            <w:r w:rsidRPr="00412B3A">
              <w:rPr>
                <w:snapToGrid w:val="0"/>
              </w:rPr>
              <w:t xml:space="preserve"> one or two escape gaps of defined minimum dimensions.</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Season</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9370D3" w:rsidP="009370D3">
            <w:pPr>
              <w:rPr>
                <w:rFonts w:cs="Arial"/>
                <w:snapToGrid w:val="0"/>
                <w:color w:val="3366FF"/>
              </w:rPr>
            </w:pPr>
            <w:r>
              <w:rPr>
                <w:snapToGrid w:val="0"/>
              </w:rPr>
              <w:t xml:space="preserve">For management purposes, the fishing year commences on 1 March and concludes on the last day of February the following year. </w:t>
            </w:r>
            <w:r w:rsidR="003017A1">
              <w:rPr>
                <w:snapToGrid w:val="0"/>
              </w:rPr>
              <w:t>F</w:t>
            </w:r>
            <w:r w:rsidR="00565B53" w:rsidRPr="00412B3A">
              <w:rPr>
                <w:snapToGrid w:val="0"/>
              </w:rPr>
              <w:t xml:space="preserve">ishing for male giant crabs is </w:t>
            </w:r>
            <w:r w:rsidR="003017A1">
              <w:rPr>
                <w:snapToGrid w:val="0"/>
              </w:rPr>
              <w:t>permitted</w:t>
            </w:r>
            <w:r w:rsidR="00565B53" w:rsidRPr="00412B3A">
              <w:rPr>
                <w:snapToGrid w:val="0"/>
              </w:rPr>
              <w:t xml:space="preserve"> year round</w:t>
            </w:r>
            <w:r w:rsidR="003017A1">
              <w:rPr>
                <w:snapToGrid w:val="0"/>
              </w:rPr>
              <w:t>.</w:t>
            </w:r>
            <w:r w:rsidR="00565B53" w:rsidRPr="00412B3A">
              <w:rPr>
                <w:snapToGrid w:val="0"/>
              </w:rPr>
              <w:t xml:space="preserve"> </w:t>
            </w:r>
            <w:r w:rsidR="003017A1">
              <w:rPr>
                <w:snapToGrid w:val="0"/>
              </w:rPr>
              <w:t xml:space="preserve">A </w:t>
            </w:r>
            <w:r w:rsidR="00565B53" w:rsidRPr="00412B3A">
              <w:rPr>
                <w:snapToGrid w:val="0"/>
              </w:rPr>
              <w:t xml:space="preserve">spawning closure for females applies between </w:t>
            </w:r>
            <w:r w:rsidR="00565B53">
              <w:rPr>
                <w:snapToGrid w:val="0"/>
              </w:rPr>
              <w:t>1 June</w:t>
            </w:r>
            <w:r w:rsidR="00565B53" w:rsidRPr="00412B3A">
              <w:rPr>
                <w:snapToGrid w:val="0"/>
              </w:rPr>
              <w:t xml:space="preserve"> and</w:t>
            </w:r>
            <w:r w:rsidR="00EC1DD7">
              <w:rPr>
                <w:snapToGrid w:val="0"/>
              </w:rPr>
              <w:t xml:space="preserve"> </w:t>
            </w:r>
            <w:r w:rsidR="00565B53" w:rsidRPr="00412B3A">
              <w:rPr>
                <w:snapToGrid w:val="0"/>
              </w:rPr>
              <w:t>1</w:t>
            </w:r>
            <w:r w:rsidR="00565B53">
              <w:rPr>
                <w:snapToGrid w:val="0"/>
              </w:rPr>
              <w:t>4</w:t>
            </w:r>
            <w:r w:rsidR="00EC1DD7">
              <w:rPr>
                <w:snapToGrid w:val="0"/>
              </w:rPr>
              <w:t> </w:t>
            </w:r>
            <w:r w:rsidR="00565B53" w:rsidRPr="00412B3A">
              <w:rPr>
                <w:snapToGrid w:val="0"/>
              </w:rPr>
              <w:t>November</w:t>
            </w:r>
            <w:r w:rsidR="00EC1DD7">
              <w:rPr>
                <w:snapToGrid w:val="0"/>
              </w:rPr>
              <w:t xml:space="preserve"> </w:t>
            </w:r>
            <w:r w:rsidR="00565B53" w:rsidRPr="00412B3A">
              <w:rPr>
                <w:snapToGrid w:val="0"/>
              </w:rPr>
              <w:t>inclusive.</w:t>
            </w:r>
            <w:r w:rsidR="00042EFF">
              <w:rPr>
                <w:snapToGrid w:val="0"/>
              </w:rPr>
              <w:t xml:space="preserve"> </w:t>
            </w:r>
            <w:r w:rsidR="00934AF6">
              <w:rPr>
                <w:snapToGrid w:val="0"/>
              </w:rPr>
              <w:t>Monthly summaries of catch records published on the DPIPWE website indicate that highest catches occur in summer and autumn.</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EC1DD7">
            <w:pPr>
              <w:rPr>
                <w:rFonts w:cs="Arial"/>
                <w:b/>
                <w:snapToGrid w:val="0"/>
              </w:rPr>
            </w:pPr>
            <w:r w:rsidRPr="009B3A55">
              <w:rPr>
                <w:rFonts w:cs="Arial"/>
                <w:b/>
                <w:snapToGrid w:val="0"/>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14691A" w:rsidRDefault="00565B53" w:rsidP="00565B53">
            <w:pPr>
              <w:rPr>
                <w:snapToGrid w:val="0"/>
              </w:rPr>
            </w:pPr>
            <w:r w:rsidRPr="00412B3A">
              <w:rPr>
                <w:snapToGrid w:val="0"/>
              </w:rPr>
              <w:t>The harvest of giant crab</w:t>
            </w:r>
            <w:r w:rsidR="003017A1">
              <w:rPr>
                <w:snapToGrid w:val="0"/>
              </w:rPr>
              <w:t>s</w:t>
            </w:r>
            <w:r w:rsidRPr="00412B3A">
              <w:rPr>
                <w:snapToGrid w:val="0"/>
              </w:rPr>
              <w:t xml:space="preserve"> has fallen </w:t>
            </w:r>
            <w:r w:rsidR="003017A1">
              <w:rPr>
                <w:snapToGrid w:val="0"/>
              </w:rPr>
              <w:t xml:space="preserve">in recent years, </w:t>
            </w:r>
            <w:r w:rsidR="0014691A">
              <w:rPr>
                <w:snapToGrid w:val="0"/>
              </w:rPr>
              <w:t xml:space="preserve">as summarised in </w:t>
            </w:r>
            <w:r w:rsidR="00861EDA">
              <w:rPr>
                <w:snapToGrid w:val="0"/>
              </w:rPr>
              <w:t>Figure 2</w:t>
            </w:r>
            <w:r w:rsidR="0014691A">
              <w:rPr>
                <w:snapToGrid w:val="0"/>
              </w:rPr>
              <w:t>.</w:t>
            </w:r>
          </w:p>
          <w:tbl>
            <w:tblPr>
              <w:tblStyle w:val="TableGrid"/>
              <w:tblW w:w="0" w:type="auto"/>
              <w:tblLayout w:type="fixed"/>
              <w:tblLook w:val="04A0"/>
            </w:tblPr>
            <w:tblGrid>
              <w:gridCol w:w="2323"/>
              <w:gridCol w:w="2323"/>
              <w:gridCol w:w="2323"/>
            </w:tblGrid>
            <w:tr w:rsidR="00251A99" w:rsidTr="0014691A">
              <w:trPr>
                <w:cnfStyle w:val="100000000000"/>
              </w:trPr>
              <w:tc>
                <w:tcPr>
                  <w:tcW w:w="2323" w:type="dxa"/>
                  <w:vAlign w:val="center"/>
                </w:tcPr>
                <w:p w:rsidR="00251A99" w:rsidRPr="00934AF6" w:rsidRDefault="00251A99" w:rsidP="0014691A">
                  <w:pPr>
                    <w:spacing w:after="0" w:line="240" w:lineRule="auto"/>
                    <w:rPr>
                      <w:b/>
                      <w:snapToGrid w:val="0"/>
                    </w:rPr>
                  </w:pPr>
                  <w:r w:rsidRPr="00934AF6">
                    <w:rPr>
                      <w:b/>
                      <w:snapToGrid w:val="0"/>
                    </w:rPr>
                    <w:t>Quota year</w:t>
                  </w:r>
                </w:p>
                <w:p w:rsidR="00251A99" w:rsidRPr="00934AF6" w:rsidRDefault="009370D3" w:rsidP="0014691A">
                  <w:pPr>
                    <w:spacing w:after="0" w:line="240" w:lineRule="auto"/>
                    <w:rPr>
                      <w:b/>
                      <w:snapToGrid w:val="0"/>
                    </w:rPr>
                  </w:pPr>
                  <w:r w:rsidRPr="00934AF6">
                    <w:rPr>
                      <w:b/>
                      <w:snapToGrid w:val="0"/>
                    </w:rPr>
                    <w:t xml:space="preserve">(March – </w:t>
                  </w:r>
                  <w:r w:rsidR="00251A99" w:rsidRPr="00934AF6">
                    <w:rPr>
                      <w:b/>
                      <w:snapToGrid w:val="0"/>
                    </w:rPr>
                    <w:t>Feb)</w:t>
                  </w:r>
                </w:p>
              </w:tc>
              <w:tc>
                <w:tcPr>
                  <w:tcW w:w="2323" w:type="dxa"/>
                  <w:vAlign w:val="center"/>
                </w:tcPr>
                <w:p w:rsidR="00251A99" w:rsidRPr="00934AF6" w:rsidRDefault="00251A99" w:rsidP="00251A99">
                  <w:pPr>
                    <w:jc w:val="center"/>
                    <w:rPr>
                      <w:b/>
                      <w:snapToGrid w:val="0"/>
                    </w:rPr>
                  </w:pPr>
                  <w:r w:rsidRPr="00934AF6">
                    <w:rPr>
                      <w:b/>
                      <w:snapToGrid w:val="0"/>
                    </w:rPr>
                    <w:t>Total catch (tonnes)</w:t>
                  </w:r>
                </w:p>
              </w:tc>
              <w:tc>
                <w:tcPr>
                  <w:tcW w:w="2323" w:type="dxa"/>
                  <w:vAlign w:val="center"/>
                </w:tcPr>
                <w:p w:rsidR="00251A99" w:rsidRPr="00934AF6" w:rsidRDefault="00251A99" w:rsidP="00251A99">
                  <w:pPr>
                    <w:jc w:val="center"/>
                    <w:rPr>
                      <w:b/>
                      <w:snapToGrid w:val="0"/>
                    </w:rPr>
                  </w:pPr>
                  <w:r w:rsidRPr="00934AF6">
                    <w:rPr>
                      <w:b/>
                      <w:snapToGrid w:val="0"/>
                    </w:rPr>
                    <w:t>% of TAC</w:t>
                  </w:r>
                </w:p>
              </w:tc>
            </w:tr>
            <w:tr w:rsidR="00251A99" w:rsidTr="0014691A">
              <w:trPr>
                <w:cnfStyle w:val="000000100000"/>
              </w:trPr>
              <w:tc>
                <w:tcPr>
                  <w:tcW w:w="2323" w:type="dxa"/>
                  <w:vAlign w:val="center"/>
                </w:tcPr>
                <w:p w:rsidR="00251A99" w:rsidRDefault="00251A99" w:rsidP="00861EDA">
                  <w:pPr>
                    <w:spacing w:before="80" w:after="80" w:line="240" w:lineRule="auto"/>
                    <w:rPr>
                      <w:snapToGrid w:val="0"/>
                    </w:rPr>
                  </w:pPr>
                  <w:r>
                    <w:rPr>
                      <w:snapToGrid w:val="0"/>
                    </w:rPr>
                    <w:t>2005/06</w:t>
                  </w:r>
                </w:p>
              </w:tc>
              <w:tc>
                <w:tcPr>
                  <w:tcW w:w="2323" w:type="dxa"/>
                  <w:vAlign w:val="center"/>
                </w:tcPr>
                <w:p w:rsidR="00251A99" w:rsidRDefault="00251A99" w:rsidP="00861EDA">
                  <w:pPr>
                    <w:spacing w:before="80" w:after="80" w:line="240" w:lineRule="auto"/>
                    <w:jc w:val="center"/>
                    <w:rPr>
                      <w:snapToGrid w:val="0"/>
                    </w:rPr>
                  </w:pPr>
                  <w:r>
                    <w:rPr>
                      <w:snapToGrid w:val="0"/>
                    </w:rPr>
                    <w:t>58.8</w:t>
                  </w:r>
                </w:p>
              </w:tc>
              <w:tc>
                <w:tcPr>
                  <w:tcW w:w="2323" w:type="dxa"/>
                  <w:vAlign w:val="center"/>
                </w:tcPr>
                <w:p w:rsidR="00251A99" w:rsidRDefault="00251A99" w:rsidP="00861EDA">
                  <w:pPr>
                    <w:spacing w:before="80" w:after="80" w:line="240" w:lineRule="auto"/>
                    <w:jc w:val="center"/>
                    <w:rPr>
                      <w:snapToGrid w:val="0"/>
                    </w:rPr>
                  </w:pPr>
                  <w:r>
                    <w:rPr>
                      <w:snapToGrid w:val="0"/>
                    </w:rPr>
                    <w:t>94.69</w:t>
                  </w:r>
                </w:p>
              </w:tc>
            </w:tr>
            <w:tr w:rsidR="00251A99" w:rsidTr="0014691A">
              <w:trPr>
                <w:cnfStyle w:val="000000010000"/>
              </w:trPr>
              <w:tc>
                <w:tcPr>
                  <w:tcW w:w="2323" w:type="dxa"/>
                  <w:vAlign w:val="center"/>
                </w:tcPr>
                <w:p w:rsidR="00251A99" w:rsidRDefault="00251A99" w:rsidP="00861EDA">
                  <w:pPr>
                    <w:spacing w:before="80" w:after="80" w:line="240" w:lineRule="auto"/>
                    <w:rPr>
                      <w:snapToGrid w:val="0"/>
                    </w:rPr>
                  </w:pPr>
                  <w:r>
                    <w:rPr>
                      <w:snapToGrid w:val="0"/>
                    </w:rPr>
                    <w:t>2006/07</w:t>
                  </w:r>
                </w:p>
              </w:tc>
              <w:tc>
                <w:tcPr>
                  <w:tcW w:w="2323" w:type="dxa"/>
                  <w:vAlign w:val="center"/>
                </w:tcPr>
                <w:p w:rsidR="00251A99" w:rsidRDefault="00251A99" w:rsidP="00861EDA">
                  <w:pPr>
                    <w:spacing w:before="80" w:after="80" w:line="240" w:lineRule="auto"/>
                    <w:jc w:val="center"/>
                    <w:rPr>
                      <w:snapToGrid w:val="0"/>
                    </w:rPr>
                  </w:pPr>
                  <w:r>
                    <w:rPr>
                      <w:snapToGrid w:val="0"/>
                    </w:rPr>
                    <w:t>52.7</w:t>
                  </w:r>
                </w:p>
              </w:tc>
              <w:tc>
                <w:tcPr>
                  <w:tcW w:w="2323" w:type="dxa"/>
                  <w:vAlign w:val="center"/>
                </w:tcPr>
                <w:p w:rsidR="00251A99" w:rsidRDefault="00251A99" w:rsidP="00861EDA">
                  <w:pPr>
                    <w:spacing w:before="80" w:after="80" w:line="240" w:lineRule="auto"/>
                    <w:jc w:val="center"/>
                    <w:rPr>
                      <w:snapToGrid w:val="0"/>
                    </w:rPr>
                  </w:pPr>
                  <w:r>
                    <w:rPr>
                      <w:snapToGrid w:val="0"/>
                    </w:rPr>
                    <w:t>84.82</w:t>
                  </w:r>
                </w:p>
              </w:tc>
            </w:tr>
            <w:tr w:rsidR="00251A99" w:rsidTr="0014691A">
              <w:trPr>
                <w:cnfStyle w:val="000000100000"/>
              </w:trPr>
              <w:tc>
                <w:tcPr>
                  <w:tcW w:w="2323" w:type="dxa"/>
                  <w:vAlign w:val="center"/>
                </w:tcPr>
                <w:p w:rsidR="00251A99" w:rsidRDefault="00251A99" w:rsidP="00861EDA">
                  <w:pPr>
                    <w:spacing w:before="80" w:after="80" w:line="240" w:lineRule="auto"/>
                    <w:rPr>
                      <w:snapToGrid w:val="0"/>
                    </w:rPr>
                  </w:pPr>
                  <w:r>
                    <w:rPr>
                      <w:snapToGrid w:val="0"/>
                    </w:rPr>
                    <w:t>2007/08</w:t>
                  </w:r>
                </w:p>
              </w:tc>
              <w:tc>
                <w:tcPr>
                  <w:tcW w:w="2323" w:type="dxa"/>
                  <w:vAlign w:val="center"/>
                </w:tcPr>
                <w:p w:rsidR="00251A99" w:rsidRDefault="00251A99" w:rsidP="00861EDA">
                  <w:pPr>
                    <w:spacing w:before="80" w:after="80" w:line="240" w:lineRule="auto"/>
                    <w:jc w:val="center"/>
                    <w:rPr>
                      <w:snapToGrid w:val="0"/>
                    </w:rPr>
                  </w:pPr>
                  <w:r>
                    <w:rPr>
                      <w:snapToGrid w:val="0"/>
                    </w:rPr>
                    <w:t>49.0</w:t>
                  </w:r>
                </w:p>
              </w:tc>
              <w:tc>
                <w:tcPr>
                  <w:tcW w:w="2323" w:type="dxa"/>
                  <w:vAlign w:val="center"/>
                </w:tcPr>
                <w:p w:rsidR="00251A99" w:rsidRDefault="00251A99" w:rsidP="00861EDA">
                  <w:pPr>
                    <w:spacing w:before="80" w:after="80" w:line="240" w:lineRule="auto"/>
                    <w:jc w:val="center"/>
                    <w:rPr>
                      <w:snapToGrid w:val="0"/>
                    </w:rPr>
                  </w:pPr>
                  <w:r>
                    <w:rPr>
                      <w:snapToGrid w:val="0"/>
                    </w:rPr>
                    <w:t>78.96</w:t>
                  </w:r>
                </w:p>
              </w:tc>
            </w:tr>
            <w:tr w:rsidR="00251A99" w:rsidTr="0014691A">
              <w:trPr>
                <w:cnfStyle w:val="000000010000"/>
              </w:trPr>
              <w:tc>
                <w:tcPr>
                  <w:tcW w:w="2323" w:type="dxa"/>
                  <w:vAlign w:val="center"/>
                </w:tcPr>
                <w:p w:rsidR="00251A99" w:rsidRDefault="00251A99" w:rsidP="00861EDA">
                  <w:pPr>
                    <w:spacing w:before="80" w:after="80" w:line="240" w:lineRule="auto"/>
                    <w:rPr>
                      <w:snapToGrid w:val="0"/>
                    </w:rPr>
                  </w:pPr>
                  <w:r>
                    <w:rPr>
                      <w:snapToGrid w:val="0"/>
                    </w:rPr>
                    <w:t>2008/09</w:t>
                  </w:r>
                </w:p>
              </w:tc>
              <w:tc>
                <w:tcPr>
                  <w:tcW w:w="2323" w:type="dxa"/>
                  <w:vAlign w:val="center"/>
                </w:tcPr>
                <w:p w:rsidR="00251A99" w:rsidRDefault="00251A99" w:rsidP="00861EDA">
                  <w:pPr>
                    <w:spacing w:before="80" w:after="80" w:line="240" w:lineRule="auto"/>
                    <w:jc w:val="center"/>
                    <w:rPr>
                      <w:snapToGrid w:val="0"/>
                    </w:rPr>
                  </w:pPr>
                  <w:r>
                    <w:rPr>
                      <w:snapToGrid w:val="0"/>
                    </w:rPr>
                    <w:t>52.6</w:t>
                  </w:r>
                </w:p>
              </w:tc>
              <w:tc>
                <w:tcPr>
                  <w:tcW w:w="2323" w:type="dxa"/>
                  <w:vAlign w:val="center"/>
                </w:tcPr>
                <w:p w:rsidR="00251A99" w:rsidRDefault="00251A99" w:rsidP="00861EDA">
                  <w:pPr>
                    <w:spacing w:before="80" w:after="80" w:line="240" w:lineRule="auto"/>
                    <w:jc w:val="center"/>
                    <w:rPr>
                      <w:snapToGrid w:val="0"/>
                    </w:rPr>
                  </w:pPr>
                  <w:r>
                    <w:rPr>
                      <w:snapToGrid w:val="0"/>
                    </w:rPr>
                    <w:t>84.76</w:t>
                  </w:r>
                </w:p>
              </w:tc>
            </w:tr>
            <w:tr w:rsidR="00251A99" w:rsidTr="0014691A">
              <w:trPr>
                <w:cnfStyle w:val="000000100000"/>
              </w:trPr>
              <w:tc>
                <w:tcPr>
                  <w:tcW w:w="2323" w:type="dxa"/>
                  <w:vAlign w:val="center"/>
                </w:tcPr>
                <w:p w:rsidR="00251A99" w:rsidRDefault="00251A99" w:rsidP="00861EDA">
                  <w:pPr>
                    <w:spacing w:before="80" w:after="80" w:line="240" w:lineRule="auto"/>
                    <w:rPr>
                      <w:snapToGrid w:val="0"/>
                    </w:rPr>
                  </w:pPr>
                  <w:r>
                    <w:rPr>
                      <w:snapToGrid w:val="0"/>
                    </w:rPr>
                    <w:t>2009/10</w:t>
                  </w:r>
                </w:p>
              </w:tc>
              <w:tc>
                <w:tcPr>
                  <w:tcW w:w="2323" w:type="dxa"/>
                  <w:vAlign w:val="center"/>
                </w:tcPr>
                <w:p w:rsidR="00251A99" w:rsidRDefault="00251A99" w:rsidP="00861EDA">
                  <w:pPr>
                    <w:spacing w:before="80" w:after="80" w:line="240" w:lineRule="auto"/>
                    <w:jc w:val="center"/>
                    <w:rPr>
                      <w:snapToGrid w:val="0"/>
                    </w:rPr>
                  </w:pPr>
                  <w:r>
                    <w:rPr>
                      <w:snapToGrid w:val="0"/>
                    </w:rPr>
                    <w:t>46.3</w:t>
                  </w:r>
                </w:p>
              </w:tc>
              <w:tc>
                <w:tcPr>
                  <w:tcW w:w="2323" w:type="dxa"/>
                  <w:vAlign w:val="center"/>
                </w:tcPr>
                <w:p w:rsidR="00251A99" w:rsidRDefault="00251A99" w:rsidP="00861EDA">
                  <w:pPr>
                    <w:spacing w:before="80" w:after="80" w:line="240" w:lineRule="auto"/>
                    <w:jc w:val="center"/>
                    <w:rPr>
                      <w:snapToGrid w:val="0"/>
                    </w:rPr>
                  </w:pPr>
                  <w:r>
                    <w:rPr>
                      <w:snapToGrid w:val="0"/>
                    </w:rPr>
                    <w:t>89.42</w:t>
                  </w:r>
                </w:p>
              </w:tc>
            </w:tr>
            <w:tr w:rsidR="00251A99" w:rsidTr="0014691A">
              <w:trPr>
                <w:cnfStyle w:val="000000010000"/>
              </w:trPr>
              <w:tc>
                <w:tcPr>
                  <w:tcW w:w="2323" w:type="dxa"/>
                  <w:vAlign w:val="center"/>
                </w:tcPr>
                <w:p w:rsidR="00251A99" w:rsidRDefault="00251A99" w:rsidP="00861EDA">
                  <w:pPr>
                    <w:spacing w:before="80" w:after="80" w:line="240" w:lineRule="auto"/>
                    <w:rPr>
                      <w:snapToGrid w:val="0"/>
                    </w:rPr>
                  </w:pPr>
                  <w:r>
                    <w:rPr>
                      <w:snapToGrid w:val="0"/>
                    </w:rPr>
                    <w:t>2010/11</w:t>
                  </w:r>
                </w:p>
              </w:tc>
              <w:tc>
                <w:tcPr>
                  <w:tcW w:w="2323" w:type="dxa"/>
                  <w:vAlign w:val="center"/>
                </w:tcPr>
                <w:p w:rsidR="00251A99" w:rsidRDefault="00251A99" w:rsidP="00861EDA">
                  <w:pPr>
                    <w:spacing w:before="80" w:after="80" w:line="240" w:lineRule="auto"/>
                    <w:jc w:val="center"/>
                    <w:rPr>
                      <w:snapToGrid w:val="0"/>
                    </w:rPr>
                  </w:pPr>
                  <w:r>
                    <w:rPr>
                      <w:snapToGrid w:val="0"/>
                    </w:rPr>
                    <w:t>47.0</w:t>
                  </w:r>
                </w:p>
              </w:tc>
              <w:tc>
                <w:tcPr>
                  <w:tcW w:w="2323" w:type="dxa"/>
                  <w:vAlign w:val="center"/>
                </w:tcPr>
                <w:p w:rsidR="00251A99" w:rsidRDefault="00251A99" w:rsidP="00861EDA">
                  <w:pPr>
                    <w:spacing w:before="80" w:after="80" w:line="240" w:lineRule="auto"/>
                    <w:jc w:val="center"/>
                    <w:rPr>
                      <w:snapToGrid w:val="0"/>
                    </w:rPr>
                  </w:pPr>
                  <w:r>
                    <w:rPr>
                      <w:snapToGrid w:val="0"/>
                    </w:rPr>
                    <w:t>90.84</w:t>
                  </w:r>
                </w:p>
              </w:tc>
            </w:tr>
            <w:tr w:rsidR="00251A99" w:rsidTr="0014691A">
              <w:trPr>
                <w:cnfStyle w:val="000000100000"/>
              </w:trPr>
              <w:tc>
                <w:tcPr>
                  <w:tcW w:w="2323" w:type="dxa"/>
                  <w:vAlign w:val="center"/>
                </w:tcPr>
                <w:p w:rsidR="00251A99" w:rsidRDefault="00251A99" w:rsidP="00861EDA">
                  <w:pPr>
                    <w:spacing w:before="80" w:after="80" w:line="240" w:lineRule="auto"/>
                    <w:rPr>
                      <w:snapToGrid w:val="0"/>
                    </w:rPr>
                  </w:pPr>
                  <w:r>
                    <w:rPr>
                      <w:snapToGrid w:val="0"/>
                    </w:rPr>
                    <w:t>2011/12</w:t>
                  </w:r>
                </w:p>
              </w:tc>
              <w:tc>
                <w:tcPr>
                  <w:tcW w:w="2323" w:type="dxa"/>
                  <w:vAlign w:val="center"/>
                </w:tcPr>
                <w:p w:rsidR="00251A99" w:rsidRDefault="00251A99" w:rsidP="00861EDA">
                  <w:pPr>
                    <w:spacing w:before="80" w:after="80" w:line="240" w:lineRule="auto"/>
                    <w:jc w:val="center"/>
                    <w:rPr>
                      <w:snapToGrid w:val="0"/>
                    </w:rPr>
                  </w:pPr>
                  <w:r>
                    <w:rPr>
                      <w:snapToGrid w:val="0"/>
                    </w:rPr>
                    <w:t>44.1</w:t>
                  </w:r>
                </w:p>
              </w:tc>
              <w:tc>
                <w:tcPr>
                  <w:tcW w:w="2323" w:type="dxa"/>
                  <w:vAlign w:val="center"/>
                </w:tcPr>
                <w:p w:rsidR="00251A99" w:rsidRDefault="00251A99" w:rsidP="00861EDA">
                  <w:pPr>
                    <w:spacing w:before="80" w:after="80" w:line="240" w:lineRule="auto"/>
                    <w:jc w:val="center"/>
                    <w:rPr>
                      <w:snapToGrid w:val="0"/>
                    </w:rPr>
                  </w:pPr>
                  <w:r>
                    <w:rPr>
                      <w:snapToGrid w:val="0"/>
                    </w:rPr>
                    <w:t>85.18</w:t>
                  </w:r>
                </w:p>
              </w:tc>
            </w:tr>
            <w:tr w:rsidR="00251A99" w:rsidTr="0014691A">
              <w:trPr>
                <w:cnfStyle w:val="000000010000"/>
              </w:trPr>
              <w:tc>
                <w:tcPr>
                  <w:tcW w:w="2323" w:type="dxa"/>
                  <w:vAlign w:val="center"/>
                </w:tcPr>
                <w:p w:rsidR="00251A99" w:rsidRDefault="00251A99" w:rsidP="00861EDA">
                  <w:pPr>
                    <w:spacing w:before="80" w:after="80" w:line="240" w:lineRule="auto"/>
                    <w:rPr>
                      <w:snapToGrid w:val="0"/>
                    </w:rPr>
                  </w:pPr>
                  <w:r>
                    <w:rPr>
                      <w:snapToGrid w:val="0"/>
                    </w:rPr>
                    <w:t>2012/13</w:t>
                  </w:r>
                </w:p>
              </w:tc>
              <w:tc>
                <w:tcPr>
                  <w:tcW w:w="2323" w:type="dxa"/>
                  <w:vAlign w:val="center"/>
                </w:tcPr>
                <w:p w:rsidR="00251A99" w:rsidRDefault="00251A99" w:rsidP="00861EDA">
                  <w:pPr>
                    <w:spacing w:before="80" w:after="80" w:line="240" w:lineRule="auto"/>
                    <w:jc w:val="center"/>
                    <w:rPr>
                      <w:snapToGrid w:val="0"/>
                    </w:rPr>
                  </w:pPr>
                  <w:r>
                    <w:rPr>
                      <w:snapToGrid w:val="0"/>
                    </w:rPr>
                    <w:t>27.3</w:t>
                  </w:r>
                </w:p>
              </w:tc>
              <w:tc>
                <w:tcPr>
                  <w:tcW w:w="2323" w:type="dxa"/>
                  <w:vAlign w:val="center"/>
                </w:tcPr>
                <w:p w:rsidR="00251A99" w:rsidRDefault="00251A99" w:rsidP="00861EDA">
                  <w:pPr>
                    <w:spacing w:before="80" w:after="80" w:line="240" w:lineRule="auto"/>
                    <w:jc w:val="center"/>
                    <w:rPr>
                      <w:snapToGrid w:val="0"/>
                    </w:rPr>
                  </w:pPr>
                  <w:r>
                    <w:rPr>
                      <w:snapToGrid w:val="0"/>
                    </w:rPr>
                    <w:t>58.49</w:t>
                  </w:r>
                </w:p>
              </w:tc>
            </w:tr>
            <w:tr w:rsidR="00251A99" w:rsidTr="0014691A">
              <w:trPr>
                <w:cnfStyle w:val="000000100000"/>
              </w:trPr>
              <w:tc>
                <w:tcPr>
                  <w:tcW w:w="2323" w:type="dxa"/>
                  <w:vAlign w:val="center"/>
                </w:tcPr>
                <w:p w:rsidR="00251A99" w:rsidRDefault="00251A99" w:rsidP="00861EDA">
                  <w:pPr>
                    <w:spacing w:before="80" w:after="80" w:line="240" w:lineRule="auto"/>
                    <w:rPr>
                      <w:snapToGrid w:val="0"/>
                    </w:rPr>
                  </w:pPr>
                  <w:r>
                    <w:rPr>
                      <w:snapToGrid w:val="0"/>
                    </w:rPr>
                    <w:t>2013/14</w:t>
                  </w:r>
                </w:p>
              </w:tc>
              <w:tc>
                <w:tcPr>
                  <w:tcW w:w="2323" w:type="dxa"/>
                  <w:vAlign w:val="center"/>
                </w:tcPr>
                <w:p w:rsidR="00251A99" w:rsidRDefault="00251A99" w:rsidP="00861EDA">
                  <w:pPr>
                    <w:spacing w:before="80" w:after="80" w:line="240" w:lineRule="auto"/>
                    <w:jc w:val="center"/>
                    <w:rPr>
                      <w:snapToGrid w:val="0"/>
                    </w:rPr>
                  </w:pPr>
                  <w:r>
                    <w:rPr>
                      <w:snapToGrid w:val="0"/>
                    </w:rPr>
                    <w:t>26.4</w:t>
                  </w:r>
                </w:p>
              </w:tc>
              <w:tc>
                <w:tcPr>
                  <w:tcW w:w="2323" w:type="dxa"/>
                  <w:vAlign w:val="center"/>
                </w:tcPr>
                <w:p w:rsidR="00251A99" w:rsidRDefault="00251A99" w:rsidP="00861EDA">
                  <w:pPr>
                    <w:spacing w:before="80" w:after="80" w:line="240" w:lineRule="auto"/>
                    <w:jc w:val="center"/>
                    <w:rPr>
                      <w:snapToGrid w:val="0"/>
                    </w:rPr>
                  </w:pPr>
                  <w:r>
                    <w:rPr>
                      <w:snapToGrid w:val="0"/>
                    </w:rPr>
                    <w:t>56.64</w:t>
                  </w:r>
                </w:p>
              </w:tc>
            </w:tr>
          </w:tbl>
          <w:p w:rsidR="0014691A" w:rsidRPr="00861EDA" w:rsidRDefault="00221E1F" w:rsidP="00861EDA">
            <w:pPr>
              <w:spacing w:before="240"/>
              <w:rPr>
                <w:b/>
                <w:snapToGrid w:val="0"/>
                <w:sz w:val="20"/>
                <w:szCs w:val="20"/>
              </w:rPr>
            </w:pPr>
            <w:r w:rsidRPr="00221E1F">
              <w:rPr>
                <w:b/>
                <w:snapToGrid w:val="0"/>
                <w:sz w:val="20"/>
                <w:szCs w:val="20"/>
              </w:rPr>
              <w:t>Figure 2. Harvest of giant crabs since 2005/06 in the Tasmanian Giant Crab Fishery.</w:t>
            </w:r>
          </w:p>
          <w:p w:rsidR="00EC1DD7" w:rsidRDefault="009370D3" w:rsidP="00565B53">
            <w:pPr>
              <w:rPr>
                <w:snapToGrid w:val="0"/>
              </w:rPr>
            </w:pPr>
            <w:r>
              <w:rPr>
                <w:snapToGrid w:val="0"/>
              </w:rPr>
              <w:t xml:space="preserve">The </w:t>
            </w:r>
            <w:r w:rsidR="00D702A8">
              <w:rPr>
                <w:snapToGrid w:val="0"/>
              </w:rPr>
              <w:t>factors influencing</w:t>
            </w:r>
            <w:r>
              <w:rPr>
                <w:snapToGrid w:val="0"/>
              </w:rPr>
              <w:t xml:space="preserve"> this fall in</w:t>
            </w:r>
            <w:r w:rsidR="00565B53" w:rsidRPr="00412B3A">
              <w:rPr>
                <w:snapToGrid w:val="0"/>
              </w:rPr>
              <w:t xml:space="preserve"> commercial harvest</w:t>
            </w:r>
            <w:r>
              <w:rPr>
                <w:snapToGrid w:val="0"/>
              </w:rPr>
              <w:t xml:space="preserve"> rates</w:t>
            </w:r>
            <w:r w:rsidR="00565B53" w:rsidRPr="00412B3A">
              <w:rPr>
                <w:snapToGrid w:val="0"/>
              </w:rPr>
              <w:t xml:space="preserve"> </w:t>
            </w:r>
            <w:r>
              <w:rPr>
                <w:snapToGrid w:val="0"/>
              </w:rPr>
              <w:t>in recent years are not well understood</w:t>
            </w:r>
            <w:r w:rsidR="00565B53" w:rsidRPr="00412B3A">
              <w:rPr>
                <w:snapToGrid w:val="0"/>
              </w:rPr>
              <w:t>, preliminary analys</w:t>
            </w:r>
            <w:r>
              <w:rPr>
                <w:snapToGrid w:val="0"/>
              </w:rPr>
              <w:t>e</w:t>
            </w:r>
            <w:r w:rsidR="00565B53" w:rsidRPr="00412B3A">
              <w:rPr>
                <w:snapToGrid w:val="0"/>
              </w:rPr>
              <w:t>s by</w:t>
            </w:r>
            <w:r w:rsidR="00490F1A">
              <w:rPr>
                <w:snapToGrid w:val="0"/>
              </w:rPr>
              <w:t xml:space="preserve"> the </w:t>
            </w:r>
            <w:r w:rsidR="00490F1A" w:rsidRPr="00490F1A">
              <w:rPr>
                <w:snapToGrid w:val="0"/>
              </w:rPr>
              <w:t>Institute for Marine and Antarctic Studies</w:t>
            </w:r>
            <w:r w:rsidR="00565B53" w:rsidRPr="00412B3A">
              <w:rPr>
                <w:snapToGrid w:val="0"/>
              </w:rPr>
              <w:t xml:space="preserve"> </w:t>
            </w:r>
            <w:r w:rsidR="002317C0">
              <w:rPr>
                <w:snapToGrid w:val="0"/>
              </w:rPr>
              <w:t>(</w:t>
            </w:r>
            <w:r w:rsidR="00565B53" w:rsidRPr="00412B3A">
              <w:rPr>
                <w:snapToGrid w:val="0"/>
              </w:rPr>
              <w:t>IMAS</w:t>
            </w:r>
            <w:r w:rsidR="002317C0">
              <w:rPr>
                <w:snapToGrid w:val="0"/>
              </w:rPr>
              <w:t>)</w:t>
            </w:r>
            <w:r w:rsidR="00565B53" w:rsidRPr="00412B3A">
              <w:rPr>
                <w:snapToGrid w:val="0"/>
              </w:rPr>
              <w:t xml:space="preserve"> </w:t>
            </w:r>
            <w:r>
              <w:rPr>
                <w:snapToGrid w:val="0"/>
              </w:rPr>
              <w:t xml:space="preserve">suggest </w:t>
            </w:r>
            <w:r w:rsidR="00565B53" w:rsidRPr="00412B3A">
              <w:rPr>
                <w:snapToGrid w:val="0"/>
              </w:rPr>
              <w:t xml:space="preserve">it </w:t>
            </w:r>
            <w:r>
              <w:rPr>
                <w:snapToGrid w:val="0"/>
              </w:rPr>
              <w:t>may</w:t>
            </w:r>
            <w:r w:rsidRPr="00412B3A">
              <w:rPr>
                <w:snapToGrid w:val="0"/>
              </w:rPr>
              <w:t xml:space="preserve"> </w:t>
            </w:r>
            <w:r w:rsidR="00565B53" w:rsidRPr="00412B3A">
              <w:rPr>
                <w:snapToGrid w:val="0"/>
              </w:rPr>
              <w:t>not be stock related</w:t>
            </w:r>
            <w:r w:rsidR="00565B53" w:rsidRPr="007903DC">
              <w:rPr>
                <w:snapToGrid w:val="0"/>
              </w:rPr>
              <w:t>.</w:t>
            </w:r>
            <w:r w:rsidR="00EC1DD7">
              <w:rPr>
                <w:snapToGrid w:val="0"/>
              </w:rPr>
              <w:t xml:space="preserve"> </w:t>
            </w:r>
            <w:r>
              <w:rPr>
                <w:snapToGrid w:val="0"/>
              </w:rPr>
              <w:t>I</w:t>
            </w:r>
            <w:r w:rsidR="00565B53">
              <w:rPr>
                <w:snapToGrid w:val="0"/>
              </w:rPr>
              <w:t>ncrease</w:t>
            </w:r>
            <w:r>
              <w:rPr>
                <w:snapToGrid w:val="0"/>
              </w:rPr>
              <w:t>s</w:t>
            </w:r>
            <w:r w:rsidR="00565B53">
              <w:rPr>
                <w:snapToGrid w:val="0"/>
              </w:rPr>
              <w:t xml:space="preserve"> </w:t>
            </w:r>
            <w:r>
              <w:rPr>
                <w:snapToGrid w:val="0"/>
              </w:rPr>
              <w:t xml:space="preserve">in </w:t>
            </w:r>
            <w:proofErr w:type="spellStart"/>
            <w:r w:rsidR="00565B53">
              <w:rPr>
                <w:snapToGrid w:val="0"/>
              </w:rPr>
              <w:t>undercatch</w:t>
            </w:r>
            <w:proofErr w:type="spellEnd"/>
            <w:r w:rsidR="00565B53">
              <w:rPr>
                <w:snapToGrid w:val="0"/>
              </w:rPr>
              <w:t xml:space="preserve"> </w:t>
            </w:r>
            <w:r>
              <w:rPr>
                <w:snapToGrid w:val="0"/>
              </w:rPr>
              <w:t>of the TAC may be</w:t>
            </w:r>
            <w:r w:rsidR="00565B53" w:rsidRPr="005A7115">
              <w:t xml:space="preserve"> due to a combination of factors including low catch rates, low beach prices and</w:t>
            </w:r>
            <w:r w:rsidR="00565B53">
              <w:t xml:space="preserve"> a prohibition </w:t>
            </w:r>
            <w:r w:rsidR="00934AF6">
              <w:t xml:space="preserve">introduced in 2013 </w:t>
            </w:r>
            <w:r w:rsidR="00565B53">
              <w:t xml:space="preserve">on unloading </w:t>
            </w:r>
            <w:r w:rsidR="00F812F4">
              <w:t xml:space="preserve">product </w:t>
            </w:r>
            <w:r w:rsidR="00565B53">
              <w:t xml:space="preserve">in Victoria, which impacted some Victorian based fishers. </w:t>
            </w:r>
            <w:r w:rsidR="00EC1DD7">
              <w:t>In addition, t</w:t>
            </w:r>
            <w:r w:rsidR="00865F1E">
              <w:t>he n</w:t>
            </w:r>
            <w:r w:rsidR="00EC1DD7">
              <w:t xml:space="preserve">orth </w:t>
            </w:r>
            <w:r w:rsidR="00865F1E">
              <w:t>e</w:t>
            </w:r>
            <w:r w:rsidR="00EC1DD7">
              <w:t>ast sector of the Giant C</w:t>
            </w:r>
            <w:r w:rsidR="00565B53">
              <w:t xml:space="preserve">rab fishery was closed for much of the summer in 2012/13 due to </w:t>
            </w:r>
            <w:r w:rsidR="00F812F4">
              <w:t xml:space="preserve">the detection of </w:t>
            </w:r>
            <w:r w:rsidR="00565B53">
              <w:t>shellfish toxins</w:t>
            </w:r>
            <w:r w:rsidR="00EC1DD7">
              <w:t>, reduc</w:t>
            </w:r>
            <w:r w:rsidR="00F812F4">
              <w:t>ing</w:t>
            </w:r>
            <w:r w:rsidR="00EC1DD7">
              <w:t xml:space="preserve"> </w:t>
            </w:r>
            <w:r w:rsidR="00565B53">
              <w:t xml:space="preserve">catch in that part of the </w:t>
            </w:r>
            <w:r w:rsidR="00EC1DD7">
              <w:t>fishery.</w:t>
            </w:r>
            <w:r w:rsidR="00EC1DD7" w:rsidRPr="00412B3A">
              <w:rPr>
                <w:snapToGrid w:val="0"/>
              </w:rPr>
              <w:t xml:space="preserve"> </w:t>
            </w:r>
            <w:r w:rsidR="00F812F4">
              <w:rPr>
                <w:snapToGrid w:val="0"/>
              </w:rPr>
              <w:t>H</w:t>
            </w:r>
            <w:r w:rsidR="00565B53" w:rsidRPr="00412B3A">
              <w:rPr>
                <w:snapToGrid w:val="0"/>
              </w:rPr>
              <w:t>igh price</w:t>
            </w:r>
            <w:r w:rsidR="00F812F4">
              <w:rPr>
                <w:snapToGrid w:val="0"/>
              </w:rPr>
              <w:t>s</w:t>
            </w:r>
            <w:r w:rsidR="00565B53" w:rsidRPr="00412B3A">
              <w:rPr>
                <w:snapToGrid w:val="0"/>
              </w:rPr>
              <w:t xml:space="preserve"> received for rock lobster over the last two years </w:t>
            </w:r>
            <w:r w:rsidR="00F812F4">
              <w:rPr>
                <w:snapToGrid w:val="0"/>
              </w:rPr>
              <w:t xml:space="preserve">may also have </w:t>
            </w:r>
            <w:r w:rsidR="002C0537">
              <w:rPr>
                <w:snapToGrid w:val="0"/>
              </w:rPr>
              <w:t xml:space="preserve">directed fishing effort away from targeting </w:t>
            </w:r>
            <w:r w:rsidR="00565B53" w:rsidRPr="00412B3A">
              <w:rPr>
                <w:snapToGrid w:val="0"/>
              </w:rPr>
              <w:t xml:space="preserve">giant crab </w:t>
            </w:r>
            <w:r w:rsidR="002C0537">
              <w:rPr>
                <w:snapToGrid w:val="0"/>
              </w:rPr>
              <w:t>in order to focus</w:t>
            </w:r>
            <w:r w:rsidR="00565B53">
              <w:rPr>
                <w:snapToGrid w:val="0"/>
              </w:rPr>
              <w:t xml:space="preserve"> more </w:t>
            </w:r>
            <w:r w:rsidR="00F812F4">
              <w:rPr>
                <w:snapToGrid w:val="0"/>
              </w:rPr>
              <w:t xml:space="preserve">effort </w:t>
            </w:r>
            <w:r w:rsidR="00565B53">
              <w:rPr>
                <w:snapToGrid w:val="0"/>
              </w:rPr>
              <w:t>in the</w:t>
            </w:r>
            <w:r w:rsidR="00565B53" w:rsidRPr="00412B3A">
              <w:rPr>
                <w:snapToGrid w:val="0"/>
              </w:rPr>
              <w:t xml:space="preserve"> rock lobster</w:t>
            </w:r>
            <w:r w:rsidR="00565B53">
              <w:rPr>
                <w:snapToGrid w:val="0"/>
              </w:rPr>
              <w:t xml:space="preserve"> fishery.</w:t>
            </w:r>
            <w:r w:rsidR="00042EFF">
              <w:rPr>
                <w:snapToGrid w:val="0"/>
              </w:rPr>
              <w:t xml:space="preserve"> </w:t>
            </w:r>
          </w:p>
          <w:p w:rsidR="00D702A8" w:rsidRPr="00EC1DD7" w:rsidRDefault="00565B53" w:rsidP="000F4600">
            <w:r>
              <w:rPr>
                <w:snapToGrid w:val="0"/>
              </w:rPr>
              <w:t>O</w:t>
            </w:r>
            <w:r w:rsidRPr="00412B3A">
              <w:rPr>
                <w:snapToGrid w:val="0"/>
              </w:rPr>
              <w:t>ver the history of quota management in the T</w:t>
            </w:r>
            <w:r w:rsidR="00EC1DD7">
              <w:rPr>
                <w:snapToGrid w:val="0"/>
              </w:rPr>
              <w:t xml:space="preserve">asmanian </w:t>
            </w:r>
            <w:r w:rsidRPr="00412B3A">
              <w:rPr>
                <w:snapToGrid w:val="0"/>
              </w:rPr>
              <w:t>G</w:t>
            </w:r>
            <w:r w:rsidR="00EC1DD7">
              <w:rPr>
                <w:snapToGrid w:val="0"/>
              </w:rPr>
              <w:t xml:space="preserve">iant </w:t>
            </w:r>
            <w:r w:rsidRPr="00412B3A">
              <w:rPr>
                <w:snapToGrid w:val="0"/>
              </w:rPr>
              <w:t>C</w:t>
            </w:r>
            <w:r w:rsidR="00EC1DD7">
              <w:rPr>
                <w:snapToGrid w:val="0"/>
              </w:rPr>
              <w:t xml:space="preserve">rab </w:t>
            </w:r>
            <w:r w:rsidRPr="00412B3A">
              <w:rPr>
                <w:snapToGrid w:val="0"/>
              </w:rPr>
              <w:t>F</w:t>
            </w:r>
            <w:r w:rsidR="00EC1DD7">
              <w:rPr>
                <w:snapToGrid w:val="0"/>
              </w:rPr>
              <w:t>ishery</w:t>
            </w:r>
            <w:r>
              <w:rPr>
                <w:snapToGrid w:val="0"/>
              </w:rPr>
              <w:t>,</w:t>
            </w:r>
            <w:r w:rsidR="006D190F">
              <w:rPr>
                <w:snapToGrid w:val="0"/>
              </w:rPr>
              <w:t xml:space="preserve"> the TAC has </w:t>
            </w:r>
            <w:r w:rsidRPr="00412B3A">
              <w:rPr>
                <w:snapToGrid w:val="0"/>
              </w:rPr>
              <w:t>seldom</w:t>
            </w:r>
            <w:r w:rsidR="006D190F">
              <w:rPr>
                <w:snapToGrid w:val="0"/>
              </w:rPr>
              <w:t xml:space="preserve"> been</w:t>
            </w:r>
            <w:r w:rsidRPr="00412B3A">
              <w:rPr>
                <w:snapToGrid w:val="0"/>
              </w:rPr>
              <w:t xml:space="preserve"> caught due to the structure of the fishery and </w:t>
            </w:r>
            <w:r w:rsidR="00EC1DD7" w:rsidRPr="00412B3A">
              <w:rPr>
                <w:snapToGrid w:val="0"/>
              </w:rPr>
              <w:t>its</w:t>
            </w:r>
            <w:r w:rsidRPr="00412B3A">
              <w:rPr>
                <w:snapToGrid w:val="0"/>
              </w:rPr>
              <w:t xml:space="preserve"> link to the rock lobster fishery</w:t>
            </w:r>
            <w:r w:rsidR="00D702A8">
              <w:t xml:space="preserve">. </w:t>
            </w:r>
            <w:r w:rsidR="00D702A8" w:rsidRPr="00934AF6">
              <w:rPr>
                <w:snapToGrid w:val="0"/>
              </w:rPr>
              <w:t>M</w:t>
            </w:r>
            <w:r w:rsidR="00D702A8" w:rsidRPr="00934AF6">
              <w:t xml:space="preserve">ost </w:t>
            </w:r>
            <w:r w:rsidR="00D702A8" w:rsidRPr="00934AF6">
              <w:rPr>
                <w:rFonts w:cs="Arial"/>
                <w:snapToGrid w:val="0"/>
              </w:rPr>
              <w:t>vessels capable of targeting giant crab are owned by fishers who mainly target rock lobster but also have a small amount of giant crab quota</w:t>
            </w:r>
            <w:r w:rsidR="00EC1DD7" w:rsidRPr="00934AF6">
              <w:rPr>
                <w:snapToGrid w:val="0"/>
              </w:rPr>
              <w:t>. It</w:t>
            </w:r>
            <w:r w:rsidR="00EC1DD7">
              <w:rPr>
                <w:snapToGrid w:val="0"/>
              </w:rPr>
              <w:t xml:space="preserve"> </w:t>
            </w:r>
            <w:r w:rsidR="002C0537">
              <w:rPr>
                <w:snapToGrid w:val="0"/>
              </w:rPr>
              <w:t>may</w:t>
            </w:r>
            <w:r w:rsidR="00226481">
              <w:rPr>
                <w:snapToGrid w:val="0"/>
              </w:rPr>
              <w:t xml:space="preserve"> </w:t>
            </w:r>
            <w:r w:rsidRPr="00412B3A">
              <w:rPr>
                <w:snapToGrid w:val="0"/>
              </w:rPr>
              <w:t>often</w:t>
            </w:r>
            <w:r w:rsidR="00EC1DD7">
              <w:rPr>
                <w:snapToGrid w:val="0"/>
              </w:rPr>
              <w:t xml:space="preserve"> not</w:t>
            </w:r>
            <w:r w:rsidRPr="00412B3A">
              <w:rPr>
                <w:snapToGrid w:val="0"/>
              </w:rPr>
              <w:t xml:space="preserve"> </w:t>
            </w:r>
            <w:r w:rsidR="002C0537">
              <w:rPr>
                <w:snapToGrid w:val="0"/>
              </w:rPr>
              <w:t>practical</w:t>
            </w:r>
            <w:r w:rsidRPr="00412B3A">
              <w:rPr>
                <w:snapToGrid w:val="0"/>
              </w:rPr>
              <w:t xml:space="preserve"> for these licence holders </w:t>
            </w:r>
            <w:r w:rsidR="00EC1DD7">
              <w:rPr>
                <w:snapToGrid w:val="0"/>
              </w:rPr>
              <w:t xml:space="preserve">to </w:t>
            </w:r>
            <w:r w:rsidR="002C0537">
              <w:rPr>
                <w:snapToGrid w:val="0"/>
              </w:rPr>
              <w:t>pursue catch of</w:t>
            </w:r>
            <w:r w:rsidRPr="00412B3A">
              <w:rPr>
                <w:snapToGrid w:val="0"/>
              </w:rPr>
              <w:t xml:space="preserve"> their </w:t>
            </w:r>
            <w:r w:rsidR="00EC1DD7">
              <w:rPr>
                <w:snapToGrid w:val="0"/>
              </w:rPr>
              <w:t>giant crab quota or to lease it out</w:t>
            </w:r>
            <w:r w:rsidRPr="00412B3A">
              <w:rPr>
                <w:snapToGrid w:val="0"/>
              </w:rPr>
              <w:t xml:space="preserve"> due to the low quota</w:t>
            </w:r>
            <w:r w:rsidR="00EC1DD7">
              <w:rPr>
                <w:snapToGrid w:val="0"/>
              </w:rPr>
              <w:t xml:space="preserve"> lease price and transfer fees. </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865F1E">
            <w:pPr>
              <w:rPr>
                <w:rFonts w:cs="Arial"/>
                <w:b/>
                <w:snapToGrid w:val="0"/>
              </w:rPr>
            </w:pPr>
            <w:r w:rsidRPr="009B3A55">
              <w:rPr>
                <w:rFonts w:cs="Arial"/>
                <w:b/>
                <w:snapToGrid w:val="0"/>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565B53" w:rsidP="000F4600">
            <w:pPr>
              <w:rPr>
                <w:rFonts w:cs="Arial"/>
                <w:snapToGrid w:val="0"/>
                <w:color w:val="3366FF"/>
              </w:rPr>
            </w:pPr>
            <w:r w:rsidRPr="00412B3A">
              <w:t>$1.36 million</w:t>
            </w:r>
            <w:r w:rsidR="00865F1E">
              <w:t xml:space="preserve"> </w:t>
            </w:r>
            <w:r w:rsidR="000F4600">
              <w:t>in</w:t>
            </w:r>
            <w:r w:rsidR="00865F1E">
              <w:t xml:space="preserve"> </w:t>
            </w:r>
            <w:r w:rsidR="00865F1E" w:rsidRPr="00865F1E">
              <w:t>2013/14</w:t>
            </w:r>
            <w:r w:rsidR="00AB6586">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0F1C3A" w:rsidRDefault="00AB6586" w:rsidP="006D190F">
            <w:pPr>
              <w:pStyle w:val="Header"/>
              <w:spacing w:after="200" w:line="276" w:lineRule="auto"/>
            </w:pPr>
            <w:r>
              <w:t>Take of giant crab by Indigenous fishers and recreational fishers is considered negligible due to the inaccessibility of the deep, offshore waters in which giant crabs are found.</w:t>
            </w:r>
            <w:r w:rsidR="00042EFF">
              <w:t xml:space="preserve"> </w:t>
            </w:r>
            <w:r>
              <w:t>A possession limit of one giant crab applies to r</w:t>
            </w:r>
            <w:r w:rsidR="00565B53" w:rsidRPr="00412B3A">
              <w:t>ecreational fishers</w:t>
            </w:r>
            <w:r w:rsidR="00565B53">
              <w:t>.</w:t>
            </w:r>
            <w:r w:rsidR="00042EFF">
              <w:t xml:space="preserve"> </w:t>
            </w:r>
          </w:p>
          <w:p w:rsidR="006D190F" w:rsidRDefault="000F1C3A" w:rsidP="006D190F">
            <w:pPr>
              <w:pStyle w:val="Header"/>
              <w:spacing w:after="200" w:line="276" w:lineRule="auto"/>
            </w:pPr>
            <w:r>
              <w:t>Giant</w:t>
            </w:r>
            <w:r w:rsidR="00565B53" w:rsidRPr="00412B3A">
              <w:t xml:space="preserve"> crab</w:t>
            </w:r>
            <w:r>
              <w:t>s</w:t>
            </w:r>
            <w:r w:rsidR="00565B53" w:rsidRPr="00412B3A">
              <w:t xml:space="preserve"> form part of the </w:t>
            </w:r>
            <w:proofErr w:type="spellStart"/>
            <w:r w:rsidR="00565B53" w:rsidRPr="00412B3A">
              <w:t>byproduct</w:t>
            </w:r>
            <w:proofErr w:type="spellEnd"/>
            <w:r w:rsidR="00565B53" w:rsidRPr="00412B3A">
              <w:t xml:space="preserve"> of the Tasmanian Rock Lobster Fishery</w:t>
            </w:r>
            <w:r w:rsidR="000F4600">
              <w:t>, although take is minor</w:t>
            </w:r>
            <w:r w:rsidR="00565B53" w:rsidRPr="00412B3A">
              <w:t xml:space="preserve"> with an estimated </w:t>
            </w:r>
            <w:r w:rsidR="00565B53" w:rsidRPr="002E18BC">
              <w:t>87 kilograms (kg) caught in 2008/09.</w:t>
            </w:r>
            <w:r w:rsidR="00042EFF">
              <w:t xml:space="preserve"> </w:t>
            </w:r>
            <w:r w:rsidR="00565B53" w:rsidRPr="00412B3A">
              <w:t>Take of giant crab has also been reported by the Commonwealth Trawl</w:t>
            </w:r>
            <w:r w:rsidR="005F7C2B">
              <w:t xml:space="preserve"> </w:t>
            </w:r>
            <w:r>
              <w:t>S</w:t>
            </w:r>
            <w:r w:rsidR="005F7C2B">
              <w:t xml:space="preserve">ector </w:t>
            </w:r>
            <w:r w:rsidR="005F7C2B" w:rsidRPr="005F7C2B">
              <w:t xml:space="preserve">of the Commonwealth Southern and Eastern </w:t>
            </w:r>
            <w:proofErr w:type="spellStart"/>
            <w:r w:rsidR="005F7C2B" w:rsidRPr="005F7C2B">
              <w:t>Scalefish</w:t>
            </w:r>
            <w:proofErr w:type="spellEnd"/>
            <w:r w:rsidR="005F7C2B" w:rsidRPr="005F7C2B">
              <w:t xml:space="preserve"> and Shark Fishery (SESSF)</w:t>
            </w:r>
            <w:r w:rsidR="00565B53" w:rsidRPr="00412B3A">
              <w:t xml:space="preserve">. </w:t>
            </w:r>
            <w:r>
              <w:t>Giant crab catch in this fishery</w:t>
            </w:r>
            <w:r w:rsidR="005F7C2B" w:rsidRPr="005F7C2B">
              <w:t xml:space="preserve"> </w:t>
            </w:r>
            <w:r w:rsidR="00BA291C">
              <w:t>is</w:t>
            </w:r>
            <w:r w:rsidR="00565B53">
              <w:t xml:space="preserve"> </w:t>
            </w:r>
            <w:r>
              <w:t xml:space="preserve">generally around 5 t annually, but </w:t>
            </w:r>
            <w:r w:rsidR="002F5992">
              <w:t xml:space="preserve">can </w:t>
            </w:r>
            <w:r>
              <w:t>var</w:t>
            </w:r>
            <w:r w:rsidR="002F5992">
              <w:t>y</w:t>
            </w:r>
            <w:r>
              <w:t xml:space="preserve"> </w:t>
            </w:r>
            <w:r w:rsidR="00BA291C">
              <w:t>significantly</w:t>
            </w:r>
            <w:r>
              <w:t xml:space="preserve">. Catch </w:t>
            </w:r>
            <w:r w:rsidR="00565B53" w:rsidRPr="00412B3A">
              <w:t>as high as</w:t>
            </w:r>
            <w:r w:rsidR="005F7C2B">
              <w:t xml:space="preserve"> 19.6</w:t>
            </w:r>
            <w:r>
              <w:t xml:space="preserve"> </w:t>
            </w:r>
            <w:r w:rsidR="005F7C2B">
              <w:t xml:space="preserve">t </w:t>
            </w:r>
            <w:r>
              <w:t xml:space="preserve">was recorded </w:t>
            </w:r>
            <w:r w:rsidR="005F7C2B">
              <w:t>in the 2003/04 season</w:t>
            </w:r>
            <w:r>
              <w:t xml:space="preserve">, </w:t>
            </w:r>
            <w:r w:rsidR="00BA291C">
              <w:t>however in 2010</w:t>
            </w:r>
            <w:r>
              <w:t xml:space="preserve"> only 1.5 t </w:t>
            </w:r>
            <w:r w:rsidR="00BA291C">
              <w:t xml:space="preserve">was </w:t>
            </w:r>
            <w:r>
              <w:t>recorded</w:t>
            </w:r>
            <w:r w:rsidR="00BA291C">
              <w:t>.</w:t>
            </w:r>
            <w:r w:rsidR="005F7C2B">
              <w:t xml:space="preserve"> </w:t>
            </w:r>
          </w:p>
          <w:p w:rsidR="00B6012C" w:rsidRPr="005F7C2B" w:rsidRDefault="00BA291C" w:rsidP="002F5992">
            <w:pPr>
              <w:pStyle w:val="Header"/>
              <w:spacing w:after="200" w:line="276" w:lineRule="auto"/>
            </w:pPr>
            <w:r>
              <w:t>T</w:t>
            </w:r>
            <w:r w:rsidRPr="006D190F">
              <w:t>he level of interaction and overlap between the Tasmanian Giant Crab Fish</w:t>
            </w:r>
            <w:r>
              <w:t>ery and the Commonwealth Trawl S</w:t>
            </w:r>
            <w:r w:rsidRPr="006D190F">
              <w:t>ector of the SESSF</w:t>
            </w:r>
            <w:r>
              <w:t xml:space="preserve"> is an issue o</w:t>
            </w:r>
            <w:r w:rsidR="002F5992">
              <w:t>f</w:t>
            </w:r>
            <w:r>
              <w:t xml:space="preserve"> ongoing concern for Tasmanian fishers.</w:t>
            </w:r>
            <w:r w:rsidRPr="006D190F">
              <w:t xml:space="preserve"> </w:t>
            </w:r>
            <w:r w:rsidR="006D190F">
              <w:t>F</w:t>
            </w:r>
            <w:r w:rsidR="006D190F" w:rsidRPr="006D190F">
              <w:t xml:space="preserve">unding has been sought from the Fisheries Research and Development Corporation </w:t>
            </w:r>
            <w:r w:rsidR="006D190F">
              <w:t>(</w:t>
            </w:r>
            <w:r w:rsidR="006D190F" w:rsidRPr="006D190F">
              <w:t>FRDC</w:t>
            </w:r>
            <w:r w:rsidR="006D190F">
              <w:t>)</w:t>
            </w:r>
            <w:r w:rsidR="006D190F" w:rsidRPr="006D190F">
              <w:t xml:space="preserve"> to undertake a joint DPIPWE and IMAS project to investigate</w:t>
            </w:r>
            <w:r w:rsidR="00BA0882">
              <w:t xml:space="preserve"> and</w:t>
            </w:r>
            <w:r w:rsidRPr="006D190F">
              <w:t xml:space="preserve"> quantify the level of </w:t>
            </w:r>
            <w:r w:rsidR="002F5992">
              <w:t xml:space="preserve">incidental </w:t>
            </w:r>
            <w:r w:rsidRPr="006D190F">
              <w:t xml:space="preserve">mortality and </w:t>
            </w:r>
            <w:proofErr w:type="spellStart"/>
            <w:r w:rsidRPr="006D190F">
              <w:t>bycatch</w:t>
            </w:r>
            <w:proofErr w:type="spellEnd"/>
            <w:r w:rsidRPr="006D190F">
              <w:t xml:space="preserve"> </w:t>
            </w:r>
            <w:r w:rsidR="00BA0882">
              <w:t xml:space="preserve">of giant crabs </w:t>
            </w:r>
            <w:r w:rsidRPr="006D190F">
              <w:t>by trawlers</w:t>
            </w:r>
            <w:r w:rsidR="00BA0882">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0750A6" w:rsidRDefault="00565B53" w:rsidP="001955CD">
            <w:pPr>
              <w:rPr>
                <w:snapToGrid w:val="0"/>
              </w:rPr>
            </w:pPr>
            <w:r w:rsidRPr="00412B3A">
              <w:rPr>
                <w:snapToGrid w:val="0"/>
              </w:rPr>
              <w:t xml:space="preserve">A </w:t>
            </w:r>
            <w:r w:rsidR="000F4600">
              <w:rPr>
                <w:snapToGrid w:val="0"/>
              </w:rPr>
              <w:t>maximum</w:t>
            </w:r>
            <w:r w:rsidRPr="00412B3A">
              <w:rPr>
                <w:snapToGrid w:val="0"/>
              </w:rPr>
              <w:t xml:space="preserve"> of 84 licences </w:t>
            </w:r>
            <w:r w:rsidR="000F4600">
              <w:rPr>
                <w:snapToGrid w:val="0"/>
              </w:rPr>
              <w:t>can be</w:t>
            </w:r>
            <w:r w:rsidRPr="00412B3A">
              <w:rPr>
                <w:snapToGrid w:val="0"/>
              </w:rPr>
              <w:t xml:space="preserve"> issued in the </w:t>
            </w:r>
            <w:r w:rsidR="006D190F" w:rsidRPr="006D190F">
              <w:rPr>
                <w:snapToGrid w:val="0"/>
              </w:rPr>
              <w:t>Tasmanian Giant Crab Fishery</w:t>
            </w:r>
            <w:r w:rsidR="00BA0882">
              <w:rPr>
                <w:snapToGrid w:val="0"/>
              </w:rPr>
              <w:t>,</w:t>
            </w:r>
            <w:r w:rsidRPr="00412B3A">
              <w:rPr>
                <w:snapToGrid w:val="0"/>
              </w:rPr>
              <w:t xml:space="preserve"> and fishers may hold more than one giant crab licence. The </w:t>
            </w:r>
            <w:r w:rsidR="006D190F" w:rsidRPr="006D190F">
              <w:rPr>
                <w:snapToGrid w:val="0"/>
              </w:rPr>
              <w:t>Tasmanian Giant Crab Fishery</w:t>
            </w:r>
            <w:r w:rsidRPr="00412B3A">
              <w:rPr>
                <w:snapToGrid w:val="0"/>
              </w:rPr>
              <w:t xml:space="preserve"> is linked to the Tasmanian Rock Lobster Fishery through </w:t>
            </w:r>
            <w:r w:rsidR="00BA0882">
              <w:rPr>
                <w:snapToGrid w:val="0"/>
              </w:rPr>
              <w:t>a</w:t>
            </w:r>
            <w:r w:rsidR="00BA0882" w:rsidRPr="00412B3A">
              <w:rPr>
                <w:snapToGrid w:val="0"/>
              </w:rPr>
              <w:t xml:space="preserve"> </w:t>
            </w:r>
            <w:r w:rsidRPr="00412B3A">
              <w:rPr>
                <w:snapToGrid w:val="0"/>
              </w:rPr>
              <w:t xml:space="preserve">requirement to hold </w:t>
            </w:r>
            <w:r w:rsidR="00BA0882">
              <w:rPr>
                <w:snapToGrid w:val="0"/>
              </w:rPr>
              <w:t xml:space="preserve">both </w:t>
            </w:r>
            <w:r w:rsidRPr="00412B3A">
              <w:rPr>
                <w:snapToGrid w:val="0"/>
              </w:rPr>
              <w:t xml:space="preserve">a rock lobster licence </w:t>
            </w:r>
            <w:r w:rsidR="00BA0882">
              <w:rPr>
                <w:snapToGrid w:val="0"/>
              </w:rPr>
              <w:t>and</w:t>
            </w:r>
            <w:r w:rsidRPr="00412B3A">
              <w:rPr>
                <w:snapToGrid w:val="0"/>
              </w:rPr>
              <w:t xml:space="preserve"> a giant crab licence </w:t>
            </w:r>
            <w:r w:rsidR="00BA0882">
              <w:rPr>
                <w:snapToGrid w:val="0"/>
              </w:rPr>
              <w:t>in order to</w:t>
            </w:r>
            <w:r w:rsidR="00BA0882" w:rsidRPr="00412B3A">
              <w:rPr>
                <w:snapToGrid w:val="0"/>
              </w:rPr>
              <w:t xml:space="preserve"> </w:t>
            </w:r>
            <w:r w:rsidRPr="00412B3A">
              <w:rPr>
                <w:snapToGrid w:val="0"/>
              </w:rPr>
              <w:t>target giant crab</w:t>
            </w:r>
            <w:r w:rsidR="002F5992">
              <w:rPr>
                <w:snapToGrid w:val="0"/>
              </w:rPr>
              <w:t>s</w:t>
            </w:r>
            <w:r w:rsidRPr="00412B3A">
              <w:rPr>
                <w:snapToGrid w:val="0"/>
              </w:rPr>
              <w:t xml:space="preserve">. </w:t>
            </w:r>
            <w:r w:rsidR="000750A6">
              <w:rPr>
                <w:snapToGrid w:val="0"/>
              </w:rPr>
              <w:t>However, t</w:t>
            </w:r>
            <w:r w:rsidR="000750A6" w:rsidRPr="00412B3A">
              <w:rPr>
                <w:snapToGrid w:val="0"/>
              </w:rPr>
              <w:t xml:space="preserve">he </w:t>
            </w:r>
            <w:r w:rsidR="000750A6" w:rsidRPr="006D190F">
              <w:rPr>
                <w:snapToGrid w:val="0"/>
              </w:rPr>
              <w:t>Tasmanian Giant Crab Fishery</w:t>
            </w:r>
            <w:r w:rsidR="000750A6" w:rsidRPr="00412B3A">
              <w:rPr>
                <w:snapToGrid w:val="0"/>
              </w:rPr>
              <w:t xml:space="preserve"> is a specialised fishery with only a small number of </w:t>
            </w:r>
            <w:r w:rsidR="000750A6">
              <w:rPr>
                <w:snapToGrid w:val="0"/>
              </w:rPr>
              <w:t>vessels</w:t>
            </w:r>
            <w:r w:rsidR="000750A6" w:rsidRPr="00412B3A">
              <w:rPr>
                <w:snapToGrid w:val="0"/>
              </w:rPr>
              <w:t xml:space="preserve"> </w:t>
            </w:r>
            <w:r w:rsidR="000750A6">
              <w:rPr>
                <w:snapToGrid w:val="0"/>
              </w:rPr>
              <w:t xml:space="preserve">appropriately </w:t>
            </w:r>
            <w:r w:rsidR="000750A6" w:rsidRPr="00412B3A">
              <w:rPr>
                <w:snapToGrid w:val="0"/>
              </w:rPr>
              <w:t>geared to target giant crab</w:t>
            </w:r>
            <w:r w:rsidR="002F5992">
              <w:rPr>
                <w:snapToGrid w:val="0"/>
              </w:rPr>
              <w:t>s</w:t>
            </w:r>
            <w:r w:rsidR="000750A6">
              <w:rPr>
                <w:snapToGrid w:val="0"/>
              </w:rPr>
              <w:t>.</w:t>
            </w:r>
          </w:p>
          <w:p w:rsidR="00B6012C" w:rsidRPr="009B3A55" w:rsidRDefault="00565B53" w:rsidP="002F5992">
            <w:pPr>
              <w:rPr>
                <w:rFonts w:cs="Arial"/>
                <w:snapToGrid w:val="0"/>
                <w:color w:val="3366FF"/>
              </w:rPr>
            </w:pPr>
            <w:r w:rsidRPr="00412B3A">
              <w:rPr>
                <w:snapToGrid w:val="0"/>
              </w:rPr>
              <w:t>In 2013/14, 17 giant crab licences recorded catch of giant crab</w:t>
            </w:r>
            <w:r w:rsidR="000F4600">
              <w:rPr>
                <w:snapToGrid w:val="0"/>
              </w:rPr>
              <w:t>s</w:t>
            </w:r>
            <w:r w:rsidRPr="00412B3A">
              <w:rPr>
                <w:snapToGrid w:val="0"/>
              </w:rPr>
              <w:t xml:space="preserve">, with 67 licences not recording </w:t>
            </w:r>
            <w:r w:rsidRPr="00412B3A">
              <w:t>any</w:t>
            </w:r>
            <w:r w:rsidRPr="00412B3A">
              <w:rPr>
                <w:snapToGrid w:val="0"/>
              </w:rPr>
              <w:t xml:space="preserve"> harvest. </w:t>
            </w:r>
            <w:r w:rsidR="000750A6">
              <w:rPr>
                <w:snapToGrid w:val="0"/>
              </w:rPr>
              <w:t>O</w:t>
            </w:r>
            <w:r w:rsidR="000750A6" w:rsidRPr="00412B3A">
              <w:rPr>
                <w:snapToGrid w:val="0"/>
              </w:rPr>
              <w:t xml:space="preserve">f the 17 </w:t>
            </w:r>
            <w:r w:rsidR="000750A6">
              <w:rPr>
                <w:snapToGrid w:val="0"/>
              </w:rPr>
              <w:t>vessels</w:t>
            </w:r>
            <w:r w:rsidR="000750A6" w:rsidRPr="00412B3A">
              <w:rPr>
                <w:snapToGrid w:val="0"/>
              </w:rPr>
              <w:t xml:space="preserve"> that recorded landing giant crab</w:t>
            </w:r>
            <w:r w:rsidR="000750A6">
              <w:rPr>
                <w:snapToGrid w:val="0"/>
              </w:rPr>
              <w:t xml:space="preserve"> in 2013/14</w:t>
            </w:r>
            <w:r w:rsidR="000750A6" w:rsidRPr="00412B3A">
              <w:rPr>
                <w:snapToGrid w:val="0"/>
              </w:rPr>
              <w:t xml:space="preserve">, </w:t>
            </w:r>
            <w:r w:rsidR="000750A6">
              <w:rPr>
                <w:snapToGrid w:val="0"/>
              </w:rPr>
              <w:t xml:space="preserve">only </w:t>
            </w:r>
            <w:r w:rsidR="000750A6" w:rsidRPr="00412B3A">
              <w:rPr>
                <w:snapToGrid w:val="0"/>
              </w:rPr>
              <w:t xml:space="preserve">eight recorded taking more than </w:t>
            </w:r>
            <w:r w:rsidR="000750A6">
              <w:rPr>
                <w:snapToGrid w:val="0"/>
              </w:rPr>
              <w:t>one tonne</w:t>
            </w:r>
            <w:r w:rsidRPr="00412B3A">
              <w:rPr>
                <w:snapToGrid w:val="0"/>
              </w:rPr>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565B53" w:rsidRDefault="00565B53" w:rsidP="00565B53">
            <w:pPr>
              <w:rPr>
                <w:snapToGrid w:val="0"/>
              </w:rPr>
            </w:pPr>
            <w:r w:rsidRPr="00412B3A">
              <w:rPr>
                <w:snapToGrid w:val="0"/>
              </w:rPr>
              <w:t xml:space="preserve">The </w:t>
            </w:r>
            <w:r w:rsidR="006D190F" w:rsidRPr="006D190F">
              <w:rPr>
                <w:snapToGrid w:val="0"/>
              </w:rPr>
              <w:t>Tasmanian Giant Crab Fishery</w:t>
            </w:r>
            <w:r w:rsidRPr="00412B3A">
              <w:rPr>
                <w:snapToGrid w:val="0"/>
              </w:rPr>
              <w:t xml:space="preserve"> is managed under the </w:t>
            </w:r>
            <w:r w:rsidR="00CB526E" w:rsidRPr="00CB526E">
              <w:rPr>
                <w:snapToGrid w:val="0"/>
              </w:rPr>
              <w:t>Tasmanian</w:t>
            </w:r>
            <w:r w:rsidR="00CB526E" w:rsidRPr="00CB526E">
              <w:rPr>
                <w:i/>
                <w:snapToGrid w:val="0"/>
              </w:rPr>
              <w:t xml:space="preserve"> </w:t>
            </w:r>
            <w:r w:rsidR="00B178E2">
              <w:rPr>
                <w:i/>
                <w:snapToGrid w:val="0"/>
              </w:rPr>
              <w:t>Fisheries (</w:t>
            </w:r>
            <w:r w:rsidR="00C0461E">
              <w:rPr>
                <w:i/>
                <w:snapToGrid w:val="0"/>
              </w:rPr>
              <w:t>g</w:t>
            </w:r>
            <w:r w:rsidRPr="006D190F">
              <w:rPr>
                <w:i/>
                <w:snapToGrid w:val="0"/>
              </w:rPr>
              <w:t>i</w:t>
            </w:r>
            <w:r w:rsidR="00B178E2">
              <w:rPr>
                <w:i/>
                <w:snapToGrid w:val="0"/>
              </w:rPr>
              <w:t xml:space="preserve">ant </w:t>
            </w:r>
            <w:r w:rsidR="00C0461E">
              <w:rPr>
                <w:i/>
                <w:snapToGrid w:val="0"/>
              </w:rPr>
              <w:t>c</w:t>
            </w:r>
            <w:r w:rsidR="000F4600">
              <w:rPr>
                <w:i/>
                <w:snapToGrid w:val="0"/>
              </w:rPr>
              <w:t>rab) r</w:t>
            </w:r>
            <w:r w:rsidRPr="006D190F">
              <w:rPr>
                <w:i/>
                <w:snapToGrid w:val="0"/>
              </w:rPr>
              <w:t>ules 2013</w:t>
            </w:r>
            <w:r w:rsidRPr="00412B3A">
              <w:rPr>
                <w:snapToGrid w:val="0"/>
              </w:rPr>
              <w:t xml:space="preserve">, </w:t>
            </w:r>
            <w:r w:rsidR="00E6517D">
              <w:rPr>
                <w:snapToGrid w:val="0"/>
              </w:rPr>
              <w:t>under</w:t>
            </w:r>
            <w:r w:rsidRPr="00412B3A">
              <w:rPr>
                <w:snapToGrid w:val="0"/>
              </w:rPr>
              <w:t xml:space="preserve"> the Tasmanian</w:t>
            </w:r>
            <w:r w:rsidRPr="00412B3A">
              <w:rPr>
                <w:i/>
                <w:snapToGrid w:val="0"/>
              </w:rPr>
              <w:t xml:space="preserve"> Living Marine Resources Management Act 1995.</w:t>
            </w:r>
            <w:r w:rsidRPr="00412B3A">
              <w:rPr>
                <w:snapToGrid w:val="0"/>
              </w:rPr>
              <w:t xml:space="preserve"> </w:t>
            </w:r>
          </w:p>
          <w:p w:rsidR="00E6517D" w:rsidRDefault="00E6517D" w:rsidP="00E6517D">
            <w:pPr>
              <w:spacing w:after="120"/>
              <w:rPr>
                <w:snapToGrid w:val="0"/>
              </w:rPr>
            </w:pPr>
            <w:r>
              <w:rPr>
                <w:snapToGrid w:val="0"/>
              </w:rPr>
              <w:t>Under these arrangements, input controls include</w:t>
            </w:r>
            <w:r w:rsidRPr="00412B3A">
              <w:rPr>
                <w:snapToGrid w:val="0"/>
              </w:rPr>
              <w:t xml:space="preserve"> </w:t>
            </w:r>
            <w:r>
              <w:rPr>
                <w:snapToGrid w:val="0"/>
              </w:rPr>
              <w:t>l</w:t>
            </w:r>
            <w:r w:rsidRPr="00412B3A">
              <w:rPr>
                <w:snapToGrid w:val="0"/>
              </w:rPr>
              <w:t>imited entry</w:t>
            </w:r>
            <w:r>
              <w:rPr>
                <w:snapToGrid w:val="0"/>
              </w:rPr>
              <w:t>, p</w:t>
            </w:r>
            <w:r w:rsidRPr="00412B3A">
              <w:rPr>
                <w:snapToGrid w:val="0"/>
              </w:rPr>
              <w:t>ot restrictions</w:t>
            </w:r>
            <w:r>
              <w:rPr>
                <w:snapToGrid w:val="0"/>
              </w:rPr>
              <w:t xml:space="preserve"> and a seasonal spawning closure to protect females.</w:t>
            </w:r>
          </w:p>
          <w:p w:rsidR="00B6012C" w:rsidRPr="009B3A55" w:rsidRDefault="00E6517D" w:rsidP="00565B53">
            <w:pPr>
              <w:autoSpaceDE w:val="0"/>
              <w:autoSpaceDN w:val="0"/>
              <w:rPr>
                <w:rFonts w:cs="Arial"/>
                <w:snapToGrid w:val="0"/>
                <w:color w:val="3366FF"/>
              </w:rPr>
            </w:pPr>
            <w:r>
              <w:rPr>
                <w:snapToGrid w:val="0"/>
              </w:rPr>
              <w:t xml:space="preserve">Output controls </w:t>
            </w:r>
            <w:r w:rsidR="00815C47">
              <w:rPr>
                <w:snapToGrid w:val="0"/>
              </w:rPr>
              <w:t>include q</w:t>
            </w:r>
            <w:r w:rsidR="00815C47" w:rsidRPr="00412B3A">
              <w:rPr>
                <w:snapToGrid w:val="0"/>
              </w:rPr>
              <w:t xml:space="preserve">uota management </w:t>
            </w:r>
            <w:r w:rsidR="00815C47">
              <w:rPr>
                <w:snapToGrid w:val="0"/>
              </w:rPr>
              <w:t>through</w:t>
            </w:r>
            <w:r w:rsidR="00815C47" w:rsidRPr="00412B3A">
              <w:rPr>
                <w:snapToGrid w:val="0"/>
              </w:rPr>
              <w:t xml:space="preserve"> </w:t>
            </w:r>
            <w:r w:rsidR="00815C47">
              <w:rPr>
                <w:snapToGrid w:val="0"/>
              </w:rPr>
              <w:t>individual transferable quotas for giant crab, annually determined TACs, m</w:t>
            </w:r>
            <w:r w:rsidR="00815C47" w:rsidRPr="00412B3A">
              <w:rPr>
                <w:snapToGrid w:val="0"/>
              </w:rPr>
              <w:t>inimum</w:t>
            </w:r>
            <w:r w:rsidR="00815C47">
              <w:rPr>
                <w:snapToGrid w:val="0"/>
              </w:rPr>
              <w:t xml:space="preserve"> size limits</w:t>
            </w:r>
            <w:r w:rsidR="00815C47" w:rsidRPr="00412B3A">
              <w:rPr>
                <w:snapToGrid w:val="0"/>
              </w:rPr>
              <w:t xml:space="preserve"> and</w:t>
            </w:r>
            <w:r w:rsidR="00815C47">
              <w:rPr>
                <w:snapToGrid w:val="0"/>
              </w:rPr>
              <w:t xml:space="preserve"> catch limits for recreational fishers.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Export</w:t>
            </w:r>
          </w:p>
        </w:tc>
        <w:tc>
          <w:tcPr>
            <w:tcW w:w="7200" w:type="dxa"/>
            <w:tcBorders>
              <w:top w:val="single" w:sz="4" w:space="0" w:color="auto"/>
              <w:left w:val="single" w:sz="4" w:space="0" w:color="auto"/>
              <w:bottom w:val="single" w:sz="4" w:space="0" w:color="auto"/>
              <w:right w:val="single" w:sz="4" w:space="0" w:color="auto"/>
            </w:tcBorders>
          </w:tcPr>
          <w:p w:rsidR="00C0461E" w:rsidRPr="00C0461E" w:rsidRDefault="00565B53" w:rsidP="00C0461E">
            <w:r w:rsidRPr="00412B3A">
              <w:t xml:space="preserve">Live giant crabs are </w:t>
            </w:r>
            <w:r w:rsidR="00C0461E">
              <w:t>sold</w:t>
            </w:r>
            <w:r w:rsidR="00C0461E" w:rsidRPr="00412B3A">
              <w:t xml:space="preserve"> </w:t>
            </w:r>
            <w:r w:rsidRPr="00412B3A">
              <w:t>to both domestic and international (Asian) markets.</w:t>
            </w:r>
          </w:p>
        </w:tc>
      </w:tr>
    </w:tbl>
    <w:p w:rsidR="00C0461E" w:rsidRDefault="00C0461E">
      <w:r>
        <w:br w:type="page"/>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proofErr w:type="spellStart"/>
            <w:r w:rsidRPr="009B3A55">
              <w:rPr>
                <w:rFonts w:cs="Arial"/>
                <w:b/>
                <w:snapToGrid w:val="0"/>
              </w:rPr>
              <w:t>Bycatch</w:t>
            </w:r>
            <w:proofErr w:type="spellEnd"/>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565B53" w:rsidP="00776A41">
            <w:pPr>
              <w:rPr>
                <w:rFonts w:cs="Arial"/>
                <w:snapToGrid w:val="0"/>
                <w:color w:val="3366FF"/>
              </w:rPr>
            </w:pPr>
            <w:r w:rsidRPr="00412B3A">
              <w:rPr>
                <w:snapToGrid w:val="0"/>
              </w:rPr>
              <w:t xml:space="preserve">Low – </w:t>
            </w:r>
            <w:proofErr w:type="spellStart"/>
            <w:r w:rsidRPr="00412B3A">
              <w:rPr>
                <w:snapToGrid w:val="0"/>
              </w:rPr>
              <w:t>bycatch</w:t>
            </w:r>
            <w:proofErr w:type="spellEnd"/>
            <w:r w:rsidRPr="00412B3A">
              <w:rPr>
                <w:snapToGrid w:val="0"/>
              </w:rPr>
              <w:t xml:space="preserve"> in the </w:t>
            </w:r>
            <w:r w:rsidR="00B178E2" w:rsidRPr="00B178E2">
              <w:rPr>
                <w:snapToGrid w:val="0"/>
              </w:rPr>
              <w:t>Tasmanian Giant Crab Fishery</w:t>
            </w:r>
            <w:r w:rsidRPr="00412B3A">
              <w:rPr>
                <w:snapToGrid w:val="0"/>
              </w:rPr>
              <w:t xml:space="preserve"> is negligible</w:t>
            </w:r>
            <w:r w:rsidR="00C0461E">
              <w:rPr>
                <w:snapToGrid w:val="0"/>
              </w:rPr>
              <w:t xml:space="preserve"> and the fishery is considered a</w:t>
            </w:r>
            <w:r w:rsidRPr="00412B3A">
              <w:rPr>
                <w:snapToGrid w:val="0"/>
              </w:rPr>
              <w:t xml:space="preserve"> low risk to other species due to the small amount of trapping effort. The majority of </w:t>
            </w:r>
            <w:proofErr w:type="spellStart"/>
            <w:r w:rsidRPr="00412B3A">
              <w:rPr>
                <w:snapToGrid w:val="0"/>
              </w:rPr>
              <w:t>bycatch</w:t>
            </w:r>
            <w:proofErr w:type="spellEnd"/>
            <w:r w:rsidRPr="00412B3A">
              <w:rPr>
                <w:snapToGrid w:val="0"/>
              </w:rPr>
              <w:t xml:space="preserve"> species </w:t>
            </w:r>
            <w:r w:rsidR="00776A41">
              <w:rPr>
                <w:snapToGrid w:val="0"/>
              </w:rPr>
              <w:t xml:space="preserve">do not have </w:t>
            </w:r>
            <w:r w:rsidR="00815C47">
              <w:rPr>
                <w:snapToGrid w:val="0"/>
              </w:rPr>
              <w:t>swim bladders</w:t>
            </w:r>
            <w:r w:rsidR="00776A41">
              <w:rPr>
                <w:snapToGrid w:val="0"/>
              </w:rPr>
              <w:t>, so</w:t>
            </w:r>
            <w:r w:rsidR="00815C47">
              <w:rPr>
                <w:snapToGrid w:val="0"/>
              </w:rPr>
              <w:t xml:space="preserve"> </w:t>
            </w:r>
            <w:r w:rsidRPr="00412B3A">
              <w:rPr>
                <w:snapToGrid w:val="0"/>
              </w:rPr>
              <w:t>can be returned to the sea unharmed</w:t>
            </w:r>
            <w:r w:rsidR="00815C47">
              <w:rPr>
                <w:snapToGrid w:val="0"/>
              </w:rPr>
              <w:t>. T</w:t>
            </w:r>
            <w:r w:rsidRPr="00412B3A">
              <w:rPr>
                <w:snapToGrid w:val="0"/>
              </w:rPr>
              <w:t xml:space="preserve">he most abundant </w:t>
            </w:r>
            <w:proofErr w:type="spellStart"/>
            <w:r w:rsidR="00815C47">
              <w:rPr>
                <w:snapToGrid w:val="0"/>
              </w:rPr>
              <w:t>bycatch</w:t>
            </w:r>
            <w:proofErr w:type="spellEnd"/>
            <w:r w:rsidR="00815C47">
              <w:rPr>
                <w:snapToGrid w:val="0"/>
              </w:rPr>
              <w:t xml:space="preserve"> </w:t>
            </w:r>
            <w:r w:rsidRPr="00412B3A">
              <w:rPr>
                <w:snapToGrid w:val="0"/>
              </w:rPr>
              <w:t xml:space="preserve">species </w:t>
            </w:r>
            <w:r w:rsidR="00815C47">
              <w:rPr>
                <w:snapToGrid w:val="0"/>
              </w:rPr>
              <w:t>are</w:t>
            </w:r>
            <w:r w:rsidR="00815C47" w:rsidRPr="00412B3A">
              <w:rPr>
                <w:snapToGrid w:val="0"/>
              </w:rPr>
              <w:t xml:space="preserve"> </w:t>
            </w:r>
            <w:r w:rsidR="00815C47">
              <w:rPr>
                <w:snapToGrid w:val="0"/>
              </w:rPr>
              <w:t>h</w:t>
            </w:r>
            <w:r w:rsidRPr="00412B3A">
              <w:rPr>
                <w:snapToGrid w:val="0"/>
              </w:rPr>
              <w:t xml:space="preserve">ermit </w:t>
            </w:r>
            <w:r w:rsidR="00815C47">
              <w:rPr>
                <w:snapToGrid w:val="0"/>
              </w:rPr>
              <w:t>c</w:t>
            </w:r>
            <w:r w:rsidRPr="00412B3A">
              <w:rPr>
                <w:snapToGrid w:val="0"/>
              </w:rPr>
              <w:t>rab</w:t>
            </w:r>
            <w:r w:rsidR="00815C47">
              <w:rPr>
                <w:snapToGrid w:val="0"/>
              </w:rPr>
              <w:t>s</w:t>
            </w:r>
            <w:r w:rsidRPr="00412B3A">
              <w:rPr>
                <w:snapToGrid w:val="0"/>
              </w:rPr>
              <w:t xml:space="preserve"> (</w:t>
            </w:r>
            <w:proofErr w:type="spellStart"/>
            <w:r w:rsidR="00776A41">
              <w:rPr>
                <w:i/>
                <w:snapToGrid w:val="0"/>
              </w:rPr>
              <w:t>Trizopagarus</w:t>
            </w:r>
            <w:proofErr w:type="spellEnd"/>
            <w:r w:rsidR="00776A41">
              <w:rPr>
                <w:i/>
                <w:snapToGrid w:val="0"/>
              </w:rPr>
              <w:t> </w:t>
            </w:r>
            <w:proofErr w:type="spellStart"/>
            <w:r w:rsidRPr="00412B3A">
              <w:rPr>
                <w:i/>
                <w:snapToGrid w:val="0"/>
              </w:rPr>
              <w:t>strigimanus</w:t>
            </w:r>
            <w:proofErr w:type="spellEnd"/>
            <w:r w:rsidRPr="00412B3A">
              <w:rPr>
                <w:snapToGrid w:val="0"/>
              </w:rPr>
              <w:t>)</w:t>
            </w:r>
            <w:r w:rsidR="006D190F" w:rsidRPr="00412B3A">
              <w:rPr>
                <w:snapToGrid w:val="0"/>
              </w:rPr>
              <w:t>, and</w:t>
            </w:r>
            <w:r w:rsidRPr="00412B3A">
              <w:rPr>
                <w:snapToGrid w:val="0"/>
              </w:rPr>
              <w:t xml:space="preserve"> </w:t>
            </w:r>
            <w:r w:rsidR="00815C47">
              <w:rPr>
                <w:snapToGrid w:val="0"/>
              </w:rPr>
              <w:t>d</w:t>
            </w:r>
            <w:r w:rsidRPr="00412B3A">
              <w:rPr>
                <w:snapToGrid w:val="0"/>
              </w:rPr>
              <w:t xml:space="preserve">raughtboard </w:t>
            </w:r>
            <w:r w:rsidR="00815C47">
              <w:rPr>
                <w:snapToGrid w:val="0"/>
              </w:rPr>
              <w:t>s</w:t>
            </w:r>
            <w:r w:rsidRPr="00412B3A">
              <w:rPr>
                <w:snapToGrid w:val="0"/>
              </w:rPr>
              <w:t>hark</w:t>
            </w:r>
            <w:r w:rsidR="00815C47">
              <w:rPr>
                <w:snapToGrid w:val="0"/>
              </w:rPr>
              <w:t>s</w:t>
            </w:r>
            <w:r w:rsidRPr="00412B3A">
              <w:rPr>
                <w:snapToGrid w:val="0"/>
              </w:rPr>
              <w:t xml:space="preserve"> (</w:t>
            </w:r>
            <w:proofErr w:type="spellStart"/>
            <w:r w:rsidRPr="00412B3A">
              <w:rPr>
                <w:rStyle w:val="Emphasis"/>
              </w:rPr>
              <w:t>Cephaloscyllium</w:t>
            </w:r>
            <w:proofErr w:type="spellEnd"/>
            <w:r w:rsidRPr="00412B3A">
              <w:rPr>
                <w:rStyle w:val="Emphasis"/>
              </w:rPr>
              <w:t xml:space="preserve"> </w:t>
            </w:r>
            <w:proofErr w:type="spellStart"/>
            <w:r w:rsidRPr="00412B3A">
              <w:rPr>
                <w:rStyle w:val="Emphasis"/>
              </w:rPr>
              <w:t>laticeps</w:t>
            </w:r>
            <w:proofErr w:type="spellEnd"/>
            <w:r w:rsidRPr="00412B3A">
              <w:rPr>
                <w:rStyle w:val="Emphasis"/>
              </w:rPr>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Interaction with Protected Species</w:t>
            </w:r>
            <w:r w:rsidRPr="009B3A55">
              <w:rPr>
                <w:rStyle w:val="FootnoteReference"/>
                <w:rFonts w:cs="Arial"/>
                <w:b/>
                <w:snapToGrid w:val="0"/>
              </w:rPr>
              <w:footnoteReference w:id="1"/>
            </w:r>
          </w:p>
        </w:tc>
        <w:tc>
          <w:tcPr>
            <w:tcW w:w="7200" w:type="dxa"/>
            <w:tcBorders>
              <w:top w:val="single" w:sz="4" w:space="0" w:color="auto"/>
              <w:left w:val="single" w:sz="4" w:space="0" w:color="auto"/>
              <w:bottom w:val="single" w:sz="4" w:space="0" w:color="auto"/>
              <w:right w:val="single" w:sz="4" w:space="0" w:color="auto"/>
            </w:tcBorders>
          </w:tcPr>
          <w:p w:rsidR="00141E00" w:rsidRDefault="00815C47" w:rsidP="00565B53">
            <w:r>
              <w:t xml:space="preserve">Risk of interactions with protected species </w:t>
            </w:r>
            <w:r w:rsidR="00EC50B3">
              <w:t xml:space="preserve">is </w:t>
            </w:r>
            <w:r>
              <w:t>considered negligible, due to the s</w:t>
            </w:r>
            <w:r w:rsidR="005F7483">
              <w:t>electivity of the fishing</w:t>
            </w:r>
            <w:r>
              <w:t xml:space="preserve"> gear</w:t>
            </w:r>
            <w:r w:rsidR="005F7483">
              <w:t>, the depth of the water where fishing occurs</w:t>
            </w:r>
            <w:r w:rsidR="00EC50B3">
              <w:t xml:space="preserve"> and reduction in catches over winter months during whale migration seasons, supported by the seasonal closure for spawning female giant crabs.</w:t>
            </w:r>
            <w:r w:rsidR="00042EFF">
              <w:t xml:space="preserve"> </w:t>
            </w:r>
            <w:r w:rsidR="00EC50B3">
              <w:t>The</w:t>
            </w:r>
            <w:r w:rsidR="005F7483">
              <w:t xml:space="preserve"> distance of fishing effort from coastal areas</w:t>
            </w:r>
            <w:r w:rsidR="00B22D76">
              <w:t xml:space="preserve"> </w:t>
            </w:r>
            <w:r w:rsidR="00B14530">
              <w:t>further</w:t>
            </w:r>
            <w:r w:rsidR="00EC50B3">
              <w:t xml:space="preserve"> reduces the risk of interactions with</w:t>
            </w:r>
            <w:r w:rsidR="00B22D76">
              <w:t xml:space="preserve"> protected </w:t>
            </w:r>
            <w:proofErr w:type="spellStart"/>
            <w:r w:rsidR="00EC50B3">
              <w:t>pinniped</w:t>
            </w:r>
            <w:proofErr w:type="spellEnd"/>
            <w:r w:rsidR="00EC50B3">
              <w:t xml:space="preserve"> </w:t>
            </w:r>
            <w:r w:rsidR="00B22D76">
              <w:t>species</w:t>
            </w:r>
            <w:r w:rsidR="00EC50B3">
              <w:t>, particularly juveniles</w:t>
            </w:r>
            <w:r w:rsidR="005F7483">
              <w:t>.</w:t>
            </w:r>
            <w:r>
              <w:t xml:space="preserve"> </w:t>
            </w:r>
          </w:p>
          <w:p w:rsidR="00565B53" w:rsidRPr="00412B3A" w:rsidRDefault="00141E00" w:rsidP="00565B53">
            <w:r>
              <w:t xml:space="preserve">Interactions with protected species are recorded in log books that are provided on a monthly basis to DPIPWE, with the data forwarded to IMAS. </w:t>
            </w:r>
            <w:r w:rsidR="00CF70AA">
              <w:t>C</w:t>
            </w:r>
            <w:r>
              <w:t xml:space="preserve">onsolidated assessments on all aspects of the fishery’s performance, including protected species interactions, are provided by IMAS on a two yearly basis, </w:t>
            </w:r>
            <w:r w:rsidR="00CF70AA">
              <w:t xml:space="preserve">although </w:t>
            </w:r>
            <w:r>
              <w:t xml:space="preserve">interactions with EPBC Act listed species, such as whales, are </w:t>
            </w:r>
            <w:r w:rsidR="00CF70AA">
              <w:t xml:space="preserve">noted by DPIPWE as they occur. </w:t>
            </w:r>
            <w:r w:rsidR="00565B53" w:rsidRPr="00412B3A">
              <w:t xml:space="preserve">No protected species interactions were reported </w:t>
            </w:r>
            <w:r w:rsidR="00565B53">
              <w:t xml:space="preserve">in </w:t>
            </w:r>
            <w:r w:rsidR="00CF70AA">
              <w:t xml:space="preserve">the IMAS </w:t>
            </w:r>
            <w:r w:rsidR="00CF70AA" w:rsidRPr="005A3C4B">
              <w:rPr>
                <w:rFonts w:cs="Arial"/>
                <w:i/>
              </w:rPr>
              <w:t>Fishery Assessment Report: Tasmanian Giant Crab Fishery 2009/10</w:t>
            </w:r>
            <w:r w:rsidR="007464D5" w:rsidRPr="007464D5">
              <w:rPr>
                <w:rFonts w:cs="Arial"/>
              </w:rPr>
              <w:t>, and</w:t>
            </w:r>
            <w:r w:rsidR="00CF70AA">
              <w:t xml:space="preserve"> no interactions with EPBC Act listed species have been noted by DPIPWE since this time. </w:t>
            </w:r>
            <w:r w:rsidR="00B14530">
              <w:t>The next</w:t>
            </w:r>
            <w:r w:rsidR="00CF70AA">
              <w:t xml:space="preserve"> consolidated IMAS assessment of the fishery is expected in late 2014, after the 2011/12 assessment was missed.</w:t>
            </w:r>
          </w:p>
          <w:p w:rsidR="00B6012C" w:rsidRPr="009B3A55" w:rsidRDefault="00565B53" w:rsidP="00B178E2">
            <w:pPr>
              <w:rPr>
                <w:rFonts w:cs="Arial"/>
                <w:snapToGrid w:val="0"/>
                <w:color w:val="3366FF"/>
              </w:rPr>
            </w:pPr>
            <w:r w:rsidRPr="00412B3A">
              <w:t xml:space="preserve">Under sections 199, 214, 232 and 256 of the </w:t>
            </w:r>
            <w:r w:rsidRPr="00412B3A">
              <w:rPr>
                <w:i/>
              </w:rPr>
              <w:t xml:space="preserve">Environment Protection and Biodiversity Conservation Act </w:t>
            </w:r>
            <w:r w:rsidRPr="00412B3A">
              <w:t xml:space="preserve">1999 (EPBC Act), persons who interact with a protected species must report that interaction within seven days of the incident occurring to </w:t>
            </w:r>
            <w:r w:rsidR="00B178E2">
              <w:t>the Department of the Environment</w:t>
            </w:r>
            <w:r w:rsidRPr="00412B3A">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5F7483" w:rsidP="006D3448">
            <w:pPr>
              <w:rPr>
                <w:rFonts w:cs="Arial"/>
                <w:color w:val="3366FF"/>
                <w:highlight w:val="yellow"/>
              </w:rPr>
            </w:pPr>
            <w:r>
              <w:t>Fishing effort in the</w:t>
            </w:r>
            <w:r w:rsidRPr="00412B3A">
              <w:t xml:space="preserve"> </w:t>
            </w:r>
            <w:r w:rsidR="00B178E2" w:rsidRPr="00B178E2">
              <w:t>Tasmanian Giant Crab Fishery</w:t>
            </w:r>
            <w:r w:rsidR="00565B53" w:rsidRPr="00412B3A">
              <w:t xml:space="preserve"> </w:t>
            </w:r>
            <w:r>
              <w:t>occurs</w:t>
            </w:r>
            <w:r w:rsidR="00565B53" w:rsidRPr="00412B3A">
              <w:t xml:space="preserve"> mainly on habitat found along the edge of the continental shelf</w:t>
            </w:r>
            <w:r>
              <w:t>,</w:t>
            </w:r>
            <w:r w:rsidR="00565B53" w:rsidRPr="00412B3A">
              <w:t xml:space="preserve"> on </w:t>
            </w:r>
            <w:proofErr w:type="spellStart"/>
            <w:r w:rsidR="00565B53" w:rsidRPr="00412B3A">
              <w:t>bry</w:t>
            </w:r>
            <w:r>
              <w:t>o</w:t>
            </w:r>
            <w:r w:rsidR="00565B53" w:rsidRPr="00412B3A">
              <w:t>zoan</w:t>
            </w:r>
            <w:proofErr w:type="spellEnd"/>
            <w:r w:rsidR="00565B53" w:rsidRPr="00412B3A">
              <w:t xml:space="preserve"> turf growing on sand and mud sediments. The impact of </w:t>
            </w:r>
            <w:r w:rsidR="00B178E2">
              <w:t xml:space="preserve">the </w:t>
            </w:r>
            <w:r>
              <w:t>fishery</w:t>
            </w:r>
            <w:r w:rsidR="00565B53" w:rsidRPr="00412B3A">
              <w:t xml:space="preserve"> on </w:t>
            </w:r>
            <w:r>
              <w:t xml:space="preserve">this </w:t>
            </w:r>
            <w:r w:rsidR="00565B53" w:rsidRPr="00412B3A">
              <w:t xml:space="preserve">habitat is considered to be low because gear </w:t>
            </w:r>
            <w:r>
              <w:t>is limited in size and is</w:t>
            </w:r>
            <w:r w:rsidR="000A7037">
              <w:t xml:space="preserve"> static when it rests on the benthos.</w:t>
            </w:r>
            <w:r w:rsidR="00042EFF">
              <w:t xml:space="preserve"> </w:t>
            </w:r>
            <w:r w:rsidR="00565B53" w:rsidRPr="00412B3A">
              <w:t xml:space="preserve"> </w:t>
            </w:r>
          </w:p>
        </w:tc>
      </w:tr>
    </w:tbl>
    <w:p w:rsidR="00B6012C" w:rsidRPr="00F6308F" w:rsidRDefault="00B6012C" w:rsidP="001955CD">
      <w:pPr>
        <w:tabs>
          <w:tab w:val="left" w:pos="360"/>
        </w:tabs>
        <w:rPr>
          <w:rFonts w:cs="Arial"/>
        </w:rPr>
      </w:pPr>
    </w:p>
    <w:p w:rsidR="00B6012C" w:rsidRPr="00F6308F" w:rsidRDefault="00B6012C" w:rsidP="001955CD">
      <w:pPr>
        <w:rPr>
          <w:rFonts w:cs="Arial"/>
          <w:b/>
        </w:rPr>
        <w:sectPr w:rsidR="00B6012C" w:rsidRPr="00F6308F" w:rsidSect="001955CD">
          <w:footerReference w:type="default" r:id="rId17"/>
          <w:footerReference w:type="first" r:id="rId18"/>
          <w:pgSz w:w="11906" w:h="16838" w:code="9"/>
          <w:pgMar w:top="1134" w:right="1418" w:bottom="1134" w:left="1418" w:header="709" w:footer="709" w:gutter="0"/>
          <w:pgNumType w:start="1"/>
          <w:cols w:space="708"/>
          <w:docGrid w:linePitch="360"/>
        </w:sectPr>
      </w:pPr>
    </w:p>
    <w:p w:rsidR="00B6012C" w:rsidRPr="007430E0" w:rsidRDefault="00B6012C" w:rsidP="007430E0">
      <w:pPr>
        <w:pStyle w:val="Heading3"/>
        <w:rPr>
          <w:rStyle w:val="Emphasis"/>
        </w:rPr>
      </w:pPr>
      <w:bookmarkStart w:id="1" w:name="_Toc316301049"/>
      <w:r w:rsidRPr="007430E0">
        <w:rPr>
          <w:rStyle w:val="Emphasis"/>
        </w:rPr>
        <w:t xml:space="preserve">Table 2: Progress in implementation of </w:t>
      </w:r>
      <w:r w:rsidR="00FE2560">
        <w:rPr>
          <w:rStyle w:val="Emphasis"/>
        </w:rPr>
        <w:t>recommendations made in 2009</w:t>
      </w:r>
      <w:r w:rsidRPr="007430E0">
        <w:rPr>
          <w:rStyle w:val="Emphasis"/>
        </w:rPr>
        <w:t xml:space="preserve"> assessment of the </w:t>
      </w:r>
      <w:bookmarkEnd w:id="1"/>
      <w:r w:rsidR="00FE2560">
        <w:rPr>
          <w:rStyle w:val="Emphasis"/>
        </w:rPr>
        <w:t>Tasmanian Giant Crab 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B6012C" w:rsidRPr="00C956CD" w:rsidTr="001955CD">
        <w:trPr>
          <w:cantSplit/>
          <w:tblHeader/>
        </w:trPr>
        <w:tc>
          <w:tcPr>
            <w:tcW w:w="3528" w:type="dxa"/>
            <w:shd w:val="clear" w:color="auto" w:fill="D9D9D9"/>
            <w:tcMar>
              <w:top w:w="57" w:type="dxa"/>
            </w:tcMar>
          </w:tcPr>
          <w:p w:rsidR="00B6012C" w:rsidRPr="00C956CD" w:rsidRDefault="00B6012C" w:rsidP="001955CD">
            <w:pPr>
              <w:rPr>
                <w:rFonts w:cs="Arial"/>
              </w:rPr>
            </w:pPr>
            <w:r w:rsidRPr="00C956CD">
              <w:rPr>
                <w:rFonts w:cs="Arial"/>
                <w:b/>
              </w:rPr>
              <w:t>Recommendation</w:t>
            </w:r>
          </w:p>
        </w:tc>
        <w:tc>
          <w:tcPr>
            <w:tcW w:w="5040" w:type="dxa"/>
            <w:shd w:val="clear" w:color="auto" w:fill="D9D9D9"/>
            <w:tcMar>
              <w:top w:w="57" w:type="dxa"/>
            </w:tcMar>
          </w:tcPr>
          <w:p w:rsidR="00B6012C" w:rsidRPr="00C956CD" w:rsidRDefault="00B6012C" w:rsidP="001955CD">
            <w:pPr>
              <w:pStyle w:val="bodytext"/>
              <w:spacing w:after="0" w:line="276" w:lineRule="auto"/>
              <w:jc w:val="left"/>
              <w:rPr>
                <w:rFonts w:cs="Arial"/>
                <w:color w:val="3366FF"/>
                <w:szCs w:val="22"/>
                <w:lang w:eastAsia="en-AU"/>
              </w:rPr>
            </w:pPr>
            <w:r w:rsidRPr="00C956CD">
              <w:rPr>
                <w:rFonts w:cs="Arial"/>
                <w:b/>
                <w:szCs w:val="22"/>
              </w:rPr>
              <w:t>Progress</w:t>
            </w:r>
          </w:p>
        </w:tc>
        <w:tc>
          <w:tcPr>
            <w:tcW w:w="5760" w:type="dxa"/>
            <w:shd w:val="clear" w:color="auto" w:fill="D9D9D9"/>
            <w:tcMar>
              <w:top w:w="57" w:type="dxa"/>
            </w:tcMar>
          </w:tcPr>
          <w:p w:rsidR="00B6012C" w:rsidRPr="00C956CD" w:rsidRDefault="00B6012C" w:rsidP="001955CD">
            <w:pPr>
              <w:rPr>
                <w:rFonts w:cs="Arial"/>
                <w:highlight w:val="cyan"/>
              </w:rPr>
            </w:pPr>
            <w:r w:rsidRPr="00C956CD">
              <w:rPr>
                <w:rFonts w:cs="Arial"/>
                <w:b/>
              </w:rPr>
              <w:t>Recommended Action</w:t>
            </w:r>
          </w:p>
        </w:tc>
      </w:tr>
      <w:tr w:rsidR="00B6012C" w:rsidRPr="00C956CD" w:rsidTr="001955CD">
        <w:trPr>
          <w:cantSplit/>
        </w:trPr>
        <w:tc>
          <w:tcPr>
            <w:tcW w:w="3528" w:type="dxa"/>
            <w:tcMar>
              <w:top w:w="57" w:type="dxa"/>
            </w:tcMar>
          </w:tcPr>
          <w:p w:rsidR="00B6012C" w:rsidRPr="00C956CD" w:rsidRDefault="00FE2560" w:rsidP="00B6012C">
            <w:pPr>
              <w:pStyle w:val="ListNumber"/>
              <w:numPr>
                <w:ilvl w:val="0"/>
                <w:numId w:val="32"/>
              </w:numPr>
              <w:contextualSpacing/>
              <w:rPr>
                <w:rFonts w:cs="Arial"/>
              </w:rPr>
            </w:pPr>
            <w:r w:rsidRPr="005C06B9">
              <w:rPr>
                <w:rFonts w:cs="Arial"/>
                <w:color w:val="000000"/>
              </w:rPr>
              <w:t xml:space="preserve">Operation of the fishery will be carried out in accordance with the Fisheries (Giant Crab) Rules 2006 made under the Tasmanian </w:t>
            </w:r>
            <w:r w:rsidRPr="006D50FB">
              <w:rPr>
                <w:rFonts w:cs="Arial"/>
                <w:i/>
                <w:color w:val="000000"/>
              </w:rPr>
              <w:t>Living Marine Resources Management Act 1995</w:t>
            </w:r>
            <w:r w:rsidRPr="005C06B9">
              <w:rPr>
                <w:rFonts w:cs="Arial"/>
                <w:color w:val="000000"/>
              </w:rPr>
              <w:t>.</w:t>
            </w:r>
          </w:p>
        </w:tc>
        <w:tc>
          <w:tcPr>
            <w:tcW w:w="5040" w:type="dxa"/>
            <w:tcMar>
              <w:top w:w="57" w:type="dxa"/>
            </w:tcMar>
          </w:tcPr>
          <w:p w:rsidR="00FE2560" w:rsidRPr="00F15043" w:rsidRDefault="00FE2560" w:rsidP="00FE2560">
            <w:pPr>
              <w:rPr>
                <w:rFonts w:eastAsia="Times New Roman" w:cs="Arial"/>
                <w:lang w:eastAsia="en-AU"/>
              </w:rPr>
            </w:pPr>
            <w:r w:rsidRPr="00F15043">
              <w:rPr>
                <w:rFonts w:eastAsia="Times New Roman" w:cs="Arial"/>
                <w:lang w:eastAsia="en-AU"/>
              </w:rPr>
              <w:t>The fishery has operated in accordance with the legislated management regime over the course of the current export approval.</w:t>
            </w:r>
          </w:p>
          <w:p w:rsidR="00B6012C" w:rsidRPr="00C956CD" w:rsidRDefault="00B6012C" w:rsidP="001955CD">
            <w:pPr>
              <w:pStyle w:val="bodytext"/>
              <w:spacing w:after="200" w:line="276" w:lineRule="auto"/>
              <w:jc w:val="left"/>
              <w:rPr>
                <w:rFonts w:cs="Arial"/>
                <w:color w:val="3366FF"/>
                <w:szCs w:val="22"/>
                <w:lang w:eastAsia="en-AU"/>
              </w:rPr>
            </w:pPr>
          </w:p>
        </w:tc>
        <w:tc>
          <w:tcPr>
            <w:tcW w:w="5760" w:type="dxa"/>
            <w:tcMar>
              <w:top w:w="57" w:type="dxa"/>
            </w:tcMar>
          </w:tcPr>
          <w:p w:rsidR="00FE2560" w:rsidRPr="00C956CD" w:rsidRDefault="00FE2560" w:rsidP="00FE2560">
            <w:pPr>
              <w:rPr>
                <w:rFonts w:cs="Arial"/>
                <w:highlight w:val="cyan"/>
              </w:rPr>
            </w:pPr>
            <w:r w:rsidRPr="00C956CD">
              <w:rPr>
                <w:rFonts w:cs="Arial"/>
              </w:rPr>
              <w:t xml:space="preserve">The Department of </w:t>
            </w:r>
            <w:r>
              <w:rPr>
                <w:rFonts w:cs="Arial"/>
              </w:rPr>
              <w:t xml:space="preserve">the Environment </w:t>
            </w:r>
            <w:r w:rsidRPr="00C956CD">
              <w:rPr>
                <w:rFonts w:cs="Arial"/>
              </w:rPr>
              <w:t>considers that this recommendation has been met.</w:t>
            </w:r>
          </w:p>
          <w:p w:rsidR="00B6012C" w:rsidRPr="00C956CD" w:rsidRDefault="00FE2560" w:rsidP="00FE2560">
            <w:pPr>
              <w:rPr>
                <w:rFonts w:cs="Arial"/>
              </w:rPr>
            </w:pPr>
            <w:r w:rsidRPr="00413DF4">
              <w:rPr>
                <w:rFonts w:cs="Arial"/>
              </w:rPr>
              <w:t>T</w:t>
            </w:r>
            <w:r>
              <w:rPr>
                <w:rFonts w:cs="Arial"/>
              </w:rPr>
              <w:t xml:space="preserve">he Department </w:t>
            </w:r>
            <w:r>
              <w:t>proposes</w:t>
            </w:r>
            <w:r w:rsidRPr="00413DF4">
              <w:rPr>
                <w:rFonts w:cs="Arial"/>
              </w:rPr>
              <w:t xml:space="preserve"> that this action be continued</w:t>
            </w:r>
            <w:r w:rsidRPr="00440257">
              <w:rPr>
                <w:rFonts w:cs="Arial"/>
              </w:rPr>
              <w:t xml:space="preserve"> </w:t>
            </w:r>
            <w:r w:rsidRPr="00413DF4">
              <w:rPr>
                <w:rFonts w:cs="Arial"/>
              </w:rPr>
              <w:t xml:space="preserve">(see </w:t>
            </w:r>
            <w:r w:rsidRPr="00440257">
              <w:rPr>
                <w:rFonts w:cs="Arial"/>
                <w:b/>
              </w:rPr>
              <w:t>Recommendation 1, Table 4</w:t>
            </w:r>
            <w:r w:rsidRPr="00413DF4">
              <w:rPr>
                <w:rFonts w:cs="Arial"/>
              </w:rPr>
              <w:t>).</w:t>
            </w:r>
          </w:p>
        </w:tc>
      </w:tr>
      <w:tr w:rsidR="00A4113A" w:rsidRPr="00C956CD" w:rsidTr="001955CD">
        <w:trPr>
          <w:cantSplit/>
        </w:trPr>
        <w:tc>
          <w:tcPr>
            <w:tcW w:w="3528" w:type="dxa"/>
            <w:tcMar>
              <w:top w:w="57" w:type="dxa"/>
            </w:tcMar>
          </w:tcPr>
          <w:p w:rsidR="00A4113A" w:rsidRPr="00C956CD" w:rsidRDefault="00A4113A" w:rsidP="00B6012C">
            <w:pPr>
              <w:pStyle w:val="ListNumber"/>
              <w:numPr>
                <w:ilvl w:val="0"/>
                <w:numId w:val="32"/>
              </w:numPr>
              <w:contextualSpacing/>
              <w:rPr>
                <w:rFonts w:cs="Arial"/>
              </w:rPr>
            </w:pPr>
            <w:r w:rsidRPr="005C06B9">
              <w:rPr>
                <w:rFonts w:cs="Arial"/>
                <w:color w:val="000000"/>
              </w:rPr>
              <w:t>DPIW to inform DEWHA of any intended amendments to the TGCF management arrangements that may affect the assessment of the fishery against the criteria on which EPBC Act decisions are based.</w:t>
            </w:r>
          </w:p>
        </w:tc>
        <w:tc>
          <w:tcPr>
            <w:tcW w:w="5040" w:type="dxa"/>
            <w:tcMar>
              <w:top w:w="57" w:type="dxa"/>
            </w:tcMar>
          </w:tcPr>
          <w:p w:rsidR="00A4113A" w:rsidRPr="00B77AA5" w:rsidRDefault="00A4113A" w:rsidP="001955CD">
            <w:pPr>
              <w:pStyle w:val="bodytext"/>
              <w:spacing w:after="200" w:line="276" w:lineRule="auto"/>
              <w:jc w:val="left"/>
              <w:rPr>
                <w:rFonts w:cs="Arial"/>
                <w:szCs w:val="22"/>
                <w:lang w:eastAsia="en-AU"/>
              </w:rPr>
            </w:pPr>
            <w:r w:rsidRPr="00B77AA5">
              <w:rPr>
                <w:rFonts w:cs="Arial"/>
                <w:szCs w:val="22"/>
                <w:lang w:eastAsia="en-AU"/>
              </w:rPr>
              <w:t>The</w:t>
            </w:r>
            <w:r>
              <w:rPr>
                <w:rFonts w:cs="Arial"/>
                <w:szCs w:val="22"/>
                <w:lang w:eastAsia="en-AU"/>
              </w:rPr>
              <w:t xml:space="preserve"> Department of Primary Industries, Parks, Water, and Environment (DPIPWE) has advised the Department of management changes that have occurred in the fishery, in particular, the 2013 management plan change.</w:t>
            </w:r>
            <w:r w:rsidR="00042EFF">
              <w:rPr>
                <w:rFonts w:cs="Arial"/>
                <w:szCs w:val="22"/>
                <w:lang w:eastAsia="en-AU"/>
              </w:rPr>
              <w:t xml:space="preserve"> </w:t>
            </w:r>
          </w:p>
        </w:tc>
        <w:tc>
          <w:tcPr>
            <w:tcW w:w="5760" w:type="dxa"/>
            <w:tcMar>
              <w:top w:w="57" w:type="dxa"/>
            </w:tcMar>
          </w:tcPr>
          <w:p w:rsidR="00A4113A" w:rsidRPr="00C956CD" w:rsidRDefault="00A4113A" w:rsidP="00A4113A">
            <w:pPr>
              <w:rPr>
                <w:rFonts w:cs="Arial"/>
                <w:highlight w:val="cyan"/>
              </w:rPr>
            </w:pPr>
            <w:r w:rsidRPr="00C956CD">
              <w:rPr>
                <w:rFonts w:cs="Arial"/>
              </w:rPr>
              <w:t xml:space="preserve">The Department of </w:t>
            </w:r>
            <w:r>
              <w:rPr>
                <w:rFonts w:cs="Arial"/>
              </w:rPr>
              <w:t xml:space="preserve">the Environment </w:t>
            </w:r>
            <w:r w:rsidRPr="00C956CD">
              <w:rPr>
                <w:rFonts w:cs="Arial"/>
              </w:rPr>
              <w:t>considers that this recommendation has been met.</w:t>
            </w:r>
          </w:p>
          <w:p w:rsidR="00A4113A" w:rsidRPr="00C956CD" w:rsidRDefault="00A4113A" w:rsidP="00A4113A">
            <w:pPr>
              <w:rPr>
                <w:rFonts w:cs="Arial"/>
              </w:rPr>
            </w:pPr>
            <w:r w:rsidRPr="00413DF4">
              <w:rPr>
                <w:rFonts w:cs="Arial"/>
              </w:rPr>
              <w:t>T</w:t>
            </w:r>
            <w:r>
              <w:rPr>
                <w:rFonts w:cs="Arial"/>
              </w:rPr>
              <w:t xml:space="preserve">he Department </w:t>
            </w:r>
            <w:r>
              <w:t>proposes</w:t>
            </w:r>
            <w:r w:rsidRPr="00413DF4">
              <w:rPr>
                <w:rFonts w:cs="Arial"/>
              </w:rPr>
              <w:t xml:space="preserve"> that this action be continued</w:t>
            </w:r>
            <w:r w:rsidRPr="00440257">
              <w:rPr>
                <w:rFonts w:cs="Arial"/>
              </w:rPr>
              <w:t xml:space="preserve"> </w:t>
            </w:r>
            <w:r w:rsidRPr="00413DF4">
              <w:rPr>
                <w:rFonts w:cs="Arial"/>
              </w:rPr>
              <w:t xml:space="preserve">(see </w:t>
            </w:r>
            <w:r>
              <w:rPr>
                <w:rFonts w:cs="Arial"/>
                <w:b/>
              </w:rPr>
              <w:t>Recommendation 2</w:t>
            </w:r>
            <w:r w:rsidRPr="00440257">
              <w:rPr>
                <w:rFonts w:cs="Arial"/>
                <w:b/>
              </w:rPr>
              <w:t>, Table 4</w:t>
            </w:r>
            <w:r w:rsidRPr="00413DF4">
              <w:rPr>
                <w:rFonts w:cs="Arial"/>
              </w:rPr>
              <w:t>).</w:t>
            </w:r>
          </w:p>
        </w:tc>
      </w:tr>
      <w:tr w:rsidR="00A4113A" w:rsidRPr="00C956CD" w:rsidTr="001955CD">
        <w:trPr>
          <w:cantSplit/>
        </w:trPr>
        <w:tc>
          <w:tcPr>
            <w:tcW w:w="3528" w:type="dxa"/>
            <w:tcMar>
              <w:top w:w="57" w:type="dxa"/>
            </w:tcMar>
          </w:tcPr>
          <w:p w:rsidR="00A4113A" w:rsidRPr="005C06B9" w:rsidRDefault="00A4113A" w:rsidP="00B6012C">
            <w:pPr>
              <w:pStyle w:val="ListNumber"/>
              <w:numPr>
                <w:ilvl w:val="0"/>
                <w:numId w:val="32"/>
              </w:numPr>
              <w:contextualSpacing/>
              <w:rPr>
                <w:rFonts w:cs="Arial"/>
                <w:color w:val="000000"/>
              </w:rPr>
            </w:pPr>
            <w:r w:rsidRPr="005C06B9">
              <w:rPr>
                <w:rFonts w:cs="Arial"/>
                <w:color w:val="000000"/>
              </w:rPr>
              <w:t xml:space="preserve">DPIW to produce and present reports to DEWHA annually as per Appendix B to the </w:t>
            </w:r>
            <w:r w:rsidRPr="006D50FB">
              <w:rPr>
                <w:rFonts w:cs="Arial"/>
                <w:i/>
                <w:color w:val="000000"/>
              </w:rPr>
              <w:t>Guidelines for the Ecologically Sustainable Management of Fisheries - 2nd Edition</w:t>
            </w:r>
            <w:r w:rsidRPr="005C06B9">
              <w:rPr>
                <w:rFonts w:cs="Arial"/>
                <w:color w:val="000000"/>
              </w:rPr>
              <w:t>.</w:t>
            </w:r>
          </w:p>
        </w:tc>
        <w:tc>
          <w:tcPr>
            <w:tcW w:w="5040" w:type="dxa"/>
            <w:tcMar>
              <w:top w:w="57" w:type="dxa"/>
            </w:tcMar>
          </w:tcPr>
          <w:p w:rsidR="00A4113A" w:rsidRPr="00B77AA5" w:rsidRDefault="00A4113A" w:rsidP="001955CD">
            <w:pPr>
              <w:pStyle w:val="bodytext"/>
              <w:spacing w:after="200" w:line="276" w:lineRule="auto"/>
              <w:jc w:val="left"/>
              <w:rPr>
                <w:rFonts w:cs="Arial"/>
                <w:szCs w:val="22"/>
                <w:lang w:eastAsia="en-AU"/>
              </w:rPr>
            </w:pPr>
            <w:r w:rsidRPr="00FD0DED">
              <w:rPr>
                <w:rFonts w:cs="Arial"/>
                <w:szCs w:val="22"/>
                <w:lang w:eastAsia="en-AU"/>
              </w:rPr>
              <w:t xml:space="preserve">Annual </w:t>
            </w:r>
            <w:r>
              <w:rPr>
                <w:rFonts w:cs="Arial"/>
                <w:szCs w:val="22"/>
                <w:lang w:eastAsia="en-AU"/>
              </w:rPr>
              <w:t>reports have been provided by DPIPWE.</w:t>
            </w:r>
          </w:p>
        </w:tc>
        <w:tc>
          <w:tcPr>
            <w:tcW w:w="5760" w:type="dxa"/>
            <w:tcMar>
              <w:top w:w="57" w:type="dxa"/>
            </w:tcMar>
          </w:tcPr>
          <w:p w:rsidR="00A4113A" w:rsidRPr="00C956CD" w:rsidRDefault="00A4113A" w:rsidP="00A4113A">
            <w:pPr>
              <w:rPr>
                <w:rFonts w:cs="Arial"/>
                <w:highlight w:val="cyan"/>
              </w:rPr>
            </w:pPr>
            <w:r w:rsidRPr="00C956CD">
              <w:rPr>
                <w:rFonts w:cs="Arial"/>
              </w:rPr>
              <w:t xml:space="preserve">The Department of </w:t>
            </w:r>
            <w:r>
              <w:rPr>
                <w:rFonts w:cs="Arial"/>
              </w:rPr>
              <w:t xml:space="preserve">the Environment </w:t>
            </w:r>
            <w:r w:rsidRPr="00C956CD">
              <w:rPr>
                <w:rFonts w:cs="Arial"/>
              </w:rPr>
              <w:t>considers that this recommendation has been met.</w:t>
            </w:r>
          </w:p>
          <w:p w:rsidR="00A4113A" w:rsidRPr="00B77AA5" w:rsidRDefault="00A4113A" w:rsidP="00A4113A">
            <w:pPr>
              <w:rPr>
                <w:rFonts w:cs="Arial"/>
                <w:highlight w:val="cyan"/>
              </w:rPr>
            </w:pPr>
            <w:r w:rsidRPr="00413DF4">
              <w:rPr>
                <w:rFonts w:cs="Arial"/>
              </w:rPr>
              <w:t>T</w:t>
            </w:r>
            <w:r>
              <w:rPr>
                <w:rFonts w:cs="Arial"/>
              </w:rPr>
              <w:t xml:space="preserve">he Department </w:t>
            </w:r>
            <w:r>
              <w:t>proposes</w:t>
            </w:r>
            <w:r w:rsidRPr="00413DF4">
              <w:rPr>
                <w:rFonts w:cs="Arial"/>
              </w:rPr>
              <w:t xml:space="preserve"> that this action be continued</w:t>
            </w:r>
            <w:r w:rsidRPr="00440257">
              <w:rPr>
                <w:rFonts w:cs="Arial"/>
              </w:rPr>
              <w:t xml:space="preserve"> </w:t>
            </w:r>
            <w:r w:rsidRPr="00413DF4">
              <w:rPr>
                <w:rFonts w:cs="Arial"/>
              </w:rPr>
              <w:t xml:space="preserve">(see </w:t>
            </w:r>
            <w:r>
              <w:rPr>
                <w:rFonts w:cs="Arial"/>
                <w:b/>
              </w:rPr>
              <w:t>Recommendation 3</w:t>
            </w:r>
            <w:r w:rsidRPr="00440257">
              <w:rPr>
                <w:rFonts w:cs="Arial"/>
                <w:b/>
              </w:rPr>
              <w:t>, Table 4</w:t>
            </w:r>
            <w:r w:rsidRPr="00413DF4">
              <w:rPr>
                <w:rFonts w:cs="Arial"/>
              </w:rPr>
              <w:t>).</w:t>
            </w:r>
          </w:p>
        </w:tc>
      </w:tr>
      <w:tr w:rsidR="00A4113A" w:rsidRPr="00C956CD" w:rsidTr="001955CD">
        <w:trPr>
          <w:cantSplit/>
        </w:trPr>
        <w:tc>
          <w:tcPr>
            <w:tcW w:w="3528" w:type="dxa"/>
            <w:tcMar>
              <w:top w:w="57" w:type="dxa"/>
            </w:tcMar>
          </w:tcPr>
          <w:p w:rsidR="00A4113A" w:rsidRPr="005C06B9" w:rsidRDefault="00A4113A" w:rsidP="00B6012C">
            <w:pPr>
              <w:pStyle w:val="ListNumber"/>
              <w:numPr>
                <w:ilvl w:val="0"/>
                <w:numId w:val="32"/>
              </w:numPr>
              <w:contextualSpacing/>
              <w:rPr>
                <w:rFonts w:cs="Arial"/>
                <w:color w:val="000000"/>
              </w:rPr>
            </w:pPr>
            <w:r w:rsidRPr="005C06B9">
              <w:rPr>
                <w:rFonts w:cs="Arial"/>
                <w:color w:val="000000"/>
              </w:rPr>
              <w:t>As part of the 2010 review of the management plan DPIW to finalise new performance indicators for the TGCF, and ensure that appropriate management responses are also developed should limits be reached.</w:t>
            </w:r>
          </w:p>
        </w:tc>
        <w:tc>
          <w:tcPr>
            <w:tcW w:w="5040" w:type="dxa"/>
            <w:tcMar>
              <w:top w:w="57" w:type="dxa"/>
            </w:tcMar>
          </w:tcPr>
          <w:p w:rsidR="00A4113A" w:rsidRPr="00442C27" w:rsidRDefault="00627A11" w:rsidP="007B5FD0">
            <w:pPr>
              <w:pStyle w:val="bodytext"/>
              <w:spacing w:after="200" w:line="276" w:lineRule="auto"/>
              <w:jc w:val="left"/>
              <w:rPr>
                <w:rFonts w:cs="Arial"/>
                <w:szCs w:val="22"/>
                <w:lang w:eastAsia="en-AU"/>
              </w:rPr>
            </w:pPr>
            <w:r w:rsidRPr="00627A11">
              <w:rPr>
                <w:rFonts w:cs="Arial"/>
                <w:szCs w:val="22"/>
                <w:lang w:eastAsia="en-AU"/>
              </w:rPr>
              <w:t xml:space="preserve">DPIPWE </w:t>
            </w:r>
            <w:r w:rsidR="002317C0">
              <w:rPr>
                <w:rFonts w:cs="Arial"/>
                <w:szCs w:val="22"/>
                <w:lang w:eastAsia="en-AU"/>
              </w:rPr>
              <w:t>has developed</w:t>
            </w:r>
            <w:r w:rsidRPr="00627A11">
              <w:rPr>
                <w:rFonts w:cs="Arial"/>
                <w:szCs w:val="22"/>
                <w:lang w:eastAsia="en-AU"/>
              </w:rPr>
              <w:t xml:space="preserve"> a draft harvest strategy containing performance indicators a</w:t>
            </w:r>
            <w:r w:rsidR="002317C0">
              <w:rPr>
                <w:rFonts w:cs="Arial"/>
                <w:szCs w:val="22"/>
                <w:lang w:eastAsia="en-AU"/>
              </w:rPr>
              <w:t>nd management responses</w:t>
            </w:r>
            <w:r w:rsidRPr="00627A11">
              <w:rPr>
                <w:rFonts w:cs="Arial"/>
                <w:szCs w:val="22"/>
                <w:lang w:eastAsia="en-AU"/>
              </w:rPr>
              <w:t>. While this harvest strategy has not yet been formally adopted, DPIPWE has advised that it will be finalised following an assessment of the target and limit reference poin</w:t>
            </w:r>
            <w:r w:rsidR="00206C71">
              <w:rPr>
                <w:rFonts w:cs="Arial"/>
                <w:szCs w:val="22"/>
                <w:lang w:eastAsia="en-AU"/>
              </w:rPr>
              <w:t>ts currently being conducted by</w:t>
            </w:r>
            <w:r w:rsidR="006C33C7">
              <w:rPr>
                <w:rFonts w:cs="Arial"/>
                <w:szCs w:val="22"/>
                <w:lang w:eastAsia="en-AU"/>
              </w:rPr>
              <w:t xml:space="preserve"> </w:t>
            </w:r>
            <w:r w:rsidR="000A7037">
              <w:rPr>
                <w:rFonts w:cs="Arial"/>
                <w:szCs w:val="22"/>
                <w:lang w:eastAsia="en-AU"/>
              </w:rPr>
              <w:t>the Institute for Marina and Antarctic Studies (</w:t>
            </w:r>
            <w:r w:rsidRPr="00627A11">
              <w:rPr>
                <w:rFonts w:cs="Arial"/>
                <w:szCs w:val="22"/>
                <w:lang w:eastAsia="en-AU"/>
              </w:rPr>
              <w:t>IMAS</w:t>
            </w:r>
            <w:r w:rsidR="000A7037">
              <w:rPr>
                <w:rFonts w:cs="Arial"/>
                <w:szCs w:val="22"/>
                <w:lang w:eastAsia="en-AU"/>
              </w:rPr>
              <w:t>)</w:t>
            </w:r>
            <w:r w:rsidRPr="00627A11">
              <w:rPr>
                <w:rFonts w:cs="Arial"/>
                <w:szCs w:val="22"/>
                <w:lang w:eastAsia="en-AU"/>
              </w:rPr>
              <w:t>.</w:t>
            </w:r>
          </w:p>
        </w:tc>
        <w:tc>
          <w:tcPr>
            <w:tcW w:w="5760" w:type="dxa"/>
            <w:tcMar>
              <w:top w:w="57" w:type="dxa"/>
            </w:tcMar>
          </w:tcPr>
          <w:p w:rsidR="005025F7" w:rsidRPr="00C956CD" w:rsidRDefault="005025F7" w:rsidP="005025F7">
            <w:pPr>
              <w:rPr>
                <w:rFonts w:cs="Arial"/>
                <w:highlight w:val="cyan"/>
              </w:rPr>
            </w:pPr>
            <w:r w:rsidRPr="00C956CD">
              <w:rPr>
                <w:rFonts w:cs="Arial"/>
              </w:rPr>
              <w:t xml:space="preserve">The Department of </w:t>
            </w:r>
            <w:r>
              <w:rPr>
                <w:rFonts w:cs="Arial"/>
              </w:rPr>
              <w:t xml:space="preserve">the Environment </w:t>
            </w:r>
            <w:r w:rsidRPr="00C956CD">
              <w:rPr>
                <w:rFonts w:cs="Arial"/>
              </w:rPr>
              <w:t xml:space="preserve">considers that </w:t>
            </w:r>
            <w:r w:rsidR="00627A11">
              <w:rPr>
                <w:rFonts w:cs="Arial"/>
              </w:rPr>
              <w:t>this recommendation is ongoing</w:t>
            </w:r>
            <w:r w:rsidRPr="00C956CD">
              <w:rPr>
                <w:rFonts w:cs="Arial"/>
              </w:rPr>
              <w:t>.</w:t>
            </w:r>
          </w:p>
          <w:p w:rsidR="00A4113A" w:rsidRPr="00C956CD" w:rsidRDefault="00110BCC" w:rsidP="001955CD">
            <w:pPr>
              <w:rPr>
                <w:rFonts w:cs="Arial"/>
                <w:highlight w:val="cyan"/>
              </w:rPr>
            </w:pPr>
            <w:r w:rsidRPr="00110BCC">
              <w:rPr>
                <w:rFonts w:cs="Arial"/>
              </w:rPr>
              <w:t xml:space="preserve">The Department proposes that this action be continued (see </w:t>
            </w:r>
            <w:r>
              <w:rPr>
                <w:rFonts w:cs="Arial"/>
                <w:b/>
              </w:rPr>
              <w:t>Recommendation 5</w:t>
            </w:r>
            <w:r w:rsidRPr="00110BCC">
              <w:rPr>
                <w:rFonts w:cs="Arial"/>
                <w:b/>
              </w:rPr>
              <w:t>, Table 4</w:t>
            </w:r>
            <w:r w:rsidRPr="00110BCC">
              <w:rPr>
                <w:rFonts w:cs="Arial"/>
              </w:rPr>
              <w:t>).</w:t>
            </w:r>
          </w:p>
        </w:tc>
      </w:tr>
      <w:tr w:rsidR="00A4113A" w:rsidRPr="00C956CD" w:rsidTr="001955CD">
        <w:trPr>
          <w:cantSplit/>
        </w:trPr>
        <w:tc>
          <w:tcPr>
            <w:tcW w:w="3528" w:type="dxa"/>
            <w:tcMar>
              <w:top w:w="57" w:type="dxa"/>
            </w:tcMar>
          </w:tcPr>
          <w:p w:rsidR="00A4113A" w:rsidRPr="005C06B9" w:rsidRDefault="00A4113A" w:rsidP="00B6012C">
            <w:pPr>
              <w:pStyle w:val="ListNumber"/>
              <w:numPr>
                <w:ilvl w:val="0"/>
                <w:numId w:val="32"/>
              </w:numPr>
              <w:contextualSpacing/>
              <w:rPr>
                <w:rFonts w:cs="Arial"/>
                <w:color w:val="000000"/>
              </w:rPr>
            </w:pPr>
            <w:r w:rsidRPr="005C06B9">
              <w:rPr>
                <w:rFonts w:cs="Arial"/>
                <w:color w:val="000000"/>
              </w:rPr>
              <w:t>DPIW to continue to monitor the impact of discarding of undersize crabs on the giant crab stock and to implement appropriate management measures should risks be identified.</w:t>
            </w:r>
          </w:p>
        </w:tc>
        <w:tc>
          <w:tcPr>
            <w:tcW w:w="5040" w:type="dxa"/>
            <w:tcMar>
              <w:top w:w="57" w:type="dxa"/>
            </w:tcMar>
          </w:tcPr>
          <w:p w:rsidR="00446A74" w:rsidRDefault="00066E65" w:rsidP="006C33C7">
            <w:pPr>
              <w:pStyle w:val="bodytext"/>
              <w:spacing w:after="200" w:line="276" w:lineRule="auto"/>
              <w:jc w:val="left"/>
              <w:rPr>
                <w:rFonts w:cs="Arial"/>
                <w:szCs w:val="22"/>
                <w:lang w:eastAsia="en-AU"/>
              </w:rPr>
            </w:pPr>
            <w:r w:rsidRPr="00066E65">
              <w:rPr>
                <w:rFonts w:cs="Arial"/>
                <w:szCs w:val="22"/>
                <w:lang w:eastAsia="en-AU"/>
              </w:rPr>
              <w:t>D</w:t>
            </w:r>
            <w:r w:rsidR="009A39C1">
              <w:rPr>
                <w:rFonts w:cs="Arial"/>
                <w:szCs w:val="22"/>
                <w:lang w:eastAsia="en-AU"/>
              </w:rPr>
              <w:t>PIPWE has</w:t>
            </w:r>
            <w:r>
              <w:rPr>
                <w:rFonts w:cs="Arial"/>
                <w:szCs w:val="22"/>
                <w:lang w:eastAsia="en-AU"/>
              </w:rPr>
              <w:t xml:space="preserve"> monitored discards of undersized crabs through the Giant Crab Catch Record Book.</w:t>
            </w:r>
            <w:r w:rsidR="009A47D4">
              <w:rPr>
                <w:rFonts w:cs="Arial"/>
                <w:szCs w:val="22"/>
                <w:lang w:eastAsia="en-AU"/>
              </w:rPr>
              <w:t xml:space="preserve"> </w:t>
            </w:r>
            <w:r w:rsidR="006C33C7">
              <w:rPr>
                <w:rFonts w:cs="Arial"/>
                <w:szCs w:val="22"/>
                <w:lang w:eastAsia="en-AU"/>
              </w:rPr>
              <w:t xml:space="preserve">The most recent information available from 2009/10 indicates that there has been a general reduction in catch rates of undersized crabs. </w:t>
            </w:r>
          </w:p>
          <w:p w:rsidR="00A4113A" w:rsidRPr="00066E65" w:rsidRDefault="00CB2F40" w:rsidP="000A7037">
            <w:pPr>
              <w:pStyle w:val="bodytext"/>
              <w:spacing w:after="200" w:line="276" w:lineRule="auto"/>
              <w:jc w:val="left"/>
              <w:rPr>
                <w:rFonts w:cs="Arial"/>
                <w:szCs w:val="22"/>
                <w:lang w:eastAsia="en-AU"/>
              </w:rPr>
            </w:pPr>
            <w:r>
              <w:rPr>
                <w:rFonts w:cs="Arial"/>
                <w:szCs w:val="22"/>
                <w:lang w:eastAsia="en-AU"/>
              </w:rPr>
              <w:t>In its submission to the Department</w:t>
            </w:r>
            <w:r w:rsidR="00206C71">
              <w:rPr>
                <w:rFonts w:cs="Arial"/>
                <w:szCs w:val="22"/>
                <w:lang w:eastAsia="en-AU"/>
              </w:rPr>
              <w:t>, DPIPWE</w:t>
            </w:r>
            <w:r>
              <w:rPr>
                <w:rFonts w:cs="Arial"/>
                <w:szCs w:val="22"/>
                <w:lang w:eastAsia="en-AU"/>
              </w:rPr>
              <w:t xml:space="preserve"> </w:t>
            </w:r>
            <w:r w:rsidR="007B5FD0">
              <w:rPr>
                <w:rFonts w:cs="Arial"/>
                <w:szCs w:val="22"/>
                <w:lang w:eastAsia="en-AU"/>
              </w:rPr>
              <w:t>not</w:t>
            </w:r>
            <w:r>
              <w:rPr>
                <w:rFonts w:cs="Arial"/>
                <w:szCs w:val="22"/>
                <w:lang w:eastAsia="en-AU"/>
              </w:rPr>
              <w:t>es</w:t>
            </w:r>
            <w:r w:rsidR="007B5FD0">
              <w:rPr>
                <w:rFonts w:cs="Arial"/>
                <w:szCs w:val="22"/>
                <w:lang w:eastAsia="en-AU"/>
              </w:rPr>
              <w:t xml:space="preserve"> that </w:t>
            </w:r>
            <w:r w:rsidR="009A47D4">
              <w:rPr>
                <w:rFonts w:cs="Arial"/>
                <w:szCs w:val="22"/>
                <w:lang w:eastAsia="en-AU"/>
              </w:rPr>
              <w:t>r</w:t>
            </w:r>
            <w:r w:rsidR="00066E65">
              <w:rPr>
                <w:rFonts w:cs="Arial"/>
                <w:szCs w:val="22"/>
                <w:lang w:eastAsia="en-AU"/>
              </w:rPr>
              <w:t>ecent (unpublished) data ha</w:t>
            </w:r>
            <w:r w:rsidR="000A7037">
              <w:rPr>
                <w:rFonts w:cs="Arial"/>
                <w:szCs w:val="22"/>
                <w:lang w:eastAsia="en-AU"/>
              </w:rPr>
              <w:t>ve</w:t>
            </w:r>
            <w:r w:rsidR="00066E65">
              <w:rPr>
                <w:rFonts w:cs="Arial"/>
                <w:szCs w:val="22"/>
                <w:lang w:eastAsia="en-AU"/>
              </w:rPr>
              <w:t xml:space="preserve"> indicated that catch rates </w:t>
            </w:r>
            <w:r w:rsidR="000A7037">
              <w:rPr>
                <w:rFonts w:cs="Arial"/>
                <w:szCs w:val="22"/>
                <w:lang w:eastAsia="en-AU"/>
              </w:rPr>
              <w:t xml:space="preserve">for undersized crabs </w:t>
            </w:r>
            <w:r w:rsidR="00066E65">
              <w:rPr>
                <w:rFonts w:cs="Arial"/>
                <w:szCs w:val="22"/>
                <w:lang w:eastAsia="en-AU"/>
              </w:rPr>
              <w:t xml:space="preserve">have increased in </w:t>
            </w:r>
            <w:r w:rsidR="00110BCC">
              <w:rPr>
                <w:rFonts w:cs="Arial"/>
                <w:szCs w:val="22"/>
                <w:lang w:eastAsia="en-AU"/>
              </w:rPr>
              <w:t>the western zone of the fishery.</w:t>
            </w:r>
            <w:r w:rsidR="00042EFF">
              <w:rPr>
                <w:rFonts w:cs="Arial"/>
                <w:szCs w:val="22"/>
                <w:lang w:eastAsia="en-AU"/>
              </w:rPr>
              <w:t xml:space="preserve"> </w:t>
            </w:r>
            <w:r w:rsidR="00446A74">
              <w:rPr>
                <w:rFonts w:cs="Arial"/>
                <w:szCs w:val="22"/>
                <w:lang w:eastAsia="en-AU"/>
              </w:rPr>
              <w:t>According to the 2009 IMAS assessment</w:t>
            </w:r>
            <w:r w:rsidR="007B5FD0">
              <w:rPr>
                <w:rFonts w:cs="Arial"/>
                <w:szCs w:val="22"/>
                <w:lang w:eastAsia="en-AU"/>
              </w:rPr>
              <w:t xml:space="preserve"> of the fishery</w:t>
            </w:r>
            <w:r w:rsidR="009A39C1">
              <w:rPr>
                <w:rFonts w:cs="Arial"/>
                <w:szCs w:val="22"/>
                <w:lang w:eastAsia="en-AU"/>
              </w:rPr>
              <w:t>,</w:t>
            </w:r>
            <w:r w:rsidR="00446A74">
              <w:rPr>
                <w:rFonts w:cs="Arial"/>
                <w:szCs w:val="22"/>
                <w:lang w:eastAsia="en-AU"/>
              </w:rPr>
              <w:t xml:space="preserve"> catch rates </w:t>
            </w:r>
            <w:r w:rsidR="000A7037">
              <w:rPr>
                <w:rFonts w:cs="Arial"/>
                <w:szCs w:val="22"/>
                <w:lang w:eastAsia="en-AU"/>
              </w:rPr>
              <w:t xml:space="preserve">for undersized crabs </w:t>
            </w:r>
            <w:r w:rsidR="009A39C1">
              <w:rPr>
                <w:rFonts w:cs="Arial"/>
                <w:szCs w:val="22"/>
                <w:lang w:eastAsia="en-AU"/>
              </w:rPr>
              <w:t>have</w:t>
            </w:r>
            <w:r w:rsidR="006C33C7">
              <w:rPr>
                <w:rFonts w:cs="Arial"/>
                <w:szCs w:val="22"/>
                <w:lang w:eastAsia="en-AU"/>
              </w:rPr>
              <w:t xml:space="preserve"> traditionally been low in the western zone, with numbers falling to record lows in recent years. </w:t>
            </w:r>
            <w:r w:rsidR="00206C71">
              <w:rPr>
                <w:rFonts w:cs="Arial"/>
                <w:szCs w:val="22"/>
                <w:lang w:eastAsia="en-AU"/>
              </w:rPr>
              <w:t>A</w:t>
            </w:r>
            <w:r w:rsidR="009A47D4">
              <w:rPr>
                <w:rFonts w:cs="Arial"/>
                <w:szCs w:val="22"/>
                <w:lang w:eastAsia="en-AU"/>
              </w:rPr>
              <w:t xml:space="preserve">s </w:t>
            </w:r>
            <w:r w:rsidR="006C33C7">
              <w:rPr>
                <w:rFonts w:cs="Arial"/>
                <w:szCs w:val="22"/>
                <w:lang w:eastAsia="en-AU"/>
              </w:rPr>
              <w:t xml:space="preserve">the </w:t>
            </w:r>
            <w:r w:rsidR="009A47D4">
              <w:rPr>
                <w:rFonts w:cs="Arial"/>
                <w:szCs w:val="22"/>
                <w:lang w:eastAsia="en-AU"/>
              </w:rPr>
              <w:t xml:space="preserve">documented survival </w:t>
            </w:r>
            <w:r w:rsidR="009A39C1">
              <w:rPr>
                <w:rFonts w:cs="Arial"/>
                <w:szCs w:val="22"/>
                <w:lang w:eastAsia="en-AU"/>
              </w:rPr>
              <w:t xml:space="preserve">rate of released giant crabs is </w:t>
            </w:r>
            <w:r w:rsidR="006C33C7">
              <w:rPr>
                <w:rFonts w:cs="Arial"/>
                <w:szCs w:val="22"/>
                <w:lang w:eastAsia="en-AU"/>
              </w:rPr>
              <w:t>high</w:t>
            </w:r>
            <w:r w:rsidR="00446A74">
              <w:rPr>
                <w:rFonts w:cs="Arial"/>
                <w:szCs w:val="22"/>
                <w:lang w:eastAsia="en-AU"/>
              </w:rPr>
              <w:t>,</w:t>
            </w:r>
            <w:r w:rsidR="006C33C7">
              <w:rPr>
                <w:rFonts w:cs="Arial"/>
                <w:szCs w:val="22"/>
                <w:lang w:eastAsia="en-AU"/>
              </w:rPr>
              <w:t xml:space="preserve"> DPIPWE ha</w:t>
            </w:r>
            <w:r w:rsidR="002B6FFA">
              <w:rPr>
                <w:rFonts w:cs="Arial"/>
                <w:szCs w:val="22"/>
                <w:lang w:eastAsia="en-AU"/>
              </w:rPr>
              <w:t>s</w:t>
            </w:r>
            <w:r w:rsidR="006C33C7">
              <w:rPr>
                <w:rFonts w:cs="Arial"/>
                <w:szCs w:val="22"/>
                <w:lang w:eastAsia="en-AU"/>
              </w:rPr>
              <w:t xml:space="preserve"> concluded that there is </w:t>
            </w:r>
            <w:r w:rsidR="009A47D4">
              <w:rPr>
                <w:rFonts w:cs="Arial"/>
                <w:szCs w:val="22"/>
                <w:lang w:eastAsia="en-AU"/>
              </w:rPr>
              <w:t xml:space="preserve">no increased risk. </w:t>
            </w:r>
          </w:p>
        </w:tc>
        <w:tc>
          <w:tcPr>
            <w:tcW w:w="5760" w:type="dxa"/>
            <w:tcMar>
              <w:top w:w="57" w:type="dxa"/>
            </w:tcMar>
          </w:tcPr>
          <w:p w:rsidR="009A47D4" w:rsidRPr="00C956CD" w:rsidRDefault="009A47D4" w:rsidP="009A47D4">
            <w:pPr>
              <w:rPr>
                <w:rFonts w:cs="Arial"/>
                <w:highlight w:val="cyan"/>
              </w:rPr>
            </w:pPr>
            <w:r w:rsidRPr="00C956CD">
              <w:rPr>
                <w:rFonts w:cs="Arial"/>
              </w:rPr>
              <w:t xml:space="preserve">The Department of </w:t>
            </w:r>
            <w:r>
              <w:rPr>
                <w:rFonts w:cs="Arial"/>
              </w:rPr>
              <w:t xml:space="preserve">the Environment </w:t>
            </w:r>
            <w:r w:rsidRPr="00C956CD">
              <w:rPr>
                <w:rFonts w:cs="Arial"/>
              </w:rPr>
              <w:t>considers that this recommendation has been met.</w:t>
            </w:r>
          </w:p>
          <w:p w:rsidR="00A4113A" w:rsidRPr="00066E65" w:rsidRDefault="00A4113A" w:rsidP="001955CD">
            <w:pPr>
              <w:rPr>
                <w:rFonts w:cs="Arial"/>
                <w:highlight w:val="cyan"/>
              </w:rPr>
            </w:pPr>
          </w:p>
        </w:tc>
      </w:tr>
      <w:tr w:rsidR="00A4113A" w:rsidRPr="00C956CD" w:rsidTr="001955CD">
        <w:trPr>
          <w:cantSplit/>
        </w:trPr>
        <w:tc>
          <w:tcPr>
            <w:tcW w:w="3528" w:type="dxa"/>
            <w:tcMar>
              <w:top w:w="57" w:type="dxa"/>
            </w:tcMar>
          </w:tcPr>
          <w:p w:rsidR="00A4113A" w:rsidRPr="005C06B9" w:rsidRDefault="00A4113A" w:rsidP="00FE2560">
            <w:pPr>
              <w:pStyle w:val="ListNumber"/>
              <w:numPr>
                <w:ilvl w:val="0"/>
                <w:numId w:val="32"/>
              </w:numPr>
              <w:contextualSpacing/>
              <w:rPr>
                <w:rFonts w:cs="Arial"/>
                <w:color w:val="000000"/>
              </w:rPr>
            </w:pPr>
            <w:r w:rsidRPr="005C06B9">
              <w:rPr>
                <w:rFonts w:cs="Arial"/>
                <w:color w:val="000000"/>
              </w:rPr>
              <w:t>DPIW to implement an appropriate research plan to pursue and support research, in particular to address the following areas:</w:t>
            </w:r>
          </w:p>
          <w:p w:rsidR="00A4113A" w:rsidRPr="00110BCC" w:rsidRDefault="00A4113A" w:rsidP="00FE2560">
            <w:pPr>
              <w:pStyle w:val="ListBullet"/>
            </w:pPr>
            <w:r w:rsidRPr="005C06B9">
              <w:t xml:space="preserve">continued decline in the exploitable biomass of giant </w:t>
            </w:r>
            <w:r w:rsidRPr="00110BCC">
              <w:t>crabs;</w:t>
            </w:r>
          </w:p>
          <w:p w:rsidR="00A4113A" w:rsidRPr="00110BCC" w:rsidRDefault="00A4113A" w:rsidP="00FE2560">
            <w:pPr>
              <w:pStyle w:val="ListBullet"/>
            </w:pPr>
            <w:r w:rsidRPr="00110BCC">
              <w:t>increase in catch rates of undersized crabs; and</w:t>
            </w:r>
          </w:p>
          <w:p w:rsidR="00A4113A" w:rsidRPr="00FE2560" w:rsidRDefault="00A4113A" w:rsidP="00FE2560">
            <w:pPr>
              <w:pStyle w:val="ListNumber"/>
              <w:numPr>
                <w:ilvl w:val="0"/>
                <w:numId w:val="36"/>
              </w:numPr>
              <w:contextualSpacing/>
              <w:rPr>
                <w:rFonts w:cs="Arial"/>
                <w:color w:val="000000"/>
              </w:rPr>
            </w:pPr>
            <w:proofErr w:type="gramStart"/>
            <w:r w:rsidRPr="00FE2560">
              <w:t>need</w:t>
            </w:r>
            <w:proofErr w:type="gramEnd"/>
            <w:r w:rsidRPr="00FE2560">
              <w:t xml:space="preserve"> to improve the stock assessment data for the east coast of the fishery</w:t>
            </w:r>
            <w:r w:rsidRPr="00FE2560">
              <w:rPr>
                <w:rFonts w:cs="Arial"/>
                <w:color w:val="000000"/>
              </w:rPr>
              <w:t>.</w:t>
            </w:r>
          </w:p>
        </w:tc>
        <w:tc>
          <w:tcPr>
            <w:tcW w:w="5040" w:type="dxa"/>
            <w:tcMar>
              <w:top w:w="57" w:type="dxa"/>
            </w:tcMar>
          </w:tcPr>
          <w:p w:rsidR="005474C4" w:rsidRDefault="005474C4" w:rsidP="005474C4">
            <w:pPr>
              <w:pStyle w:val="bodytext"/>
              <w:spacing w:after="200" w:line="276" w:lineRule="auto"/>
              <w:jc w:val="left"/>
              <w:rPr>
                <w:rFonts w:cs="Arial"/>
                <w:szCs w:val="22"/>
                <w:lang w:eastAsia="en-AU"/>
              </w:rPr>
            </w:pPr>
            <w:r w:rsidRPr="005474C4">
              <w:rPr>
                <w:rFonts w:cs="Arial"/>
                <w:szCs w:val="22"/>
                <w:lang w:eastAsia="en-AU"/>
              </w:rPr>
              <w:t xml:space="preserve">DPIPWE </w:t>
            </w:r>
            <w:r>
              <w:rPr>
                <w:rFonts w:cs="Arial"/>
                <w:szCs w:val="22"/>
                <w:lang w:eastAsia="en-AU"/>
              </w:rPr>
              <w:t xml:space="preserve">and IMAS have developed a project to investigate the continued decline in </w:t>
            </w:r>
            <w:r w:rsidR="008D0722">
              <w:rPr>
                <w:rFonts w:cs="Arial"/>
                <w:szCs w:val="22"/>
                <w:lang w:eastAsia="en-AU"/>
              </w:rPr>
              <w:t xml:space="preserve">catch rates </w:t>
            </w:r>
            <w:r>
              <w:rPr>
                <w:rFonts w:cs="Arial"/>
                <w:szCs w:val="22"/>
                <w:lang w:eastAsia="en-AU"/>
              </w:rPr>
              <w:t>in the fishery</w:t>
            </w:r>
            <w:r w:rsidR="008D0722">
              <w:rPr>
                <w:rFonts w:cs="Arial"/>
                <w:szCs w:val="22"/>
                <w:lang w:eastAsia="en-AU"/>
              </w:rPr>
              <w:t xml:space="preserve">, with </w:t>
            </w:r>
            <w:r>
              <w:rPr>
                <w:rFonts w:cs="Arial"/>
                <w:szCs w:val="22"/>
                <w:lang w:eastAsia="en-AU"/>
              </w:rPr>
              <w:t>particular</w:t>
            </w:r>
            <w:r w:rsidR="008D0722">
              <w:rPr>
                <w:rFonts w:cs="Arial"/>
                <w:szCs w:val="22"/>
                <w:lang w:eastAsia="en-AU"/>
              </w:rPr>
              <w:t xml:space="preserve"> focus on</w:t>
            </w:r>
            <w:r>
              <w:rPr>
                <w:rFonts w:cs="Arial"/>
                <w:szCs w:val="22"/>
                <w:lang w:eastAsia="en-AU"/>
              </w:rPr>
              <w:t xml:space="preserve"> the interaction between the </w:t>
            </w:r>
            <w:r w:rsidR="008D0722">
              <w:rPr>
                <w:rFonts w:cs="Arial"/>
                <w:szCs w:val="22"/>
                <w:lang w:eastAsia="en-AU"/>
              </w:rPr>
              <w:t xml:space="preserve">fishery and the </w:t>
            </w:r>
            <w:r w:rsidR="00110BCC">
              <w:rPr>
                <w:rFonts w:cs="Arial"/>
                <w:szCs w:val="22"/>
                <w:lang w:eastAsia="en-AU"/>
              </w:rPr>
              <w:t xml:space="preserve">Commonwealth </w:t>
            </w:r>
            <w:r>
              <w:rPr>
                <w:rFonts w:cs="Arial"/>
                <w:szCs w:val="22"/>
                <w:lang w:eastAsia="en-AU"/>
              </w:rPr>
              <w:t xml:space="preserve">Trawl </w:t>
            </w:r>
            <w:r w:rsidR="002B6FFA">
              <w:rPr>
                <w:rFonts w:cs="Arial"/>
                <w:szCs w:val="22"/>
                <w:lang w:eastAsia="en-AU"/>
              </w:rPr>
              <w:t>S</w:t>
            </w:r>
            <w:r>
              <w:rPr>
                <w:rFonts w:cs="Arial"/>
                <w:szCs w:val="22"/>
                <w:lang w:eastAsia="en-AU"/>
              </w:rPr>
              <w:t xml:space="preserve">ector of the Southern and Eastern </w:t>
            </w:r>
            <w:proofErr w:type="spellStart"/>
            <w:r>
              <w:rPr>
                <w:rFonts w:cs="Arial"/>
                <w:szCs w:val="22"/>
                <w:lang w:eastAsia="en-AU"/>
              </w:rPr>
              <w:t>Scalefish</w:t>
            </w:r>
            <w:proofErr w:type="spellEnd"/>
            <w:r>
              <w:rPr>
                <w:rFonts w:cs="Arial"/>
                <w:szCs w:val="22"/>
                <w:lang w:eastAsia="en-AU"/>
              </w:rPr>
              <w:t xml:space="preserve"> and Shark Fishery</w:t>
            </w:r>
            <w:r w:rsidR="00110BCC">
              <w:rPr>
                <w:rFonts w:cs="Arial"/>
                <w:szCs w:val="22"/>
                <w:lang w:eastAsia="en-AU"/>
              </w:rPr>
              <w:t xml:space="preserve"> (SESSF)</w:t>
            </w:r>
            <w:r>
              <w:rPr>
                <w:rFonts w:cs="Arial"/>
                <w:szCs w:val="22"/>
                <w:lang w:eastAsia="en-AU"/>
              </w:rPr>
              <w:t xml:space="preserve">. </w:t>
            </w:r>
          </w:p>
          <w:p w:rsidR="005474C4" w:rsidRDefault="0036385B" w:rsidP="009A39C1">
            <w:pPr>
              <w:pStyle w:val="bodytext"/>
              <w:spacing w:after="200" w:line="276" w:lineRule="auto"/>
              <w:jc w:val="left"/>
              <w:rPr>
                <w:rFonts w:cs="Arial"/>
                <w:lang w:eastAsia="en-AU"/>
              </w:rPr>
            </w:pPr>
            <w:r>
              <w:rPr>
                <w:rFonts w:cs="Arial"/>
                <w:szCs w:val="22"/>
                <w:lang w:eastAsia="en-AU"/>
              </w:rPr>
              <w:t>To improve the level of stock assessment data in the fishery,</w:t>
            </w:r>
            <w:r w:rsidR="00110BCC" w:rsidRPr="009A39C1">
              <w:rPr>
                <w:rFonts w:cs="Arial"/>
                <w:szCs w:val="22"/>
                <w:lang w:eastAsia="en-AU"/>
              </w:rPr>
              <w:t xml:space="preserve"> a voluntary length frequency data collection system was introduced into the fishery</w:t>
            </w:r>
            <w:r w:rsidR="008D0722">
              <w:rPr>
                <w:rFonts w:cs="Arial"/>
                <w:szCs w:val="22"/>
                <w:lang w:eastAsia="en-AU"/>
              </w:rPr>
              <w:t>. However, support and participation by fishers has been limited, with</w:t>
            </w:r>
            <w:r w:rsidR="009A39C1" w:rsidRPr="009A39C1">
              <w:rPr>
                <w:rFonts w:cs="Arial"/>
                <w:szCs w:val="22"/>
                <w:lang w:eastAsia="en-AU"/>
              </w:rPr>
              <w:t xml:space="preserve"> </w:t>
            </w:r>
            <w:r w:rsidR="00110BCC" w:rsidRPr="009A39C1">
              <w:rPr>
                <w:rFonts w:cs="Arial"/>
                <w:szCs w:val="22"/>
                <w:lang w:eastAsia="en-AU"/>
              </w:rPr>
              <w:t>the current length-frequency data available for the fishery</w:t>
            </w:r>
            <w:r w:rsidR="008D0722">
              <w:rPr>
                <w:rFonts w:cs="Arial"/>
                <w:szCs w:val="22"/>
                <w:lang w:eastAsia="en-AU"/>
              </w:rPr>
              <w:t xml:space="preserve"> being</w:t>
            </w:r>
            <w:r w:rsidR="00110BCC" w:rsidRPr="009A39C1">
              <w:rPr>
                <w:rFonts w:cs="Arial"/>
                <w:szCs w:val="22"/>
                <w:lang w:eastAsia="en-AU"/>
              </w:rPr>
              <w:t xml:space="preserve"> provided by </w:t>
            </w:r>
            <w:r w:rsidR="008D0722">
              <w:rPr>
                <w:rFonts w:cs="Arial"/>
                <w:szCs w:val="22"/>
                <w:lang w:eastAsia="en-AU"/>
              </w:rPr>
              <w:t xml:space="preserve">just </w:t>
            </w:r>
            <w:r w:rsidR="00110BCC" w:rsidRPr="009A39C1">
              <w:rPr>
                <w:rFonts w:cs="Arial"/>
                <w:szCs w:val="22"/>
                <w:lang w:eastAsia="en-AU"/>
              </w:rPr>
              <w:t>a single operator.</w:t>
            </w:r>
            <w:r w:rsidR="00110BCC" w:rsidRPr="00110BCC">
              <w:rPr>
                <w:rFonts w:cs="Arial"/>
                <w:lang w:eastAsia="en-AU"/>
              </w:rPr>
              <w:t xml:space="preserve"> </w:t>
            </w:r>
          </w:p>
          <w:p w:rsidR="00206C71" w:rsidRPr="00446A74" w:rsidRDefault="00206C71" w:rsidP="009A39C1">
            <w:pPr>
              <w:pStyle w:val="bodytext"/>
              <w:spacing w:after="200" w:line="276" w:lineRule="auto"/>
              <w:jc w:val="left"/>
              <w:rPr>
                <w:rFonts w:cs="Arial"/>
                <w:lang w:eastAsia="en-AU"/>
              </w:rPr>
            </w:pPr>
            <w:r>
              <w:rPr>
                <w:rFonts w:cs="Arial"/>
                <w:lang w:eastAsia="en-AU"/>
              </w:rPr>
              <w:t>DPIPWE ha</w:t>
            </w:r>
            <w:r w:rsidR="002B6FFA">
              <w:rPr>
                <w:rFonts w:cs="Arial"/>
                <w:lang w:eastAsia="en-AU"/>
              </w:rPr>
              <w:t>s</w:t>
            </w:r>
            <w:r>
              <w:rPr>
                <w:rFonts w:cs="Arial"/>
                <w:lang w:eastAsia="en-AU"/>
              </w:rPr>
              <w:t xml:space="preserve"> advised the Department that it is currently working with fishers to improve the level of data collection in the fishery.</w:t>
            </w:r>
          </w:p>
        </w:tc>
        <w:tc>
          <w:tcPr>
            <w:tcW w:w="5760" w:type="dxa"/>
            <w:tcMar>
              <w:top w:w="57" w:type="dxa"/>
            </w:tcMar>
          </w:tcPr>
          <w:p w:rsidR="00033E70" w:rsidRPr="00C956CD" w:rsidRDefault="00033E70" w:rsidP="00033E70">
            <w:pPr>
              <w:rPr>
                <w:rFonts w:cs="Arial"/>
                <w:highlight w:val="cyan"/>
              </w:rPr>
            </w:pPr>
            <w:r w:rsidRPr="00C956CD">
              <w:rPr>
                <w:rFonts w:cs="Arial"/>
              </w:rPr>
              <w:t xml:space="preserve">The Department of </w:t>
            </w:r>
            <w:r>
              <w:rPr>
                <w:rFonts w:cs="Arial"/>
              </w:rPr>
              <w:t xml:space="preserve">the Environment </w:t>
            </w:r>
            <w:r w:rsidRPr="00C956CD">
              <w:rPr>
                <w:rFonts w:cs="Arial"/>
              </w:rPr>
              <w:t>considers that t</w:t>
            </w:r>
            <w:r w:rsidR="008B5202">
              <w:rPr>
                <w:rFonts w:cs="Arial"/>
              </w:rPr>
              <w:t xml:space="preserve">his recommendation </w:t>
            </w:r>
            <w:r w:rsidR="00446A74">
              <w:rPr>
                <w:rFonts w:cs="Arial"/>
              </w:rPr>
              <w:t>is ongoing</w:t>
            </w:r>
          </w:p>
          <w:p w:rsidR="00A4113A" w:rsidRPr="005474C4" w:rsidRDefault="00446A74" w:rsidP="001955CD">
            <w:pPr>
              <w:rPr>
                <w:rFonts w:cs="Arial"/>
                <w:highlight w:val="cyan"/>
              </w:rPr>
            </w:pPr>
            <w:r w:rsidRPr="00446A74">
              <w:rPr>
                <w:rFonts w:cs="Arial"/>
              </w:rPr>
              <w:t xml:space="preserve">The Department proposes that this action be continued (see </w:t>
            </w:r>
            <w:r w:rsidRPr="00446A74">
              <w:rPr>
                <w:rFonts w:cs="Arial"/>
                <w:b/>
              </w:rPr>
              <w:t>Recommendation</w:t>
            </w:r>
            <w:r>
              <w:rPr>
                <w:rFonts w:cs="Arial"/>
                <w:b/>
              </w:rPr>
              <w:t>s</w:t>
            </w:r>
            <w:r w:rsidRPr="00446A74">
              <w:rPr>
                <w:rFonts w:cs="Arial"/>
                <w:b/>
              </w:rPr>
              <w:t xml:space="preserve"> 5</w:t>
            </w:r>
            <w:r>
              <w:rPr>
                <w:rFonts w:cs="Arial"/>
                <w:b/>
              </w:rPr>
              <w:t xml:space="preserve"> &amp; 6</w:t>
            </w:r>
            <w:r w:rsidRPr="00446A74">
              <w:rPr>
                <w:rFonts w:cs="Arial"/>
                <w:b/>
              </w:rPr>
              <w:t>, Table 4</w:t>
            </w:r>
            <w:r w:rsidRPr="00446A74">
              <w:rPr>
                <w:rFonts w:cs="Arial"/>
              </w:rPr>
              <w:t>).</w:t>
            </w:r>
          </w:p>
        </w:tc>
      </w:tr>
      <w:tr w:rsidR="00A4113A" w:rsidRPr="00C956CD" w:rsidTr="001955CD">
        <w:trPr>
          <w:cantSplit/>
        </w:trPr>
        <w:tc>
          <w:tcPr>
            <w:tcW w:w="3528" w:type="dxa"/>
            <w:tcMar>
              <w:top w:w="57" w:type="dxa"/>
            </w:tcMar>
          </w:tcPr>
          <w:p w:rsidR="00A4113A" w:rsidRPr="00FE2560" w:rsidRDefault="00A4113A" w:rsidP="00FE2560">
            <w:pPr>
              <w:pStyle w:val="ListNumber"/>
              <w:numPr>
                <w:ilvl w:val="0"/>
                <w:numId w:val="32"/>
              </w:numPr>
              <w:contextualSpacing/>
              <w:rPr>
                <w:rFonts w:cs="Arial"/>
                <w:color w:val="000000"/>
              </w:rPr>
            </w:pPr>
            <w:r w:rsidRPr="00FE2560">
              <w:rPr>
                <w:rFonts w:cs="Arial"/>
                <w:color w:val="000000"/>
              </w:rPr>
              <w:t xml:space="preserve">DPIW to </w:t>
            </w:r>
          </w:p>
          <w:p w:rsidR="00A4113A" w:rsidRPr="00FE2560" w:rsidRDefault="00A4113A" w:rsidP="00FE2560">
            <w:pPr>
              <w:pStyle w:val="ListNumber"/>
              <w:numPr>
                <w:ilvl w:val="0"/>
                <w:numId w:val="0"/>
              </w:numPr>
              <w:contextualSpacing/>
              <w:rPr>
                <w:rFonts w:cs="Arial"/>
                <w:color w:val="000000"/>
              </w:rPr>
            </w:pPr>
            <w:r w:rsidRPr="00FE2560">
              <w:rPr>
                <w:rFonts w:cs="Arial"/>
                <w:color w:val="000000"/>
              </w:rPr>
              <w:t xml:space="preserve">a) </w:t>
            </w:r>
            <w:proofErr w:type="gramStart"/>
            <w:r w:rsidRPr="00FE2560">
              <w:rPr>
                <w:rFonts w:cs="Arial"/>
                <w:color w:val="000000"/>
              </w:rPr>
              <w:t>work</w:t>
            </w:r>
            <w:proofErr w:type="gramEnd"/>
            <w:r w:rsidRPr="00FE2560">
              <w:rPr>
                <w:rFonts w:cs="Arial"/>
                <w:color w:val="000000"/>
              </w:rPr>
              <w:t xml:space="preserve"> collaboratively with AFMA to address the recommendations of the FRDC shelf break habitat study.</w:t>
            </w:r>
          </w:p>
          <w:p w:rsidR="00A4113A" w:rsidRDefault="00A4113A" w:rsidP="00FE2560">
            <w:pPr>
              <w:pStyle w:val="ListNumber"/>
              <w:numPr>
                <w:ilvl w:val="0"/>
                <w:numId w:val="0"/>
              </w:numPr>
              <w:ind w:left="369" w:hanging="369"/>
              <w:contextualSpacing/>
              <w:rPr>
                <w:rFonts w:cs="Arial"/>
                <w:color w:val="000000"/>
              </w:rPr>
            </w:pPr>
            <w:r>
              <w:rPr>
                <w:rFonts w:cs="Arial"/>
                <w:color w:val="000000"/>
              </w:rPr>
              <w:t>b) to continue to work with</w:t>
            </w:r>
          </w:p>
          <w:p w:rsidR="00A4113A" w:rsidRDefault="00A4113A" w:rsidP="00FE2560">
            <w:pPr>
              <w:pStyle w:val="ListNumber"/>
              <w:numPr>
                <w:ilvl w:val="0"/>
                <w:numId w:val="0"/>
              </w:numPr>
              <w:ind w:left="369" w:hanging="369"/>
              <w:contextualSpacing/>
              <w:rPr>
                <w:rFonts w:cs="Arial"/>
                <w:color w:val="000000"/>
              </w:rPr>
            </w:pPr>
            <w:r>
              <w:rPr>
                <w:rFonts w:cs="Arial"/>
                <w:color w:val="000000"/>
              </w:rPr>
              <w:t>relevant fishery management</w:t>
            </w:r>
          </w:p>
          <w:p w:rsidR="00A4113A" w:rsidRDefault="00A4113A" w:rsidP="00FE2560">
            <w:pPr>
              <w:pStyle w:val="ListNumber"/>
              <w:numPr>
                <w:ilvl w:val="0"/>
                <w:numId w:val="0"/>
              </w:numPr>
              <w:ind w:left="369" w:hanging="369"/>
              <w:contextualSpacing/>
              <w:rPr>
                <w:rFonts w:cs="Arial"/>
                <w:color w:val="000000"/>
              </w:rPr>
            </w:pPr>
            <w:r>
              <w:rPr>
                <w:rFonts w:cs="Arial"/>
                <w:color w:val="000000"/>
              </w:rPr>
              <w:t>agencies in the management of</w:t>
            </w:r>
          </w:p>
          <w:p w:rsidR="00A4113A" w:rsidRPr="00FE2560" w:rsidRDefault="00A4113A" w:rsidP="00FE2560">
            <w:pPr>
              <w:pStyle w:val="ListNumber"/>
              <w:numPr>
                <w:ilvl w:val="0"/>
                <w:numId w:val="0"/>
              </w:numPr>
              <w:ind w:left="369" w:hanging="369"/>
              <w:contextualSpacing/>
              <w:rPr>
                <w:rFonts w:cs="Arial"/>
                <w:color w:val="000000"/>
              </w:rPr>
            </w:pPr>
            <w:proofErr w:type="gramStart"/>
            <w:r w:rsidRPr="00FE2560">
              <w:rPr>
                <w:rFonts w:cs="Arial"/>
                <w:color w:val="000000"/>
              </w:rPr>
              <w:t>the</w:t>
            </w:r>
            <w:proofErr w:type="gramEnd"/>
            <w:r w:rsidRPr="00FE2560">
              <w:rPr>
                <w:rFonts w:cs="Arial"/>
                <w:color w:val="000000"/>
              </w:rPr>
              <w:t xml:space="preserve"> shared giant crab stocks.</w:t>
            </w:r>
          </w:p>
          <w:p w:rsidR="00A4113A" w:rsidRPr="005C06B9" w:rsidRDefault="00A4113A" w:rsidP="00FE2560">
            <w:pPr>
              <w:pStyle w:val="ListNumber"/>
              <w:numPr>
                <w:ilvl w:val="0"/>
                <w:numId w:val="0"/>
              </w:numPr>
              <w:ind w:left="369" w:hanging="369"/>
              <w:contextualSpacing/>
              <w:rPr>
                <w:rFonts w:cs="Arial"/>
                <w:color w:val="000000"/>
              </w:rPr>
            </w:pPr>
          </w:p>
        </w:tc>
        <w:tc>
          <w:tcPr>
            <w:tcW w:w="5040" w:type="dxa"/>
            <w:tcMar>
              <w:top w:w="57" w:type="dxa"/>
            </w:tcMar>
          </w:tcPr>
          <w:p w:rsidR="00A4113A" w:rsidRDefault="002202B7" w:rsidP="001955CD">
            <w:pPr>
              <w:pStyle w:val="bodytext"/>
              <w:spacing w:after="200" w:line="276" w:lineRule="auto"/>
              <w:jc w:val="left"/>
              <w:rPr>
                <w:rFonts w:cs="Arial"/>
                <w:szCs w:val="22"/>
                <w:lang w:eastAsia="en-AU"/>
              </w:rPr>
            </w:pPr>
            <w:r>
              <w:rPr>
                <w:rFonts w:cs="Arial"/>
                <w:szCs w:val="22"/>
                <w:lang w:eastAsia="en-AU"/>
              </w:rPr>
              <w:t xml:space="preserve">DPIPWE has advised that prior to 2013, collaboration with </w:t>
            </w:r>
            <w:r w:rsidR="00821C15">
              <w:rPr>
                <w:rFonts w:cs="Arial"/>
                <w:szCs w:val="22"/>
                <w:lang w:eastAsia="en-AU"/>
              </w:rPr>
              <w:t xml:space="preserve">the </w:t>
            </w:r>
            <w:r>
              <w:rPr>
                <w:rFonts w:cs="Arial"/>
                <w:szCs w:val="22"/>
                <w:lang w:eastAsia="en-AU"/>
              </w:rPr>
              <w:t>A</w:t>
            </w:r>
            <w:r w:rsidR="00821C15">
              <w:rPr>
                <w:rFonts w:cs="Arial"/>
                <w:szCs w:val="22"/>
                <w:lang w:eastAsia="en-AU"/>
              </w:rPr>
              <w:t xml:space="preserve">ustralian </w:t>
            </w:r>
            <w:r>
              <w:rPr>
                <w:rFonts w:cs="Arial"/>
                <w:szCs w:val="22"/>
                <w:lang w:eastAsia="en-AU"/>
              </w:rPr>
              <w:t>F</w:t>
            </w:r>
            <w:r w:rsidR="00821C15">
              <w:rPr>
                <w:rFonts w:cs="Arial"/>
                <w:szCs w:val="22"/>
                <w:lang w:eastAsia="en-AU"/>
              </w:rPr>
              <w:t xml:space="preserve">isheries </w:t>
            </w:r>
            <w:r>
              <w:rPr>
                <w:rFonts w:cs="Arial"/>
                <w:szCs w:val="22"/>
                <w:lang w:eastAsia="en-AU"/>
              </w:rPr>
              <w:t>M</w:t>
            </w:r>
            <w:r w:rsidR="00821C15">
              <w:rPr>
                <w:rFonts w:cs="Arial"/>
                <w:szCs w:val="22"/>
                <w:lang w:eastAsia="en-AU"/>
              </w:rPr>
              <w:t xml:space="preserve">anagement </w:t>
            </w:r>
            <w:r>
              <w:rPr>
                <w:rFonts w:cs="Arial"/>
                <w:szCs w:val="22"/>
                <w:lang w:eastAsia="en-AU"/>
              </w:rPr>
              <w:t>A</w:t>
            </w:r>
            <w:r w:rsidR="00821C15">
              <w:rPr>
                <w:rFonts w:cs="Arial"/>
                <w:szCs w:val="22"/>
                <w:lang w:eastAsia="en-AU"/>
              </w:rPr>
              <w:t>uthority</w:t>
            </w:r>
            <w:r>
              <w:rPr>
                <w:rFonts w:cs="Arial"/>
                <w:szCs w:val="22"/>
                <w:lang w:eastAsia="en-AU"/>
              </w:rPr>
              <w:t xml:space="preserve"> </w:t>
            </w:r>
            <w:r w:rsidR="008D0722">
              <w:rPr>
                <w:rFonts w:cs="Arial"/>
                <w:szCs w:val="22"/>
                <w:lang w:eastAsia="en-AU"/>
              </w:rPr>
              <w:t xml:space="preserve">(AFMA) </w:t>
            </w:r>
            <w:r>
              <w:rPr>
                <w:rFonts w:cs="Arial"/>
                <w:szCs w:val="22"/>
                <w:lang w:eastAsia="en-AU"/>
              </w:rPr>
              <w:t>on the shelf break habitat study was not seen as a</w:t>
            </w:r>
            <w:r w:rsidR="002A1D9F">
              <w:rPr>
                <w:rFonts w:cs="Arial"/>
                <w:szCs w:val="22"/>
                <w:lang w:eastAsia="en-AU"/>
              </w:rPr>
              <w:t xml:space="preserve"> high priority in the fishery. T</w:t>
            </w:r>
            <w:r>
              <w:rPr>
                <w:rFonts w:cs="Arial"/>
                <w:szCs w:val="22"/>
                <w:lang w:eastAsia="en-AU"/>
              </w:rPr>
              <w:t>his was due to the declining trawl effort in the area (thought to be linked to changes in target species abundance and industry restructure)</w:t>
            </w:r>
            <w:r w:rsidR="008D0722">
              <w:rPr>
                <w:rFonts w:cs="Arial"/>
                <w:szCs w:val="22"/>
                <w:lang w:eastAsia="en-AU"/>
              </w:rPr>
              <w:t>.</w:t>
            </w:r>
            <w:r>
              <w:rPr>
                <w:rFonts w:cs="Arial"/>
                <w:szCs w:val="22"/>
                <w:lang w:eastAsia="en-AU"/>
              </w:rPr>
              <w:t xml:space="preserve"> </w:t>
            </w:r>
          </w:p>
          <w:p w:rsidR="002A1D9F" w:rsidRDefault="002202B7" w:rsidP="001955CD">
            <w:pPr>
              <w:pStyle w:val="bodytext"/>
              <w:spacing w:after="200" w:line="276" w:lineRule="auto"/>
              <w:jc w:val="left"/>
              <w:rPr>
                <w:rFonts w:cs="Arial"/>
                <w:szCs w:val="22"/>
                <w:lang w:eastAsia="en-AU"/>
              </w:rPr>
            </w:pPr>
            <w:r>
              <w:rPr>
                <w:rFonts w:cs="Arial"/>
                <w:szCs w:val="22"/>
                <w:lang w:eastAsia="en-AU"/>
              </w:rPr>
              <w:t xml:space="preserve">In October 2013, fishers raised </w:t>
            </w:r>
            <w:r w:rsidR="00821C15">
              <w:rPr>
                <w:rFonts w:cs="Arial"/>
                <w:szCs w:val="22"/>
                <w:lang w:eastAsia="en-AU"/>
              </w:rPr>
              <w:t>concerns about</w:t>
            </w:r>
            <w:r>
              <w:rPr>
                <w:rFonts w:cs="Arial"/>
                <w:szCs w:val="22"/>
                <w:lang w:eastAsia="en-AU"/>
              </w:rPr>
              <w:t xml:space="preserve"> the increase of trawl effort in the fishery, in particular on the west coast. </w:t>
            </w:r>
            <w:r w:rsidR="002A1D9F">
              <w:rPr>
                <w:rFonts w:cs="Arial"/>
                <w:szCs w:val="22"/>
                <w:lang w:eastAsia="en-AU"/>
              </w:rPr>
              <w:t>DPIPWE has</w:t>
            </w:r>
            <w:r>
              <w:rPr>
                <w:rFonts w:cs="Arial"/>
                <w:szCs w:val="22"/>
                <w:lang w:eastAsia="en-AU"/>
              </w:rPr>
              <w:t xml:space="preserve"> informed the Department that as a result of these concerns</w:t>
            </w:r>
            <w:r w:rsidR="002A1D9F">
              <w:rPr>
                <w:rFonts w:cs="Arial"/>
                <w:szCs w:val="22"/>
                <w:lang w:eastAsia="en-AU"/>
              </w:rPr>
              <w:t>,</w:t>
            </w:r>
            <w:r>
              <w:rPr>
                <w:rFonts w:cs="Arial"/>
                <w:szCs w:val="22"/>
                <w:lang w:eastAsia="en-AU"/>
              </w:rPr>
              <w:t xml:space="preserve"> </w:t>
            </w:r>
            <w:r w:rsidR="002A1D9F">
              <w:rPr>
                <w:rFonts w:cs="Arial"/>
                <w:szCs w:val="22"/>
                <w:lang w:eastAsia="en-AU"/>
              </w:rPr>
              <w:t xml:space="preserve">a project to investigate the level of interactions and overlap between the Giant Crab Fishery and the </w:t>
            </w:r>
            <w:r w:rsidR="009A39C1" w:rsidRPr="009A39C1">
              <w:rPr>
                <w:rFonts w:cs="Arial"/>
                <w:szCs w:val="22"/>
                <w:lang w:eastAsia="en-AU"/>
              </w:rPr>
              <w:t xml:space="preserve">Commonwealth Trawl </w:t>
            </w:r>
            <w:r w:rsidR="002B6FFA">
              <w:rPr>
                <w:rFonts w:cs="Arial"/>
                <w:szCs w:val="22"/>
                <w:lang w:eastAsia="en-AU"/>
              </w:rPr>
              <w:t>S</w:t>
            </w:r>
            <w:r w:rsidR="009A39C1" w:rsidRPr="009A39C1">
              <w:rPr>
                <w:rFonts w:cs="Arial"/>
                <w:szCs w:val="22"/>
                <w:lang w:eastAsia="en-AU"/>
              </w:rPr>
              <w:t>ector of the SESSF</w:t>
            </w:r>
            <w:r w:rsidR="002A1D9F">
              <w:rPr>
                <w:rFonts w:cs="Arial"/>
                <w:szCs w:val="22"/>
                <w:lang w:eastAsia="en-AU"/>
              </w:rPr>
              <w:t xml:space="preserve"> was identified as a high priority. DPIPWE is currently pursuing funding from the Fisheries Research and Development </w:t>
            </w:r>
            <w:r w:rsidR="00110BCC">
              <w:rPr>
                <w:rFonts w:cs="Arial"/>
                <w:szCs w:val="22"/>
                <w:lang w:eastAsia="en-AU"/>
              </w:rPr>
              <w:t>Corporation (</w:t>
            </w:r>
            <w:r w:rsidR="00E54003">
              <w:rPr>
                <w:rFonts w:cs="Arial"/>
                <w:szCs w:val="22"/>
                <w:lang w:eastAsia="en-AU"/>
              </w:rPr>
              <w:t>FRDC</w:t>
            </w:r>
            <w:r w:rsidR="002A1D9F">
              <w:rPr>
                <w:rFonts w:cs="Arial"/>
                <w:szCs w:val="22"/>
                <w:lang w:eastAsia="en-AU"/>
              </w:rPr>
              <w:t>) to undertake the project.</w:t>
            </w:r>
          </w:p>
          <w:p w:rsidR="002A1D9F" w:rsidRPr="005474C4" w:rsidRDefault="002A1D9F" w:rsidP="001955CD">
            <w:pPr>
              <w:pStyle w:val="bodytext"/>
              <w:spacing w:after="200" w:line="276" w:lineRule="auto"/>
              <w:jc w:val="left"/>
              <w:rPr>
                <w:rFonts w:cs="Arial"/>
                <w:szCs w:val="22"/>
                <w:lang w:eastAsia="en-AU"/>
              </w:rPr>
            </w:pPr>
            <w:r>
              <w:rPr>
                <w:rFonts w:cs="Arial"/>
                <w:szCs w:val="22"/>
                <w:lang w:eastAsia="en-AU"/>
              </w:rPr>
              <w:t>D</w:t>
            </w:r>
            <w:r w:rsidR="00821C15">
              <w:rPr>
                <w:rFonts w:cs="Arial"/>
                <w:szCs w:val="22"/>
                <w:lang w:eastAsia="en-AU"/>
              </w:rPr>
              <w:t xml:space="preserve">PIPWE have continued to work </w:t>
            </w:r>
            <w:r w:rsidR="00821C15" w:rsidRPr="00821C15">
              <w:rPr>
                <w:rFonts w:cs="Arial"/>
                <w:szCs w:val="22"/>
                <w:lang w:eastAsia="en-AU"/>
              </w:rPr>
              <w:t>collaboratively</w:t>
            </w:r>
            <w:r w:rsidR="00821C15">
              <w:rPr>
                <w:rFonts w:cs="Arial"/>
                <w:szCs w:val="22"/>
                <w:lang w:eastAsia="en-AU"/>
              </w:rPr>
              <w:t xml:space="preserve"> with jurisdictions that share giant crab stock. In February 2014, DPIPWE participated in </w:t>
            </w:r>
            <w:r w:rsidR="00110BCC">
              <w:rPr>
                <w:rFonts w:cs="Arial"/>
                <w:szCs w:val="22"/>
                <w:lang w:eastAsia="en-AU"/>
              </w:rPr>
              <w:t xml:space="preserve">a </w:t>
            </w:r>
            <w:r w:rsidR="002B6FFA">
              <w:rPr>
                <w:rFonts w:cs="Arial"/>
                <w:szCs w:val="22"/>
                <w:lang w:eastAsia="en-AU"/>
              </w:rPr>
              <w:t>t</w:t>
            </w:r>
            <w:r w:rsidR="00110BCC">
              <w:rPr>
                <w:rFonts w:cs="Arial"/>
                <w:szCs w:val="22"/>
                <w:lang w:eastAsia="en-AU"/>
              </w:rPr>
              <w:t>ri-state giant crab workshop</w:t>
            </w:r>
            <w:r w:rsidR="00487F41">
              <w:rPr>
                <w:rFonts w:cs="Arial"/>
                <w:szCs w:val="22"/>
                <w:lang w:eastAsia="en-AU"/>
              </w:rPr>
              <w:t xml:space="preserve"> with Victoria</w:t>
            </w:r>
            <w:r w:rsidR="001D0330">
              <w:rPr>
                <w:rFonts w:cs="Arial"/>
                <w:szCs w:val="22"/>
                <w:lang w:eastAsia="en-AU"/>
              </w:rPr>
              <w:t xml:space="preserve"> and South Australia</w:t>
            </w:r>
            <w:r w:rsidR="00110BCC">
              <w:rPr>
                <w:rFonts w:cs="Arial"/>
                <w:szCs w:val="22"/>
                <w:lang w:eastAsia="en-AU"/>
              </w:rPr>
              <w:t>. T</w:t>
            </w:r>
            <w:r w:rsidR="00821C15">
              <w:rPr>
                <w:rFonts w:cs="Arial"/>
                <w:szCs w:val="22"/>
                <w:lang w:eastAsia="en-AU"/>
              </w:rPr>
              <w:t>he workshop addressed a number of issues including complimentary data collection, stock status and harvest strategies.</w:t>
            </w:r>
          </w:p>
        </w:tc>
        <w:tc>
          <w:tcPr>
            <w:tcW w:w="5760" w:type="dxa"/>
            <w:tcMar>
              <w:top w:w="57" w:type="dxa"/>
            </w:tcMar>
          </w:tcPr>
          <w:p w:rsidR="00821C15" w:rsidRPr="00C956CD" w:rsidRDefault="00821C15" w:rsidP="00821C15">
            <w:pPr>
              <w:rPr>
                <w:rFonts w:cs="Arial"/>
                <w:highlight w:val="cyan"/>
              </w:rPr>
            </w:pPr>
            <w:r w:rsidRPr="00C956CD">
              <w:rPr>
                <w:rFonts w:cs="Arial"/>
              </w:rPr>
              <w:t xml:space="preserve">The Department of </w:t>
            </w:r>
            <w:r>
              <w:rPr>
                <w:rFonts w:cs="Arial"/>
              </w:rPr>
              <w:t xml:space="preserve">the Environment </w:t>
            </w:r>
            <w:r w:rsidRPr="00C956CD">
              <w:rPr>
                <w:rFonts w:cs="Arial"/>
              </w:rPr>
              <w:t xml:space="preserve">considers that </w:t>
            </w:r>
            <w:r w:rsidR="00446A74">
              <w:rPr>
                <w:rFonts w:cs="Arial"/>
              </w:rPr>
              <w:t>this recommendation is ongoing</w:t>
            </w:r>
            <w:r w:rsidRPr="00C956CD">
              <w:rPr>
                <w:rFonts w:cs="Arial"/>
              </w:rPr>
              <w:t>.</w:t>
            </w:r>
          </w:p>
          <w:p w:rsidR="00A4113A" w:rsidRPr="005474C4" w:rsidRDefault="00446A74" w:rsidP="00821C15">
            <w:pPr>
              <w:rPr>
                <w:rFonts w:cs="Arial"/>
                <w:highlight w:val="cyan"/>
              </w:rPr>
            </w:pPr>
            <w:r w:rsidRPr="00446A74">
              <w:rPr>
                <w:rFonts w:cs="Arial"/>
              </w:rPr>
              <w:t xml:space="preserve">The Department proposes that this action be continued (see </w:t>
            </w:r>
            <w:r w:rsidRPr="00446A74">
              <w:rPr>
                <w:rFonts w:cs="Arial"/>
                <w:b/>
              </w:rPr>
              <w:t>Recommendation</w:t>
            </w:r>
            <w:r>
              <w:rPr>
                <w:rFonts w:cs="Arial"/>
                <w:b/>
              </w:rPr>
              <w:t xml:space="preserve"> 4</w:t>
            </w:r>
            <w:r w:rsidRPr="00446A74">
              <w:rPr>
                <w:rFonts w:cs="Arial"/>
                <w:b/>
              </w:rPr>
              <w:t>, Table 4</w:t>
            </w:r>
            <w:r w:rsidRPr="00446A74">
              <w:rPr>
                <w:rFonts w:cs="Arial"/>
              </w:rPr>
              <w:t>).</w:t>
            </w:r>
          </w:p>
        </w:tc>
      </w:tr>
    </w:tbl>
    <w:p w:rsidR="00B6012C" w:rsidRDefault="00B6012C" w:rsidP="001955CD">
      <w:pPr>
        <w:rPr>
          <w:rFonts w:cs="Arial"/>
        </w:rPr>
        <w:sectPr w:rsidR="00B6012C">
          <w:pgSz w:w="16838" w:h="11906" w:orient="landscape"/>
          <w:pgMar w:top="899" w:right="1361" w:bottom="899" w:left="1361" w:header="709" w:footer="528" w:gutter="0"/>
          <w:cols w:space="708"/>
          <w:docGrid w:linePitch="360"/>
        </w:sectPr>
      </w:pPr>
    </w:p>
    <w:p w:rsidR="00B6012C" w:rsidRPr="007430E0" w:rsidRDefault="00B6012C" w:rsidP="00CF7D68">
      <w:pPr>
        <w:pStyle w:val="Heading6"/>
        <w:spacing w:after="240"/>
        <w:rPr>
          <w:rStyle w:val="Emphasis"/>
          <w:rFonts w:ascii="Arial" w:hAnsi="Arial" w:cs="Arial"/>
          <w:i w:val="0"/>
          <w:iCs w:val="0"/>
        </w:rPr>
      </w:pPr>
      <w:bookmarkStart w:id="2" w:name="_Toc316301050"/>
      <w:r w:rsidRPr="007430E0">
        <w:rPr>
          <w:rStyle w:val="Emphasis"/>
          <w:rFonts w:ascii="Arial" w:hAnsi="Arial" w:cs="Arial"/>
          <w:i w:val="0"/>
          <w:iCs w:val="0"/>
        </w:rPr>
        <w:t xml:space="preserve">Table 3: The Department of the Environment’s assessment of the </w:t>
      </w:r>
      <w:r w:rsidR="00E54003">
        <w:rPr>
          <w:rStyle w:val="Emphasis"/>
          <w:rFonts w:ascii="Arial" w:hAnsi="Arial" w:cs="Arial"/>
          <w:i w:val="0"/>
          <w:iCs w:val="0"/>
        </w:rPr>
        <w:t>Tasmanian Giant Crab Fishery</w:t>
      </w:r>
      <w:r w:rsidRPr="007430E0">
        <w:rPr>
          <w:rStyle w:val="Emphasis"/>
          <w:rFonts w:ascii="Arial" w:hAnsi="Arial" w:cs="Arial"/>
          <w:i w:val="0"/>
          <w:iCs w:val="0"/>
        </w:rPr>
        <w:t xml:space="preserve"> again</w:t>
      </w:r>
      <w:r w:rsidR="00CB2F40">
        <w:rPr>
          <w:rStyle w:val="Emphasis"/>
          <w:rFonts w:ascii="Arial" w:hAnsi="Arial" w:cs="Arial"/>
          <w:i w:val="0"/>
          <w:iCs w:val="0"/>
        </w:rPr>
        <w:t>st the requirements of the EPBC </w:t>
      </w:r>
      <w:r w:rsidRPr="007430E0">
        <w:rPr>
          <w:rStyle w:val="Emphasis"/>
          <w:rFonts w:ascii="Arial" w:hAnsi="Arial" w:cs="Arial"/>
          <w:i w:val="0"/>
          <w:iCs w:val="0"/>
        </w:rPr>
        <w:t>Act r</w:t>
      </w:r>
      <w:r w:rsidR="00E54003">
        <w:rPr>
          <w:rStyle w:val="Emphasis"/>
          <w:rFonts w:ascii="Arial" w:hAnsi="Arial" w:cs="Arial"/>
          <w:i w:val="0"/>
          <w:iCs w:val="0"/>
        </w:rPr>
        <w:t xml:space="preserve">elated to decisions made under </w:t>
      </w:r>
      <w:proofErr w:type="spellStart"/>
      <w:r w:rsidRPr="00E54003">
        <w:rPr>
          <w:rStyle w:val="Emphasis"/>
          <w:rFonts w:ascii="Arial" w:hAnsi="Arial" w:cs="Arial"/>
          <w:i w:val="0"/>
          <w:iCs w:val="0"/>
        </w:rPr>
        <w:t>Part</w:t>
      </w:r>
      <w:proofErr w:type="spellEnd"/>
      <w:r w:rsidRPr="00E54003">
        <w:rPr>
          <w:rStyle w:val="Emphasis"/>
          <w:rFonts w:ascii="Arial" w:hAnsi="Arial" w:cs="Arial"/>
          <w:i w:val="0"/>
          <w:iCs w:val="0"/>
        </w:rPr>
        <w:t> 13 and</w:t>
      </w:r>
      <w:r w:rsidRPr="007430E0">
        <w:rPr>
          <w:rStyle w:val="Emphasis"/>
          <w:rFonts w:ascii="Arial" w:hAnsi="Arial" w:cs="Arial"/>
          <w:i w:val="0"/>
          <w:iCs w:val="0"/>
        </w:rPr>
        <w:t xml:space="preserve"> Part 13A.</w:t>
      </w:r>
      <w:bookmarkEnd w:id="2"/>
    </w:p>
    <w:p w:rsidR="00B6012C" w:rsidRPr="001955CD" w:rsidRDefault="00B6012C" w:rsidP="001955CD">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under </w:t>
      </w:r>
      <w:r w:rsidRPr="00CF7D68">
        <w:rPr>
          <w:rFonts w:cs="Arial"/>
        </w:rPr>
        <w:t>Part</w:t>
      </w:r>
      <w:r w:rsidR="00CF7D68" w:rsidRPr="00CF7D68">
        <w:rPr>
          <w:rFonts w:cs="Arial"/>
        </w:rPr>
        <w:t>s</w:t>
      </w:r>
      <w:r w:rsidRPr="00CF7D68">
        <w:rPr>
          <w:rFonts w:cs="Arial"/>
        </w:rPr>
        <w:t> 13 and 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B6012C" w:rsidRPr="00F6308F" w:rsidRDefault="00B6012C" w:rsidP="001955CD">
      <w:pPr>
        <w:rPr>
          <w:rFonts w:cs="Arial"/>
          <w:b/>
        </w:rPr>
      </w:pPr>
      <w:r w:rsidRPr="00F6308F">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1 Listed threatened species</w:t>
            </w:r>
          </w:p>
          <w:p w:rsidR="00B6012C" w:rsidRPr="00F6308F" w:rsidRDefault="00B6012C" w:rsidP="001955CD">
            <w:pPr>
              <w:rPr>
                <w:rFonts w:cs="Arial"/>
                <w:b/>
              </w:rPr>
            </w:pPr>
            <w:r w:rsidRPr="00F6308F">
              <w:rPr>
                <w:rFonts w:cs="Arial"/>
                <w:b/>
              </w:rPr>
              <w:t>Section 208A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CF7D68">
              <w:rPr>
                <w:rFonts w:cs="Arial"/>
                <w:b/>
              </w:rPr>
              <w:t>Tasmanian Giant Crab Fishery</w:t>
            </w:r>
          </w:p>
        </w:tc>
      </w:tr>
      <w:tr w:rsidR="00B6012C" w:rsidRPr="00F6308F" w:rsidTr="001955CD">
        <w:tc>
          <w:tcPr>
            <w:tcW w:w="7087" w:type="dxa"/>
          </w:tcPr>
          <w:p w:rsidR="00B6012C" w:rsidRPr="002A476F" w:rsidRDefault="00B6012C" w:rsidP="004C1B91">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 w:val="left" w:pos="1080"/>
              </w:tabs>
              <w:spacing w:after="0"/>
              <w:ind w:left="1620" w:hanging="540"/>
              <w:rPr>
                <w:rFonts w:cs="Arial"/>
              </w:rPr>
            </w:pPr>
            <w:r w:rsidRPr="002A476F">
              <w:rPr>
                <w:rFonts w:cs="Arial"/>
              </w:rPr>
              <w:tab/>
              <w:t>made by a State or self-governing Territory; and</w:t>
            </w:r>
          </w:p>
          <w:p w:rsidR="00B6012C" w:rsidRPr="002A476F" w:rsidRDefault="00B6012C" w:rsidP="00B6012C">
            <w:pPr>
              <w:numPr>
                <w:ilvl w:val="1"/>
                <w:numId w:val="23"/>
              </w:numPr>
              <w:tabs>
                <w:tab w:val="clear" w:pos="1800"/>
                <w:tab w:val="left" w:pos="1080"/>
              </w:tabs>
              <w:spacing w:after="0"/>
              <w:ind w:left="1620" w:hanging="540"/>
              <w:rPr>
                <w:rFonts w:cs="Arial"/>
              </w:rPr>
            </w:pPr>
            <w:r w:rsidRPr="002A476F">
              <w:rPr>
                <w:rFonts w:cs="Arial"/>
              </w:rPr>
              <w:tab/>
              <w:t xml:space="preserve">in force under a law of the State or self-governing Territory; </w:t>
            </w:r>
          </w:p>
          <w:p w:rsidR="00B6012C" w:rsidRPr="002A476F" w:rsidRDefault="00B6012C" w:rsidP="001955CD">
            <w:pPr>
              <w:rPr>
                <w:rFonts w:cs="Arial"/>
              </w:rPr>
            </w:pP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19"/>
              </w:numPr>
              <w:spacing w:after="0"/>
              <w:rPr>
                <w:rFonts w:cs="Arial"/>
              </w:rPr>
            </w:pPr>
            <w:r w:rsidRPr="002A476F">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B6012C" w:rsidRPr="002A476F" w:rsidRDefault="00B6012C" w:rsidP="001955CD">
            <w:pPr>
              <w:ind w:left="360"/>
              <w:rPr>
                <w:rFonts w:cs="Arial"/>
              </w:rPr>
            </w:pPr>
          </w:p>
          <w:p w:rsidR="00B6012C" w:rsidRDefault="00B6012C" w:rsidP="001955CD">
            <w:pPr>
              <w:ind w:left="360"/>
              <w:rPr>
                <w:rFonts w:cs="Arial"/>
              </w:rPr>
            </w:pPr>
          </w:p>
          <w:p w:rsidR="004C1B91" w:rsidRDefault="004C1B91" w:rsidP="004C1B91">
            <w:pPr>
              <w:spacing w:after="240"/>
              <w:ind w:left="357"/>
              <w:rPr>
                <w:rFonts w:cs="Arial"/>
              </w:rPr>
            </w:pPr>
          </w:p>
          <w:p w:rsidR="00225F65" w:rsidRDefault="00225F65" w:rsidP="004C1B91">
            <w:pPr>
              <w:spacing w:after="240"/>
              <w:ind w:left="357"/>
              <w:rPr>
                <w:rFonts w:cs="Arial"/>
              </w:rPr>
            </w:pPr>
          </w:p>
          <w:p w:rsidR="00225F65" w:rsidRDefault="00225F65" w:rsidP="004C1B91">
            <w:pPr>
              <w:spacing w:after="240"/>
              <w:ind w:left="357"/>
              <w:rPr>
                <w:rFonts w:cs="Arial"/>
              </w:rPr>
            </w:pPr>
          </w:p>
          <w:p w:rsidR="00225F65" w:rsidRDefault="00225F65" w:rsidP="00A1025F">
            <w:pPr>
              <w:spacing w:after="240"/>
              <w:rPr>
                <w:rFonts w:cs="Arial"/>
              </w:rPr>
            </w:pPr>
          </w:p>
          <w:p w:rsidR="00A1025F" w:rsidRDefault="00A1025F" w:rsidP="00A1025F">
            <w:pPr>
              <w:spacing w:after="240"/>
              <w:rPr>
                <w:rFonts w:cs="Arial"/>
              </w:rPr>
            </w:pPr>
          </w:p>
          <w:p w:rsidR="00CC3C7C" w:rsidRDefault="00CC3C7C">
            <w:pPr>
              <w:spacing w:after="240"/>
              <w:rPr>
                <w:rFonts w:cs="Arial"/>
              </w:rPr>
            </w:pPr>
          </w:p>
          <w:p w:rsidR="00B6012C" w:rsidRPr="002A476F" w:rsidRDefault="00B6012C" w:rsidP="00B6012C">
            <w:pPr>
              <w:numPr>
                <w:ilvl w:val="1"/>
                <w:numId w:val="13"/>
              </w:numPr>
              <w:tabs>
                <w:tab w:val="clear" w:pos="1440"/>
                <w:tab w:val="num" w:pos="1080"/>
              </w:tabs>
              <w:ind w:left="1080" w:hanging="72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survival or recovery in nature of the species.</w:t>
            </w:r>
          </w:p>
        </w:tc>
        <w:tc>
          <w:tcPr>
            <w:tcW w:w="7087" w:type="dxa"/>
          </w:tcPr>
          <w:p w:rsidR="00B6012C" w:rsidRPr="002A476F" w:rsidRDefault="00B6012C" w:rsidP="001955CD">
            <w:pPr>
              <w:rPr>
                <w:rFonts w:cs="Arial"/>
              </w:rPr>
            </w:pPr>
          </w:p>
          <w:p w:rsidR="006327AE" w:rsidRDefault="006327AE" w:rsidP="006327AE">
            <w:pPr>
              <w:spacing w:after="0"/>
              <w:rPr>
                <w:rFonts w:cs="Arial"/>
              </w:rPr>
            </w:pPr>
          </w:p>
          <w:p w:rsidR="00B6012C" w:rsidRPr="006327AE" w:rsidRDefault="00F64F4C" w:rsidP="001955CD">
            <w:pPr>
              <w:rPr>
                <w:rFonts w:cs="Arial"/>
              </w:rPr>
            </w:pPr>
            <w:r w:rsidRPr="006327AE">
              <w:rPr>
                <w:rFonts w:cs="Arial"/>
              </w:rPr>
              <w:t>The Tasmanian Giant Crab Fishery</w:t>
            </w:r>
            <w:r w:rsidR="00B6012C" w:rsidRPr="006327AE">
              <w:rPr>
                <w:rFonts w:cs="Arial"/>
              </w:rPr>
              <w:t xml:space="preserve"> will be managed under the </w:t>
            </w:r>
            <w:r w:rsidR="00CB526E" w:rsidRPr="00CB526E">
              <w:rPr>
                <w:rFonts w:cs="Arial"/>
              </w:rPr>
              <w:t>Tasmanian</w:t>
            </w:r>
            <w:r w:rsidR="00CB526E" w:rsidRPr="00CB526E">
              <w:rPr>
                <w:rFonts w:cs="Arial"/>
                <w:i/>
              </w:rPr>
              <w:t xml:space="preserve"> </w:t>
            </w:r>
            <w:r w:rsidR="00D87C92" w:rsidRPr="00D87C92">
              <w:rPr>
                <w:rFonts w:cs="Arial"/>
                <w:i/>
              </w:rPr>
              <w:t>Fisheries</w:t>
            </w:r>
            <w:r w:rsidR="007464D5" w:rsidRPr="00D87C92">
              <w:rPr>
                <w:rFonts w:cs="Arial"/>
                <w:i/>
              </w:rPr>
              <w:t xml:space="preserve"> </w:t>
            </w:r>
            <w:r w:rsidR="00776A41">
              <w:rPr>
                <w:rFonts w:cs="Arial"/>
                <w:i/>
              </w:rPr>
              <w:t>(giant crab) r</w:t>
            </w:r>
            <w:r w:rsidR="007464D5" w:rsidRPr="007464D5">
              <w:rPr>
                <w:rFonts w:cs="Arial"/>
                <w:i/>
              </w:rPr>
              <w:t>ules 2013</w:t>
            </w:r>
            <w:r w:rsidRPr="006327AE">
              <w:rPr>
                <w:rFonts w:cs="Arial"/>
              </w:rPr>
              <w:t xml:space="preserve"> </w:t>
            </w:r>
            <w:r w:rsidR="006327AE" w:rsidRPr="006327AE">
              <w:rPr>
                <w:rFonts w:cs="Arial"/>
              </w:rPr>
              <w:t>and the</w:t>
            </w:r>
            <w:r w:rsidR="006327AE" w:rsidRPr="006327AE">
              <w:rPr>
                <w:rFonts w:ascii="Times New Roman" w:eastAsia="Times New Roman" w:hAnsi="Times New Roman"/>
                <w:sz w:val="24"/>
                <w:szCs w:val="24"/>
                <w:lang w:eastAsia="en-AU"/>
              </w:rPr>
              <w:t xml:space="preserve"> </w:t>
            </w:r>
            <w:r w:rsidR="006327AE" w:rsidRPr="006327AE">
              <w:rPr>
                <w:rFonts w:cs="Arial"/>
              </w:rPr>
              <w:t>Tasmanian</w:t>
            </w:r>
            <w:r w:rsidR="006327AE" w:rsidRPr="006327AE">
              <w:rPr>
                <w:rFonts w:cs="Arial"/>
                <w:i/>
              </w:rPr>
              <w:t xml:space="preserve"> Living Marine Resources Management Act 1995</w:t>
            </w:r>
            <w:r w:rsidR="00B6012C" w:rsidRPr="006327AE">
              <w:rPr>
                <w:rFonts w:cs="Arial"/>
              </w:rPr>
              <w:t xml:space="preserve">. </w:t>
            </w:r>
          </w:p>
          <w:p w:rsidR="00B6012C" w:rsidRPr="002A476F" w:rsidRDefault="00B6012C" w:rsidP="001955CD">
            <w:pPr>
              <w:rPr>
                <w:rFonts w:cs="Arial"/>
              </w:rPr>
            </w:pPr>
          </w:p>
          <w:p w:rsidR="00B6012C" w:rsidRPr="002A476F" w:rsidRDefault="00B6012C" w:rsidP="001955CD">
            <w:pPr>
              <w:rPr>
                <w:rFonts w:cs="Arial"/>
                <w:highlight w:val="cyan"/>
              </w:rPr>
            </w:pPr>
          </w:p>
          <w:p w:rsidR="006327AE" w:rsidRDefault="006327AE" w:rsidP="004C1B91">
            <w:pPr>
              <w:spacing w:after="100"/>
              <w:rPr>
                <w:rFonts w:cs="Arial"/>
              </w:rPr>
            </w:pPr>
          </w:p>
          <w:p w:rsidR="002A1CAA" w:rsidRDefault="006327AE" w:rsidP="006327AE">
            <w:pPr>
              <w:rPr>
                <w:rFonts w:cs="Arial"/>
              </w:rPr>
            </w:pPr>
            <w:r>
              <w:rPr>
                <w:rFonts w:cs="Arial"/>
              </w:rPr>
              <w:t xml:space="preserve">The management regime for the </w:t>
            </w:r>
            <w:r w:rsidRPr="006327AE">
              <w:rPr>
                <w:rFonts w:cs="Arial"/>
              </w:rPr>
              <w:t xml:space="preserve">Tasmanian Giant Crab Fishery </w:t>
            </w:r>
            <w:r>
              <w:rPr>
                <w:rFonts w:cs="Arial"/>
              </w:rPr>
              <w:t xml:space="preserve">was most recently accredited </w:t>
            </w:r>
            <w:r w:rsidRPr="00815570">
              <w:t xml:space="preserve">under section 208A (Part 13) </w:t>
            </w:r>
            <w:r>
              <w:t>of the EPBC Act</w:t>
            </w:r>
            <w:r>
              <w:rPr>
                <w:rFonts w:cs="Arial"/>
              </w:rPr>
              <w:t xml:space="preserve"> in February 2013</w:t>
            </w:r>
            <w:r w:rsidRPr="00F77A7C">
              <w:rPr>
                <w:rFonts w:cs="Arial"/>
              </w:rPr>
              <w:t>.</w:t>
            </w:r>
            <w:r>
              <w:rPr>
                <w:rFonts w:cs="Arial"/>
              </w:rPr>
              <w:t xml:space="preserve"> </w:t>
            </w:r>
            <w:r w:rsidR="0076063D">
              <w:rPr>
                <w:rFonts w:cs="Arial"/>
              </w:rPr>
              <w:t>There have been no material changes to the management regime since this time that have changed the requirement for fishers to take all reasonable steps to ensure that members of listed threatened species</w:t>
            </w:r>
            <w:r w:rsidR="002A1CAA">
              <w:rPr>
                <w:rFonts w:cs="Arial"/>
              </w:rPr>
              <w:t xml:space="preserve"> (other than conservation dependent species) are not killed or injured as a result of the fishing.</w:t>
            </w:r>
          </w:p>
          <w:p w:rsidR="006327AE" w:rsidRPr="00A94CE9" w:rsidRDefault="001B0A9D" w:rsidP="006327AE">
            <w:pPr>
              <w:rPr>
                <w:rFonts w:cs="Arial"/>
              </w:rPr>
            </w:pPr>
            <w:r>
              <w:rPr>
                <w:rFonts w:cs="Arial"/>
              </w:rPr>
              <w:t xml:space="preserve">Listed threatened species that may interact with the fishery due to geographic overlap include some large whale species and some seabird species. </w:t>
            </w:r>
            <w:r w:rsidR="002A1CAA">
              <w:rPr>
                <w:rFonts w:cs="Arial"/>
              </w:rPr>
              <w:t>The management regime for the Tasmanian Giant Crab Fishery prescribes limits and restrictions on fishing gear used in the fishery</w:t>
            </w:r>
            <w:r>
              <w:rPr>
                <w:rFonts w:cs="Arial"/>
              </w:rPr>
              <w:t>,</w:t>
            </w:r>
            <w:r w:rsidR="0050191F">
              <w:rPr>
                <w:rFonts w:cs="Arial"/>
              </w:rPr>
              <w:t xml:space="preserve"> as</w:t>
            </w:r>
            <w:r>
              <w:rPr>
                <w:rFonts w:cs="Arial"/>
              </w:rPr>
              <w:t xml:space="preserve"> described in Table 1</w:t>
            </w:r>
            <w:r w:rsidR="002A1CAA">
              <w:rPr>
                <w:rFonts w:cs="Arial"/>
              </w:rPr>
              <w:t xml:space="preserve">. </w:t>
            </w:r>
            <w:r w:rsidR="00B22D76">
              <w:t>Given t</w:t>
            </w:r>
            <w:r>
              <w:t>hese limits and restrictions,</w:t>
            </w:r>
            <w:r w:rsidR="00B22D76">
              <w:t xml:space="preserve"> that keep fishing effort </w:t>
            </w:r>
            <w:r w:rsidR="00225F65">
              <w:t>constrained</w:t>
            </w:r>
            <w:r w:rsidR="00B22D76">
              <w:t xml:space="preserve"> enough that </w:t>
            </w:r>
            <w:r w:rsidR="00225F65">
              <w:t>the risk of whale entanglements is low,</w:t>
            </w:r>
            <w:r>
              <w:t xml:space="preserve"> coupled with the </w:t>
            </w:r>
            <w:r w:rsidR="00B22D76">
              <w:t>relatively benign fishing methods</w:t>
            </w:r>
            <w:r w:rsidR="00225F65">
              <w:t xml:space="preserve"> that do not pose a risk to seabirds,</w:t>
            </w:r>
            <w:r w:rsidR="006327AE">
              <w:t xml:space="preserve"> </w:t>
            </w:r>
            <w:r w:rsidR="006327AE">
              <w:rPr>
                <w:rFonts w:cs="Arial"/>
              </w:rPr>
              <w:t>the D</w:t>
            </w:r>
            <w:r w:rsidR="006327AE" w:rsidRPr="00A94CE9">
              <w:rPr>
                <w:rFonts w:cs="Arial"/>
              </w:rPr>
              <w:t>epartment considers that the</w:t>
            </w:r>
            <w:r w:rsidR="006327AE">
              <w:rPr>
                <w:rFonts w:cs="Arial"/>
              </w:rPr>
              <w:t xml:space="preserve"> </w:t>
            </w:r>
            <w:r w:rsidR="006327AE" w:rsidRPr="00A94CE9">
              <w:rPr>
                <w:rFonts w:cs="Arial"/>
              </w:rPr>
              <w:t xml:space="preserve">management regime for the </w:t>
            </w:r>
            <w:r w:rsidR="004C1B91" w:rsidRPr="006327AE">
              <w:rPr>
                <w:rFonts w:cs="Arial"/>
              </w:rPr>
              <w:t xml:space="preserve">Tasmanian Giant Crab Fishery </w:t>
            </w:r>
            <w:r w:rsidR="006327AE" w:rsidRPr="00A94CE9">
              <w:rPr>
                <w:rFonts w:cs="Arial"/>
              </w:rPr>
              <w:t xml:space="preserve">still requires operators to take all reasonable steps to ensure that </w:t>
            </w:r>
            <w:r w:rsidR="006327AE">
              <w:rPr>
                <w:rFonts w:cs="Arial"/>
              </w:rPr>
              <w:t xml:space="preserve">members of </w:t>
            </w:r>
            <w:r w:rsidR="006327AE" w:rsidRPr="00A94CE9">
              <w:rPr>
                <w:rFonts w:cs="Arial"/>
              </w:rPr>
              <w:t>listed threatened species are not killed or injured</w:t>
            </w:r>
            <w:r w:rsidR="006327AE">
              <w:rPr>
                <w:rFonts w:cs="Arial"/>
              </w:rPr>
              <w:t xml:space="preserve"> in Commonwealth waters</w:t>
            </w:r>
            <w:r w:rsidR="006327AE" w:rsidRPr="00A94CE9">
              <w:rPr>
                <w:rFonts w:cs="Arial"/>
              </w:rPr>
              <w:t xml:space="preserve"> as a result of the fishing. </w:t>
            </w:r>
          </w:p>
          <w:p w:rsidR="00B6012C" w:rsidRPr="002A476F" w:rsidRDefault="004C1B91" w:rsidP="001955CD">
            <w:pPr>
              <w:rPr>
                <w:rFonts w:cs="Arial"/>
              </w:rPr>
            </w:pPr>
            <w:r w:rsidRPr="00815570">
              <w:t>Given the manageme</w:t>
            </w:r>
            <w:r>
              <w:t>nt measures described</w:t>
            </w:r>
            <w:r w:rsidRPr="00815570">
              <w:t xml:space="preserve"> in Table 1</w:t>
            </w:r>
            <w:r>
              <w:t>, the Department considers</w:t>
            </w:r>
            <w:r>
              <w:rPr>
                <w:rFonts w:cs="Arial"/>
              </w:rPr>
              <w:t xml:space="preserve"> </w:t>
            </w:r>
            <w:r w:rsidRPr="00A94CE9">
              <w:rPr>
                <w:rFonts w:cs="Arial"/>
              </w:rPr>
              <w:t>the likelihood of interactions with listed thr</w:t>
            </w:r>
            <w:r>
              <w:rPr>
                <w:rFonts w:cs="Arial"/>
              </w:rPr>
              <w:t xml:space="preserve">eatened species in the </w:t>
            </w:r>
            <w:r w:rsidRPr="006327AE">
              <w:rPr>
                <w:rFonts w:cs="Arial"/>
              </w:rPr>
              <w:t xml:space="preserve">Tasmanian Giant Crab Fishery </w:t>
            </w:r>
            <w:r>
              <w:rPr>
                <w:rFonts w:cs="Arial"/>
              </w:rPr>
              <w:t>to be very low. Therefore, the D</w:t>
            </w:r>
            <w:r w:rsidRPr="00A94CE9">
              <w:rPr>
                <w:rFonts w:cs="Arial"/>
              </w:rPr>
              <w:t>epartment considers the cu</w:t>
            </w:r>
            <w:r>
              <w:rPr>
                <w:rFonts w:cs="Arial"/>
              </w:rPr>
              <w:t xml:space="preserve">rrent operation of the </w:t>
            </w:r>
            <w:r w:rsidRPr="006327AE">
              <w:rPr>
                <w:rFonts w:cs="Arial"/>
              </w:rPr>
              <w:t xml:space="preserve">Tasmanian Giant Crab Fishery </w:t>
            </w:r>
            <w:r w:rsidRPr="00A94CE9">
              <w:rPr>
                <w:rFonts w:cs="Arial"/>
              </w:rPr>
              <w:t>is not likely to adversely affect the survival or recovery in nature of any listed threatened species.</w:t>
            </w:r>
          </w:p>
        </w:tc>
      </w:tr>
    </w:tbl>
    <w:p w:rsidR="00B6012C" w:rsidRPr="00F6308F" w:rsidRDefault="00B6012C" w:rsidP="001955CD">
      <w:pPr>
        <w:rPr>
          <w:rFonts w:cs="Arial"/>
        </w:rPr>
      </w:pPr>
    </w:p>
    <w:p w:rsidR="00B6012C" w:rsidRPr="00F6308F" w:rsidRDefault="00B6012C" w:rsidP="001955CD">
      <w:pPr>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2 Migratory species</w:t>
            </w:r>
          </w:p>
          <w:p w:rsidR="00B6012C" w:rsidRPr="00F6308F" w:rsidRDefault="00B6012C" w:rsidP="001955CD">
            <w:pPr>
              <w:rPr>
                <w:rFonts w:cs="Arial"/>
                <w:b/>
              </w:rPr>
            </w:pPr>
            <w:r w:rsidRPr="00F6308F">
              <w:rPr>
                <w:rFonts w:cs="Arial"/>
                <w:b/>
              </w:rPr>
              <w:t>Section 222A Minister may accredit plans or regimes</w:t>
            </w:r>
          </w:p>
        </w:tc>
        <w:tc>
          <w:tcPr>
            <w:tcW w:w="7087" w:type="dxa"/>
          </w:tcPr>
          <w:p w:rsidR="00B6012C" w:rsidRPr="00F6308F" w:rsidRDefault="004C1B91" w:rsidP="001955CD">
            <w:pPr>
              <w:rPr>
                <w:rFonts w:cs="Arial"/>
                <w:b/>
              </w:rPr>
            </w:pPr>
            <w:r>
              <w:rPr>
                <w:rFonts w:cs="Arial"/>
                <w:b/>
              </w:rPr>
              <w:t>The D</w:t>
            </w:r>
            <w:r w:rsidRPr="00F6308F">
              <w:rPr>
                <w:rFonts w:cs="Arial"/>
                <w:b/>
              </w:rPr>
              <w:t xml:space="preserve">epartment’s assessment of the </w:t>
            </w:r>
            <w:r>
              <w:rPr>
                <w:rFonts w:cs="Arial"/>
                <w:b/>
              </w:rPr>
              <w:t>Tasmanian Giant Crab Fishery</w:t>
            </w:r>
          </w:p>
        </w:tc>
      </w:tr>
      <w:tr w:rsidR="00B6012C" w:rsidRPr="00F6308F" w:rsidTr="001955CD">
        <w:tc>
          <w:tcPr>
            <w:tcW w:w="7087" w:type="dxa"/>
          </w:tcPr>
          <w:p w:rsidR="00B6012C" w:rsidRPr="002A476F" w:rsidRDefault="00B6012C" w:rsidP="004C1B91">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made by a State or self-governing Territory; and</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B6012C" w:rsidRDefault="00B6012C" w:rsidP="001955CD">
            <w:pPr>
              <w:rPr>
                <w:rFonts w:cs="Arial"/>
              </w:rPr>
            </w:pPr>
          </w:p>
          <w:p w:rsidR="00A1025F" w:rsidRPr="002A476F" w:rsidRDefault="00A1025F" w:rsidP="001955CD">
            <w:pPr>
              <w:rPr>
                <w:rFonts w:cs="Arial"/>
              </w:rPr>
            </w:pPr>
          </w:p>
          <w:p w:rsidR="00A1025F" w:rsidRPr="002A476F" w:rsidRDefault="00B6012C" w:rsidP="009E267B">
            <w:pPr>
              <w:spacing w:after="16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Default="00B6012C" w:rsidP="004C1B91">
            <w:pPr>
              <w:numPr>
                <w:ilvl w:val="0"/>
                <w:numId w:val="24"/>
              </w:numPr>
              <w:tabs>
                <w:tab w:val="clear" w:pos="1500"/>
                <w:tab w:val="num" w:pos="1080"/>
              </w:tabs>
              <w:spacing w:after="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4C1B91" w:rsidRDefault="004C1B91" w:rsidP="004C1B91">
            <w:pPr>
              <w:spacing w:after="0"/>
              <w:ind w:left="1080"/>
              <w:rPr>
                <w:rFonts w:cs="Arial"/>
              </w:rPr>
            </w:pPr>
          </w:p>
          <w:p w:rsidR="00CC3C7C" w:rsidRDefault="00CC3C7C">
            <w:pPr>
              <w:spacing w:after="0"/>
              <w:rPr>
                <w:rFonts w:cs="Arial"/>
              </w:rPr>
            </w:pPr>
          </w:p>
          <w:p w:rsidR="004C1B91" w:rsidRDefault="004C1B91" w:rsidP="004C1B91">
            <w:pPr>
              <w:spacing w:after="0"/>
              <w:ind w:left="1080"/>
              <w:rPr>
                <w:rFonts w:cs="Arial"/>
              </w:rPr>
            </w:pPr>
          </w:p>
          <w:p w:rsidR="00784903" w:rsidRDefault="00784903" w:rsidP="004C1B91">
            <w:pPr>
              <w:spacing w:after="0"/>
              <w:ind w:left="1080"/>
              <w:rPr>
                <w:rFonts w:cs="Arial"/>
              </w:rPr>
            </w:pPr>
          </w:p>
          <w:p w:rsidR="00784903" w:rsidRDefault="00784903" w:rsidP="004C1B91">
            <w:pPr>
              <w:spacing w:after="0"/>
              <w:ind w:left="1080"/>
              <w:rPr>
                <w:rFonts w:cs="Arial"/>
              </w:rPr>
            </w:pPr>
          </w:p>
          <w:p w:rsidR="00784903" w:rsidRDefault="00784903" w:rsidP="004C1B91">
            <w:pPr>
              <w:spacing w:after="0"/>
              <w:ind w:left="1080"/>
              <w:rPr>
                <w:rFonts w:cs="Arial"/>
              </w:rPr>
            </w:pPr>
          </w:p>
          <w:p w:rsidR="00784903" w:rsidRDefault="00784903" w:rsidP="004C1B91">
            <w:pPr>
              <w:spacing w:after="0"/>
              <w:ind w:left="1080"/>
              <w:rPr>
                <w:rFonts w:cs="Arial"/>
              </w:rPr>
            </w:pPr>
          </w:p>
          <w:p w:rsidR="00784903" w:rsidRDefault="00784903" w:rsidP="004C1B91">
            <w:pPr>
              <w:spacing w:after="0"/>
              <w:ind w:left="1080"/>
              <w:rPr>
                <w:rFonts w:cs="Arial"/>
              </w:rPr>
            </w:pPr>
          </w:p>
          <w:p w:rsidR="00784903" w:rsidRDefault="00784903" w:rsidP="004C1B91">
            <w:pPr>
              <w:spacing w:after="0"/>
              <w:ind w:left="1080"/>
              <w:rPr>
                <w:rFonts w:cs="Arial"/>
              </w:rPr>
            </w:pPr>
          </w:p>
          <w:p w:rsidR="00784903" w:rsidRDefault="00784903" w:rsidP="004C1B91">
            <w:pPr>
              <w:spacing w:after="0"/>
              <w:ind w:left="1080"/>
              <w:rPr>
                <w:rFonts w:cs="Arial"/>
              </w:rPr>
            </w:pPr>
          </w:p>
          <w:p w:rsidR="00784903" w:rsidRDefault="00784903" w:rsidP="004C1B91">
            <w:pPr>
              <w:spacing w:after="0"/>
              <w:ind w:left="1080"/>
              <w:rPr>
                <w:rFonts w:cs="Arial"/>
              </w:rPr>
            </w:pPr>
          </w:p>
          <w:p w:rsidR="00784903" w:rsidRDefault="00784903" w:rsidP="004C1B91">
            <w:pPr>
              <w:spacing w:after="0"/>
              <w:ind w:left="1080"/>
              <w:rPr>
                <w:rFonts w:cs="Arial"/>
              </w:rPr>
            </w:pPr>
          </w:p>
          <w:p w:rsidR="00784903" w:rsidRDefault="00784903" w:rsidP="00A1025F">
            <w:pPr>
              <w:spacing w:after="40"/>
              <w:rPr>
                <w:rFonts w:cs="Arial"/>
              </w:rPr>
            </w:pPr>
          </w:p>
          <w:p w:rsidR="00A1025F" w:rsidRDefault="00A1025F" w:rsidP="00A1025F">
            <w:pPr>
              <w:spacing w:after="40"/>
              <w:rPr>
                <w:rFonts w:cs="Arial"/>
              </w:rPr>
            </w:pPr>
          </w:p>
          <w:p w:rsidR="00A1025F" w:rsidRDefault="00A1025F" w:rsidP="00A1025F">
            <w:pPr>
              <w:spacing w:after="40"/>
              <w:rPr>
                <w:rFonts w:cs="Arial"/>
              </w:rPr>
            </w:pPr>
          </w:p>
          <w:p w:rsidR="009E267B" w:rsidRDefault="009E267B" w:rsidP="009E267B">
            <w:pPr>
              <w:spacing w:after="40"/>
              <w:ind w:left="1077"/>
              <w:rPr>
                <w:rFonts w:cs="Arial"/>
              </w:rPr>
            </w:pPr>
          </w:p>
          <w:p w:rsidR="00B6012C" w:rsidRPr="002A476F" w:rsidRDefault="00B6012C" w:rsidP="00B6012C">
            <w:pPr>
              <w:numPr>
                <w:ilvl w:val="2"/>
                <w:numId w:val="8"/>
              </w:numPr>
              <w:tabs>
                <w:tab w:val="clear" w:pos="2160"/>
                <w:tab w:val="num" w:pos="1080"/>
              </w:tabs>
              <w:ind w:left="1080" w:hanging="36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listed migratory species or a population of that species.</w:t>
            </w:r>
          </w:p>
        </w:tc>
        <w:tc>
          <w:tcPr>
            <w:tcW w:w="7087" w:type="dxa"/>
          </w:tcPr>
          <w:p w:rsidR="00B6012C" w:rsidRPr="002A476F" w:rsidRDefault="00B6012C" w:rsidP="001955CD">
            <w:pPr>
              <w:rPr>
                <w:rFonts w:cs="Arial"/>
              </w:rPr>
            </w:pPr>
          </w:p>
          <w:p w:rsidR="004C1B91" w:rsidRDefault="004C1B91" w:rsidP="004C1B91">
            <w:pPr>
              <w:spacing w:after="0"/>
              <w:rPr>
                <w:rFonts w:cs="Arial"/>
              </w:rPr>
            </w:pPr>
          </w:p>
          <w:p w:rsidR="004C1B91" w:rsidRPr="006327AE" w:rsidRDefault="004C1B91" w:rsidP="004C1B91">
            <w:pPr>
              <w:rPr>
                <w:rFonts w:cs="Arial"/>
              </w:rPr>
            </w:pPr>
            <w:r w:rsidRPr="006327AE">
              <w:rPr>
                <w:rFonts w:cs="Arial"/>
              </w:rPr>
              <w:t xml:space="preserve">The Tasmanian Giant Crab Fishery will be managed under the </w:t>
            </w:r>
            <w:r w:rsidR="00CB526E" w:rsidRPr="00CB526E">
              <w:rPr>
                <w:rFonts w:cs="Arial"/>
              </w:rPr>
              <w:t>Tasmanian</w:t>
            </w:r>
            <w:r w:rsidR="00CB526E" w:rsidRPr="00CB526E">
              <w:rPr>
                <w:rFonts w:cs="Arial"/>
                <w:i/>
              </w:rPr>
              <w:t xml:space="preserve"> </w:t>
            </w:r>
            <w:r w:rsidR="00A1025F">
              <w:rPr>
                <w:rFonts w:cs="Arial"/>
                <w:i/>
              </w:rPr>
              <w:t>Fisheries (giant crab) r</w:t>
            </w:r>
            <w:r w:rsidR="00D87C92" w:rsidRPr="00D87C92">
              <w:rPr>
                <w:rFonts w:cs="Arial"/>
                <w:i/>
              </w:rPr>
              <w:t xml:space="preserve">ules 2013 </w:t>
            </w:r>
            <w:r w:rsidRPr="006327AE">
              <w:rPr>
                <w:rFonts w:cs="Arial"/>
              </w:rPr>
              <w:t>and the</w:t>
            </w:r>
            <w:r w:rsidRPr="006327AE">
              <w:rPr>
                <w:rFonts w:ascii="Times New Roman" w:eastAsia="Times New Roman" w:hAnsi="Times New Roman"/>
                <w:sz w:val="24"/>
                <w:szCs w:val="24"/>
                <w:lang w:eastAsia="en-AU"/>
              </w:rPr>
              <w:t xml:space="preserve"> </w:t>
            </w:r>
            <w:r w:rsidRPr="006327AE">
              <w:rPr>
                <w:rFonts w:cs="Arial"/>
              </w:rPr>
              <w:t>Tasmanian</w:t>
            </w:r>
            <w:r w:rsidRPr="006327AE">
              <w:rPr>
                <w:rFonts w:cs="Arial"/>
                <w:i/>
              </w:rPr>
              <w:t xml:space="preserve"> Living Marine Resources Management Act 1995</w:t>
            </w:r>
            <w:r w:rsidRPr="006327AE">
              <w:rPr>
                <w:rFonts w:cs="Arial"/>
              </w:rPr>
              <w:t xml:space="preserve">. </w:t>
            </w:r>
          </w:p>
          <w:p w:rsidR="00B6012C" w:rsidRPr="002A476F" w:rsidRDefault="00B6012C" w:rsidP="001955CD">
            <w:pPr>
              <w:rPr>
                <w:rFonts w:cs="Arial"/>
              </w:rPr>
            </w:pPr>
          </w:p>
          <w:p w:rsidR="00B6012C" w:rsidRDefault="00B6012C" w:rsidP="001955CD">
            <w:pPr>
              <w:rPr>
                <w:rFonts w:cs="Arial"/>
              </w:rPr>
            </w:pPr>
          </w:p>
          <w:p w:rsidR="00A1025F" w:rsidRPr="002A476F" w:rsidRDefault="00A1025F" w:rsidP="001955CD">
            <w:pPr>
              <w:rPr>
                <w:rFonts w:cs="Arial"/>
              </w:rPr>
            </w:pPr>
          </w:p>
          <w:p w:rsidR="00A1025F" w:rsidRDefault="00A1025F" w:rsidP="00225F65">
            <w:pPr>
              <w:rPr>
                <w:rFonts w:cs="Arial"/>
              </w:rPr>
            </w:pPr>
          </w:p>
          <w:p w:rsidR="00225F65" w:rsidRDefault="004C1B91" w:rsidP="00225F65">
            <w:pPr>
              <w:rPr>
                <w:rFonts w:cs="Arial"/>
              </w:rPr>
            </w:pPr>
            <w:r>
              <w:rPr>
                <w:rFonts w:cs="Arial"/>
              </w:rPr>
              <w:t xml:space="preserve">The management regime for the </w:t>
            </w:r>
            <w:r w:rsidR="00FB61BD" w:rsidRPr="006327AE">
              <w:rPr>
                <w:rFonts w:cs="Arial"/>
              </w:rPr>
              <w:t xml:space="preserve">Tasmanian Giant Crab Fishery </w:t>
            </w:r>
            <w:r>
              <w:rPr>
                <w:rFonts w:cs="Arial"/>
              </w:rPr>
              <w:t>was most recently accredited under sec</w:t>
            </w:r>
            <w:r w:rsidR="00FB61BD">
              <w:rPr>
                <w:rFonts w:cs="Arial"/>
              </w:rPr>
              <w:t>tion 222A (Part 13) of the EPBC Act in February 2013</w:t>
            </w:r>
            <w:r w:rsidR="00FB61BD" w:rsidRPr="00F77A7C">
              <w:rPr>
                <w:rFonts w:cs="Arial"/>
              </w:rPr>
              <w:t>.</w:t>
            </w:r>
            <w:r w:rsidR="00FB61BD">
              <w:t xml:space="preserve"> </w:t>
            </w:r>
            <w:r w:rsidR="00225F65">
              <w:rPr>
                <w:rFonts w:cs="Arial"/>
              </w:rPr>
              <w:t>There have been no material changes to the management regime since this time that have changed the requirement for fishers to take all reasonable steps to ensure that members of listed migratory</w:t>
            </w:r>
            <w:r w:rsidR="00784903">
              <w:rPr>
                <w:rFonts w:cs="Arial"/>
              </w:rPr>
              <w:t xml:space="preserve"> species </w:t>
            </w:r>
            <w:r w:rsidR="00225F65">
              <w:rPr>
                <w:rFonts w:cs="Arial"/>
              </w:rPr>
              <w:t>are not killed or injured as a result of the fishing.</w:t>
            </w:r>
          </w:p>
          <w:p w:rsidR="00784903" w:rsidRDefault="00225F65" w:rsidP="00784903">
            <w:r>
              <w:rPr>
                <w:rFonts w:cs="Arial"/>
              </w:rPr>
              <w:t xml:space="preserve">Listed migratory species that may interact with the fishery due to geographic overlap include large whale species and </w:t>
            </w:r>
            <w:r w:rsidR="00784903">
              <w:rPr>
                <w:rFonts w:cs="Arial"/>
              </w:rPr>
              <w:t xml:space="preserve">some </w:t>
            </w:r>
            <w:r>
              <w:rPr>
                <w:rFonts w:cs="Arial"/>
              </w:rPr>
              <w:t>seabird species. The management regime for the Tasmanian Giant Crab Fishery prescribes limits and restrictions on fishing gear used in the fishery,</w:t>
            </w:r>
            <w:r w:rsidR="0050191F">
              <w:rPr>
                <w:rFonts w:cs="Arial"/>
              </w:rPr>
              <w:t xml:space="preserve"> as</w:t>
            </w:r>
            <w:r>
              <w:rPr>
                <w:rFonts w:cs="Arial"/>
              </w:rPr>
              <w:t xml:space="preserve"> described in Table 1. </w:t>
            </w:r>
            <w:r>
              <w:t>Given these limits and restrictions, that keep fishing effort constrained enough that the risk of whale entanglements is low, coupled with the relatively benign fishing methods that do not pose a risk to seabirds,</w:t>
            </w:r>
            <w:r w:rsidR="00784903">
              <w:rPr>
                <w:rFonts w:cs="Arial"/>
              </w:rPr>
              <w:t xml:space="preserve"> the D</w:t>
            </w:r>
            <w:r w:rsidR="00784903" w:rsidRPr="00A94CE9">
              <w:rPr>
                <w:rFonts w:cs="Arial"/>
              </w:rPr>
              <w:t>epartment considers that the</w:t>
            </w:r>
            <w:r w:rsidR="00784903">
              <w:rPr>
                <w:rFonts w:cs="Arial"/>
              </w:rPr>
              <w:t xml:space="preserve"> </w:t>
            </w:r>
            <w:r w:rsidR="00784903" w:rsidRPr="00A94CE9">
              <w:rPr>
                <w:rFonts w:cs="Arial"/>
              </w:rPr>
              <w:t xml:space="preserve">management regime for the </w:t>
            </w:r>
            <w:r w:rsidR="00784903" w:rsidRPr="006327AE">
              <w:rPr>
                <w:rFonts w:cs="Arial"/>
              </w:rPr>
              <w:t xml:space="preserve">Tasmanian Giant Crab Fishery </w:t>
            </w:r>
            <w:r w:rsidR="00784903" w:rsidRPr="00A94CE9">
              <w:rPr>
                <w:rFonts w:cs="Arial"/>
              </w:rPr>
              <w:t xml:space="preserve">still requires operators to take all reasonable steps to ensure that </w:t>
            </w:r>
            <w:r w:rsidR="00784903">
              <w:rPr>
                <w:rFonts w:cs="Arial"/>
              </w:rPr>
              <w:t xml:space="preserve">members of </w:t>
            </w:r>
            <w:r w:rsidR="00784903" w:rsidRPr="00A94CE9">
              <w:rPr>
                <w:rFonts w:cs="Arial"/>
              </w:rPr>
              <w:t xml:space="preserve">listed </w:t>
            </w:r>
            <w:r w:rsidR="00784903">
              <w:rPr>
                <w:rFonts w:cs="Arial"/>
              </w:rPr>
              <w:t>migratory</w:t>
            </w:r>
            <w:r w:rsidR="00784903" w:rsidRPr="00A94CE9">
              <w:rPr>
                <w:rFonts w:cs="Arial"/>
              </w:rPr>
              <w:t xml:space="preserve"> species are not killed or injured</w:t>
            </w:r>
            <w:r w:rsidR="00784903">
              <w:rPr>
                <w:rFonts w:cs="Arial"/>
              </w:rPr>
              <w:t xml:space="preserve"> in Commonwealth waters</w:t>
            </w:r>
            <w:r w:rsidR="00784903" w:rsidRPr="00A94CE9">
              <w:rPr>
                <w:rFonts w:cs="Arial"/>
              </w:rPr>
              <w:t xml:space="preserve"> as a result of the fishing.</w:t>
            </w:r>
          </w:p>
          <w:p w:rsidR="009E267B" w:rsidRDefault="009E267B" w:rsidP="009E267B">
            <w:pPr>
              <w:spacing w:after="0"/>
            </w:pPr>
          </w:p>
          <w:p w:rsidR="00CC3C7C" w:rsidRDefault="00784903">
            <w:pPr>
              <w:rPr>
                <w:rFonts w:cs="Arial"/>
              </w:rPr>
            </w:pPr>
            <w:r w:rsidRPr="00815570">
              <w:t>Given the manageme</w:t>
            </w:r>
            <w:r>
              <w:t>nt measures described</w:t>
            </w:r>
            <w:r w:rsidRPr="00815570">
              <w:t xml:space="preserve"> in Table 1</w:t>
            </w:r>
            <w:r>
              <w:t>, the Department considers</w:t>
            </w:r>
            <w:r>
              <w:rPr>
                <w:rFonts w:cs="Arial"/>
              </w:rPr>
              <w:t xml:space="preserve"> </w:t>
            </w:r>
            <w:r w:rsidRPr="00A94CE9">
              <w:rPr>
                <w:rFonts w:cs="Arial"/>
              </w:rPr>
              <w:t xml:space="preserve">the likelihood of interactions with listed </w:t>
            </w:r>
            <w:r>
              <w:rPr>
                <w:rFonts w:cs="Arial"/>
              </w:rPr>
              <w:t xml:space="preserve">migratory species in the </w:t>
            </w:r>
            <w:r w:rsidRPr="006327AE">
              <w:rPr>
                <w:rFonts w:cs="Arial"/>
              </w:rPr>
              <w:t xml:space="preserve">Tasmanian Giant Crab Fishery </w:t>
            </w:r>
            <w:r>
              <w:rPr>
                <w:rFonts w:cs="Arial"/>
              </w:rPr>
              <w:t xml:space="preserve">to be very low. Therefore, </w:t>
            </w:r>
            <w:r w:rsidR="004C1B91" w:rsidRPr="00815570">
              <w:t>the Department considers the</w:t>
            </w:r>
            <w:r w:rsidR="004C1B91">
              <w:t xml:space="preserve"> current operation of the</w:t>
            </w:r>
            <w:r w:rsidR="004C1B91" w:rsidRPr="002A476F">
              <w:rPr>
                <w:rFonts w:cs="Arial"/>
              </w:rPr>
              <w:t xml:space="preserve"> </w:t>
            </w:r>
            <w:r w:rsidR="00FB61BD" w:rsidRPr="006327AE">
              <w:rPr>
                <w:rFonts w:cs="Arial"/>
              </w:rPr>
              <w:t>Tasmanian Giant Crab Fishery</w:t>
            </w:r>
            <w:r w:rsidR="004C1B91" w:rsidRPr="00815570">
              <w:t xml:space="preserve"> is not likely to adversely affect the conservation status of a listed migratory species or a population of that species.</w:t>
            </w:r>
          </w:p>
          <w:p w:rsidR="00B6012C" w:rsidRPr="002A476F" w:rsidRDefault="00B6012C" w:rsidP="001955CD">
            <w:pPr>
              <w:rPr>
                <w:rFonts w:cs="Arial"/>
              </w:rPr>
            </w:pPr>
          </w:p>
        </w:tc>
      </w:tr>
    </w:tbl>
    <w:p w:rsidR="00150D1F" w:rsidRPr="00F6308F" w:rsidRDefault="00150D1F" w:rsidP="001955CD">
      <w:pPr>
        <w:rPr>
          <w:rFonts w:cs="Arial"/>
        </w:rPr>
      </w:pPr>
    </w:p>
    <w:p w:rsidR="00B6012C" w:rsidRPr="00F6308F" w:rsidRDefault="00B6012C" w:rsidP="001955CD">
      <w:pPr>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3 Whales and other cetaceans</w:t>
            </w:r>
          </w:p>
          <w:p w:rsidR="00B6012C" w:rsidRPr="00F6308F" w:rsidRDefault="00B6012C" w:rsidP="001955CD">
            <w:pPr>
              <w:rPr>
                <w:rFonts w:cs="Arial"/>
                <w:b/>
              </w:rPr>
            </w:pPr>
            <w:r w:rsidRPr="00F6308F">
              <w:rPr>
                <w:rFonts w:cs="Arial"/>
                <w:b/>
              </w:rPr>
              <w:t>Section 245 Minister may accredit plans or regimes</w:t>
            </w:r>
          </w:p>
        </w:tc>
        <w:tc>
          <w:tcPr>
            <w:tcW w:w="7087" w:type="dxa"/>
          </w:tcPr>
          <w:p w:rsidR="00B6012C" w:rsidRPr="00F6308F" w:rsidRDefault="00FB61BD" w:rsidP="001955CD">
            <w:pPr>
              <w:rPr>
                <w:rFonts w:cs="Arial"/>
                <w:b/>
              </w:rPr>
            </w:pPr>
            <w:r>
              <w:rPr>
                <w:rFonts w:cs="Arial"/>
                <w:b/>
              </w:rPr>
              <w:t>The D</w:t>
            </w:r>
            <w:r w:rsidRPr="00F6308F">
              <w:rPr>
                <w:rFonts w:cs="Arial"/>
                <w:b/>
              </w:rPr>
              <w:t xml:space="preserve">epartment’s assessment of the </w:t>
            </w:r>
            <w:r>
              <w:rPr>
                <w:rFonts w:cs="Arial"/>
                <w:b/>
              </w:rPr>
              <w:t>Tasmanian Giant Crab Fishery</w:t>
            </w:r>
          </w:p>
        </w:tc>
      </w:tr>
      <w:tr w:rsidR="00B6012C" w:rsidRPr="00F6308F" w:rsidTr="001955CD">
        <w:tc>
          <w:tcPr>
            <w:tcW w:w="7087" w:type="dxa"/>
          </w:tcPr>
          <w:p w:rsidR="00B6012C" w:rsidRPr="002A476F" w:rsidRDefault="00B6012C" w:rsidP="002537EE">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made by a State or self-governing Territory; and</w:t>
            </w:r>
          </w:p>
          <w:p w:rsidR="00B6012C" w:rsidRPr="00FB61BD" w:rsidRDefault="00B6012C" w:rsidP="00FB61BD">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B6012C" w:rsidRPr="002A476F" w:rsidRDefault="00B6012C" w:rsidP="001955CD">
            <w:pPr>
              <w:rPr>
                <w:rFonts w:cs="Arial"/>
              </w:rPr>
            </w:pP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14"/>
              </w:numPr>
              <w:spacing w:after="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rsidR="00B6012C" w:rsidRDefault="00B6012C" w:rsidP="001955CD">
            <w:pPr>
              <w:ind w:left="360"/>
              <w:rPr>
                <w:rFonts w:cs="Arial"/>
              </w:rPr>
            </w:pPr>
          </w:p>
          <w:p w:rsidR="00EC50B3" w:rsidRDefault="00EC50B3" w:rsidP="001955CD">
            <w:pPr>
              <w:ind w:left="360"/>
              <w:rPr>
                <w:rFonts w:cs="Arial"/>
              </w:rPr>
            </w:pPr>
          </w:p>
          <w:p w:rsidR="00EC50B3" w:rsidRDefault="00EC50B3" w:rsidP="001955CD">
            <w:pPr>
              <w:ind w:left="360"/>
              <w:rPr>
                <w:rFonts w:cs="Arial"/>
              </w:rPr>
            </w:pPr>
          </w:p>
          <w:p w:rsidR="00EC50B3" w:rsidRDefault="00EC50B3" w:rsidP="001955CD">
            <w:pPr>
              <w:ind w:left="360"/>
              <w:rPr>
                <w:rFonts w:cs="Arial"/>
              </w:rPr>
            </w:pPr>
          </w:p>
          <w:p w:rsidR="00EC50B3" w:rsidRDefault="00EC50B3" w:rsidP="001955CD">
            <w:pPr>
              <w:ind w:left="360"/>
              <w:rPr>
                <w:rFonts w:cs="Arial"/>
              </w:rPr>
            </w:pPr>
          </w:p>
          <w:p w:rsidR="00EC50B3" w:rsidRDefault="00EC50B3" w:rsidP="001955CD">
            <w:pPr>
              <w:ind w:left="360"/>
              <w:rPr>
                <w:rFonts w:cs="Arial"/>
              </w:rPr>
            </w:pPr>
          </w:p>
          <w:p w:rsidR="00EC50B3" w:rsidRPr="002A476F" w:rsidRDefault="00EC50B3" w:rsidP="001955CD">
            <w:pPr>
              <w:ind w:left="360"/>
              <w:rPr>
                <w:rFonts w:cs="Arial"/>
              </w:rPr>
            </w:pPr>
          </w:p>
          <w:p w:rsidR="00B6012C" w:rsidRDefault="00B6012C" w:rsidP="00FB61BD">
            <w:pPr>
              <w:spacing w:after="120"/>
              <w:rPr>
                <w:rFonts w:cs="Arial"/>
              </w:rPr>
            </w:pPr>
          </w:p>
          <w:p w:rsidR="002537EE" w:rsidRDefault="002537EE" w:rsidP="00FB61BD">
            <w:pPr>
              <w:spacing w:after="120"/>
              <w:rPr>
                <w:rFonts w:cs="Arial"/>
              </w:rPr>
            </w:pPr>
          </w:p>
          <w:p w:rsidR="009E267B" w:rsidRDefault="009E267B" w:rsidP="00FB61BD">
            <w:pPr>
              <w:spacing w:after="120"/>
              <w:rPr>
                <w:rFonts w:cs="Arial"/>
              </w:rPr>
            </w:pPr>
          </w:p>
          <w:p w:rsidR="009E267B" w:rsidRPr="002A476F" w:rsidRDefault="009E267B" w:rsidP="009E267B">
            <w:pPr>
              <w:spacing w:after="0" w:line="240" w:lineRule="auto"/>
              <w:rPr>
                <w:rFonts w:cs="Arial"/>
              </w:rPr>
            </w:pPr>
          </w:p>
          <w:p w:rsidR="00B6012C" w:rsidRPr="002A476F" w:rsidRDefault="00B6012C" w:rsidP="00B6012C">
            <w:pPr>
              <w:numPr>
                <w:ilvl w:val="0"/>
                <w:numId w:val="20"/>
              </w:numPr>
              <w:tabs>
                <w:tab w:val="clear" w:pos="1440"/>
                <w:tab w:val="num" w:pos="1080"/>
              </w:tabs>
              <w:ind w:left="1080" w:hanging="72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species of cetacean or a population of that species.</w:t>
            </w:r>
          </w:p>
        </w:tc>
        <w:tc>
          <w:tcPr>
            <w:tcW w:w="7087" w:type="dxa"/>
          </w:tcPr>
          <w:p w:rsidR="00B6012C" w:rsidRPr="002A476F" w:rsidRDefault="00B6012C" w:rsidP="001955CD">
            <w:pPr>
              <w:rPr>
                <w:rFonts w:cs="Arial"/>
              </w:rPr>
            </w:pPr>
          </w:p>
          <w:p w:rsidR="00FB61BD" w:rsidRDefault="00FB61BD" w:rsidP="00FB61BD">
            <w:pPr>
              <w:spacing w:after="0"/>
              <w:rPr>
                <w:rFonts w:cs="Arial"/>
              </w:rPr>
            </w:pPr>
          </w:p>
          <w:p w:rsidR="00FB61BD" w:rsidRPr="006327AE" w:rsidRDefault="00FB61BD" w:rsidP="00FB61BD">
            <w:pPr>
              <w:rPr>
                <w:rFonts w:cs="Arial"/>
              </w:rPr>
            </w:pPr>
            <w:r w:rsidRPr="006327AE">
              <w:rPr>
                <w:rFonts w:cs="Arial"/>
              </w:rPr>
              <w:t xml:space="preserve">The Tasmanian Giant Crab Fishery will be managed under </w:t>
            </w:r>
            <w:r w:rsidR="00CB526E" w:rsidRPr="006327AE">
              <w:rPr>
                <w:rFonts w:cs="Arial"/>
              </w:rPr>
              <w:t xml:space="preserve">the </w:t>
            </w:r>
            <w:r w:rsidR="00CB526E" w:rsidRPr="00D87C92">
              <w:rPr>
                <w:rFonts w:cs="Arial"/>
                <w:i/>
              </w:rPr>
              <w:t>Tasmanian</w:t>
            </w:r>
            <w:r w:rsidR="00CB526E" w:rsidRPr="00CB526E">
              <w:rPr>
                <w:rFonts w:cs="Arial"/>
                <w:i/>
              </w:rPr>
              <w:t xml:space="preserve"> </w:t>
            </w:r>
            <w:r w:rsidR="00A1025F">
              <w:rPr>
                <w:rFonts w:cs="Arial"/>
                <w:i/>
              </w:rPr>
              <w:t>Fisheries (giant crab) r</w:t>
            </w:r>
            <w:r w:rsidR="00D87C92" w:rsidRPr="00D87C92">
              <w:rPr>
                <w:rFonts w:cs="Arial"/>
                <w:i/>
              </w:rPr>
              <w:t>ules 2013</w:t>
            </w:r>
            <w:r w:rsidR="00D87C92">
              <w:rPr>
                <w:rFonts w:cs="Arial"/>
                <w:i/>
              </w:rPr>
              <w:t xml:space="preserve"> </w:t>
            </w:r>
            <w:r w:rsidRPr="006327AE">
              <w:rPr>
                <w:rFonts w:cs="Arial"/>
              </w:rPr>
              <w:t>and the</w:t>
            </w:r>
            <w:r w:rsidRPr="006327AE">
              <w:rPr>
                <w:rFonts w:ascii="Times New Roman" w:eastAsia="Times New Roman" w:hAnsi="Times New Roman"/>
                <w:sz w:val="24"/>
                <w:szCs w:val="24"/>
                <w:lang w:eastAsia="en-AU"/>
              </w:rPr>
              <w:t xml:space="preserve"> </w:t>
            </w:r>
            <w:r w:rsidRPr="006327AE">
              <w:rPr>
                <w:rFonts w:cs="Arial"/>
              </w:rPr>
              <w:t>Tasmanian</w:t>
            </w:r>
            <w:r w:rsidR="00D87C92">
              <w:rPr>
                <w:rFonts w:cs="Arial"/>
                <w:i/>
              </w:rPr>
              <w:t> </w:t>
            </w:r>
            <w:r w:rsidRPr="006327AE">
              <w:rPr>
                <w:rFonts w:cs="Arial"/>
                <w:i/>
              </w:rPr>
              <w:t>Living Marine Resources Management Act 1995</w:t>
            </w:r>
            <w:r w:rsidRPr="006327AE">
              <w:rPr>
                <w:rFonts w:cs="Arial"/>
              </w:rPr>
              <w:t xml:space="preserve">. </w:t>
            </w:r>
          </w:p>
          <w:p w:rsidR="00B6012C" w:rsidRPr="002A476F" w:rsidRDefault="00B6012C" w:rsidP="001955CD">
            <w:pPr>
              <w:rPr>
                <w:rFonts w:cs="Arial"/>
              </w:rPr>
            </w:pPr>
          </w:p>
          <w:p w:rsidR="00B6012C" w:rsidRPr="002A476F" w:rsidRDefault="00B6012C" w:rsidP="001955CD">
            <w:pPr>
              <w:rPr>
                <w:rFonts w:cs="Arial"/>
              </w:rPr>
            </w:pPr>
          </w:p>
          <w:p w:rsidR="002537EE" w:rsidRDefault="002537EE" w:rsidP="002537EE">
            <w:pPr>
              <w:spacing w:after="80"/>
              <w:rPr>
                <w:rFonts w:cs="Arial"/>
              </w:rPr>
            </w:pPr>
          </w:p>
          <w:p w:rsidR="00784903" w:rsidRDefault="00B6012C" w:rsidP="00784903">
            <w:pPr>
              <w:rPr>
                <w:rFonts w:cs="Arial"/>
              </w:rPr>
            </w:pPr>
            <w:r w:rsidRPr="002A476F">
              <w:rPr>
                <w:rFonts w:cs="Arial"/>
              </w:rPr>
              <w:t xml:space="preserve">The </w:t>
            </w:r>
            <w:r w:rsidR="00784903">
              <w:rPr>
                <w:rFonts w:cs="Arial"/>
              </w:rPr>
              <w:t>m</w:t>
            </w:r>
            <w:r w:rsidRPr="002537EE">
              <w:rPr>
                <w:rFonts w:cs="Arial"/>
              </w:rPr>
              <w:t>anagement regime for</w:t>
            </w:r>
            <w:r w:rsidRPr="002A476F">
              <w:rPr>
                <w:rFonts w:cs="Arial"/>
              </w:rPr>
              <w:t xml:space="preserve"> the </w:t>
            </w:r>
            <w:r w:rsidR="00FB61BD" w:rsidRPr="006327AE">
              <w:rPr>
                <w:rFonts w:cs="Arial"/>
              </w:rPr>
              <w:t xml:space="preserve">Tasmanian Giant Crab Fishery </w:t>
            </w:r>
            <w:r w:rsidRPr="002A476F">
              <w:rPr>
                <w:rFonts w:cs="Arial"/>
              </w:rPr>
              <w:t xml:space="preserve">was </w:t>
            </w:r>
            <w:r w:rsidR="00FB61BD">
              <w:rPr>
                <w:rFonts w:cs="Arial"/>
              </w:rPr>
              <w:t xml:space="preserve">most recently accredited </w:t>
            </w:r>
            <w:r w:rsidR="002537EE">
              <w:rPr>
                <w:rFonts w:cs="Arial"/>
              </w:rPr>
              <w:t xml:space="preserve">under section 245 (Part 13) of the EPBC Act </w:t>
            </w:r>
            <w:r w:rsidR="00FB61BD">
              <w:rPr>
                <w:rFonts w:cs="Arial"/>
              </w:rPr>
              <w:t>in February 2013</w:t>
            </w:r>
            <w:r w:rsidRPr="002A476F">
              <w:rPr>
                <w:rFonts w:cs="Arial"/>
              </w:rPr>
              <w:t>.</w:t>
            </w:r>
            <w:r w:rsidRPr="002A476F">
              <w:rPr>
                <w:rFonts w:cs="Arial"/>
                <w:color w:val="3366FF"/>
              </w:rPr>
              <w:t xml:space="preserve"> </w:t>
            </w:r>
            <w:r w:rsidR="00784903">
              <w:rPr>
                <w:rFonts w:cs="Arial"/>
              </w:rPr>
              <w:t>There have been no material changes to the management regime since this time that have changed the requirement for fishers to take all reasonable steps to ensure that cetaceans are not killed or injured as a result of the fishing.</w:t>
            </w:r>
          </w:p>
          <w:p w:rsidR="00784903" w:rsidRDefault="00150D1F" w:rsidP="00784903">
            <w:r>
              <w:rPr>
                <w:rFonts w:cs="Arial"/>
              </w:rPr>
              <w:t>There are a number of cetacean species</w:t>
            </w:r>
            <w:r w:rsidR="00784903">
              <w:rPr>
                <w:rFonts w:cs="Arial"/>
              </w:rPr>
              <w:t xml:space="preserve"> that may interact with the fishery due to geographic overlap </w:t>
            </w:r>
            <w:r>
              <w:rPr>
                <w:rFonts w:cs="Arial"/>
              </w:rPr>
              <w:t>of fishing effort with migration routes, particularly for humpback whales and southern right whales, although there have been no reported interactions since at least 2009.</w:t>
            </w:r>
            <w:r w:rsidR="00784903">
              <w:rPr>
                <w:rFonts w:cs="Arial"/>
              </w:rPr>
              <w:t xml:space="preserve"> The management regime for the Tasmanian Giant Crab Fishery prescribes limits and restrictions on fishing gear used in the fishery, </w:t>
            </w:r>
            <w:r w:rsidR="0050191F">
              <w:rPr>
                <w:rFonts w:cs="Arial"/>
              </w:rPr>
              <w:t xml:space="preserve">as </w:t>
            </w:r>
            <w:r w:rsidR="00784903">
              <w:rPr>
                <w:rFonts w:cs="Arial"/>
              </w:rPr>
              <w:t xml:space="preserve">described in Table 1. </w:t>
            </w:r>
            <w:r w:rsidR="00784903">
              <w:t>Given</w:t>
            </w:r>
            <w:r>
              <w:t xml:space="preserve"> these limits and restrictions </w:t>
            </w:r>
            <w:r w:rsidR="00784903">
              <w:t>keep fishing effort constrained enough that the risk</w:t>
            </w:r>
            <w:r>
              <w:t xml:space="preserve"> of whale entanglements is low, particularly over the winter whale migration season</w:t>
            </w:r>
            <w:r w:rsidR="00784903">
              <w:t>,</w:t>
            </w:r>
            <w:r w:rsidR="00784903">
              <w:rPr>
                <w:rFonts w:cs="Arial"/>
              </w:rPr>
              <w:t xml:space="preserve"> the D</w:t>
            </w:r>
            <w:r w:rsidR="00784903" w:rsidRPr="00A94CE9">
              <w:rPr>
                <w:rFonts w:cs="Arial"/>
              </w:rPr>
              <w:t>epartment considers that the</w:t>
            </w:r>
            <w:r w:rsidR="00784903">
              <w:rPr>
                <w:rFonts w:cs="Arial"/>
              </w:rPr>
              <w:t xml:space="preserve"> </w:t>
            </w:r>
            <w:r w:rsidR="00784903" w:rsidRPr="00A94CE9">
              <w:rPr>
                <w:rFonts w:cs="Arial"/>
              </w:rPr>
              <w:t xml:space="preserve">management regime for the </w:t>
            </w:r>
            <w:r w:rsidR="00784903" w:rsidRPr="006327AE">
              <w:rPr>
                <w:rFonts w:cs="Arial"/>
              </w:rPr>
              <w:t xml:space="preserve">Tasmanian Giant Crab Fishery </w:t>
            </w:r>
            <w:r w:rsidR="00784903" w:rsidRPr="00A94CE9">
              <w:rPr>
                <w:rFonts w:cs="Arial"/>
              </w:rPr>
              <w:t xml:space="preserve">still requires operators to take all reasonable steps to ensure </w:t>
            </w:r>
            <w:r>
              <w:rPr>
                <w:rFonts w:cs="Arial"/>
              </w:rPr>
              <w:t>cetaceans</w:t>
            </w:r>
            <w:r w:rsidR="00784903" w:rsidRPr="00A94CE9">
              <w:rPr>
                <w:rFonts w:cs="Arial"/>
              </w:rPr>
              <w:t xml:space="preserve"> are not killed or injured</w:t>
            </w:r>
            <w:r w:rsidR="00784903">
              <w:rPr>
                <w:rFonts w:cs="Arial"/>
              </w:rPr>
              <w:t xml:space="preserve"> in Commonwealth waters</w:t>
            </w:r>
            <w:r w:rsidR="00784903" w:rsidRPr="00A94CE9">
              <w:rPr>
                <w:rFonts w:cs="Arial"/>
              </w:rPr>
              <w:t xml:space="preserve"> as a result of the fishing.</w:t>
            </w:r>
          </w:p>
          <w:p w:rsidR="009E267B" w:rsidRDefault="009E267B" w:rsidP="009E267B">
            <w:pPr>
              <w:spacing w:after="0" w:line="240" w:lineRule="auto"/>
            </w:pPr>
          </w:p>
          <w:p w:rsidR="009E267B" w:rsidRPr="00A368B0" w:rsidRDefault="009E267B" w:rsidP="009E267B">
            <w:pPr>
              <w:spacing w:after="0" w:line="240" w:lineRule="auto"/>
              <w:rPr>
                <w:sz w:val="6"/>
                <w:szCs w:val="6"/>
              </w:rPr>
            </w:pPr>
          </w:p>
          <w:p w:rsidR="00B6012C" w:rsidRPr="002A476F" w:rsidRDefault="00784903" w:rsidP="00150D1F">
            <w:pPr>
              <w:rPr>
                <w:rFonts w:cs="Arial"/>
              </w:rPr>
            </w:pPr>
            <w:r w:rsidRPr="00815570">
              <w:t>Given the manageme</w:t>
            </w:r>
            <w:r>
              <w:t>nt measures described</w:t>
            </w:r>
            <w:r w:rsidRPr="00815570">
              <w:t xml:space="preserve"> in Table 1</w:t>
            </w:r>
            <w:r>
              <w:t>, the Department considers</w:t>
            </w:r>
            <w:r>
              <w:rPr>
                <w:rFonts w:cs="Arial"/>
              </w:rPr>
              <w:t xml:space="preserve"> </w:t>
            </w:r>
            <w:r w:rsidRPr="00A94CE9">
              <w:rPr>
                <w:rFonts w:cs="Arial"/>
              </w:rPr>
              <w:t xml:space="preserve">the likelihood of interactions with </w:t>
            </w:r>
            <w:r w:rsidR="00150D1F">
              <w:rPr>
                <w:rFonts w:cs="Arial"/>
              </w:rPr>
              <w:t>cetaceans</w:t>
            </w:r>
            <w:r>
              <w:rPr>
                <w:rFonts w:cs="Arial"/>
              </w:rPr>
              <w:t xml:space="preserve"> in the </w:t>
            </w:r>
            <w:r w:rsidRPr="006327AE">
              <w:rPr>
                <w:rFonts w:cs="Arial"/>
              </w:rPr>
              <w:t xml:space="preserve">Tasmanian Giant Crab Fishery </w:t>
            </w:r>
            <w:r>
              <w:rPr>
                <w:rFonts w:cs="Arial"/>
              </w:rPr>
              <w:t>to be very low. Therefore</w:t>
            </w:r>
            <w:r w:rsidR="00150D1F">
              <w:rPr>
                <w:rFonts w:cs="Arial"/>
              </w:rPr>
              <w:t>,</w:t>
            </w:r>
            <w:r w:rsidR="002537EE">
              <w:t xml:space="preserve"> </w:t>
            </w:r>
            <w:r w:rsidR="002537EE" w:rsidRPr="00815570">
              <w:t>the Department considers the</w:t>
            </w:r>
            <w:r w:rsidR="002537EE">
              <w:t xml:space="preserve"> current operation of the</w:t>
            </w:r>
            <w:r w:rsidR="002537EE" w:rsidRPr="002A476F">
              <w:rPr>
                <w:rFonts w:cs="Arial"/>
              </w:rPr>
              <w:t xml:space="preserve"> </w:t>
            </w:r>
            <w:r w:rsidR="002537EE" w:rsidRPr="006327AE">
              <w:rPr>
                <w:rFonts w:cs="Arial"/>
              </w:rPr>
              <w:t>Tasmanian Giant Crab Fishery</w:t>
            </w:r>
            <w:r w:rsidR="002537EE" w:rsidRPr="00815570">
              <w:t xml:space="preserve"> is </w:t>
            </w:r>
            <w:r w:rsidR="00B6012C" w:rsidRPr="002A476F">
              <w:rPr>
                <w:rFonts w:cs="Arial"/>
              </w:rPr>
              <w:t>not likely to adversely affect the conservation status of a species of cetacean or a population of that species.</w:t>
            </w:r>
          </w:p>
        </w:tc>
      </w:tr>
    </w:tbl>
    <w:p w:rsidR="00B6012C" w:rsidRPr="00A368B0" w:rsidRDefault="00B6012C" w:rsidP="00A368B0">
      <w:pPr>
        <w:spacing w:after="120"/>
        <w:rPr>
          <w:rFonts w:cs="Arial"/>
          <w:sz w:val="16"/>
          <w:szCs w:val="16"/>
        </w:rPr>
      </w:pPr>
    </w:p>
    <w:p w:rsidR="00B6012C" w:rsidRPr="00F6308F" w:rsidRDefault="00B6012C" w:rsidP="00A368B0">
      <w:pPr>
        <w:spacing w:after="120" w:line="240" w:lineRule="auto"/>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A368B0">
        <w:tc>
          <w:tcPr>
            <w:tcW w:w="7087" w:type="dxa"/>
          </w:tcPr>
          <w:p w:rsidR="00B6012C" w:rsidRPr="00F6308F" w:rsidRDefault="00B6012C" w:rsidP="001955CD">
            <w:pPr>
              <w:rPr>
                <w:rFonts w:cs="Arial"/>
                <w:b/>
              </w:rPr>
            </w:pPr>
            <w:r w:rsidRPr="00F6308F">
              <w:rPr>
                <w:rFonts w:cs="Arial"/>
                <w:b/>
              </w:rPr>
              <w:t>Division 4 Listed marine species</w:t>
            </w:r>
          </w:p>
          <w:p w:rsidR="00B6012C" w:rsidRPr="00F6308F" w:rsidRDefault="00B6012C" w:rsidP="00A368B0">
            <w:pPr>
              <w:spacing w:after="140"/>
              <w:rPr>
                <w:rFonts w:cs="Arial"/>
                <w:b/>
              </w:rPr>
            </w:pPr>
            <w:r w:rsidRPr="00F6308F">
              <w:rPr>
                <w:rFonts w:cs="Arial"/>
                <w:b/>
              </w:rPr>
              <w:t>Section 265 Minister may accredit plans or regimes</w:t>
            </w:r>
          </w:p>
        </w:tc>
        <w:tc>
          <w:tcPr>
            <w:tcW w:w="7087" w:type="dxa"/>
          </w:tcPr>
          <w:p w:rsidR="00B6012C" w:rsidRPr="00F6308F" w:rsidRDefault="00B6012C" w:rsidP="007A267E">
            <w:pPr>
              <w:rPr>
                <w:rFonts w:cs="Arial"/>
                <w:b/>
              </w:rPr>
            </w:pPr>
            <w:r>
              <w:rPr>
                <w:rFonts w:cs="Arial"/>
                <w:b/>
              </w:rPr>
              <w:t>The D</w:t>
            </w:r>
            <w:r w:rsidR="007A267E">
              <w:rPr>
                <w:rFonts w:cs="Arial"/>
                <w:b/>
              </w:rPr>
              <w:t xml:space="preserve">epartment’s assessment </w:t>
            </w:r>
            <w:r w:rsidR="002537EE" w:rsidRPr="00F6308F">
              <w:rPr>
                <w:rFonts w:cs="Arial"/>
                <w:b/>
              </w:rPr>
              <w:t xml:space="preserve">of the </w:t>
            </w:r>
            <w:r w:rsidR="002537EE">
              <w:rPr>
                <w:rFonts w:cs="Arial"/>
                <w:b/>
              </w:rPr>
              <w:t>Tasmanian Giant Crab Fishery</w:t>
            </w:r>
          </w:p>
        </w:tc>
      </w:tr>
      <w:tr w:rsidR="00B6012C" w:rsidRPr="00F6308F" w:rsidTr="00A368B0">
        <w:tc>
          <w:tcPr>
            <w:tcW w:w="7087" w:type="dxa"/>
          </w:tcPr>
          <w:p w:rsidR="00B6012C" w:rsidRPr="002A476F" w:rsidRDefault="00B6012C" w:rsidP="00B937C8">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left" w:pos="1080"/>
              </w:tabs>
              <w:spacing w:after="0"/>
              <w:rPr>
                <w:rFonts w:cs="Arial"/>
              </w:rPr>
            </w:pPr>
            <w:r w:rsidRPr="002A476F">
              <w:rPr>
                <w:rFonts w:cs="Arial"/>
              </w:rPr>
              <w:t>made by a State or self-governing Territory; and</w:t>
            </w:r>
          </w:p>
          <w:p w:rsidR="00B6012C" w:rsidRPr="002A476F" w:rsidRDefault="00B6012C" w:rsidP="00B6012C">
            <w:pPr>
              <w:numPr>
                <w:ilvl w:val="1"/>
                <w:numId w:val="23"/>
              </w:numPr>
              <w:tabs>
                <w:tab w:val="left" w:pos="1080"/>
              </w:tabs>
              <w:spacing w:after="0"/>
              <w:rPr>
                <w:rFonts w:cs="Arial"/>
              </w:rPr>
            </w:pPr>
            <w:r w:rsidRPr="002A476F">
              <w:rPr>
                <w:rFonts w:cs="Arial"/>
              </w:rPr>
              <w:t xml:space="preserve">in force under a law of the State or self-governing Territory; </w:t>
            </w:r>
          </w:p>
          <w:p w:rsidR="00B6012C" w:rsidRPr="002A476F" w:rsidRDefault="00B6012C" w:rsidP="00A368B0">
            <w:pPr>
              <w:spacing w:after="120" w:line="240" w:lineRule="auto"/>
              <w:rPr>
                <w:rFonts w:cs="Arial"/>
              </w:rPr>
            </w:pP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21"/>
              </w:numPr>
              <w:tabs>
                <w:tab w:val="clear" w:pos="720"/>
                <w:tab w:val="num" w:pos="1080"/>
              </w:tabs>
              <w:spacing w:after="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rsidR="00B6012C" w:rsidRPr="002A476F" w:rsidRDefault="00B6012C" w:rsidP="001955CD">
            <w:pPr>
              <w:ind w:left="360"/>
              <w:rPr>
                <w:rFonts w:cs="Arial"/>
              </w:rPr>
            </w:pPr>
          </w:p>
          <w:p w:rsidR="00B6012C" w:rsidRPr="002A476F" w:rsidRDefault="00B6012C" w:rsidP="001955CD">
            <w:pPr>
              <w:ind w:left="360"/>
              <w:rPr>
                <w:rFonts w:cs="Arial"/>
              </w:rPr>
            </w:pPr>
          </w:p>
          <w:p w:rsidR="00B6012C" w:rsidRDefault="00B6012C" w:rsidP="001B7A34">
            <w:pPr>
              <w:rPr>
                <w:rFonts w:cs="Arial"/>
              </w:rPr>
            </w:pPr>
          </w:p>
          <w:p w:rsidR="00DD68D3" w:rsidRDefault="00DD68D3" w:rsidP="001B7A34">
            <w:pPr>
              <w:rPr>
                <w:rFonts w:cs="Arial"/>
              </w:rPr>
            </w:pPr>
          </w:p>
          <w:p w:rsidR="00DD68D3" w:rsidRDefault="00DD68D3" w:rsidP="001B7A34">
            <w:pPr>
              <w:rPr>
                <w:rFonts w:cs="Arial"/>
              </w:rPr>
            </w:pPr>
          </w:p>
          <w:p w:rsidR="00DD68D3" w:rsidRDefault="00DD68D3" w:rsidP="001B7A34">
            <w:pPr>
              <w:rPr>
                <w:rFonts w:cs="Arial"/>
              </w:rPr>
            </w:pPr>
          </w:p>
          <w:p w:rsidR="00DD68D3" w:rsidRDefault="00DD68D3" w:rsidP="001B7A34">
            <w:pPr>
              <w:rPr>
                <w:rFonts w:cs="Arial"/>
              </w:rPr>
            </w:pPr>
          </w:p>
          <w:p w:rsidR="00B937C8" w:rsidRPr="002A476F" w:rsidRDefault="00B937C8" w:rsidP="00A1025F">
            <w:pPr>
              <w:rPr>
                <w:rFonts w:cs="Arial"/>
              </w:rPr>
            </w:pPr>
          </w:p>
          <w:p w:rsidR="00B6012C" w:rsidRPr="002A476F" w:rsidRDefault="00B6012C" w:rsidP="00B6012C">
            <w:pPr>
              <w:numPr>
                <w:ilvl w:val="0"/>
                <w:numId w:val="22"/>
              </w:numPr>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listed marine species or a population of that species.</w:t>
            </w:r>
          </w:p>
        </w:tc>
        <w:tc>
          <w:tcPr>
            <w:tcW w:w="7087" w:type="dxa"/>
          </w:tcPr>
          <w:p w:rsidR="00B6012C" w:rsidRPr="002A476F" w:rsidRDefault="00B6012C" w:rsidP="001955CD">
            <w:pPr>
              <w:rPr>
                <w:rFonts w:cs="Arial"/>
              </w:rPr>
            </w:pPr>
          </w:p>
          <w:p w:rsidR="00B937C8" w:rsidRDefault="00B937C8" w:rsidP="00B937C8">
            <w:pPr>
              <w:spacing w:after="0"/>
              <w:rPr>
                <w:rFonts w:cs="Arial"/>
              </w:rPr>
            </w:pPr>
          </w:p>
          <w:p w:rsidR="00B937C8" w:rsidRPr="006327AE" w:rsidRDefault="00B937C8" w:rsidP="00B937C8">
            <w:pPr>
              <w:rPr>
                <w:rFonts w:cs="Arial"/>
              </w:rPr>
            </w:pPr>
            <w:r w:rsidRPr="006327AE">
              <w:rPr>
                <w:rFonts w:cs="Arial"/>
              </w:rPr>
              <w:t xml:space="preserve">The Tasmanian Giant Crab Fishery will be managed under the </w:t>
            </w:r>
            <w:r w:rsidR="00CB526E" w:rsidRPr="00CB526E">
              <w:rPr>
                <w:rFonts w:cs="Arial"/>
              </w:rPr>
              <w:t>Tasmanian</w:t>
            </w:r>
            <w:r w:rsidR="00CB526E" w:rsidRPr="00CB526E">
              <w:rPr>
                <w:rFonts w:cs="Arial"/>
                <w:i/>
              </w:rPr>
              <w:t xml:space="preserve"> </w:t>
            </w:r>
            <w:r w:rsidR="00A1025F">
              <w:rPr>
                <w:rFonts w:cs="Arial"/>
                <w:i/>
              </w:rPr>
              <w:t>Fisheries (giant crab) r</w:t>
            </w:r>
            <w:r w:rsidR="00D87C92" w:rsidRPr="00D87C92">
              <w:rPr>
                <w:rFonts w:cs="Arial"/>
                <w:i/>
              </w:rPr>
              <w:t>ules 2013</w:t>
            </w:r>
            <w:r w:rsidR="00D87C92">
              <w:rPr>
                <w:rFonts w:cs="Arial"/>
                <w:i/>
              </w:rPr>
              <w:t xml:space="preserve"> </w:t>
            </w:r>
            <w:r w:rsidRPr="006327AE">
              <w:rPr>
                <w:rFonts w:cs="Arial"/>
              </w:rPr>
              <w:t>and the</w:t>
            </w:r>
            <w:r w:rsidRPr="006327AE">
              <w:rPr>
                <w:rFonts w:ascii="Times New Roman" w:eastAsia="Times New Roman" w:hAnsi="Times New Roman"/>
                <w:sz w:val="24"/>
                <w:szCs w:val="24"/>
                <w:lang w:eastAsia="en-AU"/>
              </w:rPr>
              <w:t xml:space="preserve"> </w:t>
            </w:r>
            <w:r w:rsidRPr="006327AE">
              <w:rPr>
                <w:rFonts w:cs="Arial"/>
              </w:rPr>
              <w:t>Tasmanian</w:t>
            </w:r>
            <w:r w:rsidR="00D87C92">
              <w:rPr>
                <w:rFonts w:cs="Arial"/>
                <w:i/>
              </w:rPr>
              <w:t> </w:t>
            </w:r>
            <w:r w:rsidRPr="006327AE">
              <w:rPr>
                <w:rFonts w:cs="Arial"/>
                <w:i/>
              </w:rPr>
              <w:t>Living Marine Resources Management Act 1995</w:t>
            </w:r>
            <w:r w:rsidRPr="006327AE">
              <w:rPr>
                <w:rFonts w:cs="Arial"/>
              </w:rPr>
              <w:t xml:space="preserve">. </w:t>
            </w:r>
          </w:p>
          <w:p w:rsidR="00B6012C" w:rsidRPr="002A476F" w:rsidRDefault="00B6012C" w:rsidP="001955CD">
            <w:pPr>
              <w:rPr>
                <w:rFonts w:cs="Arial"/>
              </w:rPr>
            </w:pPr>
          </w:p>
          <w:p w:rsidR="00B6012C" w:rsidRDefault="00B6012C" w:rsidP="001955CD">
            <w:pPr>
              <w:rPr>
                <w:rFonts w:cs="Arial"/>
              </w:rPr>
            </w:pPr>
          </w:p>
          <w:p w:rsidR="00A368B0" w:rsidRDefault="00A368B0" w:rsidP="00FE2C8F">
            <w:pPr>
              <w:spacing w:after="40" w:line="240" w:lineRule="auto"/>
              <w:rPr>
                <w:rFonts w:cs="Arial"/>
              </w:rPr>
            </w:pPr>
          </w:p>
          <w:p w:rsidR="00DD68D3" w:rsidRDefault="000A2F23" w:rsidP="00DD68D3">
            <w:pPr>
              <w:rPr>
                <w:rFonts w:cs="Arial"/>
              </w:rPr>
            </w:pPr>
            <w:r w:rsidRPr="002A476F">
              <w:rPr>
                <w:rFonts w:cs="Arial"/>
              </w:rPr>
              <w:t xml:space="preserve">The </w:t>
            </w:r>
            <w:r w:rsidR="00A1025F">
              <w:rPr>
                <w:rFonts w:cs="Arial"/>
              </w:rPr>
              <w:t>m</w:t>
            </w:r>
            <w:r w:rsidRPr="002537EE">
              <w:rPr>
                <w:rFonts w:cs="Arial"/>
              </w:rPr>
              <w:t>anagement regime for</w:t>
            </w:r>
            <w:r w:rsidRPr="002A476F">
              <w:rPr>
                <w:rFonts w:cs="Arial"/>
              </w:rPr>
              <w:t xml:space="preserve"> the </w:t>
            </w:r>
            <w:r w:rsidRPr="006327AE">
              <w:rPr>
                <w:rFonts w:cs="Arial"/>
              </w:rPr>
              <w:t xml:space="preserve">Tasmanian Giant Crab Fishery </w:t>
            </w:r>
            <w:r w:rsidRPr="002A476F">
              <w:rPr>
                <w:rFonts w:cs="Arial"/>
              </w:rPr>
              <w:t xml:space="preserve">was </w:t>
            </w:r>
            <w:r>
              <w:rPr>
                <w:rFonts w:cs="Arial"/>
              </w:rPr>
              <w:t>most recently accredited under section 265 (Part 13) of the EPBC Act in February 2013</w:t>
            </w:r>
            <w:r w:rsidRPr="002A476F">
              <w:rPr>
                <w:rFonts w:cs="Arial"/>
              </w:rPr>
              <w:t>.</w:t>
            </w:r>
            <w:r w:rsidRPr="002A476F">
              <w:rPr>
                <w:rFonts w:cs="Arial"/>
                <w:color w:val="3366FF"/>
              </w:rPr>
              <w:t xml:space="preserve"> </w:t>
            </w:r>
            <w:r w:rsidR="00DD68D3">
              <w:rPr>
                <w:rFonts w:cs="Arial"/>
              </w:rPr>
              <w:t>There have been no material changes to the management regime since this time that have changed the requirement for fishers to take all reasonable steps to ensure that members of listed marine species are not killed or injured a</w:t>
            </w:r>
            <w:r w:rsidR="00A368B0">
              <w:rPr>
                <w:rFonts w:cs="Arial"/>
              </w:rPr>
              <w:t xml:space="preserve">s a result </w:t>
            </w:r>
            <w:r w:rsidR="00DD68D3">
              <w:rPr>
                <w:rFonts w:cs="Arial"/>
              </w:rPr>
              <w:t>of the fishing.</w:t>
            </w:r>
          </w:p>
          <w:p w:rsidR="009E267B" w:rsidRDefault="00DD68D3" w:rsidP="00DD68D3">
            <w:r>
              <w:rPr>
                <w:rFonts w:cs="Arial"/>
              </w:rPr>
              <w:t xml:space="preserve">Listed marine species that may interact with the fishery due to geographic overlap include </w:t>
            </w:r>
            <w:proofErr w:type="spellStart"/>
            <w:r>
              <w:rPr>
                <w:rFonts w:cs="Arial"/>
              </w:rPr>
              <w:t>pinniped</w:t>
            </w:r>
            <w:proofErr w:type="spellEnd"/>
            <w:r>
              <w:rPr>
                <w:rFonts w:cs="Arial"/>
              </w:rPr>
              <w:t xml:space="preserve"> species and seabird species. The management regime for the Tasmanian Giant Crab Fishery prescribes limits and restrictions on fishing gear used in the fishery,</w:t>
            </w:r>
            <w:r w:rsidR="0050191F">
              <w:rPr>
                <w:rFonts w:cs="Arial"/>
              </w:rPr>
              <w:t xml:space="preserve"> as</w:t>
            </w:r>
            <w:r>
              <w:rPr>
                <w:rFonts w:cs="Arial"/>
              </w:rPr>
              <w:t xml:space="preserve"> described in Table 1. </w:t>
            </w:r>
            <w:r>
              <w:t xml:space="preserve">Given the relatively benign fishing methods that do not pose a risk to seabirds and the distance </w:t>
            </w:r>
            <w:r w:rsidR="006217F8">
              <w:t xml:space="preserve">of fishing effort </w:t>
            </w:r>
            <w:r>
              <w:t xml:space="preserve">from coastal </w:t>
            </w:r>
            <w:proofErr w:type="spellStart"/>
            <w:r>
              <w:t>pinniped</w:t>
            </w:r>
            <w:proofErr w:type="spellEnd"/>
            <w:r>
              <w:t xml:space="preserve"> colonies,</w:t>
            </w:r>
            <w:r>
              <w:rPr>
                <w:rFonts w:cs="Arial"/>
              </w:rPr>
              <w:t xml:space="preserve"> the D</w:t>
            </w:r>
            <w:r w:rsidRPr="00A94CE9">
              <w:rPr>
                <w:rFonts w:cs="Arial"/>
              </w:rPr>
              <w:t>epartment considers that the</w:t>
            </w:r>
            <w:r>
              <w:rPr>
                <w:rFonts w:cs="Arial"/>
              </w:rPr>
              <w:t xml:space="preserve"> </w:t>
            </w:r>
            <w:r w:rsidRPr="00A94CE9">
              <w:rPr>
                <w:rFonts w:cs="Arial"/>
              </w:rPr>
              <w:t xml:space="preserve">management regime for the </w:t>
            </w:r>
            <w:r w:rsidRPr="006327AE">
              <w:rPr>
                <w:rFonts w:cs="Arial"/>
              </w:rPr>
              <w:t xml:space="preserve">Tasmanian Giant Crab Fishery </w:t>
            </w:r>
            <w:r w:rsidRPr="00A94CE9">
              <w:rPr>
                <w:rFonts w:cs="Arial"/>
              </w:rPr>
              <w:t xml:space="preserve">still requires operators to take all reasonable steps to ensure that </w:t>
            </w:r>
            <w:r>
              <w:rPr>
                <w:rFonts w:cs="Arial"/>
              </w:rPr>
              <w:t xml:space="preserve">members of </w:t>
            </w:r>
            <w:r w:rsidRPr="00A94CE9">
              <w:rPr>
                <w:rFonts w:cs="Arial"/>
              </w:rPr>
              <w:t xml:space="preserve">listed </w:t>
            </w:r>
            <w:r>
              <w:rPr>
                <w:rFonts w:cs="Arial"/>
              </w:rPr>
              <w:t>marine</w:t>
            </w:r>
            <w:r w:rsidRPr="00A94CE9">
              <w:rPr>
                <w:rFonts w:cs="Arial"/>
              </w:rPr>
              <w:t xml:space="preserve"> species are not killed or injured</w:t>
            </w:r>
            <w:r>
              <w:rPr>
                <w:rFonts w:cs="Arial"/>
              </w:rPr>
              <w:t xml:space="preserve"> in Commonwealth waters</w:t>
            </w:r>
            <w:r w:rsidRPr="00A94CE9">
              <w:rPr>
                <w:rFonts w:cs="Arial"/>
              </w:rPr>
              <w:t xml:space="preserve"> as a result of the fishing.</w:t>
            </w:r>
          </w:p>
          <w:p w:rsidR="00A368B0" w:rsidRPr="00A368B0" w:rsidRDefault="00A368B0" w:rsidP="00A368B0">
            <w:pPr>
              <w:spacing w:after="0" w:line="240" w:lineRule="auto"/>
              <w:rPr>
                <w:sz w:val="6"/>
                <w:szCs w:val="6"/>
              </w:rPr>
            </w:pPr>
          </w:p>
          <w:p w:rsidR="00B6012C" w:rsidRPr="002A476F" w:rsidRDefault="00DD68D3" w:rsidP="00DD68D3">
            <w:pPr>
              <w:rPr>
                <w:rFonts w:cs="Arial"/>
              </w:rPr>
            </w:pPr>
            <w:r w:rsidRPr="00815570">
              <w:t>Given the manageme</w:t>
            </w:r>
            <w:r>
              <w:t>nt measures described</w:t>
            </w:r>
            <w:r w:rsidRPr="00815570">
              <w:t xml:space="preserve"> in Table 1</w:t>
            </w:r>
            <w:r>
              <w:t>, the Department considers</w:t>
            </w:r>
            <w:r>
              <w:rPr>
                <w:rFonts w:cs="Arial"/>
              </w:rPr>
              <w:t xml:space="preserve"> </w:t>
            </w:r>
            <w:r w:rsidRPr="00A94CE9">
              <w:rPr>
                <w:rFonts w:cs="Arial"/>
              </w:rPr>
              <w:t xml:space="preserve">the likelihood of interactions with listed </w:t>
            </w:r>
            <w:r>
              <w:rPr>
                <w:rFonts w:cs="Arial"/>
              </w:rPr>
              <w:t xml:space="preserve">marine species in the </w:t>
            </w:r>
            <w:r w:rsidRPr="006327AE">
              <w:rPr>
                <w:rFonts w:cs="Arial"/>
              </w:rPr>
              <w:t xml:space="preserve">Tasmanian Giant Crab Fishery </w:t>
            </w:r>
            <w:r>
              <w:rPr>
                <w:rFonts w:cs="Arial"/>
              </w:rPr>
              <w:t xml:space="preserve">to be very low. Therefore, </w:t>
            </w:r>
            <w:r w:rsidR="000A2F23" w:rsidRPr="00815570">
              <w:t>the Department considers the</w:t>
            </w:r>
            <w:r w:rsidR="000A2F23">
              <w:t xml:space="preserve"> current operation of the</w:t>
            </w:r>
            <w:r w:rsidR="000A2F23" w:rsidRPr="002A476F">
              <w:rPr>
                <w:rFonts w:cs="Arial"/>
              </w:rPr>
              <w:t xml:space="preserve"> </w:t>
            </w:r>
            <w:r w:rsidR="000A2F23" w:rsidRPr="006327AE">
              <w:rPr>
                <w:rFonts w:cs="Arial"/>
              </w:rPr>
              <w:t>Tasmanian Giant Crab Fishery</w:t>
            </w:r>
            <w:r w:rsidR="000A2F23" w:rsidRPr="00815570">
              <w:t xml:space="preserve"> is </w:t>
            </w:r>
            <w:r w:rsidR="000A2F23" w:rsidRPr="002A476F">
              <w:rPr>
                <w:rFonts w:cs="Arial"/>
              </w:rPr>
              <w:t>not likely to adversely affe</w:t>
            </w:r>
            <w:r w:rsidR="000A2F23">
              <w:rPr>
                <w:rFonts w:cs="Arial"/>
              </w:rPr>
              <w:t>ct the conservation status of a</w:t>
            </w:r>
            <w:r w:rsidR="000A2F23" w:rsidRPr="00815570">
              <w:t xml:space="preserve"> listed</w:t>
            </w:r>
            <w:r w:rsidR="000A2F23" w:rsidRPr="00F72B23">
              <w:rPr>
                <w:lang w:eastAsia="en-AU"/>
              </w:rPr>
              <w:t xml:space="preserve"> marine species or a population of that species</w:t>
            </w:r>
            <w:r w:rsidR="000A2F23" w:rsidRPr="002A476F">
              <w:rPr>
                <w:rFonts w:cs="Arial"/>
              </w:rPr>
              <w:t>.</w:t>
            </w:r>
          </w:p>
        </w:tc>
      </w:tr>
    </w:tbl>
    <w:p w:rsidR="001B7A34" w:rsidRDefault="001B7A34" w:rsidP="001955CD">
      <w:pPr>
        <w:rPr>
          <w:rFonts w:cs="Arial"/>
        </w:rPr>
      </w:pPr>
    </w:p>
    <w:p w:rsidR="00DE7819" w:rsidRDefault="00DE7819">
      <w:pPr>
        <w:spacing w:after="0" w:line="240" w:lineRule="auto"/>
        <w:rPr>
          <w:rFonts w:cs="Arial"/>
          <w:b/>
        </w:rPr>
      </w:pPr>
      <w:r>
        <w:rPr>
          <w:rFonts w:cs="Arial"/>
          <w:b/>
        </w:rPr>
        <w:br w:type="page"/>
      </w:r>
    </w:p>
    <w:p w:rsidR="00B6012C" w:rsidRPr="00F6308F" w:rsidRDefault="00B6012C" w:rsidP="001955CD">
      <w:pPr>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6012C" w:rsidRPr="00F6308F" w:rsidTr="001955CD">
        <w:tc>
          <w:tcPr>
            <w:tcW w:w="7166" w:type="dxa"/>
          </w:tcPr>
          <w:p w:rsidR="00B6012C" w:rsidRPr="00F6308F" w:rsidRDefault="00B6012C" w:rsidP="001955CD">
            <w:pPr>
              <w:rPr>
                <w:rFonts w:cs="Arial"/>
                <w:b/>
              </w:rPr>
            </w:pPr>
            <w:r w:rsidRPr="00F6308F">
              <w:rPr>
                <w:rFonts w:cs="Arial"/>
                <w:b/>
              </w:rPr>
              <w:t>Section 303AA Conditions relating to accreditation of plans, regimes and policies</w:t>
            </w:r>
          </w:p>
        </w:tc>
        <w:tc>
          <w:tcPr>
            <w:tcW w:w="7166" w:type="dxa"/>
          </w:tcPr>
          <w:p w:rsidR="00B6012C" w:rsidRPr="00F6308F" w:rsidRDefault="000A2F23" w:rsidP="001955CD">
            <w:pPr>
              <w:rPr>
                <w:rFonts w:cs="Arial"/>
                <w:b/>
              </w:rPr>
            </w:pPr>
            <w:r>
              <w:rPr>
                <w:rFonts w:cs="Arial"/>
                <w:b/>
              </w:rPr>
              <w:t xml:space="preserve">The Department’s assessment </w:t>
            </w:r>
            <w:r w:rsidRPr="00F6308F">
              <w:rPr>
                <w:rFonts w:cs="Arial"/>
                <w:b/>
              </w:rPr>
              <w:t xml:space="preserve">of the </w:t>
            </w:r>
            <w:r>
              <w:rPr>
                <w:rFonts w:cs="Arial"/>
                <w:b/>
              </w:rPr>
              <w:t>Tasmanian Giant Crab Fishery</w:t>
            </w:r>
          </w:p>
        </w:tc>
      </w:tr>
      <w:tr w:rsidR="00B6012C" w:rsidRPr="00F6308F" w:rsidTr="001955CD">
        <w:tc>
          <w:tcPr>
            <w:tcW w:w="7166" w:type="dxa"/>
            <w:tcMar>
              <w:top w:w="57" w:type="dxa"/>
              <w:bottom w:w="57" w:type="dxa"/>
            </w:tcMar>
          </w:tcPr>
          <w:p w:rsidR="00B6012C" w:rsidRPr="001B2CE2" w:rsidRDefault="00B6012C" w:rsidP="001955CD">
            <w:pPr>
              <w:ind w:left="547" w:hanging="547"/>
              <w:rPr>
                <w:rFonts w:cs="Arial"/>
              </w:rPr>
            </w:pPr>
            <w:r w:rsidRPr="001B2CE2">
              <w:rPr>
                <w:rFonts w:cs="Arial"/>
              </w:rPr>
              <w:t>(1)</w:t>
            </w:r>
            <w:r w:rsidRPr="001B2CE2">
              <w:rPr>
                <w:rFonts w:cs="Arial"/>
              </w:rPr>
              <w:tab/>
              <w:t>This section applies to an accreditation of a plan, regime or policy under section 208A, 222A, 245 or 265.</w:t>
            </w:r>
          </w:p>
        </w:tc>
        <w:tc>
          <w:tcPr>
            <w:tcW w:w="7166" w:type="dxa"/>
            <w:tcMar>
              <w:top w:w="57" w:type="dxa"/>
              <w:bottom w:w="57" w:type="dxa"/>
            </w:tcMar>
          </w:tcPr>
          <w:p w:rsidR="00B6012C" w:rsidRPr="001B2CE2" w:rsidRDefault="00B6012C" w:rsidP="001955CD">
            <w:pPr>
              <w:rPr>
                <w:rFonts w:cs="Arial"/>
              </w:rPr>
            </w:pPr>
            <w:r>
              <w:rPr>
                <w:rFonts w:cs="Arial"/>
              </w:rPr>
              <w:t>The D</w:t>
            </w:r>
            <w:r w:rsidRPr="001B2CE2">
              <w:rPr>
                <w:rFonts w:cs="Arial"/>
              </w:rPr>
              <w:t xml:space="preserve">epartment recommends that the management regime for the </w:t>
            </w:r>
            <w:r w:rsidR="000A2F23" w:rsidRPr="006327AE">
              <w:rPr>
                <w:rFonts w:cs="Arial"/>
              </w:rPr>
              <w:t>Tasmanian Giant Crab Fishery</w:t>
            </w:r>
            <w:r w:rsidR="000A2F23" w:rsidRPr="001B2CE2">
              <w:rPr>
                <w:rFonts w:cs="Arial"/>
              </w:rPr>
              <w:t xml:space="preserve"> </w:t>
            </w:r>
            <w:r w:rsidRPr="001B2CE2">
              <w:rPr>
                <w:rFonts w:cs="Arial"/>
              </w:rPr>
              <w:t>be accredited under sections 208A, 222A, 245 and 265.</w:t>
            </w:r>
          </w:p>
        </w:tc>
      </w:tr>
      <w:tr w:rsidR="00B6012C" w:rsidRPr="00F6308F" w:rsidTr="001955CD">
        <w:tc>
          <w:tcPr>
            <w:tcW w:w="7166" w:type="dxa"/>
            <w:tcMar>
              <w:top w:w="57" w:type="dxa"/>
              <w:bottom w:w="57" w:type="dxa"/>
            </w:tcMar>
          </w:tcPr>
          <w:p w:rsidR="00B6012C" w:rsidRPr="001B2CE2" w:rsidRDefault="00B6012C" w:rsidP="001955CD">
            <w:pPr>
              <w:ind w:left="540" w:hanging="540"/>
              <w:rPr>
                <w:rFonts w:cs="Arial"/>
              </w:rPr>
            </w:pPr>
            <w:r w:rsidRPr="001B2CE2">
              <w:rPr>
                <w:rFonts w:cs="Arial"/>
              </w:rPr>
              <w:t>(2)</w:t>
            </w:r>
            <w:r w:rsidRPr="001B2CE2">
              <w:rPr>
                <w:rFonts w:cs="Arial"/>
              </w:rPr>
              <w:tab/>
              <w:t>The Minister may accredit a plan, regime or policy under that section even though he or she considers that the plan, regime or policy should be accredited only:</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during a particular period; or</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while certain circumstances exist; or</w:t>
            </w:r>
          </w:p>
          <w:p w:rsidR="00B6012C" w:rsidRPr="001B2CE2" w:rsidRDefault="00B6012C" w:rsidP="00B6012C">
            <w:pPr>
              <w:numPr>
                <w:ilvl w:val="0"/>
                <w:numId w:val="25"/>
              </w:numPr>
              <w:tabs>
                <w:tab w:val="clear" w:pos="360"/>
              </w:tabs>
              <w:spacing w:after="0"/>
              <w:ind w:left="1224" w:hanging="720"/>
              <w:rPr>
                <w:rFonts w:cs="Arial"/>
              </w:rPr>
            </w:pPr>
            <w:proofErr w:type="gramStart"/>
            <w:r w:rsidRPr="001B2CE2">
              <w:rPr>
                <w:rFonts w:cs="Arial"/>
              </w:rPr>
              <w:t>while</w:t>
            </w:r>
            <w:proofErr w:type="gramEnd"/>
            <w:r w:rsidRPr="001B2CE2">
              <w:rPr>
                <w:rFonts w:cs="Arial"/>
              </w:rPr>
              <w:t xml:space="preserve"> a certain condition is complied with.</w:t>
            </w:r>
          </w:p>
          <w:p w:rsidR="00B6012C" w:rsidRPr="001B2CE2" w:rsidRDefault="00B6012C" w:rsidP="001955CD">
            <w:pPr>
              <w:ind w:left="547"/>
              <w:rPr>
                <w:rFonts w:cs="Arial"/>
              </w:rPr>
            </w:pPr>
            <w:r w:rsidRPr="001B2CE2">
              <w:rPr>
                <w:rFonts w:cs="Arial"/>
              </w:rPr>
              <w:t>In such a case, the instrument of accreditation is to specify the period, circumstances or condition.</w:t>
            </w:r>
          </w:p>
        </w:tc>
        <w:tc>
          <w:tcPr>
            <w:tcW w:w="7166" w:type="dxa"/>
            <w:tcMar>
              <w:top w:w="57" w:type="dxa"/>
              <w:bottom w:w="57" w:type="dxa"/>
            </w:tcMar>
          </w:tcPr>
          <w:p w:rsidR="00B6012C" w:rsidRPr="001B2CE2" w:rsidRDefault="000A2F23" w:rsidP="001955CD">
            <w:pPr>
              <w:rPr>
                <w:rFonts w:cs="Arial"/>
                <w:color w:val="3366FF"/>
              </w:rPr>
            </w:pPr>
            <w:r>
              <w:rPr>
                <w:rFonts w:cs="Arial"/>
              </w:rPr>
              <w:t>The D</w:t>
            </w:r>
            <w:r w:rsidRPr="001673F5">
              <w:rPr>
                <w:rFonts w:cs="Arial"/>
              </w:rPr>
              <w:t xml:space="preserve">epartment considers that no conditions are required for the accreditation of the management regime for the </w:t>
            </w:r>
            <w:r w:rsidRPr="006327AE">
              <w:rPr>
                <w:rFonts w:cs="Arial"/>
              </w:rPr>
              <w:t>Tasmanian Giant Crab Fishery</w:t>
            </w:r>
            <w:r w:rsidRPr="001B2CE2">
              <w:rPr>
                <w:rFonts w:cs="Arial"/>
              </w:rPr>
              <w:t xml:space="preserve"> </w:t>
            </w:r>
            <w:r w:rsidRPr="001673F5">
              <w:rPr>
                <w:rFonts w:cs="Arial"/>
              </w:rPr>
              <w:t>under Part 13.</w:t>
            </w:r>
          </w:p>
        </w:tc>
      </w:tr>
      <w:tr w:rsidR="00B6012C" w:rsidRPr="00F6308F" w:rsidTr="001955CD">
        <w:tc>
          <w:tcPr>
            <w:tcW w:w="7166" w:type="dxa"/>
            <w:tcMar>
              <w:top w:w="57" w:type="dxa"/>
              <w:bottom w:w="57" w:type="dxa"/>
            </w:tcMar>
          </w:tcPr>
          <w:p w:rsidR="00B6012C" w:rsidRPr="001B2CE2" w:rsidRDefault="00B6012C" w:rsidP="001955CD">
            <w:pPr>
              <w:ind w:left="360" w:hanging="360"/>
              <w:rPr>
                <w:rFonts w:cs="Arial"/>
              </w:rPr>
            </w:pPr>
            <w:r w:rsidRPr="001B2CE2">
              <w:rPr>
                <w:rFonts w:cs="Arial"/>
              </w:rPr>
              <w:t>(7)</w:t>
            </w:r>
            <w:r w:rsidRPr="001B2CE2">
              <w:rPr>
                <w:rFonts w:cs="Arial"/>
              </w:rPr>
              <w:tab/>
              <w:t>The Minister must, in writing, revoke an accreditation if he or she is satisfied that a condition of the accreditation has been contravened.</w:t>
            </w:r>
          </w:p>
        </w:tc>
        <w:tc>
          <w:tcPr>
            <w:tcW w:w="7166" w:type="dxa"/>
            <w:tcMar>
              <w:top w:w="57" w:type="dxa"/>
              <w:bottom w:w="57" w:type="dxa"/>
            </w:tcMar>
          </w:tcPr>
          <w:p w:rsidR="00B6012C" w:rsidRPr="00F6308F" w:rsidRDefault="00B6012C" w:rsidP="001955CD">
            <w:pPr>
              <w:rPr>
                <w:rFonts w:cs="Arial"/>
              </w:rPr>
            </w:pPr>
          </w:p>
        </w:tc>
      </w:tr>
    </w:tbl>
    <w:p w:rsidR="00B6012C" w:rsidRPr="00F6308F" w:rsidRDefault="00B6012C" w:rsidP="001955CD">
      <w:pPr>
        <w:rPr>
          <w:rFonts w:cs="Arial"/>
          <w:b/>
        </w:rPr>
      </w:pPr>
    </w:p>
    <w:p w:rsidR="00B6012C" w:rsidRPr="00C24A27" w:rsidRDefault="00B6012C" w:rsidP="001955CD">
      <w:pPr>
        <w:rPr>
          <w:rFonts w:cs="Arial"/>
          <w:b/>
        </w:rPr>
      </w:pPr>
      <w:r w:rsidRPr="00F6308F">
        <w:rPr>
          <w:rFonts w:cs="Arial"/>
          <w:b/>
        </w:rPr>
        <w:br w:type="page"/>
      </w:r>
    </w:p>
    <w:p w:rsidR="00B6012C" w:rsidRDefault="00B6012C" w:rsidP="001955CD">
      <w:pPr>
        <w:rPr>
          <w:rFonts w:cs="Arial"/>
          <w:b/>
        </w:rPr>
      </w:pPr>
    </w:p>
    <w:p w:rsidR="00B6012C" w:rsidRPr="00C24A27" w:rsidRDefault="00B6012C" w:rsidP="001955CD">
      <w:pPr>
        <w:rPr>
          <w:rFonts w:cs="Arial"/>
          <w:b/>
        </w:rPr>
      </w:pPr>
    </w:p>
    <w:p w:rsidR="00B6012C" w:rsidRPr="00F6308F" w:rsidRDefault="00B6012C" w:rsidP="001955CD">
      <w:pPr>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B6012C" w:rsidRPr="00F6308F" w:rsidTr="001955CD">
        <w:tc>
          <w:tcPr>
            <w:tcW w:w="14332" w:type="dxa"/>
          </w:tcPr>
          <w:p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rsidTr="001955CD">
        <w:tc>
          <w:tcPr>
            <w:tcW w:w="14332" w:type="dxa"/>
          </w:tcPr>
          <w:p w:rsidR="00B6012C" w:rsidRPr="00F6308F" w:rsidRDefault="00B6012C" w:rsidP="00B6012C">
            <w:pPr>
              <w:numPr>
                <w:ilvl w:val="0"/>
                <w:numId w:val="29"/>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2"/>
            </w:r>
            <w:r w:rsidRPr="00F6308F">
              <w:rPr>
                <w:rFonts w:cs="Arial"/>
                <w:noProof/>
              </w:rPr>
              <w:t xml:space="preserve"> and the Biodiversity Convention;</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protect wildlife that may be adversely affected by trade;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conservation of biodiversity in Australia and other countries;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humane treatment of wildlife;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rsidR="00B6012C" w:rsidRPr="00F6308F" w:rsidRDefault="00B6012C" w:rsidP="00B6012C">
            <w:pPr>
              <w:numPr>
                <w:ilvl w:val="0"/>
                <w:numId w:val="31"/>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B6012C" w:rsidRPr="00F6308F" w:rsidRDefault="00B6012C" w:rsidP="001955CD">
      <w:pPr>
        <w:rPr>
          <w:rFonts w:cs="Arial"/>
          <w:b/>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1E361F" w:rsidRDefault="00B6012C" w:rsidP="001955CD">
      <w:pPr>
        <w:rPr>
          <w:rFonts w:cs="Arial"/>
          <w:b/>
        </w:rPr>
      </w:pPr>
      <w:r w:rsidRPr="001E361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303DC Minister may amend list</w:t>
            </w:r>
          </w:p>
        </w:tc>
        <w:tc>
          <w:tcPr>
            <w:tcW w:w="7087" w:type="dxa"/>
          </w:tcPr>
          <w:p w:rsidR="00B6012C" w:rsidRPr="00F6308F" w:rsidRDefault="001B7A34" w:rsidP="001B7A34">
            <w:pPr>
              <w:spacing w:after="120"/>
              <w:rPr>
                <w:rFonts w:cs="Arial"/>
                <w:b/>
              </w:rPr>
            </w:pPr>
            <w:r>
              <w:rPr>
                <w:rFonts w:cs="Arial"/>
                <w:b/>
              </w:rPr>
              <w:t xml:space="preserve">The Department’s assessment </w:t>
            </w:r>
            <w:r w:rsidRPr="00F6308F">
              <w:rPr>
                <w:rFonts w:cs="Arial"/>
                <w:b/>
              </w:rPr>
              <w:t xml:space="preserve">of the </w:t>
            </w:r>
            <w:r>
              <w:rPr>
                <w:rFonts w:cs="Arial"/>
                <w:b/>
              </w:rPr>
              <w:t>Tasmanian Giant Crab Fishery</w:t>
            </w:r>
          </w:p>
        </w:tc>
      </w:tr>
      <w:tr w:rsidR="00B6012C" w:rsidRPr="00F6308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rPr>
              <w:t>(1)</w:t>
            </w:r>
            <w:r w:rsidRPr="002A476F">
              <w:rPr>
                <w:rFonts w:cs="Arial"/>
              </w:rPr>
              <w:tab/>
              <w:t>Minister may, by instrument published in the Gazette, amend the list referred to in section 303DB (list of exempt native specimens) by:</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 xml:space="preserve">including items in the list; </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deleting items from the list;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imposing a condition or restriction to which the inclusion of a specimen in the list is subject;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varying o</w:t>
            </w:r>
            <w:r>
              <w:rPr>
                <w:rFonts w:cs="Arial"/>
              </w:rPr>
              <w:t>r</w:t>
            </w:r>
            <w:r w:rsidRPr="002A476F">
              <w:rPr>
                <w:rFonts w:cs="Arial"/>
              </w:rPr>
              <w:t xml:space="preserve"> revoking a condition or restriction to which the inclusion of a specimen in the list is subject; or</w:t>
            </w:r>
          </w:p>
          <w:p w:rsidR="00B6012C" w:rsidRPr="002A476F" w:rsidRDefault="00B6012C" w:rsidP="00B6012C">
            <w:pPr>
              <w:numPr>
                <w:ilvl w:val="0"/>
                <w:numId w:val="16"/>
              </w:numPr>
              <w:tabs>
                <w:tab w:val="clear" w:pos="1080"/>
                <w:tab w:val="num" w:pos="900"/>
              </w:tabs>
              <w:spacing w:after="0"/>
              <w:ind w:left="900" w:hanging="540"/>
              <w:rPr>
                <w:rFonts w:cs="Arial"/>
              </w:rPr>
            </w:pPr>
            <w:proofErr w:type="gramStart"/>
            <w:r w:rsidRPr="002A476F">
              <w:rPr>
                <w:rFonts w:cs="Arial"/>
              </w:rPr>
              <w:t>correcting</w:t>
            </w:r>
            <w:proofErr w:type="gramEnd"/>
            <w:r w:rsidRPr="002A476F">
              <w:rPr>
                <w:rFonts w:cs="Arial"/>
              </w:rPr>
              <w:t xml:space="preserve"> an inaccuracy or updating the name of a species.</w:t>
            </w:r>
          </w:p>
        </w:tc>
        <w:tc>
          <w:tcPr>
            <w:tcW w:w="7087" w:type="dxa"/>
            <w:tcMar>
              <w:top w:w="57" w:type="dxa"/>
              <w:bottom w:w="57" w:type="dxa"/>
            </w:tcMar>
          </w:tcPr>
          <w:p w:rsidR="00B6012C" w:rsidRPr="002A476F" w:rsidRDefault="00B6012C" w:rsidP="001955CD">
            <w:pPr>
              <w:pStyle w:val="NormalWeb"/>
              <w:spacing w:before="0" w:beforeAutospacing="0" w:after="0" w:afterAutospacing="0" w:line="276" w:lineRule="auto"/>
              <w:rPr>
                <w:rFonts w:ascii="Arial" w:hAnsi="Arial" w:cs="Arial"/>
                <w:sz w:val="22"/>
                <w:szCs w:val="22"/>
              </w:rPr>
            </w:pPr>
            <w:r>
              <w:rPr>
                <w:rFonts w:ascii="Arial" w:hAnsi="Arial" w:cs="Arial"/>
                <w:sz w:val="22"/>
                <w:szCs w:val="22"/>
              </w:rPr>
              <w:t>The D</w:t>
            </w:r>
            <w:r w:rsidRPr="002A476F">
              <w:rPr>
                <w:rFonts w:ascii="Arial" w:hAnsi="Arial" w:cs="Arial"/>
                <w:sz w:val="22"/>
                <w:szCs w:val="22"/>
              </w:rPr>
              <w:t>epartment recommends</w:t>
            </w:r>
            <w:r w:rsidR="001B7A34">
              <w:rPr>
                <w:rFonts w:ascii="Arial" w:hAnsi="Arial" w:cs="Arial"/>
                <w:sz w:val="22"/>
                <w:szCs w:val="22"/>
              </w:rPr>
              <w:t xml:space="preserve"> that product derived from the Tasmanian Giant Crab Fishery</w:t>
            </w:r>
            <w:r w:rsidRPr="002A476F">
              <w:rPr>
                <w:rFonts w:ascii="Arial" w:hAnsi="Arial" w:cs="Arial"/>
                <w:sz w:val="22"/>
                <w:szCs w:val="22"/>
              </w:rPr>
              <w:t xml:space="preserve"> be included in the list of</w:t>
            </w:r>
            <w:r w:rsidR="001B7A34">
              <w:rPr>
                <w:rFonts w:ascii="Arial" w:hAnsi="Arial" w:cs="Arial"/>
                <w:sz w:val="22"/>
                <w:szCs w:val="22"/>
              </w:rPr>
              <w:t xml:space="preserve"> exempt native specimens </w:t>
            </w:r>
            <w:r w:rsidR="001B7A34" w:rsidRPr="001B7A34">
              <w:rPr>
                <w:rFonts w:ascii="Arial" w:hAnsi="Arial" w:cs="Arial"/>
                <w:sz w:val="22"/>
                <w:szCs w:val="22"/>
              </w:rPr>
              <w:t>until 18 July 2019</w:t>
            </w:r>
            <w:r w:rsidRPr="001B7A34">
              <w:rPr>
                <w:rFonts w:ascii="Arial" w:hAnsi="Arial" w:cs="Arial"/>
                <w:sz w:val="22"/>
                <w:szCs w:val="22"/>
              </w:rPr>
              <w:t>.</w:t>
            </w:r>
            <w:r w:rsidRPr="002A476F">
              <w:rPr>
                <w:rFonts w:ascii="Arial" w:hAnsi="Arial" w:cs="Arial"/>
                <w:sz w:val="22"/>
                <w:szCs w:val="22"/>
              </w:rPr>
              <w:t xml:space="preserve"> </w:t>
            </w:r>
          </w:p>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1955CD">
            <w:pPr>
              <w:pStyle w:val="NormalWeb"/>
              <w:spacing w:before="0" w:beforeAutospacing="0" w:after="120" w:afterAutospacing="0" w:line="276" w:lineRule="auto"/>
              <w:rPr>
                <w:rFonts w:ascii="Arial" w:eastAsia="Times New Roman" w:hAnsi="Arial" w:cs="Arial"/>
                <w:sz w:val="22"/>
                <w:szCs w:val="22"/>
                <w:lang w:val="en-AU" w:eastAsia="en-AU"/>
              </w:rPr>
            </w:pPr>
          </w:p>
        </w:tc>
      </w:tr>
      <w:tr w:rsidR="00B6012C" w:rsidRPr="00F6308F" w:rsidTr="001955CD">
        <w:tc>
          <w:tcPr>
            <w:tcW w:w="7087" w:type="dxa"/>
          </w:tcPr>
          <w:p w:rsidR="00B6012C" w:rsidRPr="002A476F" w:rsidRDefault="00B6012C" w:rsidP="001955CD">
            <w:pPr>
              <w:ind w:left="720" w:hanging="720"/>
              <w:rPr>
                <w:rFonts w:cs="Arial"/>
              </w:rPr>
            </w:pPr>
            <w:r w:rsidRPr="002A476F">
              <w:rPr>
                <w:rFonts w:cs="Arial"/>
              </w:rPr>
              <w:t>(1A)</w:t>
            </w:r>
            <w:r w:rsidRPr="002A476F">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rsidR="00B6012C" w:rsidRPr="002A476F" w:rsidRDefault="00B6012C" w:rsidP="001955CD">
            <w:pPr>
              <w:spacing w:after="120"/>
              <w:rPr>
                <w:rFonts w:cs="Arial"/>
                <w:color w:val="000000"/>
              </w:rPr>
            </w:pPr>
            <w:r w:rsidRPr="002A476F">
              <w:rPr>
                <w:rFonts w:cs="Arial"/>
              </w:rPr>
              <w:t xml:space="preserve">No assessment of the </w:t>
            </w:r>
            <w:r w:rsidR="001B7A34">
              <w:rPr>
                <w:rFonts w:cs="Arial"/>
              </w:rPr>
              <w:t>Tasmanian Giant Crab Fishery</w:t>
            </w:r>
            <w:r w:rsidRPr="002A476F">
              <w:rPr>
                <w:rFonts w:cs="Arial"/>
              </w:rPr>
              <w:t xml:space="preserve"> has been carried out under Part 10 of the EPBC Act.</w:t>
            </w:r>
          </w:p>
        </w:tc>
      </w:tr>
      <w:tr w:rsidR="00B6012C" w:rsidRPr="00F6308F" w:rsidTr="001955CD">
        <w:tc>
          <w:tcPr>
            <w:tcW w:w="7087" w:type="dxa"/>
          </w:tcPr>
          <w:p w:rsidR="00B6012C" w:rsidRPr="002A476F" w:rsidRDefault="00B6012C" w:rsidP="001955CD">
            <w:pPr>
              <w:ind w:left="720" w:hanging="720"/>
              <w:rPr>
                <w:rFonts w:cs="Arial"/>
              </w:rPr>
            </w:pPr>
            <w:r w:rsidRPr="002A476F">
              <w:rPr>
                <w:rFonts w:cs="Arial"/>
              </w:rPr>
              <w:t>(1C)</w:t>
            </w:r>
            <w:r w:rsidRPr="002A476F">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B6012C" w:rsidRPr="002A476F" w:rsidRDefault="00B6012C" w:rsidP="001955CD">
            <w:pPr>
              <w:rPr>
                <w:rFonts w:cs="Arial"/>
                <w:b/>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B6012C" w:rsidRDefault="00B6012C" w:rsidP="001955CD">
            <w:pPr>
              <w:rPr>
                <w:rFonts w:cs="Arial"/>
                <w:iCs/>
              </w:rPr>
            </w:pPr>
          </w:p>
          <w:p w:rsidR="001B7A34" w:rsidRDefault="001B7A34" w:rsidP="001955CD">
            <w:pPr>
              <w:rPr>
                <w:rFonts w:cs="Arial"/>
                <w:iCs/>
              </w:rPr>
            </w:pPr>
          </w:p>
          <w:p w:rsidR="001B7A34" w:rsidRDefault="001B7A34" w:rsidP="001B7A34">
            <w:pPr>
              <w:spacing w:after="0"/>
              <w:rPr>
                <w:rFonts w:cs="Arial"/>
                <w:iCs/>
              </w:rPr>
            </w:pPr>
          </w:p>
          <w:p w:rsidR="00B6012C" w:rsidRPr="002A476F" w:rsidRDefault="00B6012C" w:rsidP="001955CD">
            <w:pPr>
              <w:rPr>
                <w:rFonts w:cs="Arial"/>
                <w:iCs/>
              </w:rPr>
            </w:pPr>
            <w:r>
              <w:rPr>
                <w:rFonts w:cs="Arial"/>
                <w:iCs/>
              </w:rPr>
              <w:t>The D</w:t>
            </w:r>
            <w:r w:rsidRPr="002A476F">
              <w:rPr>
                <w:rFonts w:cs="Arial"/>
                <w:iCs/>
              </w:rPr>
              <w:t xml:space="preserve">epartment considers that the amendment of the list of exempt native specimens to include product taken in the </w:t>
            </w:r>
            <w:r w:rsidR="001B7A34">
              <w:rPr>
                <w:rFonts w:cs="Arial"/>
              </w:rPr>
              <w:t>Tasmanian Giant Crab Fishery</w:t>
            </w:r>
            <w:r w:rsidR="001B7A34" w:rsidRPr="002A476F">
              <w:rPr>
                <w:rFonts w:cs="Arial"/>
              </w:rPr>
              <w:t xml:space="preserve"> </w:t>
            </w:r>
            <w:r w:rsidRPr="002A476F">
              <w:rPr>
                <w:rFonts w:cs="Arial"/>
              </w:rPr>
              <w:t xml:space="preserve">until </w:t>
            </w:r>
            <w:r w:rsidR="001B7A34" w:rsidRPr="001B7A34">
              <w:rPr>
                <w:rFonts w:cs="Arial"/>
              </w:rPr>
              <w:t>18 July 2019</w:t>
            </w:r>
            <w:r w:rsidRPr="002A476F">
              <w:rPr>
                <w:rFonts w:cs="Arial"/>
              </w:rPr>
              <w:t xml:space="preserve"> </w:t>
            </w:r>
            <w:r w:rsidRPr="002A476F">
              <w:rPr>
                <w:rFonts w:cs="Arial"/>
                <w:iCs/>
              </w:rPr>
              <w:t>would be consistent with the provisions of Part 13A (listed above) as:</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B6012C" w:rsidRPr="002A476F" w:rsidRDefault="00300463" w:rsidP="00B6012C">
            <w:pPr>
              <w:numPr>
                <w:ilvl w:val="0"/>
                <w:numId w:val="10"/>
              </w:numPr>
              <w:tabs>
                <w:tab w:val="clear" w:pos="1455"/>
                <w:tab w:val="num" w:pos="293"/>
              </w:tabs>
              <w:spacing w:after="0"/>
              <w:ind w:left="293" w:hanging="293"/>
              <w:rPr>
                <w:rFonts w:cs="Arial"/>
              </w:rPr>
            </w:pPr>
            <w:r>
              <w:rPr>
                <w:rFonts w:cs="Arial"/>
              </w:rPr>
              <w:t>the operation of the Tasmanian Giant Crab Fishery</w:t>
            </w:r>
            <w:r w:rsidR="00B6012C" w:rsidRPr="002A476F">
              <w:rPr>
                <w:rFonts w:cs="Arial"/>
              </w:rPr>
              <w:t xml:space="preserve"> is unlikely to be unsustainable and threaten biodiversity within the </w:t>
            </w:r>
            <w:r w:rsidR="00B6012C" w:rsidRPr="00300463">
              <w:rPr>
                <w:rFonts w:cs="Arial"/>
              </w:rPr>
              <w:t xml:space="preserve">next </w:t>
            </w:r>
            <w:r w:rsidR="00E0046F" w:rsidRPr="00300463">
              <w:rPr>
                <w:rFonts w:cs="Arial"/>
              </w:rPr>
              <w:t>five</w:t>
            </w:r>
            <w:r w:rsidR="00B6012C" w:rsidRPr="00300463">
              <w:rPr>
                <w:rFonts w:cs="Arial"/>
              </w:rPr>
              <w:t xml:space="preserve"> years</w:t>
            </w:r>
            <w:r w:rsidR="00B6012C" w:rsidRPr="002A476F">
              <w:rPr>
                <w:rFonts w:cs="Arial"/>
              </w:rPr>
              <w:t>, and</w:t>
            </w:r>
          </w:p>
          <w:p w:rsidR="00B6012C" w:rsidRPr="00873238" w:rsidRDefault="00B6012C" w:rsidP="00DE7819">
            <w:pPr>
              <w:numPr>
                <w:ilvl w:val="0"/>
                <w:numId w:val="10"/>
              </w:numPr>
              <w:tabs>
                <w:tab w:val="clear" w:pos="1455"/>
                <w:tab w:val="num" w:pos="293"/>
              </w:tabs>
              <w:spacing w:after="0"/>
              <w:ind w:left="293" w:hanging="293"/>
              <w:rPr>
                <w:rFonts w:cs="Arial"/>
              </w:rPr>
            </w:pPr>
            <w:proofErr w:type="gramStart"/>
            <w:r w:rsidRPr="002A476F">
              <w:rPr>
                <w:rFonts w:cs="Arial"/>
              </w:rPr>
              <w:t>the</w:t>
            </w:r>
            <w:proofErr w:type="gramEnd"/>
            <w:r w:rsidRPr="002A476F">
              <w:rPr>
                <w:rFonts w:cs="Arial"/>
              </w:rPr>
              <w:t xml:space="preserve"> Environm</w:t>
            </w:r>
            <w:r w:rsidR="00300463">
              <w:rPr>
                <w:rFonts w:cs="Arial"/>
              </w:rPr>
              <w:t xml:space="preserve">ent Protection and Biodiversity </w:t>
            </w:r>
            <w:r w:rsidRPr="002A476F">
              <w:rPr>
                <w:rFonts w:cs="Arial"/>
              </w:rPr>
              <w:t xml:space="preserve">Conservation Regulations 2000 do not specify </w:t>
            </w:r>
            <w:r w:rsidR="00DE7819">
              <w:rPr>
                <w:rFonts w:cs="Arial"/>
              </w:rPr>
              <w:t>crustaceans</w:t>
            </w:r>
            <w:r w:rsidR="00DE7819" w:rsidRPr="002A476F">
              <w:rPr>
                <w:rFonts w:cs="Arial"/>
              </w:rPr>
              <w:t xml:space="preserve"> </w:t>
            </w:r>
            <w:r w:rsidRPr="002A476F">
              <w:rPr>
                <w:rFonts w:cs="Arial"/>
              </w:rPr>
              <w:t>as a class of animal in relation to the welfare of live specimens.</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t>(3)</w:t>
            </w:r>
            <w:r w:rsidRPr="002A476F">
              <w:rPr>
                <w:rFonts w:cs="Arial"/>
              </w:rPr>
              <w:tab/>
              <w:t>Before amending the list referred to in section 303DB (list of exempt native specimens), the Minister:</w:t>
            </w:r>
          </w:p>
          <w:p w:rsidR="00B6012C" w:rsidRPr="002A476F" w:rsidRDefault="00B6012C" w:rsidP="00B6012C">
            <w:pPr>
              <w:numPr>
                <w:ilvl w:val="0"/>
                <w:numId w:val="12"/>
              </w:numPr>
              <w:spacing w:after="0"/>
              <w:rPr>
                <w:rFonts w:cs="Arial"/>
              </w:rPr>
            </w:pPr>
            <w:r w:rsidRPr="002A476F">
              <w:rPr>
                <w:rFonts w:cs="Arial"/>
              </w:rPr>
              <w:t>must consult such other Minister or Ministers as the Minister considers appropriate; and</w:t>
            </w:r>
          </w:p>
          <w:p w:rsidR="00B6012C" w:rsidRPr="002A476F" w:rsidRDefault="00B6012C" w:rsidP="00B6012C">
            <w:pPr>
              <w:numPr>
                <w:ilvl w:val="0"/>
                <w:numId w:val="12"/>
              </w:numPr>
              <w:spacing w:after="0"/>
              <w:rPr>
                <w:rFonts w:cs="Arial"/>
              </w:rPr>
            </w:pPr>
            <w:r w:rsidRPr="002A476F">
              <w:rPr>
                <w:rFonts w:cs="Arial"/>
              </w:rPr>
              <w:t>must consult such other Minister or Ministers of each State and self-governing Territory as the Minster considers appropriate; and</w:t>
            </w:r>
          </w:p>
          <w:p w:rsidR="00B6012C" w:rsidRPr="002A476F" w:rsidRDefault="00B6012C" w:rsidP="00B6012C">
            <w:pPr>
              <w:numPr>
                <w:ilvl w:val="0"/>
                <w:numId w:val="12"/>
              </w:numPr>
              <w:spacing w:after="0"/>
              <w:rPr>
                <w:rFonts w:cs="Arial"/>
              </w:rPr>
            </w:pPr>
            <w:proofErr w:type="gramStart"/>
            <w:r w:rsidRPr="002A476F">
              <w:rPr>
                <w:rFonts w:cs="Arial"/>
              </w:rPr>
              <w:t>may</w:t>
            </w:r>
            <w:proofErr w:type="gramEnd"/>
            <w:r w:rsidRPr="002A476F">
              <w:rPr>
                <w:rFonts w:cs="Arial"/>
              </w:rPr>
              <w:t xml:space="preserve"> consult such other persons and organisations as the Minister considers appropriate. </w:t>
            </w:r>
          </w:p>
        </w:tc>
        <w:tc>
          <w:tcPr>
            <w:tcW w:w="7087" w:type="dxa"/>
          </w:tcPr>
          <w:p w:rsidR="00B6012C" w:rsidRDefault="00B6012C" w:rsidP="001955CD">
            <w:pPr>
              <w:spacing w:after="120"/>
              <w:rPr>
                <w:rFonts w:cs="Arial"/>
                <w:iCs/>
              </w:rPr>
            </w:pPr>
            <w:r>
              <w:rPr>
                <w:rFonts w:cs="Arial"/>
                <w:iCs/>
              </w:rPr>
              <w:t>The D</w:t>
            </w:r>
            <w:r w:rsidRPr="002A476F">
              <w:rPr>
                <w:rFonts w:cs="Arial"/>
                <w:iCs/>
              </w:rPr>
              <w:t xml:space="preserve">epartment considers that the consultation requirements have been met. </w:t>
            </w:r>
          </w:p>
          <w:p w:rsidR="00B6012C" w:rsidRPr="002A476F" w:rsidRDefault="00352865" w:rsidP="001955CD">
            <w:pPr>
              <w:spacing w:after="120"/>
              <w:rPr>
                <w:rFonts w:cs="Arial"/>
                <w:iCs/>
              </w:rPr>
            </w:pPr>
            <w:r>
              <w:rPr>
                <w:rFonts w:cs="Arial"/>
                <w:iCs/>
              </w:rPr>
              <w:t>The application from the Department of Primary Industries,</w:t>
            </w:r>
            <w:r w:rsidR="00252BD0">
              <w:rPr>
                <w:rFonts w:cs="Arial"/>
                <w:iCs/>
              </w:rPr>
              <w:t xml:space="preserve"> Parks, Water </w:t>
            </w:r>
            <w:r>
              <w:rPr>
                <w:rFonts w:cs="Arial"/>
                <w:iCs/>
              </w:rPr>
              <w:t>and Environment (DPIPWE)</w:t>
            </w:r>
            <w:r w:rsidR="00B6012C" w:rsidRPr="002A476F">
              <w:rPr>
                <w:rFonts w:cs="Arial"/>
                <w:iCs/>
              </w:rPr>
              <w:t xml:space="preserve"> was re</w:t>
            </w:r>
            <w:r>
              <w:rPr>
                <w:rFonts w:cs="Arial"/>
                <w:iCs/>
              </w:rPr>
              <w:t>leased for public comment from 11 June 2014 to 9 July 2014</w:t>
            </w:r>
            <w:r w:rsidR="00B6012C" w:rsidRPr="002A476F">
              <w:rPr>
                <w:rFonts w:cs="Arial"/>
                <w:iCs/>
              </w:rPr>
              <w:t>. The public comment period sought comment on:</w:t>
            </w:r>
          </w:p>
          <w:p w:rsidR="00B6012C" w:rsidRPr="002A476F" w:rsidRDefault="00B6012C" w:rsidP="00B6012C">
            <w:pPr>
              <w:numPr>
                <w:ilvl w:val="0"/>
                <w:numId w:val="10"/>
              </w:numPr>
              <w:tabs>
                <w:tab w:val="clear" w:pos="1455"/>
                <w:tab w:val="num" w:pos="293"/>
              </w:tabs>
              <w:spacing w:after="120"/>
              <w:ind w:left="293" w:hanging="293"/>
              <w:rPr>
                <w:rFonts w:cs="Arial"/>
              </w:rPr>
            </w:pPr>
            <w:r w:rsidRPr="002A476F">
              <w:rPr>
                <w:rFonts w:cs="Arial"/>
              </w:rPr>
              <w:t xml:space="preserve">the proposal to amend the list of exempt native specimens to include product derived from the </w:t>
            </w:r>
            <w:r w:rsidR="00873238">
              <w:rPr>
                <w:rFonts w:cs="Arial"/>
              </w:rPr>
              <w:t>Tasmanian Giant Crab Fishery</w:t>
            </w:r>
            <w:r w:rsidRPr="002A476F">
              <w:rPr>
                <w:rFonts w:cs="Arial"/>
              </w:rPr>
              <w:t xml:space="preserve">, and </w:t>
            </w:r>
          </w:p>
          <w:p w:rsidR="00B6012C" w:rsidRPr="002A476F" w:rsidRDefault="00873238" w:rsidP="00B6012C">
            <w:pPr>
              <w:numPr>
                <w:ilvl w:val="0"/>
                <w:numId w:val="10"/>
              </w:numPr>
              <w:tabs>
                <w:tab w:val="clear" w:pos="1455"/>
                <w:tab w:val="num" w:pos="293"/>
              </w:tabs>
              <w:spacing w:after="120"/>
              <w:ind w:left="293" w:hanging="293"/>
              <w:rPr>
                <w:rFonts w:cs="Arial"/>
              </w:rPr>
            </w:pPr>
            <w:r>
              <w:rPr>
                <w:rFonts w:cs="Arial"/>
              </w:rPr>
              <w:t>DPIPWE’s</w:t>
            </w:r>
            <w:r w:rsidR="00B6012C" w:rsidRPr="002A476F">
              <w:rPr>
                <w:rFonts w:cs="Arial"/>
                <w:iCs/>
              </w:rPr>
              <w:t xml:space="preserve"> </w:t>
            </w:r>
            <w:r w:rsidR="00B6012C" w:rsidRPr="002A476F">
              <w:rPr>
                <w:rFonts w:cs="Arial"/>
              </w:rPr>
              <w:t xml:space="preserve">application for the </w:t>
            </w:r>
            <w:r>
              <w:rPr>
                <w:rFonts w:cs="Arial"/>
              </w:rPr>
              <w:t>Tasmanian Giant Crab Fishery</w:t>
            </w:r>
            <w:r w:rsidR="00B6012C" w:rsidRPr="002A476F">
              <w:rPr>
                <w:rFonts w:cs="Arial"/>
              </w:rPr>
              <w:t>.</w:t>
            </w:r>
          </w:p>
          <w:p w:rsidR="00B6012C" w:rsidRPr="002A476F" w:rsidRDefault="00B6012C" w:rsidP="000B4939">
            <w:pPr>
              <w:spacing w:after="120"/>
              <w:rPr>
                <w:rFonts w:cs="Arial"/>
                <w:iCs/>
              </w:rPr>
            </w:pPr>
            <w:r w:rsidRPr="000B4939">
              <w:rPr>
                <w:rFonts w:cs="Arial"/>
                <w:iCs/>
              </w:rPr>
              <w:t>No comments were received</w:t>
            </w:r>
            <w:r w:rsidRPr="002A476F">
              <w:rPr>
                <w:rFonts w:cs="Arial"/>
                <w:iCs/>
              </w:rPr>
              <w:t xml:space="preserve"> </w:t>
            </w:r>
          </w:p>
        </w:tc>
      </w:tr>
      <w:tr w:rsidR="00B6012C" w:rsidRPr="00F6308F" w:rsidTr="001955CD">
        <w:tc>
          <w:tcPr>
            <w:tcW w:w="7087" w:type="dxa"/>
          </w:tcPr>
          <w:p w:rsidR="00B6012C" w:rsidRPr="002A476F" w:rsidRDefault="00B6012C" w:rsidP="001955CD">
            <w:pPr>
              <w:spacing w:before="120" w:after="120"/>
              <w:ind w:left="360" w:hanging="360"/>
              <w:rPr>
                <w:rFonts w:cs="Arial"/>
              </w:rPr>
            </w:pPr>
            <w:r w:rsidRPr="002A476F">
              <w:rPr>
                <w:rFonts w:cs="Arial"/>
              </w:rPr>
              <w:t>(5)</w:t>
            </w:r>
            <w:r w:rsidRPr="002A476F">
              <w:rPr>
                <w:rFonts w:cs="Arial"/>
              </w:rPr>
              <w:tab/>
              <w:t>A copy of an instrument made under section 303DC is to be made available for inspection on the Internet.</w:t>
            </w:r>
          </w:p>
        </w:tc>
        <w:tc>
          <w:tcPr>
            <w:tcW w:w="7087" w:type="dxa"/>
          </w:tcPr>
          <w:p w:rsidR="00B6012C" w:rsidRPr="002A476F" w:rsidRDefault="00B6012C" w:rsidP="00873238">
            <w:pPr>
              <w:spacing w:before="120" w:after="120"/>
              <w:rPr>
                <w:rFonts w:cs="Arial"/>
              </w:rPr>
            </w:pPr>
            <w:r w:rsidRPr="002A476F">
              <w:rPr>
                <w:rFonts w:cs="Arial"/>
              </w:rPr>
              <w:t xml:space="preserve">The instrument for the </w:t>
            </w:r>
            <w:r w:rsidR="00873238">
              <w:rPr>
                <w:rFonts w:cs="Arial"/>
              </w:rPr>
              <w:t xml:space="preserve">Tasmanian Giant Crab </w:t>
            </w:r>
            <w:r w:rsidR="007F72DA">
              <w:rPr>
                <w:rFonts w:cs="Arial"/>
              </w:rPr>
              <w:t>Fishery</w:t>
            </w:r>
            <w:r w:rsidR="007F72DA" w:rsidRPr="002A476F">
              <w:rPr>
                <w:rFonts w:cs="Arial"/>
              </w:rPr>
              <w:t xml:space="preserve"> </w:t>
            </w:r>
            <w:r w:rsidR="007F72DA">
              <w:rPr>
                <w:rFonts w:cs="Arial"/>
              </w:rPr>
              <w:t>made</w:t>
            </w:r>
            <w:r w:rsidRPr="002A476F">
              <w:rPr>
                <w:rFonts w:cs="Arial"/>
              </w:rPr>
              <w:t xml:space="preserve"> under section 303DC will be gazetted and made available </w:t>
            </w:r>
            <w:r>
              <w:rPr>
                <w:rFonts w:cs="Arial"/>
              </w:rPr>
              <w:t xml:space="preserve">through </w:t>
            </w:r>
            <w:r w:rsidRPr="002A476F">
              <w:rPr>
                <w:rFonts w:cs="Arial"/>
              </w:rPr>
              <w:t xml:space="preserve">the </w:t>
            </w:r>
            <w:r>
              <w:rPr>
                <w:rFonts w:cs="Arial"/>
                <w:iCs/>
              </w:rPr>
              <w:t>D</w:t>
            </w:r>
            <w:r w:rsidRPr="002A476F">
              <w:rPr>
                <w:rFonts w:cs="Arial"/>
                <w:iCs/>
              </w:rPr>
              <w:t xml:space="preserve">epartment’s </w:t>
            </w:r>
            <w:r w:rsidRPr="002A476F">
              <w:rPr>
                <w:rFonts w:cs="Arial"/>
              </w:rPr>
              <w:t>website.</w:t>
            </w:r>
          </w:p>
        </w:tc>
      </w:tr>
    </w:tbl>
    <w:p w:rsidR="00E54003" w:rsidRDefault="00E54003" w:rsidP="001955CD">
      <w:pPr>
        <w:rPr>
          <w:rFonts w:cs="Arial"/>
          <w:highlight w:val="cyan"/>
        </w:rPr>
      </w:pPr>
    </w:p>
    <w:p w:rsidR="00B6012C" w:rsidRPr="00F6308F" w:rsidRDefault="00B6012C" w:rsidP="001955CD">
      <w:pPr>
        <w:spacing w:after="120"/>
        <w:rPr>
          <w:rFonts w:cs="Arial"/>
          <w:b/>
        </w:rPr>
      </w:pPr>
      <w:r w:rsidRPr="00F6308F">
        <w:rPr>
          <w:rFonts w:cs="Arial"/>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391 Minister must consider precautionary principle in making decisions</w:t>
            </w:r>
          </w:p>
        </w:tc>
        <w:tc>
          <w:tcPr>
            <w:tcW w:w="7087" w:type="dxa"/>
          </w:tcPr>
          <w:p w:rsidR="00B6012C" w:rsidRPr="00F6308F" w:rsidRDefault="00873238" w:rsidP="001955CD">
            <w:pPr>
              <w:rPr>
                <w:rFonts w:cs="Arial"/>
                <w:b/>
              </w:rPr>
            </w:pPr>
            <w:r>
              <w:rPr>
                <w:rFonts w:cs="Arial"/>
                <w:b/>
              </w:rPr>
              <w:t xml:space="preserve">The Department’s assessment </w:t>
            </w:r>
            <w:r w:rsidRPr="00F6308F">
              <w:rPr>
                <w:rFonts w:cs="Arial"/>
                <w:b/>
              </w:rPr>
              <w:t xml:space="preserve">of the </w:t>
            </w:r>
            <w:r>
              <w:rPr>
                <w:rFonts w:cs="Arial"/>
                <w:b/>
              </w:rPr>
              <w:t>Tasmanian Giant Crab Fishery</w:t>
            </w:r>
          </w:p>
        </w:tc>
      </w:tr>
      <w:tr w:rsidR="00B6012C" w:rsidRPr="002A476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B6012C" w:rsidRPr="002A476F" w:rsidRDefault="00B6012C" w:rsidP="001955CD">
            <w:pPr>
              <w:pStyle w:val="BodyText2"/>
              <w:spacing w:after="120" w:line="276" w:lineRule="auto"/>
              <w:rPr>
                <w:rFonts w:ascii="Arial" w:hAnsi="Arial" w:cs="Arial"/>
                <w:iCs/>
                <w:sz w:val="22"/>
                <w:szCs w:val="22"/>
              </w:rPr>
            </w:pPr>
            <w:r w:rsidRPr="002A476F">
              <w:rPr>
                <w:rFonts w:ascii="Arial" w:hAnsi="Arial" w:cs="Arial"/>
                <w:i w:val="0"/>
                <w:sz w:val="22"/>
                <w:szCs w:val="22"/>
                <w:lang w:val="en-AU"/>
              </w:rPr>
              <w:t>Having regard to the precautionary manag</w:t>
            </w:r>
            <w:r w:rsidR="00E0046F">
              <w:rPr>
                <w:rFonts w:ascii="Arial" w:hAnsi="Arial" w:cs="Arial"/>
                <w:i w:val="0"/>
                <w:sz w:val="22"/>
                <w:szCs w:val="22"/>
                <w:lang w:val="en-AU"/>
              </w:rPr>
              <w:t>ement measures in place in the fishery</w:t>
            </w:r>
            <w:r w:rsidRPr="002A476F">
              <w:rPr>
                <w:rFonts w:ascii="Arial" w:hAnsi="Arial" w:cs="Arial"/>
                <w:i w:val="0"/>
                <w:sz w:val="22"/>
                <w:szCs w:val="22"/>
                <w:lang w:val="en-AU"/>
              </w:rPr>
              <w:t>, summarised in Table 1, the</w:t>
            </w:r>
            <w:r>
              <w:rPr>
                <w:rFonts w:ascii="Arial" w:hAnsi="Arial" w:cs="Arial"/>
                <w:i w:val="0"/>
                <w:sz w:val="22"/>
                <w:szCs w:val="22"/>
                <w:lang w:val="en-AU"/>
              </w:rPr>
              <w:t xml:space="preserve"> D</w:t>
            </w:r>
            <w:r w:rsidRPr="002A476F">
              <w:rPr>
                <w:rFonts w:ascii="Arial" w:hAnsi="Arial" w:cs="Arial"/>
                <w:i w:val="0"/>
                <w:sz w:val="22"/>
                <w:szCs w:val="22"/>
                <w:lang w:val="en-AU"/>
              </w:rPr>
              <w:t>epartment considers that the precautionary principle has been accounted for in the preparation of advice in relation to a decision under section 303DC and section 303FN.</w:t>
            </w:r>
          </w:p>
        </w:tc>
      </w:tr>
      <w:tr w:rsidR="00B6012C" w:rsidRPr="002A476F" w:rsidTr="001955CD">
        <w:tc>
          <w:tcPr>
            <w:tcW w:w="7087" w:type="dxa"/>
            <w:tcMar>
              <w:top w:w="57" w:type="dxa"/>
              <w:bottom w:w="57" w:type="dxa"/>
            </w:tcMar>
          </w:tcPr>
          <w:p w:rsidR="00B6012C" w:rsidRPr="002A476F" w:rsidRDefault="00B6012C" w:rsidP="001955CD">
            <w:pPr>
              <w:spacing w:after="120"/>
              <w:ind w:left="357" w:hanging="357"/>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B6012C" w:rsidRPr="002A476F" w:rsidRDefault="00B6012C" w:rsidP="001955CD">
            <w:pPr>
              <w:rPr>
                <w:rFonts w:cs="Arial"/>
              </w:rPr>
            </w:pPr>
          </w:p>
        </w:tc>
      </w:tr>
    </w:tbl>
    <w:p w:rsidR="00B6012C" w:rsidRDefault="00B6012C" w:rsidP="00D70969">
      <w:pPr>
        <w:tabs>
          <w:tab w:val="left" w:pos="360"/>
        </w:tabs>
        <w:rPr>
          <w:rFonts w:cs="Arial"/>
        </w:rPr>
      </w:pPr>
    </w:p>
    <w:p w:rsidR="007E5074" w:rsidRPr="007E5074" w:rsidRDefault="007E5074" w:rsidP="00D70969">
      <w:pPr>
        <w:tabs>
          <w:tab w:val="left" w:pos="360"/>
        </w:tabs>
        <w:rPr>
          <w:rFonts w:cs="Arial"/>
          <w:b/>
        </w:rPr>
      </w:pPr>
      <w:r w:rsidRPr="007E5074">
        <w:rPr>
          <w:rFonts w:cs="Arial"/>
          <w:b/>
        </w:rPr>
        <w:t>Part 12</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228"/>
      </w:tblGrid>
      <w:tr w:rsidR="007E5074" w:rsidRPr="007E5074" w:rsidTr="007E5074">
        <w:trPr>
          <w:jc w:val="center"/>
        </w:trPr>
        <w:tc>
          <w:tcPr>
            <w:tcW w:w="7004" w:type="dxa"/>
          </w:tcPr>
          <w:p w:rsidR="007E5074" w:rsidRPr="007E5074" w:rsidRDefault="007E5074" w:rsidP="007E5074">
            <w:pPr>
              <w:tabs>
                <w:tab w:val="left" w:pos="360"/>
              </w:tabs>
              <w:rPr>
                <w:rFonts w:cs="Arial"/>
              </w:rPr>
            </w:pPr>
            <w:r w:rsidRPr="007E5074">
              <w:rPr>
                <w:rFonts w:cs="Arial"/>
                <w:b/>
              </w:rPr>
              <w:t>Section 176 Bioregional Plans</w:t>
            </w:r>
          </w:p>
        </w:tc>
        <w:tc>
          <w:tcPr>
            <w:tcW w:w="7228" w:type="dxa"/>
          </w:tcPr>
          <w:p w:rsidR="007E5074" w:rsidRPr="007E5074" w:rsidRDefault="007E5074" w:rsidP="007E5074">
            <w:pPr>
              <w:tabs>
                <w:tab w:val="left" w:pos="360"/>
              </w:tabs>
              <w:rPr>
                <w:rFonts w:cs="Arial"/>
              </w:rPr>
            </w:pPr>
            <w:r w:rsidRPr="007E5074">
              <w:rPr>
                <w:rFonts w:cs="Arial"/>
                <w:b/>
              </w:rPr>
              <w:t>The Department’s assessment of the Tasmanian Giant Crab Fishery</w:t>
            </w:r>
          </w:p>
        </w:tc>
      </w:tr>
      <w:tr w:rsidR="007E5074" w:rsidRPr="007E5074" w:rsidTr="007E5074">
        <w:trPr>
          <w:jc w:val="center"/>
        </w:trPr>
        <w:tc>
          <w:tcPr>
            <w:tcW w:w="7004" w:type="dxa"/>
          </w:tcPr>
          <w:p w:rsidR="007E5074" w:rsidRPr="007E5074" w:rsidRDefault="007E5074" w:rsidP="007E5074">
            <w:pPr>
              <w:tabs>
                <w:tab w:val="left" w:pos="360"/>
              </w:tabs>
              <w:rPr>
                <w:rFonts w:cs="Arial"/>
              </w:rPr>
            </w:pPr>
            <w:r w:rsidRPr="007E5074">
              <w:rPr>
                <w:rFonts w:cs="Arial"/>
              </w:rPr>
              <w:t>(5)    Subject to this Act, the Minister must have regard to a bioregional plan in making any decision under this Act to which the plan is relevant.</w:t>
            </w:r>
          </w:p>
        </w:tc>
        <w:tc>
          <w:tcPr>
            <w:tcW w:w="7228" w:type="dxa"/>
          </w:tcPr>
          <w:p w:rsidR="007E5074" w:rsidRPr="007E5074" w:rsidRDefault="00074766" w:rsidP="007E5074">
            <w:pPr>
              <w:tabs>
                <w:tab w:val="left" w:pos="360"/>
              </w:tabs>
              <w:rPr>
                <w:rFonts w:cs="Arial"/>
                <w:bCs/>
              </w:rPr>
            </w:pPr>
            <w:r>
              <w:rPr>
                <w:rFonts w:cs="Arial"/>
                <w:bCs/>
              </w:rPr>
              <w:t>There is</w:t>
            </w:r>
            <w:r w:rsidR="00382E61">
              <w:rPr>
                <w:rFonts w:cs="Arial"/>
                <w:bCs/>
              </w:rPr>
              <w:t xml:space="preserve"> currently no bioregional plan</w:t>
            </w:r>
            <w:r w:rsidR="007E5074">
              <w:rPr>
                <w:rFonts w:cs="Arial"/>
                <w:bCs/>
              </w:rPr>
              <w:t xml:space="preserve"> in plac</w:t>
            </w:r>
            <w:r w:rsidR="00382E61">
              <w:rPr>
                <w:rFonts w:cs="Arial"/>
                <w:bCs/>
              </w:rPr>
              <w:t>e for the South East Marine Region</w:t>
            </w:r>
            <w:r w:rsidR="007E5074">
              <w:rPr>
                <w:rFonts w:cs="Arial"/>
                <w:bCs/>
              </w:rPr>
              <w:t xml:space="preserve">.  </w:t>
            </w:r>
          </w:p>
        </w:tc>
      </w:tr>
    </w:tbl>
    <w:p w:rsidR="007E5074" w:rsidRPr="00F6308F" w:rsidRDefault="007E5074" w:rsidP="00D70969">
      <w:pPr>
        <w:tabs>
          <w:tab w:val="left" w:pos="360"/>
        </w:tabs>
        <w:rPr>
          <w:rFonts w:cs="Arial"/>
        </w:rPr>
        <w:sectPr w:rsidR="007E5074" w:rsidRPr="00F6308F">
          <w:pgSz w:w="16838" w:h="11906" w:orient="landscape"/>
          <w:pgMar w:top="899" w:right="1361" w:bottom="899" w:left="1361" w:header="709" w:footer="528" w:gutter="0"/>
          <w:cols w:space="708"/>
          <w:docGrid w:linePitch="360"/>
        </w:sectPr>
      </w:pPr>
    </w:p>
    <w:p w:rsidR="00A27AB5" w:rsidRDefault="00A27AB5" w:rsidP="001955CD">
      <w:pPr>
        <w:outlineLvl w:val="0"/>
        <w:rPr>
          <w:rFonts w:cs="Arial"/>
        </w:rPr>
      </w:pPr>
    </w:p>
    <w:p w:rsidR="00A27AB5" w:rsidRPr="00D70969" w:rsidRDefault="00A27AB5" w:rsidP="00A27AB5">
      <w:pPr>
        <w:tabs>
          <w:tab w:val="left" w:pos="360"/>
        </w:tabs>
        <w:jc w:val="center"/>
        <w:rPr>
          <w:rFonts w:cs="Arial"/>
          <w:b/>
          <w:bCs/>
          <w:noProof/>
        </w:rPr>
      </w:pPr>
      <w:r w:rsidRPr="00822DA9">
        <w:rPr>
          <w:rFonts w:cs="Arial"/>
          <w:b/>
          <w:bCs/>
          <w:noProof/>
        </w:rPr>
        <w:t xml:space="preserve">The Department of </w:t>
      </w:r>
      <w:r>
        <w:rPr>
          <w:rFonts w:cs="Arial"/>
          <w:b/>
          <w:bCs/>
          <w:noProof/>
        </w:rPr>
        <w:t>the Environment’s</w:t>
      </w:r>
      <w:r w:rsidRPr="00822DA9">
        <w:rPr>
          <w:rFonts w:cs="Arial"/>
          <w:b/>
          <w:bCs/>
          <w:noProof/>
        </w:rPr>
        <w:t xml:space="preserve"> </w:t>
      </w:r>
      <w:r w:rsidR="00D70969">
        <w:rPr>
          <w:rFonts w:cs="Arial"/>
          <w:b/>
          <w:bCs/>
          <w:noProof/>
        </w:rPr>
        <w:t xml:space="preserve">final </w:t>
      </w:r>
      <w:r w:rsidRPr="00822DA9">
        <w:rPr>
          <w:rFonts w:cs="Arial"/>
          <w:b/>
          <w:bCs/>
          <w:noProof/>
        </w:rPr>
        <w:t xml:space="preserve">recommendations to </w:t>
      </w:r>
      <w:r w:rsidR="00D70969">
        <w:rPr>
          <w:rFonts w:cs="Arial"/>
          <w:b/>
          <w:bCs/>
          <w:noProof/>
        </w:rPr>
        <w:t>the Department of Primary Industries, Parks, Water and the Environment (DPIPWE)</w:t>
      </w:r>
      <w:r w:rsidRPr="00822DA9">
        <w:rPr>
          <w:rFonts w:cs="Arial"/>
          <w:b/>
          <w:bCs/>
          <w:noProof/>
        </w:rPr>
        <w:t xml:space="preserve"> for the </w:t>
      </w:r>
      <w:r w:rsidR="00D70969">
        <w:rPr>
          <w:rFonts w:cs="Arial"/>
          <w:b/>
          <w:bCs/>
          <w:noProof/>
        </w:rPr>
        <w:t xml:space="preserve">Tasmanian </w:t>
      </w:r>
      <w:r w:rsidR="00D70969" w:rsidRPr="00D70969">
        <w:rPr>
          <w:rFonts w:cs="Arial"/>
          <w:b/>
          <w:bCs/>
          <w:noProof/>
        </w:rPr>
        <w:t>Giant Crab Fishery</w:t>
      </w:r>
    </w:p>
    <w:p w:rsidR="00A27AB5" w:rsidRDefault="00A27AB5" w:rsidP="00A27AB5">
      <w:pPr>
        <w:tabs>
          <w:tab w:val="left" w:pos="360"/>
        </w:tabs>
        <w:rPr>
          <w:rFonts w:cs="Arial"/>
          <w:noProof/>
        </w:rPr>
      </w:pPr>
      <w:r w:rsidRPr="00D70969">
        <w:rPr>
          <w:rFonts w:cs="Arial"/>
          <w:noProof/>
        </w:rPr>
        <w:t xml:space="preserve">The material submitted by </w:t>
      </w:r>
      <w:r w:rsidR="00BD685D" w:rsidRPr="00D70969">
        <w:rPr>
          <w:rFonts w:cs="Arial"/>
          <w:noProof/>
        </w:rPr>
        <w:t>DPIPWE</w:t>
      </w:r>
      <w:r w:rsidRPr="00D70969">
        <w:rPr>
          <w:rFonts w:cs="Arial"/>
          <w:noProof/>
        </w:rPr>
        <w:t xml:space="preserve"> i</w:t>
      </w:r>
      <w:r w:rsidRPr="00822DA9">
        <w:rPr>
          <w:rFonts w:cs="Arial"/>
          <w:noProof/>
        </w:rPr>
        <w:t xml:space="preserve">ndicates that the </w:t>
      </w:r>
      <w:r w:rsidR="00BD685D">
        <w:rPr>
          <w:rFonts w:cs="Arial"/>
          <w:noProof/>
        </w:rPr>
        <w:t>Tasmanian Giant Crab Fishery</w:t>
      </w:r>
      <w:r w:rsidRPr="00822DA9">
        <w:rPr>
          <w:rFonts w:cs="Arial"/>
          <w:noProof/>
        </w:rPr>
        <w:t xml:space="preserve"> operates in accordance with the Australian Government </w:t>
      </w:r>
      <w:r>
        <w:rPr>
          <w:rFonts w:cs="Arial"/>
          <w:noProof/>
        </w:rPr>
        <w:t>‘</w:t>
      </w:r>
      <w:r w:rsidRPr="006E6556">
        <w:rPr>
          <w:rFonts w:cs="Arial"/>
          <w:i/>
          <w:noProof/>
        </w:rPr>
        <w:t>Guidelines for the Ecologically Sustainable Management of Fisheries – 2nd Edition</w:t>
      </w:r>
      <w:r>
        <w:rPr>
          <w:rFonts w:cs="Arial"/>
          <w:noProof/>
        </w:rPr>
        <w:t>’</w:t>
      </w:r>
      <w:r w:rsidRPr="00822DA9">
        <w:rPr>
          <w:rFonts w:cs="Arial"/>
          <w:noProof/>
        </w:rPr>
        <w:t>.</w:t>
      </w:r>
    </w:p>
    <w:p w:rsidR="00BD685D" w:rsidRDefault="00BD685D" w:rsidP="00BD685D">
      <w:pPr>
        <w:rPr>
          <w:rFonts w:cs="Arial"/>
        </w:rPr>
      </w:pPr>
      <w:r w:rsidRPr="009E1C65">
        <w:rPr>
          <w:rFonts w:cs="Arial"/>
          <w:b/>
        </w:rPr>
        <w:t>Stock Status</w:t>
      </w:r>
    </w:p>
    <w:p w:rsidR="00BD685D" w:rsidRDefault="00BD685D" w:rsidP="00BD685D">
      <w:pPr>
        <w:adjustRightInd w:val="0"/>
        <w:spacing w:after="120"/>
        <w:rPr>
          <w:rFonts w:cs="Arial"/>
          <w:noProof/>
        </w:rPr>
      </w:pPr>
      <w:r>
        <w:rPr>
          <w:rFonts w:cs="Arial"/>
          <w:noProof/>
        </w:rPr>
        <w:t xml:space="preserve">The Department of the Environment (the Department) </w:t>
      </w:r>
      <w:r w:rsidR="00DE7819">
        <w:rPr>
          <w:rFonts w:cs="Arial"/>
          <w:noProof/>
        </w:rPr>
        <w:t>notes that while catch rates of</w:t>
      </w:r>
      <w:r w:rsidR="00D70969">
        <w:rPr>
          <w:rFonts w:cs="Arial"/>
          <w:noProof/>
        </w:rPr>
        <w:t xml:space="preserve"> </w:t>
      </w:r>
      <w:r w:rsidR="001D5DDB">
        <w:rPr>
          <w:rFonts w:cs="Arial"/>
          <w:noProof/>
        </w:rPr>
        <w:t>giant crabs</w:t>
      </w:r>
      <w:r>
        <w:rPr>
          <w:rFonts w:cs="Arial"/>
          <w:noProof/>
        </w:rPr>
        <w:t xml:space="preserve"> </w:t>
      </w:r>
      <w:r w:rsidR="00DE7819">
        <w:rPr>
          <w:rFonts w:cs="Arial"/>
          <w:noProof/>
        </w:rPr>
        <w:t>have declined in recent years and the stock status is currently unclear</w:t>
      </w:r>
      <w:r w:rsidR="006217F8">
        <w:rPr>
          <w:rFonts w:cs="Arial"/>
          <w:noProof/>
        </w:rPr>
        <w:t>,</w:t>
      </w:r>
      <w:r>
        <w:rPr>
          <w:rFonts w:cs="Arial"/>
          <w:noProof/>
        </w:rPr>
        <w:t xml:space="preserve"> the management regime in place in the Tasmanian Giant Crab Fishery </w:t>
      </w:r>
      <w:r w:rsidR="001D5DDB">
        <w:rPr>
          <w:rFonts w:cs="Arial"/>
          <w:noProof/>
        </w:rPr>
        <w:t xml:space="preserve">is actively working to increase biomass by </w:t>
      </w:r>
      <w:r>
        <w:rPr>
          <w:rFonts w:cs="Arial"/>
          <w:noProof/>
        </w:rPr>
        <w:t>aim</w:t>
      </w:r>
      <w:r w:rsidR="001D5DDB">
        <w:rPr>
          <w:rFonts w:cs="Arial"/>
          <w:noProof/>
        </w:rPr>
        <w:t>ing</w:t>
      </w:r>
      <w:r>
        <w:rPr>
          <w:rFonts w:cs="Arial"/>
          <w:noProof/>
        </w:rPr>
        <w:t xml:space="preserve"> to ensure that fishing is conducted in a manner that does not lead to overfishing.</w:t>
      </w:r>
    </w:p>
    <w:p w:rsidR="007B7D5D" w:rsidRDefault="004C07A3" w:rsidP="00BD685D">
      <w:pPr>
        <w:adjustRightInd w:val="0"/>
        <w:spacing w:after="120"/>
        <w:rPr>
          <w:rFonts w:cs="Arial"/>
          <w:noProof/>
        </w:rPr>
      </w:pPr>
      <w:r>
        <w:rPr>
          <w:rFonts w:cs="Arial"/>
          <w:noProof/>
        </w:rPr>
        <w:t>Since the previous EPBC Act assessment of this fishery in 2009, DPIPWE has imple</w:t>
      </w:r>
      <w:r w:rsidR="007B7D5D">
        <w:rPr>
          <w:rFonts w:cs="Arial"/>
          <w:noProof/>
        </w:rPr>
        <w:t>mented a new manageme</w:t>
      </w:r>
      <w:r w:rsidR="007B7D5D" w:rsidRPr="005B5601">
        <w:rPr>
          <w:rFonts w:cs="Arial"/>
          <w:noProof/>
        </w:rPr>
        <w:t xml:space="preserve">nt plan </w:t>
      </w:r>
      <w:r w:rsidRPr="005B5601">
        <w:rPr>
          <w:rFonts w:cs="Arial"/>
          <w:noProof/>
        </w:rPr>
        <w:t>and has a draft</w:t>
      </w:r>
      <w:r w:rsidR="006E6556">
        <w:rPr>
          <w:rFonts w:cs="Arial"/>
          <w:noProof/>
        </w:rPr>
        <w:t xml:space="preserve"> </w:t>
      </w:r>
      <w:r w:rsidR="005B5601" w:rsidRPr="005B5601">
        <w:rPr>
          <w:rFonts w:cs="Arial"/>
          <w:noProof/>
        </w:rPr>
        <w:t>h</w:t>
      </w:r>
      <w:r w:rsidR="007B7D5D" w:rsidRPr="005B5601">
        <w:rPr>
          <w:rFonts w:cs="Arial"/>
          <w:noProof/>
        </w:rPr>
        <w:t xml:space="preserve">arvest strategy </w:t>
      </w:r>
      <w:r w:rsidR="006E6556">
        <w:rPr>
          <w:rFonts w:cs="Arial"/>
          <w:noProof/>
        </w:rPr>
        <w:t>currently</w:t>
      </w:r>
      <w:r w:rsidR="007B7D5D" w:rsidRPr="005B5601">
        <w:rPr>
          <w:rFonts w:cs="Arial"/>
          <w:noProof/>
        </w:rPr>
        <w:t xml:space="preserve"> being tested and</w:t>
      </w:r>
      <w:r w:rsidR="006E6556">
        <w:rPr>
          <w:rFonts w:cs="Arial"/>
          <w:noProof/>
        </w:rPr>
        <w:t xml:space="preserve"> validated by the Institute for</w:t>
      </w:r>
      <w:r w:rsidR="007B7D5D" w:rsidRPr="005B5601">
        <w:rPr>
          <w:rFonts w:cs="Arial"/>
          <w:noProof/>
        </w:rPr>
        <w:t xml:space="preserve"> Marine and Antarctic Studies. Although catch rates have declined i</w:t>
      </w:r>
      <w:r w:rsidR="006E6556">
        <w:rPr>
          <w:rFonts w:cs="Arial"/>
          <w:noProof/>
        </w:rPr>
        <w:t xml:space="preserve">n the fishery, </w:t>
      </w:r>
      <w:r w:rsidR="009860B6" w:rsidRPr="005B5601">
        <w:rPr>
          <w:rFonts w:cs="Arial"/>
          <w:noProof/>
        </w:rPr>
        <w:t xml:space="preserve">the </w:t>
      </w:r>
      <w:r w:rsidR="009860B6" w:rsidRPr="005B5601">
        <w:rPr>
          <w:rFonts w:cs="Arial"/>
          <w:i/>
          <w:noProof/>
        </w:rPr>
        <w:t>Status of Key Australian Fish Stocks Reports 2012</w:t>
      </w:r>
      <w:r w:rsidR="009860B6">
        <w:rPr>
          <w:rFonts w:cs="Arial"/>
          <w:noProof/>
        </w:rPr>
        <w:t xml:space="preserve"> determ</w:t>
      </w:r>
      <w:r w:rsidR="00D70969">
        <w:rPr>
          <w:rFonts w:cs="Arial"/>
          <w:noProof/>
        </w:rPr>
        <w:t xml:space="preserve">ined that the stock status for </w:t>
      </w:r>
      <w:r w:rsidR="001D5DDB">
        <w:rPr>
          <w:rFonts w:cs="Arial"/>
          <w:noProof/>
        </w:rPr>
        <w:t>g</w:t>
      </w:r>
      <w:r w:rsidR="00D70969">
        <w:rPr>
          <w:rFonts w:cs="Arial"/>
          <w:noProof/>
        </w:rPr>
        <w:t xml:space="preserve">iant </w:t>
      </w:r>
      <w:r w:rsidR="001D5DDB">
        <w:rPr>
          <w:rFonts w:cs="Arial"/>
          <w:noProof/>
        </w:rPr>
        <w:t>c</w:t>
      </w:r>
      <w:r w:rsidR="009860B6">
        <w:rPr>
          <w:rFonts w:cs="Arial"/>
          <w:noProof/>
        </w:rPr>
        <w:t xml:space="preserve">rabs in southern Australia </w:t>
      </w:r>
      <w:r w:rsidR="001D5DDB">
        <w:rPr>
          <w:rFonts w:cs="Arial"/>
          <w:noProof/>
        </w:rPr>
        <w:t xml:space="preserve">was </w:t>
      </w:r>
      <w:r w:rsidR="009860B6">
        <w:rPr>
          <w:rFonts w:cs="Arial"/>
          <w:noProof/>
        </w:rPr>
        <w:t>sustainable</w:t>
      </w:r>
      <w:r w:rsidR="001D5DDB">
        <w:rPr>
          <w:rFonts w:cs="Arial"/>
          <w:noProof/>
        </w:rPr>
        <w:t xml:space="preserve"> in 2012, with a revised assessment anticipated in late 2014</w:t>
      </w:r>
      <w:r w:rsidR="00D70969">
        <w:rPr>
          <w:rFonts w:cs="Arial"/>
          <w:noProof/>
        </w:rPr>
        <w:t>.</w:t>
      </w:r>
    </w:p>
    <w:p w:rsidR="004C07A3" w:rsidRDefault="007B7D5D" w:rsidP="00BD685D">
      <w:pPr>
        <w:adjustRightInd w:val="0"/>
        <w:spacing w:after="120"/>
        <w:rPr>
          <w:rFonts w:cs="Arial"/>
          <w:noProof/>
        </w:rPr>
      </w:pPr>
      <w:r w:rsidRPr="007B7D5D">
        <w:rPr>
          <w:rFonts w:cs="Arial"/>
        </w:rPr>
        <w:t>Management</w:t>
      </w:r>
      <w:r w:rsidRPr="009E1C65">
        <w:rPr>
          <w:rFonts w:cs="Arial"/>
        </w:rPr>
        <w:t xml:space="preserve"> of the </w:t>
      </w:r>
      <w:r w:rsidRPr="006E6556">
        <w:rPr>
          <w:rFonts w:cs="Arial"/>
        </w:rPr>
        <w:t>fishery has a history of reacting appropriately to threats to the sustainability of target stocks</w:t>
      </w:r>
      <w:r w:rsidR="009860B6" w:rsidRPr="006E6556">
        <w:rPr>
          <w:rFonts w:cs="Arial"/>
        </w:rPr>
        <w:t xml:space="preserve">, including </w:t>
      </w:r>
      <w:r w:rsidR="006217F8">
        <w:rPr>
          <w:rFonts w:cs="Arial"/>
        </w:rPr>
        <w:t>reducing</w:t>
      </w:r>
      <w:r w:rsidR="009860B6" w:rsidRPr="006E6556">
        <w:rPr>
          <w:rFonts w:cs="Arial"/>
        </w:rPr>
        <w:t xml:space="preserve"> catch levels </w:t>
      </w:r>
      <w:r w:rsidR="001D5DDB">
        <w:rPr>
          <w:rFonts w:cs="Arial"/>
        </w:rPr>
        <w:t>to support the rebuilding of biomass</w:t>
      </w:r>
      <w:r w:rsidR="00D70969" w:rsidRPr="006E6556">
        <w:rPr>
          <w:rFonts w:cs="Arial"/>
        </w:rPr>
        <w:t>,</w:t>
      </w:r>
      <w:r>
        <w:rPr>
          <w:rFonts w:cs="Arial"/>
        </w:rPr>
        <w:t xml:space="preserve"> and the D</w:t>
      </w:r>
      <w:r w:rsidRPr="009E1C65">
        <w:rPr>
          <w:rFonts w:cs="Arial"/>
        </w:rPr>
        <w:t xml:space="preserve">epartment is confident that the </w:t>
      </w:r>
      <w:r>
        <w:rPr>
          <w:rFonts w:cs="Arial"/>
          <w:noProof/>
        </w:rPr>
        <w:t>DPIPWE</w:t>
      </w:r>
      <w:r w:rsidRPr="009E1C65">
        <w:rPr>
          <w:rFonts w:cs="Arial"/>
        </w:rPr>
        <w:t xml:space="preserve"> will continue to provide this high quality management</w:t>
      </w:r>
      <w:r w:rsidR="00042EFF">
        <w:rPr>
          <w:rFonts w:cs="Arial"/>
        </w:rPr>
        <w:t xml:space="preserve"> through the </w:t>
      </w:r>
      <w:r w:rsidR="006217F8">
        <w:rPr>
          <w:rFonts w:cs="Arial"/>
        </w:rPr>
        <w:t>anticipated</w:t>
      </w:r>
      <w:r w:rsidR="00042EFF">
        <w:rPr>
          <w:rFonts w:cs="Arial"/>
        </w:rPr>
        <w:t xml:space="preserve"> harvest strategy for the fishery</w:t>
      </w:r>
      <w:r w:rsidRPr="009E1C65">
        <w:rPr>
          <w:rFonts w:cs="Arial"/>
        </w:rPr>
        <w:t>.</w:t>
      </w:r>
    </w:p>
    <w:p w:rsidR="00BD685D" w:rsidRPr="00BB7BEF" w:rsidRDefault="00BD685D" w:rsidP="00BD685D">
      <w:pPr>
        <w:spacing w:after="120"/>
        <w:rPr>
          <w:rFonts w:cs="Arial"/>
          <w:noProof/>
        </w:rPr>
      </w:pPr>
      <w:r>
        <w:rPr>
          <w:rFonts w:cs="Arial"/>
          <w:noProof/>
        </w:rPr>
        <w:t>M</w:t>
      </w:r>
      <w:r w:rsidRPr="00BB7BEF">
        <w:rPr>
          <w:rFonts w:cs="Arial"/>
          <w:noProof/>
        </w:rPr>
        <w:t>anagement measures</w:t>
      </w:r>
      <w:r w:rsidR="00D70969">
        <w:rPr>
          <w:rFonts w:cs="Arial"/>
          <w:noProof/>
        </w:rPr>
        <w:t xml:space="preserve"> currently</w:t>
      </w:r>
      <w:r>
        <w:rPr>
          <w:rFonts w:cs="Arial"/>
          <w:noProof/>
        </w:rPr>
        <w:t xml:space="preserve"> in place in the fishery</w:t>
      </w:r>
      <w:r w:rsidRPr="00BB7BEF">
        <w:rPr>
          <w:rFonts w:cs="Arial"/>
          <w:noProof/>
        </w:rPr>
        <w:t xml:space="preserve"> includ</w:t>
      </w:r>
      <w:r>
        <w:rPr>
          <w:rFonts w:cs="Arial"/>
          <w:noProof/>
        </w:rPr>
        <w:t>e</w:t>
      </w:r>
      <w:r w:rsidRPr="00BB7BEF">
        <w:rPr>
          <w:rFonts w:cs="Arial"/>
          <w:noProof/>
        </w:rPr>
        <w:t>:</w:t>
      </w:r>
    </w:p>
    <w:p w:rsidR="00BD685D" w:rsidRPr="00BB7BEF" w:rsidRDefault="00BD685D" w:rsidP="00BD685D">
      <w:pPr>
        <w:numPr>
          <w:ilvl w:val="0"/>
          <w:numId w:val="37"/>
        </w:numPr>
        <w:spacing w:after="120"/>
        <w:rPr>
          <w:rFonts w:cs="Arial"/>
          <w:noProof/>
        </w:rPr>
      </w:pPr>
      <w:r w:rsidRPr="00BB7BEF">
        <w:rPr>
          <w:rFonts w:cs="Arial"/>
          <w:noProof/>
        </w:rPr>
        <w:t>limited entry</w:t>
      </w:r>
    </w:p>
    <w:p w:rsidR="00BD685D" w:rsidRDefault="00BD685D" w:rsidP="00BD685D">
      <w:pPr>
        <w:numPr>
          <w:ilvl w:val="0"/>
          <w:numId w:val="37"/>
        </w:numPr>
        <w:spacing w:after="120"/>
        <w:rPr>
          <w:rFonts w:cs="Arial"/>
          <w:noProof/>
        </w:rPr>
      </w:pPr>
      <w:r>
        <w:rPr>
          <w:rFonts w:cs="Arial"/>
          <w:noProof/>
        </w:rPr>
        <w:t>pot</w:t>
      </w:r>
      <w:r w:rsidRPr="00BB7BEF">
        <w:rPr>
          <w:rFonts w:cs="Arial"/>
          <w:noProof/>
        </w:rPr>
        <w:t xml:space="preserve"> restrictions</w:t>
      </w:r>
    </w:p>
    <w:p w:rsidR="001D5DDB" w:rsidRDefault="001D5DDB" w:rsidP="00BD685D">
      <w:pPr>
        <w:numPr>
          <w:ilvl w:val="0"/>
          <w:numId w:val="37"/>
        </w:numPr>
        <w:spacing w:after="120"/>
        <w:rPr>
          <w:rFonts w:cs="Arial"/>
          <w:noProof/>
        </w:rPr>
      </w:pPr>
      <w:r>
        <w:rPr>
          <w:rFonts w:cs="Arial"/>
          <w:noProof/>
        </w:rPr>
        <w:t>quota management</w:t>
      </w:r>
      <w:r w:rsidR="00C8629C">
        <w:rPr>
          <w:rFonts w:cs="Arial"/>
          <w:noProof/>
        </w:rPr>
        <w:t xml:space="preserve"> within annually determined total allowable catches</w:t>
      </w:r>
    </w:p>
    <w:p w:rsidR="00BD685D" w:rsidRPr="00BB7BEF" w:rsidRDefault="00BD685D" w:rsidP="00BD685D">
      <w:pPr>
        <w:numPr>
          <w:ilvl w:val="0"/>
          <w:numId w:val="37"/>
        </w:numPr>
        <w:spacing w:after="120"/>
        <w:rPr>
          <w:rFonts w:cs="Arial"/>
          <w:noProof/>
        </w:rPr>
      </w:pPr>
      <w:r>
        <w:rPr>
          <w:rFonts w:cs="Arial"/>
          <w:noProof/>
        </w:rPr>
        <w:t>seasonal spawning closures, and</w:t>
      </w:r>
    </w:p>
    <w:p w:rsidR="009860B6" w:rsidRPr="00D70969" w:rsidRDefault="00BD685D" w:rsidP="00BD685D">
      <w:pPr>
        <w:numPr>
          <w:ilvl w:val="0"/>
          <w:numId w:val="37"/>
        </w:numPr>
        <w:spacing w:after="120"/>
        <w:rPr>
          <w:rFonts w:cs="Arial"/>
          <w:noProof/>
        </w:rPr>
      </w:pPr>
      <w:r>
        <w:rPr>
          <w:rFonts w:cs="Arial"/>
          <w:noProof/>
        </w:rPr>
        <w:t>minimum size limits</w:t>
      </w:r>
      <w:r w:rsidR="001D5DDB">
        <w:rPr>
          <w:rFonts w:cs="Arial"/>
          <w:noProof/>
        </w:rPr>
        <w:t>.</w:t>
      </w:r>
    </w:p>
    <w:p w:rsidR="00BD685D" w:rsidRPr="004D1B28" w:rsidRDefault="00BD685D" w:rsidP="00BD685D">
      <w:pPr>
        <w:rPr>
          <w:rFonts w:cs="Arial"/>
          <w:b/>
        </w:rPr>
      </w:pPr>
      <w:r w:rsidRPr="004D1B28">
        <w:rPr>
          <w:rFonts w:cs="Arial"/>
          <w:b/>
        </w:rPr>
        <w:t>Ecosystem Impacts</w:t>
      </w:r>
    </w:p>
    <w:p w:rsidR="00BD685D" w:rsidRPr="00822DA9" w:rsidRDefault="00BD685D" w:rsidP="00BD685D">
      <w:pPr>
        <w:pStyle w:val="CommentText"/>
        <w:spacing w:after="120" w:line="276" w:lineRule="auto"/>
        <w:rPr>
          <w:rFonts w:ascii="Arial" w:hAnsi="Arial" w:cs="Arial"/>
          <w:noProof/>
          <w:sz w:val="22"/>
          <w:szCs w:val="22"/>
        </w:rPr>
      </w:pPr>
      <w:r>
        <w:rPr>
          <w:rFonts w:ascii="Arial" w:hAnsi="Arial" w:cs="Arial"/>
          <w:noProof/>
          <w:sz w:val="22"/>
          <w:szCs w:val="22"/>
        </w:rPr>
        <w:t xml:space="preserve">Taking into account </w:t>
      </w:r>
      <w:r w:rsidRPr="009E1C65">
        <w:rPr>
          <w:rFonts w:ascii="Arial" w:hAnsi="Arial" w:cs="Arial"/>
          <w:noProof/>
          <w:sz w:val="22"/>
          <w:szCs w:val="22"/>
        </w:rPr>
        <w:t>the limited bycatch and low im</w:t>
      </w:r>
      <w:r>
        <w:rPr>
          <w:rFonts w:ascii="Arial" w:hAnsi="Arial" w:cs="Arial"/>
          <w:noProof/>
          <w:sz w:val="22"/>
          <w:szCs w:val="22"/>
        </w:rPr>
        <w:t>pact fishing methods used, the D</w:t>
      </w:r>
      <w:r w:rsidRPr="009E1C65">
        <w:rPr>
          <w:rFonts w:ascii="Arial" w:hAnsi="Arial" w:cs="Arial"/>
          <w:noProof/>
          <w:sz w:val="22"/>
          <w:szCs w:val="22"/>
        </w:rPr>
        <w:t>epartment c</w:t>
      </w:r>
      <w:r>
        <w:rPr>
          <w:rFonts w:ascii="Arial" w:hAnsi="Arial" w:cs="Arial"/>
          <w:noProof/>
          <w:sz w:val="22"/>
          <w:szCs w:val="22"/>
        </w:rPr>
        <w:t>onsiders that the management regime</w:t>
      </w:r>
      <w:r w:rsidRPr="009E1C65">
        <w:rPr>
          <w:rFonts w:ascii="Arial" w:hAnsi="Arial" w:cs="Arial"/>
          <w:noProof/>
          <w:sz w:val="22"/>
          <w:szCs w:val="22"/>
        </w:rPr>
        <w:t xml:space="preserve"> </w:t>
      </w:r>
      <w:r>
        <w:rPr>
          <w:rFonts w:ascii="Arial" w:hAnsi="Arial" w:cs="Arial"/>
          <w:noProof/>
          <w:sz w:val="22"/>
          <w:szCs w:val="22"/>
        </w:rPr>
        <w:t xml:space="preserve">for the </w:t>
      </w:r>
      <w:r w:rsidR="004C07A3" w:rsidRPr="004C07A3">
        <w:rPr>
          <w:rFonts w:ascii="Arial" w:hAnsi="Arial" w:cs="Arial"/>
          <w:noProof/>
          <w:sz w:val="22"/>
          <w:szCs w:val="22"/>
        </w:rPr>
        <w:t>Tasmanian Giant Crab Fishery</w:t>
      </w:r>
      <w:r>
        <w:rPr>
          <w:rFonts w:ascii="Arial" w:hAnsi="Arial" w:cs="Arial"/>
          <w:noProof/>
          <w:sz w:val="22"/>
          <w:szCs w:val="22"/>
        </w:rPr>
        <w:t xml:space="preserve"> provides for fishing operations to</w:t>
      </w:r>
      <w:r w:rsidRPr="009E1C65">
        <w:rPr>
          <w:rFonts w:ascii="Arial" w:hAnsi="Arial" w:cs="Arial"/>
          <w:noProof/>
          <w:sz w:val="22"/>
          <w:szCs w:val="22"/>
        </w:rPr>
        <w:t xml:space="preserve"> be managed to minimise their impact on the structure, productivity, function and biological diversity of</w:t>
      </w:r>
      <w:r>
        <w:rPr>
          <w:rFonts w:ascii="Arial" w:hAnsi="Arial" w:cs="Arial"/>
          <w:noProof/>
          <w:sz w:val="22"/>
          <w:szCs w:val="22"/>
        </w:rPr>
        <w:t xml:space="preserve"> the ecosystem</w:t>
      </w:r>
      <w:r w:rsidR="006E6556">
        <w:rPr>
          <w:rFonts w:ascii="Arial" w:hAnsi="Arial" w:cs="Arial"/>
          <w:noProof/>
          <w:sz w:val="22"/>
          <w:szCs w:val="22"/>
        </w:rPr>
        <w:t>.</w:t>
      </w:r>
    </w:p>
    <w:p w:rsidR="00A27AB5" w:rsidRDefault="00BD685D" w:rsidP="00BD685D">
      <w:pPr>
        <w:rPr>
          <w:rFonts w:cs="Arial"/>
        </w:rPr>
      </w:pPr>
      <w:r>
        <w:rPr>
          <w:rFonts w:cs="Arial"/>
          <w:noProof/>
        </w:rPr>
        <w:t>Given these management measures, the Department considers</w:t>
      </w:r>
      <w:r w:rsidRPr="00822DA9">
        <w:rPr>
          <w:rFonts w:cs="Arial"/>
          <w:noProof/>
        </w:rPr>
        <w:t xml:space="preserve"> that product taken in the </w:t>
      </w:r>
      <w:r w:rsidR="004C07A3">
        <w:rPr>
          <w:rFonts w:cs="Arial"/>
          <w:noProof/>
        </w:rPr>
        <w:t xml:space="preserve">Tasmanian Giant Crab Fishery </w:t>
      </w:r>
      <w:r w:rsidRPr="00822DA9">
        <w:rPr>
          <w:rFonts w:cs="Arial"/>
          <w:noProof/>
        </w:rPr>
        <w:t xml:space="preserve">should be </w:t>
      </w:r>
      <w:r>
        <w:rPr>
          <w:rFonts w:cs="Arial"/>
          <w:noProof/>
        </w:rPr>
        <w:t>included in the list of exempt native specimens under</w:t>
      </w:r>
      <w:r w:rsidRPr="00822DA9">
        <w:rPr>
          <w:rFonts w:cs="Arial"/>
          <w:noProof/>
        </w:rPr>
        <w:t xml:space="preserve"> Part 13A of the </w:t>
      </w:r>
      <w:r w:rsidRPr="00822DA9">
        <w:rPr>
          <w:rFonts w:cs="Arial"/>
          <w:i/>
          <w:noProof/>
        </w:rPr>
        <w:t xml:space="preserve">Environment Protection and Biodiversity Conservation Act 1999 </w:t>
      </w:r>
      <w:r w:rsidRPr="00822DA9">
        <w:rPr>
          <w:rFonts w:cs="Arial"/>
          <w:noProof/>
        </w:rPr>
        <w:t>(EPBC Act)</w:t>
      </w:r>
      <w:r>
        <w:rPr>
          <w:rFonts w:cs="Arial"/>
          <w:noProof/>
        </w:rPr>
        <w:t xml:space="preserve"> until </w:t>
      </w:r>
      <w:r w:rsidR="009860B6">
        <w:rPr>
          <w:rFonts w:cs="Arial"/>
          <w:noProof/>
        </w:rPr>
        <w:t>18 July</w:t>
      </w:r>
      <w:r w:rsidRPr="00DB4924">
        <w:rPr>
          <w:rFonts w:cs="Arial"/>
          <w:noProof/>
        </w:rPr>
        <w:t xml:space="preserve"> 2019</w:t>
      </w:r>
      <w:r>
        <w:rPr>
          <w:rFonts w:cs="Arial"/>
          <w:noProof/>
        </w:rPr>
        <w:t xml:space="preserve">. </w:t>
      </w:r>
      <w:r w:rsidRPr="004D1B28">
        <w:rPr>
          <w:rFonts w:cs="Arial"/>
        </w:rPr>
        <w:t>To </w:t>
      </w:r>
      <w:r>
        <w:rPr>
          <w:rFonts w:cs="Arial"/>
        </w:rPr>
        <w:t xml:space="preserve">ensure that the decisions for the </w:t>
      </w:r>
      <w:r w:rsidR="00D70969">
        <w:rPr>
          <w:rFonts w:cs="Arial"/>
          <w:noProof/>
        </w:rPr>
        <w:t xml:space="preserve">Tasmanian Giant Crab Fishery </w:t>
      </w:r>
      <w:r>
        <w:rPr>
          <w:rFonts w:cs="Arial"/>
        </w:rPr>
        <w:t xml:space="preserve">remain valid, and to </w:t>
      </w:r>
      <w:r w:rsidRPr="004D1B28">
        <w:rPr>
          <w:rFonts w:cs="Arial"/>
        </w:rPr>
        <w:t>contain and minimise the risks in the longer term</w:t>
      </w:r>
      <w:r>
        <w:rPr>
          <w:rFonts w:cs="Arial"/>
        </w:rPr>
        <w:t>,</w:t>
      </w:r>
      <w:r w:rsidRPr="004D1B28">
        <w:rPr>
          <w:rFonts w:cs="Arial"/>
        </w:rPr>
        <w:t xml:space="preserve"> the recommendations listed in Table 4 have been made.</w:t>
      </w:r>
      <w:r w:rsidRPr="00822DA9">
        <w:rPr>
          <w:rFonts w:cs="Arial"/>
          <w:noProof/>
        </w:rPr>
        <w:t xml:space="preserve"> </w:t>
      </w:r>
      <w:r w:rsidRPr="004D1B28">
        <w:rPr>
          <w:rFonts w:cs="Arial"/>
        </w:rPr>
        <w:t xml:space="preserve">Unless a specific time frame is provided, each recommendation should be addressed during the </w:t>
      </w:r>
      <w:r w:rsidRPr="00B05A67">
        <w:rPr>
          <w:rFonts w:cs="Arial"/>
        </w:rPr>
        <w:t>five</w:t>
      </w:r>
      <w:r w:rsidRPr="004D1B28">
        <w:rPr>
          <w:rFonts w:cs="Arial"/>
        </w:rPr>
        <w:t xml:space="preserve"> year period.</w:t>
      </w:r>
    </w:p>
    <w:p w:rsidR="00A27AB5" w:rsidRPr="00D42317" w:rsidRDefault="00A27AB5" w:rsidP="001955CD">
      <w:pPr>
        <w:outlineLvl w:val="0"/>
        <w:rPr>
          <w:rFonts w:cs="Arial"/>
        </w:rPr>
        <w:sectPr w:rsidR="00A27AB5" w:rsidRPr="00D42317">
          <w:pgSz w:w="11906" w:h="16838"/>
          <w:pgMar w:top="1134" w:right="1701" w:bottom="1134" w:left="1701" w:header="709" w:footer="709" w:gutter="0"/>
          <w:cols w:space="708"/>
          <w:docGrid w:linePitch="360"/>
        </w:sectPr>
      </w:pPr>
    </w:p>
    <w:p w:rsidR="00036687" w:rsidRPr="00036687" w:rsidRDefault="00042EFF" w:rsidP="00036687">
      <w:pPr>
        <w:pStyle w:val="Heading6"/>
        <w:spacing w:after="120"/>
        <w:rPr>
          <w:rFonts w:ascii="Arial" w:hAnsi="Arial" w:cs="Arial"/>
        </w:rPr>
      </w:pPr>
      <w:bookmarkStart w:id="3" w:name="_Toc316301052"/>
      <w:r>
        <w:rPr>
          <w:rFonts w:ascii="Arial" w:hAnsi="Arial" w:cs="Arial"/>
        </w:rPr>
        <w:t xml:space="preserve">   </w:t>
      </w:r>
      <w:r w:rsidR="00B6012C" w:rsidRPr="007430E0">
        <w:rPr>
          <w:rFonts w:ascii="Arial" w:hAnsi="Arial" w:cs="Arial"/>
        </w:rPr>
        <w:t xml:space="preserve">Table 4: </w:t>
      </w:r>
      <w:r w:rsidR="00036687">
        <w:rPr>
          <w:rFonts w:ascii="Arial" w:hAnsi="Arial" w:cs="Arial"/>
        </w:rPr>
        <w:t>Tasmanian Giant Crab Fishery</w:t>
      </w:r>
      <w:r w:rsidR="00B6012C" w:rsidRPr="007430E0">
        <w:rPr>
          <w:rFonts w:ascii="Arial" w:hAnsi="Arial" w:cs="Arial"/>
        </w:rPr>
        <w:t xml:space="preserve"> </w:t>
      </w:r>
      <w:r w:rsidR="00036687">
        <w:rPr>
          <w:rFonts w:ascii="Arial" w:hAnsi="Arial" w:cs="Arial"/>
        </w:rPr>
        <w:t xml:space="preserve">Assessment – Summary </w:t>
      </w:r>
      <w:r w:rsidR="00036687" w:rsidRPr="00036687">
        <w:rPr>
          <w:rFonts w:ascii="Arial" w:hAnsi="Arial" w:cs="Arial"/>
        </w:rPr>
        <w:t xml:space="preserve">of Issues </w:t>
      </w:r>
      <w:r w:rsidR="00B6012C" w:rsidRPr="00036687">
        <w:rPr>
          <w:rFonts w:ascii="Arial" w:hAnsi="Arial" w:cs="Arial"/>
        </w:rPr>
        <w:t xml:space="preserve">and Recommendations </w:t>
      </w:r>
      <w:r w:rsidR="00036687" w:rsidRPr="00036687">
        <w:rPr>
          <w:rFonts w:ascii="Arial" w:hAnsi="Arial" w:cs="Arial"/>
        </w:rPr>
        <w:t>July</w:t>
      </w:r>
      <w:r w:rsidR="00B6012C" w:rsidRPr="00036687">
        <w:rPr>
          <w:rFonts w:ascii="Arial" w:hAnsi="Arial" w:cs="Arial"/>
        </w:rPr>
        <w:t xml:space="preserve">, </w:t>
      </w:r>
      <w:bookmarkEnd w:id="3"/>
      <w:r w:rsidR="00036687" w:rsidRPr="00036687">
        <w:rPr>
          <w:rFonts w:ascii="Arial" w:hAnsi="Arial" w:cs="Arial"/>
        </w:rPr>
        <w:t>2014</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B6012C" w:rsidRPr="00F6308F" w:rsidTr="001955CD">
        <w:trPr>
          <w:tblHeader/>
          <w:jc w:val="center"/>
        </w:trPr>
        <w:tc>
          <w:tcPr>
            <w:tcW w:w="8892" w:type="dxa"/>
            <w:shd w:val="clear" w:color="auto" w:fill="D9D9D9"/>
          </w:tcPr>
          <w:p w:rsidR="00B6012C" w:rsidRPr="00F6308F" w:rsidRDefault="00B6012C" w:rsidP="001955CD">
            <w:pPr>
              <w:rPr>
                <w:rFonts w:cs="Arial"/>
                <w:b/>
              </w:rPr>
            </w:pPr>
            <w:r w:rsidRPr="00F6308F">
              <w:rPr>
                <w:rFonts w:cs="Arial"/>
                <w:b/>
              </w:rPr>
              <w:t>Issue</w:t>
            </w:r>
          </w:p>
        </w:tc>
        <w:tc>
          <w:tcPr>
            <w:tcW w:w="5189" w:type="dxa"/>
            <w:shd w:val="clear" w:color="auto" w:fill="D9D9D9"/>
          </w:tcPr>
          <w:p w:rsidR="00B6012C" w:rsidRPr="00F6308F" w:rsidRDefault="00B6012C" w:rsidP="001955CD">
            <w:pPr>
              <w:rPr>
                <w:rFonts w:cs="Arial"/>
                <w:b/>
              </w:rPr>
            </w:pPr>
            <w:r w:rsidRPr="00E733F9">
              <w:rPr>
                <w:rFonts w:cs="Arial"/>
                <w:b/>
              </w:rPr>
              <w:t>Recommendation</w:t>
            </w:r>
          </w:p>
        </w:tc>
      </w:tr>
      <w:tr w:rsidR="00B6012C" w:rsidRPr="00F6308F" w:rsidTr="001955CD">
        <w:trPr>
          <w:jc w:val="center"/>
        </w:trPr>
        <w:tc>
          <w:tcPr>
            <w:tcW w:w="8892" w:type="dxa"/>
          </w:tcPr>
          <w:p w:rsidR="00B6012C" w:rsidRPr="00F6308F" w:rsidRDefault="00B6012C" w:rsidP="001955CD">
            <w:pPr>
              <w:rPr>
                <w:rFonts w:cs="Arial"/>
                <w:u w:val="single"/>
              </w:rPr>
            </w:pPr>
            <w:r w:rsidRPr="00F6308F">
              <w:rPr>
                <w:rFonts w:cs="Arial"/>
                <w:u w:val="single"/>
              </w:rPr>
              <w:t>General Management</w:t>
            </w:r>
          </w:p>
          <w:p w:rsidR="00B6012C" w:rsidRPr="00F6308F" w:rsidRDefault="00B6012C" w:rsidP="001955CD">
            <w:pPr>
              <w:rPr>
                <w:rFonts w:cs="Arial"/>
              </w:rPr>
            </w:pPr>
            <w:r w:rsidRPr="00F6308F">
              <w:rPr>
                <w:rFonts w:cs="Arial"/>
              </w:rPr>
              <w:t xml:space="preserve">Export decisions relate to the arrangements in force at the time of the decision. To ensure that these decisions remain valid and export approval continues uninterrupted, the Department </w:t>
            </w:r>
            <w:r>
              <w:rPr>
                <w:rFonts w:cs="Arial"/>
              </w:rPr>
              <w:t xml:space="preserve">of the Environment </w:t>
            </w:r>
            <w:r w:rsidRPr="00F6308F">
              <w:rPr>
                <w:rFonts w:cs="Arial"/>
              </w:rPr>
              <w:t xml:space="preserve">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F6308F">
              <w:rPr>
                <w:rFonts w:cs="Arial"/>
              </w:rPr>
              <w:t>byproduct</w:t>
            </w:r>
            <w:proofErr w:type="spellEnd"/>
            <w:r w:rsidRPr="00F6308F">
              <w:rPr>
                <w:rFonts w:cs="Arial"/>
              </w:rPr>
              <w:t xml:space="preserve">, </w:t>
            </w:r>
            <w:proofErr w:type="spellStart"/>
            <w:r w:rsidRPr="00F6308F">
              <w:rPr>
                <w:rFonts w:cs="Arial"/>
              </w:rPr>
              <w:t>bycatch</w:t>
            </w:r>
            <w:proofErr w:type="spellEnd"/>
            <w:r w:rsidRPr="00F6308F">
              <w:rPr>
                <w:rFonts w:cs="Arial"/>
              </w:rPr>
              <w:t xml:space="preserve">, </w:t>
            </w:r>
            <w:r>
              <w:rPr>
                <w:rFonts w:cs="Arial"/>
              </w:rPr>
              <w:t xml:space="preserve">EPBC Act </w:t>
            </w:r>
            <w:r w:rsidRPr="00F6308F">
              <w:rPr>
                <w:rFonts w:cs="Arial"/>
              </w:rPr>
              <w:t>protected species or the ecosystem.</w:t>
            </w:r>
          </w:p>
        </w:tc>
        <w:tc>
          <w:tcPr>
            <w:tcW w:w="5189" w:type="dxa"/>
          </w:tcPr>
          <w:p w:rsidR="00036687" w:rsidRPr="00036687" w:rsidRDefault="00036687" w:rsidP="00036687">
            <w:pPr>
              <w:spacing w:after="120" w:line="240" w:lineRule="auto"/>
              <w:rPr>
                <w:rFonts w:eastAsia="Times New Roman" w:cs="Arial"/>
                <w:b/>
                <w:lang w:eastAsia="en-AU"/>
              </w:rPr>
            </w:pPr>
            <w:r w:rsidRPr="00036687">
              <w:rPr>
                <w:rFonts w:eastAsia="Times New Roman" w:cs="Arial"/>
                <w:b/>
                <w:lang w:eastAsia="en-AU"/>
              </w:rPr>
              <w:t>Recommendation 1:</w:t>
            </w:r>
            <w:r w:rsidR="00042EFF">
              <w:rPr>
                <w:rFonts w:eastAsia="Times New Roman" w:cs="Arial"/>
                <w:lang w:eastAsia="en-AU"/>
              </w:rPr>
              <w:t xml:space="preserve"> </w:t>
            </w:r>
            <w:r w:rsidRPr="00036687">
              <w:rPr>
                <w:rFonts w:eastAsia="Times New Roman" w:cs="Arial"/>
                <w:lang w:eastAsia="en-AU"/>
              </w:rPr>
              <w:t>Operation of the fishery will be carried out in accordance with</w:t>
            </w:r>
            <w:r w:rsidRPr="00036687">
              <w:rPr>
                <w:rFonts w:eastAsia="Times New Roman" w:cs="Arial"/>
                <w:i/>
                <w:lang w:eastAsia="en-AU"/>
              </w:rPr>
              <w:t xml:space="preserve"> </w:t>
            </w:r>
            <w:r w:rsidRPr="00036687">
              <w:rPr>
                <w:rFonts w:eastAsia="Times New Roman" w:cs="Arial"/>
                <w:lang w:eastAsia="en-AU"/>
              </w:rPr>
              <w:t>the</w:t>
            </w:r>
            <w:r w:rsidRPr="00036687">
              <w:rPr>
                <w:rFonts w:eastAsia="Times New Roman" w:cs="Arial"/>
                <w:i/>
                <w:lang w:eastAsia="en-AU"/>
              </w:rPr>
              <w:t xml:space="preserve"> </w:t>
            </w:r>
            <w:r w:rsidRPr="00036687">
              <w:rPr>
                <w:rFonts w:eastAsia="Times New Roman" w:cs="Arial"/>
                <w:iCs/>
                <w:lang w:eastAsia="en-AU"/>
              </w:rPr>
              <w:t>management regime</w:t>
            </w:r>
            <w:r w:rsidRPr="00036687">
              <w:rPr>
                <w:rFonts w:eastAsia="Times New Roman" w:cs="Arial"/>
                <w:i/>
                <w:lang w:eastAsia="en-AU"/>
              </w:rPr>
              <w:t xml:space="preserve"> </w:t>
            </w:r>
            <w:r w:rsidRPr="00036687">
              <w:rPr>
                <w:rFonts w:eastAsia="Times New Roman" w:cs="Arial"/>
                <w:lang w:eastAsia="en-AU"/>
              </w:rPr>
              <w:t xml:space="preserve">in force under the Tasmanian </w:t>
            </w:r>
            <w:r w:rsidRPr="00036687">
              <w:rPr>
                <w:rFonts w:eastAsia="Times New Roman" w:cs="Arial"/>
                <w:i/>
                <w:lang w:eastAsia="en-AU"/>
              </w:rPr>
              <w:t>Living Resources Management Act 1995.</w:t>
            </w:r>
            <w:r w:rsidRPr="00036687">
              <w:rPr>
                <w:rFonts w:eastAsia="Times New Roman" w:cs="Arial"/>
                <w:lang w:eastAsia="en-AU"/>
              </w:rPr>
              <w:t xml:space="preserve"> </w:t>
            </w:r>
          </w:p>
          <w:p w:rsidR="00B6012C" w:rsidRPr="00F6308F" w:rsidRDefault="00036687" w:rsidP="001955CD">
            <w:pPr>
              <w:rPr>
                <w:rFonts w:cs="Arial"/>
                <w:b/>
                <w:color w:val="3366FF"/>
              </w:rPr>
            </w:pPr>
            <w:r>
              <w:rPr>
                <w:rFonts w:cs="Arial"/>
                <w:b/>
              </w:rPr>
              <w:t>Recommendation</w:t>
            </w:r>
            <w:r w:rsidRPr="00C3049E">
              <w:rPr>
                <w:rFonts w:cs="Arial"/>
                <w:b/>
              </w:rPr>
              <w:t xml:space="preserve"> 2: </w:t>
            </w:r>
            <w:r w:rsidRPr="00B67FF1">
              <w:rPr>
                <w:rFonts w:cs="Arial"/>
              </w:rPr>
              <w:t xml:space="preserve">The </w:t>
            </w:r>
            <w:r w:rsidRPr="00B67FF1">
              <w:rPr>
                <w:rFonts w:cs="Arial"/>
                <w:iCs/>
              </w:rPr>
              <w:t>Department of Primary Industries, Parks, Water and Environment</w:t>
            </w:r>
            <w:r>
              <w:rPr>
                <w:rFonts w:cs="Arial"/>
                <w:iCs/>
              </w:rPr>
              <w:t xml:space="preserve"> (DPIPWE)</w:t>
            </w:r>
            <w:r w:rsidRPr="00B67FF1">
              <w:rPr>
                <w:rFonts w:cs="Arial"/>
              </w:rPr>
              <w:t xml:space="preserve"> </w:t>
            </w:r>
            <w:r w:rsidRPr="00F6308F">
              <w:rPr>
                <w:rFonts w:cs="Arial"/>
              </w:rPr>
              <w:t xml:space="preserve">to inform the Department of </w:t>
            </w:r>
            <w:r>
              <w:rPr>
                <w:rFonts w:cs="Arial"/>
              </w:rPr>
              <w:t xml:space="preserve">the Environment (the Department)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 xml:space="preserve">changes to the </w:t>
            </w:r>
            <w:r>
              <w:rPr>
                <w:rFonts w:cs="Arial"/>
              </w:rPr>
              <w:t>Tasmanian Giant Crab Fishery</w:t>
            </w:r>
            <w:r w:rsidRPr="00F6308F">
              <w:rPr>
                <w:rFonts w:cs="Arial"/>
              </w:rPr>
              <w:t xml:space="preserve"> 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r w:rsidRPr="00F6308F">
              <w:rPr>
                <w:rFonts w:cs="Arial"/>
              </w:rPr>
              <w:t>.</w:t>
            </w:r>
          </w:p>
        </w:tc>
      </w:tr>
      <w:tr w:rsidR="00B6012C" w:rsidRPr="00F6308F" w:rsidTr="001955CD">
        <w:trPr>
          <w:jc w:val="center"/>
        </w:trPr>
        <w:tc>
          <w:tcPr>
            <w:tcW w:w="8892" w:type="dxa"/>
          </w:tcPr>
          <w:p w:rsidR="00036687" w:rsidRPr="00036687" w:rsidRDefault="00036687" w:rsidP="00036687">
            <w:pPr>
              <w:tabs>
                <w:tab w:val="left" w:pos="360"/>
              </w:tabs>
              <w:spacing w:after="120" w:line="240" w:lineRule="auto"/>
              <w:rPr>
                <w:rFonts w:eastAsia="Times New Roman" w:cs="Arial"/>
                <w:u w:val="single"/>
                <w:lang w:eastAsia="en-AU"/>
              </w:rPr>
            </w:pPr>
            <w:r w:rsidRPr="00036687">
              <w:rPr>
                <w:rFonts w:eastAsia="Times New Roman" w:cs="Arial"/>
                <w:u w:val="single"/>
                <w:lang w:eastAsia="en-AU"/>
              </w:rPr>
              <w:t>Annual reporting</w:t>
            </w:r>
          </w:p>
          <w:p w:rsidR="00B6012C" w:rsidRDefault="00036687" w:rsidP="00036687">
            <w:pPr>
              <w:rPr>
                <w:rFonts w:eastAsia="Times New Roman" w:cs="Arial"/>
                <w:lang w:eastAsia="en-AU"/>
              </w:rPr>
            </w:pPr>
            <w:r w:rsidRPr="00036687">
              <w:rPr>
                <w:rFonts w:eastAsia="Times New Roman" w:cs="Arial"/>
                <w:lang w:eastAsia="en-AU"/>
              </w:rPr>
              <w:t xml:space="preserve">It is important that reports be produced and presented to the Department annually in order for the performance of the fishery and progress in implementing the recommendations in this report and other managerial commitments to be monitored and assessed throughout the life of the declaration. Annual reports should follow Appendix B to the </w:t>
            </w:r>
            <w:r w:rsidRPr="00036687">
              <w:rPr>
                <w:rFonts w:eastAsia="Times New Roman" w:cs="Arial"/>
                <w:i/>
                <w:lang w:eastAsia="en-AU"/>
              </w:rPr>
              <w:t>Guidelines for the Ecologically Sustainable Management of Fisheries - 2nd Edition</w:t>
            </w:r>
            <w:r w:rsidRPr="00036687">
              <w:rPr>
                <w:rFonts w:eastAsia="Times New Roman" w:cs="Arial"/>
                <w:lang w:eastAsia="en-AU"/>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recommendations. Electronic copies of the guidelines are available from the Department’s website at http://www.environment.gov.au/resource/guidelines-ecologically-sustainable-management-fisheries</w:t>
            </w:r>
          </w:p>
          <w:p w:rsidR="00036687" w:rsidRDefault="00036687" w:rsidP="00036687">
            <w:pPr>
              <w:rPr>
                <w:rFonts w:cs="Arial"/>
                <w:highlight w:val="yellow"/>
              </w:rPr>
            </w:pPr>
          </w:p>
          <w:p w:rsidR="00E733F9" w:rsidRPr="00F6308F" w:rsidRDefault="00E733F9" w:rsidP="00036687">
            <w:pPr>
              <w:rPr>
                <w:rFonts w:cs="Arial"/>
                <w:highlight w:val="yellow"/>
              </w:rPr>
            </w:pPr>
          </w:p>
        </w:tc>
        <w:tc>
          <w:tcPr>
            <w:tcW w:w="5189" w:type="dxa"/>
          </w:tcPr>
          <w:p w:rsidR="00036687" w:rsidRPr="00C3049E" w:rsidRDefault="00036687" w:rsidP="006217F8">
            <w:pPr>
              <w:pStyle w:val="normal-dot"/>
              <w:tabs>
                <w:tab w:val="clear" w:pos="360"/>
                <w:tab w:val="left" w:pos="1440"/>
              </w:tabs>
              <w:spacing w:before="0" w:after="120" w:line="276" w:lineRule="auto"/>
              <w:ind w:left="0" w:right="142" w:firstLine="0"/>
              <w:rPr>
                <w:rFonts w:ascii="Arial" w:hAnsi="Arial" w:cs="Arial"/>
                <w:i/>
                <w:color w:val="000000"/>
                <w:szCs w:val="22"/>
              </w:rPr>
            </w:pPr>
            <w:r>
              <w:rPr>
                <w:rFonts w:ascii="Arial" w:hAnsi="Arial" w:cs="Arial"/>
                <w:b/>
                <w:szCs w:val="22"/>
              </w:rPr>
              <w:t>Recommendation 3</w:t>
            </w:r>
            <w:r w:rsidRPr="00C3049E">
              <w:rPr>
                <w:rFonts w:ascii="Arial" w:hAnsi="Arial" w:cs="Arial"/>
                <w:b/>
                <w:szCs w:val="22"/>
              </w:rPr>
              <w:t>:</w:t>
            </w:r>
            <w:r w:rsidRPr="00C3049E">
              <w:rPr>
                <w:rFonts w:ascii="Arial" w:hAnsi="Arial" w:cs="Arial"/>
                <w:szCs w:val="22"/>
              </w:rPr>
              <w:t xml:space="preserve"> </w:t>
            </w:r>
            <w:r>
              <w:rPr>
                <w:rFonts w:ascii="Arial" w:hAnsi="Arial" w:cs="Arial"/>
                <w:szCs w:val="22"/>
              </w:rPr>
              <w:t>DPIPWE</w:t>
            </w:r>
            <w:r w:rsidRPr="00C3049E">
              <w:rPr>
                <w:rFonts w:ascii="Arial" w:hAnsi="Arial" w:cs="Arial"/>
                <w:szCs w:val="22"/>
              </w:rPr>
              <w:t xml:space="preserve"> to produce and prese</w:t>
            </w:r>
            <w:r>
              <w:rPr>
                <w:rFonts w:ascii="Arial" w:hAnsi="Arial" w:cs="Arial"/>
                <w:szCs w:val="22"/>
              </w:rPr>
              <w:t xml:space="preserve">nt reports to the Department </w:t>
            </w:r>
            <w:r w:rsidRPr="00C3049E">
              <w:rPr>
                <w:rFonts w:ascii="Arial" w:hAnsi="Arial" w:cs="Arial"/>
                <w:szCs w:val="22"/>
              </w:rPr>
              <w:t xml:space="preserve">annually as per Appendix B of the </w:t>
            </w:r>
            <w:r w:rsidRPr="00C71F12">
              <w:rPr>
                <w:rFonts w:ascii="Arial" w:hAnsi="Arial" w:cs="Arial"/>
                <w:i/>
                <w:color w:val="000000"/>
                <w:szCs w:val="22"/>
              </w:rPr>
              <w:t>Guidelines for the Ecologically Sustainable Management of Fisheries - 2nd Edition.</w:t>
            </w:r>
          </w:p>
          <w:p w:rsidR="00B6012C" w:rsidRPr="00F6308F" w:rsidRDefault="00B6012C" w:rsidP="001955CD">
            <w:pPr>
              <w:rPr>
                <w:rFonts w:cs="Arial"/>
                <w:iCs/>
              </w:rPr>
            </w:pPr>
          </w:p>
        </w:tc>
      </w:tr>
      <w:tr w:rsidR="00490F1A" w:rsidRPr="00F6308F" w:rsidTr="001955CD">
        <w:trPr>
          <w:jc w:val="center"/>
        </w:trPr>
        <w:tc>
          <w:tcPr>
            <w:tcW w:w="8892" w:type="dxa"/>
          </w:tcPr>
          <w:p w:rsidR="00490F1A" w:rsidRPr="003E7D99" w:rsidRDefault="00490F1A" w:rsidP="006217F8">
            <w:pPr>
              <w:tabs>
                <w:tab w:val="left" w:pos="360"/>
              </w:tabs>
              <w:spacing w:after="120" w:line="240" w:lineRule="auto"/>
              <w:rPr>
                <w:rFonts w:eastAsia="Times New Roman" w:cs="Arial"/>
                <w:u w:val="single"/>
                <w:lang w:eastAsia="en-AU"/>
              </w:rPr>
            </w:pPr>
            <w:r w:rsidRPr="003E7D99">
              <w:rPr>
                <w:rFonts w:eastAsia="Times New Roman" w:cs="Arial"/>
                <w:u w:val="single"/>
                <w:lang w:eastAsia="en-AU"/>
              </w:rPr>
              <w:t xml:space="preserve">Cross Jurisdictional Management </w:t>
            </w:r>
          </w:p>
          <w:p w:rsidR="00490F1A" w:rsidRPr="003E7D99" w:rsidRDefault="00490F1A" w:rsidP="006217F8">
            <w:pPr>
              <w:tabs>
                <w:tab w:val="left" w:pos="360"/>
              </w:tabs>
              <w:spacing w:after="120"/>
              <w:rPr>
                <w:rFonts w:eastAsia="Times New Roman" w:cs="Arial"/>
                <w:lang w:eastAsia="en-AU"/>
              </w:rPr>
            </w:pPr>
            <w:r w:rsidRPr="00490F1A">
              <w:rPr>
                <w:rFonts w:eastAsia="Times New Roman" w:cs="Arial"/>
                <w:lang w:eastAsia="en-AU"/>
              </w:rPr>
              <w:t xml:space="preserve">Giant crabs </w:t>
            </w:r>
            <w:r w:rsidRPr="003E7D99">
              <w:rPr>
                <w:rFonts w:eastAsia="Times New Roman" w:cs="Arial"/>
                <w:lang w:eastAsia="en-AU"/>
              </w:rPr>
              <w:t>(</w:t>
            </w:r>
            <w:proofErr w:type="spellStart"/>
            <w:r w:rsidR="007464D5" w:rsidRPr="007464D5">
              <w:rPr>
                <w:rFonts w:eastAsia="Times New Roman" w:cs="Arial"/>
                <w:i/>
                <w:lang w:eastAsia="en-AU"/>
              </w:rPr>
              <w:t>Pseudocarcinus</w:t>
            </w:r>
            <w:proofErr w:type="spellEnd"/>
            <w:r w:rsidR="007464D5" w:rsidRPr="007464D5">
              <w:rPr>
                <w:rFonts w:eastAsia="Times New Roman" w:cs="Arial"/>
                <w:i/>
                <w:lang w:eastAsia="en-AU"/>
              </w:rPr>
              <w:t xml:space="preserve"> </w:t>
            </w:r>
            <w:proofErr w:type="spellStart"/>
            <w:r w:rsidR="007464D5" w:rsidRPr="007464D5">
              <w:rPr>
                <w:rFonts w:eastAsia="Times New Roman" w:cs="Arial"/>
                <w:i/>
                <w:lang w:eastAsia="en-AU"/>
              </w:rPr>
              <w:t>gigas</w:t>
            </w:r>
            <w:proofErr w:type="spellEnd"/>
            <w:r w:rsidRPr="003E7D99">
              <w:rPr>
                <w:rFonts w:eastAsia="Times New Roman" w:cs="Arial"/>
                <w:lang w:eastAsia="en-AU"/>
              </w:rPr>
              <w:t>)</w:t>
            </w:r>
            <w:r w:rsidRPr="00490F1A">
              <w:rPr>
                <w:rFonts w:eastAsia="Times New Roman" w:cs="Arial"/>
                <w:lang w:eastAsia="en-AU"/>
              </w:rPr>
              <w:t xml:space="preserve"> </w:t>
            </w:r>
            <w:r w:rsidRPr="003E7D99">
              <w:rPr>
                <w:rFonts w:eastAsia="Times New Roman" w:cs="Arial"/>
                <w:lang w:eastAsia="en-AU"/>
              </w:rPr>
              <w:t xml:space="preserve">are endemic to the waters of southern Australia, extending from </w:t>
            </w:r>
            <w:r w:rsidR="00C8629C">
              <w:rPr>
                <w:rFonts w:eastAsia="Times New Roman" w:cs="Arial"/>
                <w:lang w:eastAsia="en-AU"/>
              </w:rPr>
              <w:t xml:space="preserve">waters offshore of </w:t>
            </w:r>
            <w:r w:rsidRPr="003E7D99">
              <w:rPr>
                <w:rFonts w:eastAsia="Times New Roman" w:cs="Arial"/>
                <w:lang w:eastAsia="en-AU"/>
              </w:rPr>
              <w:t>Perth in Western Australia to Victoria and the waters surrounding Tasmania</w:t>
            </w:r>
            <w:r w:rsidRPr="00490F1A">
              <w:rPr>
                <w:rFonts w:eastAsia="Times New Roman" w:cs="Arial"/>
                <w:lang w:eastAsia="en-AU"/>
              </w:rPr>
              <w:t>. C</w:t>
            </w:r>
            <w:r w:rsidRPr="003E7D99">
              <w:rPr>
                <w:rFonts w:eastAsia="Times New Roman" w:cs="Arial"/>
                <w:lang w:eastAsia="en-AU"/>
              </w:rPr>
              <w:t>ross jurisdictional communication between the management agencies responsible for the commercial harvest of these species is therefore important to identify and address sustainability issues for giant crab stocks.</w:t>
            </w:r>
          </w:p>
          <w:p w:rsidR="00490F1A" w:rsidRPr="00490F1A" w:rsidRDefault="00490F1A" w:rsidP="006217F8">
            <w:pPr>
              <w:tabs>
                <w:tab w:val="left" w:pos="360"/>
              </w:tabs>
              <w:spacing w:after="120"/>
              <w:rPr>
                <w:rFonts w:eastAsia="Times New Roman" w:cs="Arial"/>
                <w:lang w:eastAsia="en-AU"/>
              </w:rPr>
            </w:pPr>
            <w:r w:rsidRPr="003E7D99">
              <w:rPr>
                <w:rFonts w:eastAsia="Times New Roman" w:cs="Arial"/>
                <w:lang w:eastAsia="en-AU"/>
              </w:rPr>
              <w:t>In particular, as</w:t>
            </w:r>
            <w:r w:rsidRPr="00490F1A">
              <w:rPr>
                <w:rFonts w:eastAsia="Times New Roman" w:cs="Arial"/>
                <w:lang w:eastAsia="en-AU"/>
              </w:rPr>
              <w:t xml:space="preserve"> the Tasmanian Giant Crab Fishery operates in Commonwealth waters and overlaps with the Commonwealth Trawl </w:t>
            </w:r>
            <w:r w:rsidR="00C8629C">
              <w:rPr>
                <w:rFonts w:eastAsia="Times New Roman" w:cs="Arial"/>
                <w:lang w:eastAsia="en-AU"/>
              </w:rPr>
              <w:t>S</w:t>
            </w:r>
            <w:r w:rsidRPr="00490F1A">
              <w:rPr>
                <w:rFonts w:eastAsia="Times New Roman" w:cs="Arial"/>
                <w:lang w:eastAsia="en-AU"/>
              </w:rPr>
              <w:t xml:space="preserve">ector of the Commonwealth Southern and Eastern </w:t>
            </w:r>
            <w:proofErr w:type="spellStart"/>
            <w:r w:rsidRPr="00490F1A">
              <w:rPr>
                <w:rFonts w:eastAsia="Times New Roman" w:cs="Arial"/>
                <w:lang w:eastAsia="en-AU"/>
              </w:rPr>
              <w:t>Scalefish</w:t>
            </w:r>
            <w:proofErr w:type="spellEnd"/>
            <w:r w:rsidRPr="00490F1A">
              <w:rPr>
                <w:rFonts w:eastAsia="Times New Roman" w:cs="Arial"/>
                <w:lang w:eastAsia="en-AU"/>
              </w:rPr>
              <w:t xml:space="preserve"> and Shark Fishery (SESSF), close cooperation with the Australian Fisheries Management Authority (AFMA) is important. </w:t>
            </w:r>
          </w:p>
          <w:p w:rsidR="00490F1A" w:rsidRPr="00490F1A" w:rsidRDefault="00490F1A" w:rsidP="006217F8">
            <w:pPr>
              <w:tabs>
                <w:tab w:val="left" w:pos="360"/>
              </w:tabs>
              <w:spacing w:after="120"/>
              <w:rPr>
                <w:rFonts w:eastAsia="Times New Roman" w:cs="Arial"/>
                <w:lang w:eastAsia="en-AU"/>
              </w:rPr>
            </w:pPr>
            <w:r w:rsidRPr="00490F1A">
              <w:rPr>
                <w:rFonts w:eastAsia="Times New Roman" w:cs="Arial"/>
                <w:lang w:eastAsia="en-AU"/>
              </w:rPr>
              <w:t>In the 2009 assessment of the Tasmanian Giant Crab Fishery, the Department recommended that DPIPWE continue to work with the AFMA to address recommendations stemming from a 2009 Fisheries Research and Development Corporation (FRDC) shelf break habitat study. The study identified areas of sensitive habitat for the Tasmanian Giant Crab Fishery and recommended that spatial management arrangements be put in place to ensure that trawling impacts to those areas were appropriately managed. However, in the years following the 2009 assessment, trawl effort decreased and these spatial management arrangements were not pursued.</w:t>
            </w:r>
          </w:p>
          <w:p w:rsidR="00490F1A" w:rsidRPr="00490F1A" w:rsidRDefault="00490F1A" w:rsidP="006217F8">
            <w:pPr>
              <w:tabs>
                <w:tab w:val="left" w:pos="360"/>
              </w:tabs>
              <w:spacing w:after="120"/>
              <w:rPr>
                <w:rFonts w:eastAsia="Times New Roman" w:cs="Arial"/>
                <w:lang w:eastAsia="en-AU"/>
              </w:rPr>
            </w:pPr>
            <w:r w:rsidRPr="00490F1A">
              <w:rPr>
                <w:rFonts w:eastAsia="Times New Roman" w:cs="Arial"/>
                <w:lang w:eastAsia="en-AU"/>
              </w:rPr>
              <w:t xml:space="preserve"> In 2013, increases in trawl effort that overlap</w:t>
            </w:r>
            <w:r w:rsidR="00C8629C">
              <w:rPr>
                <w:rFonts w:eastAsia="Times New Roman" w:cs="Arial"/>
                <w:lang w:eastAsia="en-AU"/>
              </w:rPr>
              <w:t>ped</w:t>
            </w:r>
            <w:r w:rsidRPr="00490F1A">
              <w:rPr>
                <w:rFonts w:eastAsia="Times New Roman" w:cs="Arial"/>
                <w:lang w:eastAsia="en-AU"/>
              </w:rPr>
              <w:t xml:space="preserve"> with the west coast area of the Tasmanian Giant Crab Fishery were apparent, therefore spatial management arrangements are now under renewed consideration. </w:t>
            </w:r>
          </w:p>
          <w:p w:rsidR="00490F1A" w:rsidRPr="00490F1A" w:rsidRDefault="00490F1A" w:rsidP="006217F8">
            <w:pPr>
              <w:tabs>
                <w:tab w:val="left" w:pos="360"/>
              </w:tabs>
              <w:spacing w:after="120"/>
              <w:rPr>
                <w:rFonts w:eastAsia="Times New Roman" w:cs="Arial"/>
                <w:lang w:eastAsia="en-AU"/>
              </w:rPr>
            </w:pPr>
            <w:r w:rsidRPr="00490F1A">
              <w:rPr>
                <w:rFonts w:eastAsia="Times New Roman" w:cs="Arial"/>
                <w:lang w:eastAsia="en-AU"/>
              </w:rPr>
              <w:t xml:space="preserve">DPIPWE has advised that funding has been sought from the FRDC to undertake a joint DPIPWE and Institute for Marine and Antarctic Studies (IMAS) project to investigate the level of interaction and overlap between the Tasmanian Giant Crab Fishery and the Commonwealth Trawl </w:t>
            </w:r>
            <w:r w:rsidR="00C8629C">
              <w:rPr>
                <w:rFonts w:eastAsia="Times New Roman" w:cs="Arial"/>
                <w:lang w:eastAsia="en-AU"/>
              </w:rPr>
              <w:t>S</w:t>
            </w:r>
            <w:r w:rsidRPr="00490F1A">
              <w:rPr>
                <w:rFonts w:eastAsia="Times New Roman" w:cs="Arial"/>
                <w:lang w:eastAsia="en-AU"/>
              </w:rPr>
              <w:t xml:space="preserve">ector of the SESSF and to quantify the level of mortality and </w:t>
            </w:r>
            <w:proofErr w:type="spellStart"/>
            <w:r w:rsidRPr="00490F1A">
              <w:rPr>
                <w:rFonts w:eastAsia="Times New Roman" w:cs="Arial"/>
                <w:lang w:eastAsia="en-AU"/>
              </w:rPr>
              <w:t>bycatch</w:t>
            </w:r>
            <w:proofErr w:type="spellEnd"/>
            <w:r w:rsidRPr="00490F1A">
              <w:rPr>
                <w:rFonts w:eastAsia="Times New Roman" w:cs="Arial"/>
                <w:lang w:eastAsia="en-AU"/>
              </w:rPr>
              <w:t xml:space="preserve"> taken by trawlers. </w:t>
            </w:r>
          </w:p>
          <w:p w:rsidR="00490F1A" w:rsidRPr="00036687" w:rsidRDefault="00490F1A" w:rsidP="006217F8">
            <w:pPr>
              <w:tabs>
                <w:tab w:val="left" w:pos="360"/>
              </w:tabs>
              <w:spacing w:after="120" w:line="240" w:lineRule="auto"/>
              <w:rPr>
                <w:rFonts w:eastAsia="Times New Roman" w:cs="Arial"/>
                <w:u w:val="single"/>
                <w:lang w:eastAsia="en-AU"/>
              </w:rPr>
            </w:pPr>
            <w:r w:rsidRPr="00490F1A">
              <w:rPr>
                <w:rFonts w:eastAsia="Times New Roman" w:cs="Arial"/>
                <w:lang w:eastAsia="en-AU"/>
              </w:rPr>
              <w:t>The Department is supportive of this approach and recommends that DPIPWE continue to investigate options to pursue this research. In addition, DPIPWE should continue to works collaboratively with other jurisd</w:t>
            </w:r>
            <w:r w:rsidR="006217F8">
              <w:rPr>
                <w:rFonts w:eastAsia="Times New Roman" w:cs="Arial"/>
                <w:lang w:eastAsia="en-AU"/>
              </w:rPr>
              <w:t>ictions and, in particular AFMA.</w:t>
            </w:r>
          </w:p>
        </w:tc>
        <w:tc>
          <w:tcPr>
            <w:tcW w:w="5189" w:type="dxa"/>
          </w:tcPr>
          <w:p w:rsidR="009A6B98" w:rsidRPr="009A6B98" w:rsidRDefault="009A6B98" w:rsidP="006217F8">
            <w:pPr>
              <w:spacing w:after="120"/>
              <w:rPr>
                <w:rFonts w:eastAsia="Times New Roman" w:cs="Arial"/>
                <w:lang w:eastAsia="en-AU"/>
              </w:rPr>
            </w:pPr>
            <w:r w:rsidRPr="009A6B98">
              <w:rPr>
                <w:rFonts w:eastAsia="Times New Roman" w:cs="Arial"/>
                <w:b/>
                <w:lang w:eastAsia="en-AU"/>
              </w:rPr>
              <w:t>Recommendation 4:</w:t>
            </w:r>
            <w:r w:rsidRPr="009A6B98">
              <w:rPr>
                <w:rFonts w:eastAsia="Times New Roman" w:cs="Arial"/>
                <w:lang w:eastAsia="en-AU"/>
              </w:rPr>
              <w:t xml:space="preserve"> The </w:t>
            </w:r>
            <w:r w:rsidRPr="009A6B98">
              <w:rPr>
                <w:rFonts w:eastAsia="Times New Roman" w:cs="Arial"/>
                <w:iCs/>
                <w:lang w:eastAsia="en-AU"/>
              </w:rPr>
              <w:t>Department of Primary Industries, Parks, Water and Environment</w:t>
            </w:r>
            <w:r w:rsidRPr="009A6B98">
              <w:rPr>
                <w:rFonts w:eastAsia="Times New Roman" w:cs="Arial"/>
                <w:lang w:eastAsia="en-AU"/>
              </w:rPr>
              <w:t xml:space="preserve"> to </w:t>
            </w:r>
          </w:p>
          <w:p w:rsidR="009A6B98" w:rsidRPr="009A6B98" w:rsidRDefault="009A6B98" w:rsidP="006217F8">
            <w:pPr>
              <w:spacing w:after="120"/>
              <w:rPr>
                <w:rFonts w:eastAsia="Times New Roman" w:cs="Arial"/>
                <w:lang w:eastAsia="en-AU"/>
              </w:rPr>
            </w:pPr>
            <w:r w:rsidRPr="009A6B98">
              <w:rPr>
                <w:rFonts w:eastAsia="Times New Roman" w:cs="Arial"/>
                <w:lang w:eastAsia="en-AU"/>
              </w:rPr>
              <w:t>a) work collaboratively with AFMA to investigate the impacts of trawling on Giant Crab stock and if necessary, implement appropriate spatial management arrangements</w:t>
            </w:r>
            <w:r w:rsidR="00C8629C">
              <w:rPr>
                <w:rFonts w:eastAsia="Times New Roman" w:cs="Arial"/>
                <w:lang w:eastAsia="en-AU"/>
              </w:rPr>
              <w:t>,</w:t>
            </w:r>
            <w:r w:rsidRPr="009A6B98">
              <w:rPr>
                <w:rFonts w:eastAsia="Times New Roman" w:cs="Arial"/>
                <w:lang w:eastAsia="en-AU"/>
              </w:rPr>
              <w:t xml:space="preserve"> and</w:t>
            </w:r>
          </w:p>
          <w:p w:rsidR="009A6B98" w:rsidRPr="009A6B98" w:rsidRDefault="009A6B98" w:rsidP="006217F8">
            <w:pPr>
              <w:spacing w:after="0"/>
              <w:rPr>
                <w:rFonts w:eastAsia="Times New Roman" w:cs="Arial"/>
                <w:lang w:eastAsia="en-AU"/>
              </w:rPr>
            </w:pPr>
            <w:r w:rsidRPr="009A6B98">
              <w:rPr>
                <w:rFonts w:eastAsia="Times New Roman" w:cs="Arial"/>
                <w:lang w:eastAsia="en-AU"/>
              </w:rPr>
              <w:t xml:space="preserve">b) </w:t>
            </w:r>
            <w:proofErr w:type="gramStart"/>
            <w:r w:rsidRPr="009A6B98">
              <w:rPr>
                <w:rFonts w:eastAsia="Times New Roman" w:cs="Arial"/>
                <w:lang w:eastAsia="en-AU"/>
              </w:rPr>
              <w:t>continue</w:t>
            </w:r>
            <w:proofErr w:type="gramEnd"/>
            <w:r w:rsidRPr="009A6B98">
              <w:rPr>
                <w:rFonts w:eastAsia="Times New Roman" w:cs="Arial"/>
                <w:lang w:eastAsia="en-AU"/>
              </w:rPr>
              <w:t xml:space="preserve"> to work with relevant fishery management agencies in the management of the shared giant crab stocks.</w:t>
            </w:r>
          </w:p>
          <w:p w:rsidR="00490F1A" w:rsidRDefault="00490F1A" w:rsidP="006217F8">
            <w:pPr>
              <w:pStyle w:val="normal-dot"/>
              <w:tabs>
                <w:tab w:val="clear" w:pos="360"/>
                <w:tab w:val="left" w:pos="1440"/>
              </w:tabs>
              <w:spacing w:before="0" w:after="120" w:line="276" w:lineRule="auto"/>
              <w:ind w:left="0" w:right="142" w:firstLine="0"/>
              <w:rPr>
                <w:rFonts w:ascii="Arial" w:hAnsi="Arial" w:cs="Arial"/>
                <w:b/>
                <w:szCs w:val="22"/>
              </w:rPr>
            </w:pPr>
          </w:p>
        </w:tc>
      </w:tr>
      <w:tr w:rsidR="00036687" w:rsidRPr="00F6308F" w:rsidTr="001955CD">
        <w:trPr>
          <w:jc w:val="center"/>
        </w:trPr>
        <w:tc>
          <w:tcPr>
            <w:tcW w:w="8892" w:type="dxa"/>
          </w:tcPr>
          <w:p w:rsidR="00036687" w:rsidRPr="003E7D99" w:rsidRDefault="00036687" w:rsidP="00160B1B">
            <w:pPr>
              <w:tabs>
                <w:tab w:val="left" w:pos="360"/>
              </w:tabs>
              <w:spacing w:after="0" w:line="240" w:lineRule="auto"/>
              <w:rPr>
                <w:rFonts w:eastAsia="Times New Roman" w:cs="Arial"/>
                <w:u w:val="single"/>
                <w:lang w:eastAsia="en-AU"/>
              </w:rPr>
            </w:pPr>
            <w:r w:rsidRPr="003E7D99">
              <w:rPr>
                <w:rFonts w:eastAsia="Times New Roman" w:cs="Arial"/>
                <w:u w:val="single"/>
                <w:lang w:eastAsia="en-AU"/>
              </w:rPr>
              <w:t>Harvest strategy</w:t>
            </w:r>
          </w:p>
          <w:p w:rsidR="00036687" w:rsidRPr="00036687" w:rsidRDefault="00036687" w:rsidP="00160B1B">
            <w:pPr>
              <w:tabs>
                <w:tab w:val="left" w:pos="360"/>
              </w:tabs>
              <w:spacing w:after="0"/>
              <w:rPr>
                <w:rFonts w:eastAsia="Times New Roman" w:cs="Arial"/>
                <w:lang w:eastAsia="en-AU"/>
              </w:rPr>
            </w:pPr>
            <w:r w:rsidRPr="00036687">
              <w:rPr>
                <w:rFonts w:eastAsia="Times New Roman" w:cs="Arial"/>
                <w:lang w:eastAsia="en-AU"/>
              </w:rPr>
              <w:t xml:space="preserve">The Department notes that the Tasmanian Giant Crab fishery has recorded declining catch rates for a number of years. The impact of environmental factors (such as changes to benthic habitat and changes to ocean currents) on catch rates is unknown and the relationship between catch rates and spawning biomass is not clearly understood. </w:t>
            </w:r>
          </w:p>
          <w:p w:rsidR="00036687" w:rsidRPr="00036687" w:rsidRDefault="00036687" w:rsidP="006217F8">
            <w:pPr>
              <w:tabs>
                <w:tab w:val="left" w:pos="360"/>
              </w:tabs>
              <w:spacing w:after="120"/>
              <w:rPr>
                <w:rFonts w:eastAsia="Times New Roman" w:cs="Arial"/>
                <w:lang w:eastAsia="en-AU"/>
              </w:rPr>
            </w:pPr>
            <w:r w:rsidRPr="00036687">
              <w:rPr>
                <w:rFonts w:eastAsia="Times New Roman" w:cs="Arial"/>
                <w:lang w:eastAsia="en-AU"/>
              </w:rPr>
              <w:t>In the 2009 assessment, the Department recommended that DPIPWE finalise new performance indicators and ensure that appropriate management responses were developed. In its 2014 submission to the Department, DPIPWE provided a draft harvest strategy containing performance indicators and management responses that ha</w:t>
            </w:r>
            <w:r w:rsidR="00C8629C">
              <w:rPr>
                <w:rFonts w:eastAsia="Times New Roman" w:cs="Arial"/>
                <w:lang w:eastAsia="en-AU"/>
              </w:rPr>
              <w:t>ve</w:t>
            </w:r>
            <w:r w:rsidRPr="00036687">
              <w:rPr>
                <w:rFonts w:eastAsia="Times New Roman" w:cs="Arial"/>
                <w:lang w:eastAsia="en-AU"/>
              </w:rPr>
              <w:t xml:space="preserve"> been developed. While this harvest strategy has not yet been formally adopted, DPIPWE has advised that it will be finalised following an assessment of the target and limit reference points currently being conducted by IMAS.</w:t>
            </w:r>
            <w:r w:rsidR="00042EFF">
              <w:rPr>
                <w:rFonts w:eastAsia="Times New Roman" w:cs="Arial"/>
                <w:lang w:eastAsia="en-AU"/>
              </w:rPr>
              <w:t xml:space="preserve">  </w:t>
            </w:r>
            <w:r w:rsidRPr="00036687">
              <w:rPr>
                <w:rFonts w:eastAsia="Times New Roman" w:cs="Arial"/>
                <w:lang w:eastAsia="en-AU"/>
              </w:rPr>
              <w:t xml:space="preserve"> </w:t>
            </w:r>
          </w:p>
          <w:p w:rsidR="00036687" w:rsidRPr="00036687" w:rsidRDefault="00036687" w:rsidP="006217F8">
            <w:pPr>
              <w:tabs>
                <w:tab w:val="left" w:pos="360"/>
              </w:tabs>
              <w:spacing w:after="120"/>
              <w:rPr>
                <w:rFonts w:eastAsia="Times New Roman" w:cs="Arial"/>
                <w:lang w:eastAsia="en-AU"/>
              </w:rPr>
            </w:pPr>
            <w:r w:rsidRPr="00036687">
              <w:rPr>
                <w:rFonts w:eastAsia="Times New Roman" w:cs="Arial"/>
                <w:lang w:eastAsia="en-AU"/>
              </w:rPr>
              <w:t xml:space="preserve">In the draft harvest strategy, DPIPWE has estimated that the </w:t>
            </w:r>
            <w:r w:rsidR="00C8629C">
              <w:rPr>
                <w:rFonts w:eastAsia="Times New Roman" w:cs="Arial"/>
                <w:lang w:eastAsia="en-AU"/>
              </w:rPr>
              <w:t>g</w:t>
            </w:r>
            <w:r w:rsidRPr="00036687">
              <w:rPr>
                <w:rFonts w:eastAsia="Times New Roman" w:cs="Arial"/>
                <w:lang w:eastAsia="en-AU"/>
              </w:rPr>
              <w:t xml:space="preserve">iant </w:t>
            </w:r>
            <w:r w:rsidR="00C8629C">
              <w:rPr>
                <w:rFonts w:eastAsia="Times New Roman" w:cs="Arial"/>
                <w:lang w:eastAsia="en-AU"/>
              </w:rPr>
              <w:t>c</w:t>
            </w:r>
            <w:r w:rsidRPr="00036687">
              <w:rPr>
                <w:rFonts w:eastAsia="Times New Roman" w:cs="Arial"/>
                <w:lang w:eastAsia="en-AU"/>
              </w:rPr>
              <w:t xml:space="preserve">rab biomass is currently at 19% of pre fishing levels. The accepted standard level for crustacean fisheries is considered to be 30%. DPIPWE has subsequently set 30% as the long term target level for the fishery, with the expectation that a level of 25% of pre fished </w:t>
            </w:r>
            <w:r w:rsidR="00042EFF">
              <w:rPr>
                <w:rFonts w:eastAsia="Times New Roman" w:cs="Arial"/>
                <w:lang w:eastAsia="en-AU"/>
              </w:rPr>
              <w:t>g</w:t>
            </w:r>
            <w:r w:rsidRPr="00036687">
              <w:rPr>
                <w:rFonts w:eastAsia="Times New Roman" w:cs="Arial"/>
                <w:lang w:eastAsia="en-AU"/>
              </w:rPr>
              <w:t xml:space="preserve">iant </w:t>
            </w:r>
            <w:r w:rsidR="00042EFF">
              <w:rPr>
                <w:rFonts w:eastAsia="Times New Roman" w:cs="Arial"/>
                <w:lang w:eastAsia="en-AU"/>
              </w:rPr>
              <w:t>c</w:t>
            </w:r>
            <w:r w:rsidRPr="00036687">
              <w:rPr>
                <w:rFonts w:eastAsia="Times New Roman" w:cs="Arial"/>
                <w:lang w:eastAsia="en-AU"/>
              </w:rPr>
              <w:t xml:space="preserve">rab biomass would be reached within the life of the new management plan (10 years). </w:t>
            </w:r>
          </w:p>
          <w:p w:rsidR="00036687" w:rsidRPr="00036687" w:rsidRDefault="00036687" w:rsidP="006217F8">
            <w:pPr>
              <w:tabs>
                <w:tab w:val="left" w:pos="360"/>
              </w:tabs>
              <w:spacing w:after="120"/>
              <w:rPr>
                <w:rFonts w:eastAsia="Times New Roman" w:cs="Arial"/>
                <w:lang w:eastAsia="en-AU"/>
              </w:rPr>
            </w:pPr>
            <w:r w:rsidRPr="00036687">
              <w:rPr>
                <w:rFonts w:eastAsia="Times New Roman" w:cs="Arial"/>
                <w:lang w:eastAsia="en-AU"/>
              </w:rPr>
              <w:t xml:space="preserve">As part of the assessment by IMAS, the Total Allowable Catch (TAC) will continue to be set at levels that will ensure an 80% probability of the 25% target being reached in the lifetime of the current management plan. IMAS will also report on the timeframe required to reach the long term target of 30%. DPIPWE has advised the Department that should catch rates continue to decline below current levels, the TAC will be reduced to a point that will, in high probability, allow the biomass to rebuild. </w:t>
            </w:r>
          </w:p>
          <w:p w:rsidR="00036687" w:rsidRPr="00036687" w:rsidRDefault="00036687" w:rsidP="006217F8">
            <w:pPr>
              <w:tabs>
                <w:tab w:val="left" w:pos="360"/>
              </w:tabs>
              <w:spacing w:after="120"/>
              <w:rPr>
                <w:rFonts w:eastAsia="Times New Roman" w:cs="Arial"/>
                <w:lang w:eastAsia="en-AU"/>
              </w:rPr>
            </w:pPr>
            <w:r w:rsidRPr="00036687">
              <w:rPr>
                <w:rFonts w:eastAsia="Times New Roman" w:cs="Arial"/>
                <w:lang w:eastAsia="en-AU"/>
              </w:rPr>
              <w:t>The draft harvest strategy will be in place for the duration of the current management plan, with a review planned in five years to determine if the objectives are still appropriate. In addition biennial reviews of the harvest strategy will be undertaken by IMAS to determine if the objectives of the strategy are being met.</w:t>
            </w:r>
          </w:p>
          <w:p w:rsidR="00E733F9" w:rsidRPr="00160B1B" w:rsidRDefault="00036687" w:rsidP="00160B1B">
            <w:pPr>
              <w:spacing w:line="240" w:lineRule="auto"/>
              <w:rPr>
                <w:rFonts w:eastAsia="Times New Roman" w:cs="Arial"/>
                <w:lang w:eastAsia="en-AU"/>
              </w:rPr>
            </w:pPr>
            <w:r w:rsidRPr="00036687">
              <w:rPr>
                <w:rFonts w:eastAsia="Times New Roman" w:cs="Arial"/>
                <w:lang w:eastAsia="en-AU"/>
              </w:rPr>
              <w:t>The Department is supportive of DPIPWE’s approach and recommends that DPIPWE ensures that the finalised harvest strategy is implemented as soon as possible and that appropriate management responses and actions are implemented accordingly.</w:t>
            </w:r>
          </w:p>
        </w:tc>
        <w:tc>
          <w:tcPr>
            <w:tcW w:w="5189" w:type="dxa"/>
          </w:tcPr>
          <w:p w:rsidR="00036687" w:rsidRPr="00036687" w:rsidRDefault="00036687" w:rsidP="006217F8">
            <w:pPr>
              <w:spacing w:after="0"/>
              <w:rPr>
                <w:rFonts w:eastAsia="Times New Roman" w:cs="Arial"/>
                <w:b/>
                <w:lang w:eastAsia="en-AU"/>
              </w:rPr>
            </w:pPr>
            <w:r w:rsidRPr="00036687">
              <w:rPr>
                <w:rFonts w:eastAsia="Times New Roman" w:cs="Arial"/>
                <w:b/>
                <w:lang w:eastAsia="en-AU"/>
              </w:rPr>
              <w:t xml:space="preserve">Recommendation 5: </w:t>
            </w:r>
          </w:p>
          <w:p w:rsidR="00036687" w:rsidRPr="00036687" w:rsidRDefault="00036687" w:rsidP="006217F8">
            <w:pPr>
              <w:spacing w:after="0"/>
              <w:rPr>
                <w:rFonts w:eastAsia="Times New Roman" w:cs="Arial"/>
                <w:lang w:eastAsia="en-AU"/>
              </w:rPr>
            </w:pPr>
            <w:r w:rsidRPr="00036687">
              <w:rPr>
                <w:rFonts w:eastAsia="Times New Roman" w:cs="Arial"/>
                <w:lang w:eastAsia="en-AU"/>
              </w:rPr>
              <w:t xml:space="preserve">The </w:t>
            </w:r>
            <w:r w:rsidRPr="00036687">
              <w:rPr>
                <w:rFonts w:eastAsia="Times New Roman" w:cs="Arial"/>
                <w:iCs/>
                <w:lang w:eastAsia="en-AU"/>
              </w:rPr>
              <w:t>Department of Primary Industries, Parks, Water and Environment</w:t>
            </w:r>
            <w:r w:rsidRPr="00036687">
              <w:rPr>
                <w:rFonts w:eastAsia="Times New Roman" w:cs="Arial"/>
                <w:lang w:eastAsia="en-AU"/>
              </w:rPr>
              <w:t xml:space="preserve"> to finalise and implement the harvest strategy for the fishery.</w:t>
            </w:r>
          </w:p>
          <w:p w:rsidR="00036687" w:rsidRDefault="00036687" w:rsidP="006217F8">
            <w:pPr>
              <w:rPr>
                <w:b/>
                <w:bCs/>
                <w:color w:val="548DD4"/>
                <w:highlight w:val="yellow"/>
              </w:rPr>
            </w:pPr>
          </w:p>
        </w:tc>
      </w:tr>
      <w:tr w:rsidR="00036687" w:rsidRPr="00F6308F" w:rsidTr="001955CD">
        <w:trPr>
          <w:jc w:val="center"/>
        </w:trPr>
        <w:tc>
          <w:tcPr>
            <w:tcW w:w="8892" w:type="dxa"/>
          </w:tcPr>
          <w:p w:rsidR="00036687" w:rsidRPr="003E7D99" w:rsidRDefault="00036687" w:rsidP="00160B1B">
            <w:pPr>
              <w:tabs>
                <w:tab w:val="left" w:pos="360"/>
              </w:tabs>
              <w:spacing w:after="120"/>
              <w:rPr>
                <w:rFonts w:eastAsia="Times New Roman" w:cs="Arial"/>
                <w:u w:val="single"/>
                <w:lang w:eastAsia="en-AU"/>
              </w:rPr>
            </w:pPr>
            <w:r w:rsidRPr="003E7D99">
              <w:rPr>
                <w:rFonts w:eastAsia="Times New Roman" w:cs="Arial"/>
                <w:u w:val="single"/>
                <w:lang w:eastAsia="en-AU"/>
              </w:rPr>
              <w:t>Data Collection</w:t>
            </w:r>
          </w:p>
          <w:p w:rsidR="00036687" w:rsidRPr="00036687" w:rsidRDefault="00036687" w:rsidP="00160B1B">
            <w:pPr>
              <w:tabs>
                <w:tab w:val="left" w:pos="360"/>
              </w:tabs>
              <w:spacing w:after="120"/>
              <w:rPr>
                <w:rFonts w:eastAsia="Times New Roman" w:cs="Arial"/>
                <w:lang w:eastAsia="en-AU"/>
              </w:rPr>
            </w:pPr>
            <w:r w:rsidRPr="00036687">
              <w:rPr>
                <w:rFonts w:eastAsia="Times New Roman" w:cs="Arial"/>
                <w:lang w:eastAsia="en-AU"/>
              </w:rPr>
              <w:t>In its submission to the Department, DPIPWE advised that a voluntary length frequency data collection system was introduced into the fishery with limited success. The lack of this data has impeded DPIPWE’s ability to analyse the causes of continuing decline in catch rates in the fishery. DPIPWE also noted that the current length-frequency data available for the fishery has all been provided by a single operator.</w:t>
            </w:r>
            <w:r w:rsidR="00042EFF">
              <w:rPr>
                <w:rFonts w:eastAsia="Times New Roman" w:cs="Arial"/>
                <w:lang w:eastAsia="en-AU"/>
              </w:rPr>
              <w:t xml:space="preserve"> </w:t>
            </w:r>
          </w:p>
          <w:p w:rsidR="00036687" w:rsidRPr="00036687" w:rsidRDefault="00036687" w:rsidP="00160B1B">
            <w:pPr>
              <w:tabs>
                <w:tab w:val="left" w:pos="360"/>
              </w:tabs>
              <w:spacing w:after="120"/>
              <w:rPr>
                <w:rFonts w:eastAsia="Times New Roman" w:cs="Arial"/>
                <w:b/>
                <w:u w:val="single"/>
                <w:lang w:eastAsia="en-AU"/>
              </w:rPr>
            </w:pPr>
            <w:r w:rsidRPr="00036687">
              <w:rPr>
                <w:rFonts w:eastAsia="Times New Roman" w:cs="Arial"/>
                <w:lang w:eastAsia="en-AU"/>
              </w:rPr>
              <w:t>Considering the potential importance of this data in helping understand the decrease of catch rates in the fishery, the Department recommends that DPIPWE continue to work with fishers to encourage increased data collection, and if necessary, consider mandatory data collection.</w:t>
            </w:r>
          </w:p>
        </w:tc>
        <w:tc>
          <w:tcPr>
            <w:tcW w:w="5189" w:type="dxa"/>
          </w:tcPr>
          <w:p w:rsidR="000F7101" w:rsidRPr="000F7101" w:rsidRDefault="000F7101" w:rsidP="00160B1B">
            <w:pPr>
              <w:spacing w:after="0"/>
              <w:rPr>
                <w:rFonts w:eastAsia="Times New Roman" w:cs="Arial"/>
                <w:b/>
                <w:lang w:eastAsia="en-AU"/>
              </w:rPr>
            </w:pPr>
            <w:r w:rsidRPr="000F7101">
              <w:rPr>
                <w:rFonts w:eastAsia="Times New Roman" w:cs="Arial"/>
                <w:b/>
                <w:lang w:eastAsia="en-AU"/>
              </w:rPr>
              <w:t xml:space="preserve">Recommendation 6: </w:t>
            </w:r>
          </w:p>
          <w:p w:rsidR="000F7101" w:rsidRPr="000F7101" w:rsidRDefault="000F7101" w:rsidP="00160B1B">
            <w:pPr>
              <w:spacing w:after="0"/>
              <w:rPr>
                <w:rFonts w:eastAsia="Times New Roman" w:cs="Arial"/>
                <w:lang w:eastAsia="en-AU"/>
              </w:rPr>
            </w:pPr>
            <w:r w:rsidRPr="000F7101">
              <w:rPr>
                <w:rFonts w:eastAsia="Times New Roman" w:cs="Arial"/>
                <w:lang w:eastAsia="en-AU"/>
              </w:rPr>
              <w:t xml:space="preserve">The </w:t>
            </w:r>
            <w:r w:rsidRPr="000F7101">
              <w:rPr>
                <w:rFonts w:eastAsia="Times New Roman" w:cs="Arial"/>
                <w:iCs/>
                <w:lang w:eastAsia="en-AU"/>
              </w:rPr>
              <w:t>Department of Primary Industries, Parks, Water and Environment</w:t>
            </w:r>
            <w:r w:rsidRPr="000F7101">
              <w:rPr>
                <w:rFonts w:eastAsia="Times New Roman" w:cs="Arial"/>
                <w:lang w:eastAsia="en-AU"/>
              </w:rPr>
              <w:t xml:space="preserve"> to work with fishers to improve data collection in the fishery.</w:t>
            </w:r>
          </w:p>
          <w:p w:rsidR="00036687" w:rsidRPr="00036687" w:rsidRDefault="00036687" w:rsidP="00160B1B">
            <w:pPr>
              <w:spacing w:after="0"/>
              <w:rPr>
                <w:rFonts w:eastAsia="Times New Roman" w:cs="Arial"/>
                <w:b/>
                <w:lang w:eastAsia="en-AU"/>
              </w:rPr>
            </w:pPr>
          </w:p>
        </w:tc>
      </w:tr>
    </w:tbl>
    <w:p w:rsidR="00B6012C" w:rsidRPr="00F6308F" w:rsidRDefault="00B6012C" w:rsidP="001955CD">
      <w:pPr>
        <w:tabs>
          <w:tab w:val="left" w:pos="360"/>
        </w:tabs>
        <w:rPr>
          <w:rFonts w:cs="Arial"/>
        </w:rPr>
      </w:pPr>
    </w:p>
    <w:p w:rsidR="00B6012C" w:rsidRPr="00F6308F" w:rsidRDefault="00B6012C" w:rsidP="001955CD">
      <w:pPr>
        <w:tabs>
          <w:tab w:val="left" w:pos="360"/>
        </w:tabs>
        <w:rPr>
          <w:rFonts w:cs="Arial"/>
          <w:color w:val="FF0000"/>
        </w:rPr>
      </w:pPr>
    </w:p>
    <w:p w:rsidR="00B6012C" w:rsidRPr="00F6308F" w:rsidRDefault="00B6012C" w:rsidP="001955CD">
      <w:pPr>
        <w:tabs>
          <w:tab w:val="left" w:pos="360"/>
        </w:tabs>
        <w:rPr>
          <w:rFonts w:cs="Arial"/>
          <w:color w:val="FF0000"/>
        </w:rPr>
        <w:sectPr w:rsidR="00B6012C" w:rsidRPr="00F6308F" w:rsidSect="00E733F9">
          <w:pgSz w:w="16838" w:h="11906" w:orient="landscape"/>
          <w:pgMar w:top="964" w:right="1021" w:bottom="964" w:left="1021" w:header="709" w:footer="709" w:gutter="0"/>
          <w:cols w:space="708"/>
          <w:docGrid w:linePitch="360"/>
        </w:sectPr>
      </w:pPr>
    </w:p>
    <w:p w:rsidR="00B6012C" w:rsidRPr="00F6308F" w:rsidRDefault="00B6012C" w:rsidP="001955CD">
      <w:pPr>
        <w:tabs>
          <w:tab w:val="left" w:pos="360"/>
        </w:tabs>
        <w:rPr>
          <w:rFonts w:cs="Arial"/>
        </w:rPr>
      </w:pPr>
    </w:p>
    <w:tbl>
      <w:tblPr>
        <w:tblW w:w="0" w:type="auto"/>
        <w:tblLook w:val="01E0"/>
      </w:tblPr>
      <w:tblGrid>
        <w:gridCol w:w="1548"/>
        <w:gridCol w:w="6980"/>
      </w:tblGrid>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i/>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bl>
    <w:p w:rsidR="00B6012C" w:rsidRPr="00F6308F" w:rsidRDefault="00B6012C" w:rsidP="001955CD">
      <w:pPr>
        <w:rPr>
          <w:rFonts w:cs="Arial"/>
        </w:rPr>
      </w:pPr>
    </w:p>
    <w:p w:rsidR="006B14DB" w:rsidRPr="00EF53FF" w:rsidRDefault="006B14DB" w:rsidP="00932861"/>
    <w:sectPr w:rsidR="006B14DB" w:rsidRPr="00EF53FF" w:rsidSect="00FA4CF0">
      <w:headerReference w:type="even" r:id="rId19"/>
      <w:headerReference w:type="default" r:id="rId20"/>
      <w:footerReference w:type="even" r:id="rId21"/>
      <w:footerReference w:type="default" r:id="rId22"/>
      <w:headerReference w:type="first" r:id="rId23"/>
      <w:footerReference w:type="first" r:id="rId24"/>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123" w:rsidRDefault="00652123" w:rsidP="00A60185">
      <w:pPr>
        <w:spacing w:after="0" w:line="240" w:lineRule="auto"/>
      </w:pPr>
      <w:r>
        <w:separator/>
      </w:r>
    </w:p>
  </w:endnote>
  <w:endnote w:type="continuationSeparator" w:id="0">
    <w:p w:rsidR="00652123" w:rsidRDefault="00652123"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62" w:rsidRDefault="003344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123" w:rsidRDefault="00652123">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123" w:rsidRDefault="00652123">
    <w:pPr>
      <w:pStyle w:val="Footer"/>
      <w:jc w:val="right"/>
    </w:pPr>
  </w:p>
  <w:p w:rsidR="00652123" w:rsidRDefault="0065212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123" w:rsidRPr="008676DA" w:rsidRDefault="00C141EE">
    <w:pPr>
      <w:pStyle w:val="Footer"/>
      <w:jc w:val="right"/>
      <w:rPr>
        <w:rFonts w:cs="Arial"/>
      </w:rPr>
    </w:pPr>
    <w:r w:rsidRPr="008676DA">
      <w:rPr>
        <w:rFonts w:cs="Arial"/>
      </w:rPr>
      <w:fldChar w:fldCharType="begin"/>
    </w:r>
    <w:r w:rsidR="00652123" w:rsidRPr="008676DA">
      <w:rPr>
        <w:rFonts w:cs="Arial"/>
      </w:rPr>
      <w:instrText xml:space="preserve"> PAGE   \* MERGEFORMAT </w:instrText>
    </w:r>
    <w:r w:rsidRPr="008676DA">
      <w:rPr>
        <w:rFonts w:cs="Arial"/>
      </w:rPr>
      <w:fldChar w:fldCharType="separate"/>
    </w:r>
    <w:r w:rsidR="00F167AD">
      <w:rPr>
        <w:rFonts w:cs="Arial"/>
        <w:noProof/>
      </w:rPr>
      <w:t>25</w:t>
    </w:r>
    <w:r w:rsidRPr="008676DA">
      <w:rPr>
        <w:rFonts w:cs="Arial"/>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123" w:rsidRPr="00E5103E" w:rsidRDefault="00C141EE">
    <w:pPr>
      <w:pStyle w:val="Footer"/>
      <w:jc w:val="right"/>
      <w:rPr>
        <w:rFonts w:cs="Arial"/>
      </w:rPr>
    </w:pPr>
    <w:r w:rsidRPr="00E5103E">
      <w:rPr>
        <w:rFonts w:cs="Arial"/>
      </w:rPr>
      <w:fldChar w:fldCharType="begin"/>
    </w:r>
    <w:r w:rsidR="00652123" w:rsidRPr="00E5103E">
      <w:rPr>
        <w:rFonts w:cs="Arial"/>
      </w:rPr>
      <w:instrText xml:space="preserve"> PAGE   \* MERGEFORMAT </w:instrText>
    </w:r>
    <w:r w:rsidRPr="00E5103E">
      <w:rPr>
        <w:rFonts w:cs="Arial"/>
      </w:rPr>
      <w:fldChar w:fldCharType="separate"/>
    </w:r>
    <w:r w:rsidR="00652123">
      <w:rPr>
        <w:rFonts w:cs="Arial"/>
        <w:noProof/>
      </w:rPr>
      <w:t>1</w:t>
    </w:r>
    <w:r w:rsidRPr="00E5103E">
      <w:rPr>
        <w:rFonts w:cs="Arial"/>
      </w:rPr>
      <w:fldChar w:fldCharType="end"/>
    </w:r>
  </w:p>
  <w:p w:rsidR="00652123" w:rsidRDefault="00652123">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123" w:rsidRDefault="00652123">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652123" w:rsidRDefault="00C141EE">
        <w:pPr>
          <w:pStyle w:val="Footer"/>
          <w:jc w:val="center"/>
        </w:pPr>
        <w:fldSimple w:instr=" PAGE   \* MERGEFORMAT ">
          <w:r w:rsidR="00652123">
            <w:rPr>
              <w:noProof/>
            </w:rPr>
            <w:t>3</w:t>
          </w:r>
        </w:fldSimple>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123" w:rsidRDefault="006521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123" w:rsidRDefault="00652123" w:rsidP="00A60185">
      <w:pPr>
        <w:spacing w:after="0" w:line="240" w:lineRule="auto"/>
      </w:pPr>
      <w:r>
        <w:separator/>
      </w:r>
    </w:p>
  </w:footnote>
  <w:footnote w:type="continuationSeparator" w:id="0">
    <w:p w:rsidR="00652123" w:rsidRDefault="00652123" w:rsidP="00A60185">
      <w:pPr>
        <w:spacing w:after="0" w:line="240" w:lineRule="auto"/>
      </w:pPr>
      <w:r>
        <w:continuationSeparator/>
      </w:r>
    </w:p>
  </w:footnote>
  <w:footnote w:id="1">
    <w:p w:rsidR="00652123" w:rsidRPr="008676DA" w:rsidRDefault="00652123"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652123" w:rsidRPr="008676DA" w:rsidRDefault="00652123"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62" w:rsidRDefault="003344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62" w:rsidRDefault="0033446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62" w:rsidRDefault="0033446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123" w:rsidRDefault="00C141EE" w:rsidP="00E45765">
    <w:pPr>
      <w:pStyle w:val="Classification"/>
    </w:pPr>
    <w:r>
      <w:fldChar w:fldCharType="begin"/>
    </w:r>
    <w:r w:rsidR="00652123">
      <w:instrText xml:space="preserve"> DOCPROPERTY SecurityClassification \* MERGEFORMAT </w:instrText>
    </w:r>
    <w:r>
      <w:fldChar w:fldCharType="separate"/>
    </w:r>
    <w:r w:rsidR="00652123">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123" w:rsidRDefault="0065212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123" w:rsidRDefault="0065212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D68994"/>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0F8064EF"/>
    <w:multiLevelType w:val="hybridMultilevel"/>
    <w:tmpl w:val="D4EC1C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1F745BC2"/>
    <w:multiLevelType w:val="multilevel"/>
    <w:tmpl w:val="E5E89F92"/>
    <w:numStyleLink w:val="BulletList"/>
  </w:abstractNum>
  <w:abstractNum w:abstractNumId="12">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9647E92"/>
    <w:multiLevelType w:val="hybridMultilevel"/>
    <w:tmpl w:val="9D5AF382"/>
    <w:lvl w:ilvl="0" w:tplc="31107FD6">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65456429"/>
    <w:multiLevelType w:val="multilevel"/>
    <w:tmpl w:val="E898CC72"/>
    <w:numStyleLink w:val="KeyPoints"/>
  </w:abstractNum>
  <w:abstractNum w:abstractNumId="29">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3">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4">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3"/>
  </w:num>
  <w:num w:numId="2">
    <w:abstractNumId w:val="1"/>
  </w:num>
  <w:num w:numId="3">
    <w:abstractNumId w:val="18"/>
  </w:num>
  <w:num w:numId="4">
    <w:abstractNumId w:val="0"/>
  </w:num>
  <w:num w:numId="5">
    <w:abstractNumId w:val="17"/>
  </w:num>
  <w:num w:numId="6">
    <w:abstractNumId w:val="28"/>
  </w:num>
  <w:num w:numId="7">
    <w:abstractNumId w:val="11"/>
  </w:num>
  <w:num w:numId="8">
    <w:abstractNumId w:val="5"/>
  </w:num>
  <w:num w:numId="9">
    <w:abstractNumId w:val="21"/>
  </w:num>
  <w:num w:numId="10">
    <w:abstractNumId w:val="30"/>
  </w:num>
  <w:num w:numId="11">
    <w:abstractNumId w:val="24"/>
  </w:num>
  <w:num w:numId="12">
    <w:abstractNumId w:val="7"/>
  </w:num>
  <w:num w:numId="13">
    <w:abstractNumId w:val="15"/>
  </w:num>
  <w:num w:numId="14">
    <w:abstractNumId w:val="31"/>
  </w:num>
  <w:num w:numId="15">
    <w:abstractNumId w:val="25"/>
  </w:num>
  <w:num w:numId="16">
    <w:abstractNumId w:val="2"/>
  </w:num>
  <w:num w:numId="17">
    <w:abstractNumId w:val="16"/>
  </w:num>
  <w:num w:numId="18">
    <w:abstractNumId w:val="12"/>
  </w:num>
  <w:num w:numId="19">
    <w:abstractNumId w:val="23"/>
  </w:num>
  <w:num w:numId="20">
    <w:abstractNumId w:val="14"/>
  </w:num>
  <w:num w:numId="21">
    <w:abstractNumId w:val="10"/>
  </w:num>
  <w:num w:numId="22">
    <w:abstractNumId w:val="13"/>
  </w:num>
  <w:num w:numId="23">
    <w:abstractNumId w:val="22"/>
  </w:num>
  <w:num w:numId="24">
    <w:abstractNumId w:val="27"/>
  </w:num>
  <w:num w:numId="25">
    <w:abstractNumId w:val="20"/>
  </w:num>
  <w:num w:numId="26">
    <w:abstractNumId w:val="8"/>
  </w:num>
  <w:num w:numId="27">
    <w:abstractNumId w:val="9"/>
  </w:num>
  <w:num w:numId="28">
    <w:abstractNumId w:val="26"/>
  </w:num>
  <w:num w:numId="29">
    <w:abstractNumId w:val="32"/>
  </w:num>
  <w:num w:numId="30">
    <w:abstractNumId w:val="34"/>
  </w:num>
  <w:num w:numId="31">
    <w:abstractNumId w:val="29"/>
  </w:num>
  <w:num w:numId="32">
    <w:abstractNumId w:val="0"/>
    <w:lvlOverride w:ilvl="0">
      <w:startOverride w:val="1"/>
    </w:lvlOverride>
  </w:num>
  <w:num w:numId="33">
    <w:abstractNumId w:val="3"/>
  </w:num>
  <w:num w:numId="34">
    <w:abstractNumId w:val="19"/>
  </w:num>
  <w:num w:numId="35">
    <w:abstractNumId w:val="28"/>
  </w:num>
  <w:num w:numId="36">
    <w:abstractNumId w:val="6"/>
  </w:num>
  <w:num w:numId="37">
    <w:abstractNumId w:val="4"/>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cVars>
    <w:docVar w:name="SecurityClassificationInHeader" w:val="False"/>
  </w:docVars>
  <w:rsids>
    <w:rsidRoot w:val="005A3C4B"/>
    <w:rsid w:val="00004AEE"/>
    <w:rsid w:val="00005CAA"/>
    <w:rsid w:val="00010210"/>
    <w:rsid w:val="00012D66"/>
    <w:rsid w:val="00015ADA"/>
    <w:rsid w:val="00020C99"/>
    <w:rsid w:val="00024774"/>
    <w:rsid w:val="0002707B"/>
    <w:rsid w:val="00033E70"/>
    <w:rsid w:val="00036687"/>
    <w:rsid w:val="00042EFF"/>
    <w:rsid w:val="0005148E"/>
    <w:rsid w:val="00066E65"/>
    <w:rsid w:val="00072C5A"/>
    <w:rsid w:val="00074766"/>
    <w:rsid w:val="000750A6"/>
    <w:rsid w:val="000759E5"/>
    <w:rsid w:val="00084AC6"/>
    <w:rsid w:val="00091608"/>
    <w:rsid w:val="0009333C"/>
    <w:rsid w:val="0009704F"/>
    <w:rsid w:val="000A0F11"/>
    <w:rsid w:val="000A125A"/>
    <w:rsid w:val="000A2F23"/>
    <w:rsid w:val="000A57CD"/>
    <w:rsid w:val="000A7037"/>
    <w:rsid w:val="000B2634"/>
    <w:rsid w:val="000B3758"/>
    <w:rsid w:val="000B3BD8"/>
    <w:rsid w:val="000B4939"/>
    <w:rsid w:val="000B7681"/>
    <w:rsid w:val="000B7B42"/>
    <w:rsid w:val="000C02B7"/>
    <w:rsid w:val="000C07F0"/>
    <w:rsid w:val="000C5100"/>
    <w:rsid w:val="000C5342"/>
    <w:rsid w:val="000C706A"/>
    <w:rsid w:val="000D2887"/>
    <w:rsid w:val="000D6D63"/>
    <w:rsid w:val="000E0081"/>
    <w:rsid w:val="000E07CF"/>
    <w:rsid w:val="000E31C1"/>
    <w:rsid w:val="000F1C3A"/>
    <w:rsid w:val="000F2CF2"/>
    <w:rsid w:val="000F4600"/>
    <w:rsid w:val="000F7101"/>
    <w:rsid w:val="00100BEF"/>
    <w:rsid w:val="00110BCC"/>
    <w:rsid w:val="00111326"/>
    <w:rsid w:val="00112B1F"/>
    <w:rsid w:val="0011498E"/>
    <w:rsid w:val="00117A45"/>
    <w:rsid w:val="001224AE"/>
    <w:rsid w:val="00124348"/>
    <w:rsid w:val="001337D4"/>
    <w:rsid w:val="00141E00"/>
    <w:rsid w:val="0014691A"/>
    <w:rsid w:val="00147C12"/>
    <w:rsid w:val="00150D1F"/>
    <w:rsid w:val="001527A1"/>
    <w:rsid w:val="001530DC"/>
    <w:rsid w:val="00154989"/>
    <w:rsid w:val="00155A9F"/>
    <w:rsid w:val="00156AF4"/>
    <w:rsid w:val="00160262"/>
    <w:rsid w:val="00160B1B"/>
    <w:rsid w:val="0016780A"/>
    <w:rsid w:val="001713FA"/>
    <w:rsid w:val="00173EBF"/>
    <w:rsid w:val="00175ED3"/>
    <w:rsid w:val="001842A2"/>
    <w:rsid w:val="001843CC"/>
    <w:rsid w:val="00187FA8"/>
    <w:rsid w:val="00192F5E"/>
    <w:rsid w:val="001955CD"/>
    <w:rsid w:val="00197772"/>
    <w:rsid w:val="001A51C8"/>
    <w:rsid w:val="001B0A9D"/>
    <w:rsid w:val="001B4CA8"/>
    <w:rsid w:val="001B5EA1"/>
    <w:rsid w:val="001B5EDC"/>
    <w:rsid w:val="001B7A34"/>
    <w:rsid w:val="001C4F3D"/>
    <w:rsid w:val="001C758D"/>
    <w:rsid w:val="001D0330"/>
    <w:rsid w:val="001D0CDC"/>
    <w:rsid w:val="001D1D82"/>
    <w:rsid w:val="001D5DDB"/>
    <w:rsid w:val="001E1182"/>
    <w:rsid w:val="00202C90"/>
    <w:rsid w:val="00206C71"/>
    <w:rsid w:val="00213DE8"/>
    <w:rsid w:val="00216118"/>
    <w:rsid w:val="002202B7"/>
    <w:rsid w:val="002209AB"/>
    <w:rsid w:val="00221E1F"/>
    <w:rsid w:val="002251E3"/>
    <w:rsid w:val="00225F65"/>
    <w:rsid w:val="00226481"/>
    <w:rsid w:val="00227A95"/>
    <w:rsid w:val="002316BD"/>
    <w:rsid w:val="002317C0"/>
    <w:rsid w:val="002473FC"/>
    <w:rsid w:val="00251A99"/>
    <w:rsid w:val="00252BD0"/>
    <w:rsid w:val="00252E3C"/>
    <w:rsid w:val="002537EE"/>
    <w:rsid w:val="00262198"/>
    <w:rsid w:val="00285F1B"/>
    <w:rsid w:val="00292B81"/>
    <w:rsid w:val="0029751A"/>
    <w:rsid w:val="002A1CAA"/>
    <w:rsid w:val="002A1D9F"/>
    <w:rsid w:val="002B18AE"/>
    <w:rsid w:val="002B6FFA"/>
    <w:rsid w:val="002C0537"/>
    <w:rsid w:val="002C1C93"/>
    <w:rsid w:val="002C5066"/>
    <w:rsid w:val="002C5813"/>
    <w:rsid w:val="002D377C"/>
    <w:rsid w:val="002D4AAC"/>
    <w:rsid w:val="002F045A"/>
    <w:rsid w:val="002F0B87"/>
    <w:rsid w:val="002F5992"/>
    <w:rsid w:val="0030039D"/>
    <w:rsid w:val="00300463"/>
    <w:rsid w:val="003017A1"/>
    <w:rsid w:val="00301E80"/>
    <w:rsid w:val="0030326F"/>
    <w:rsid w:val="00310701"/>
    <w:rsid w:val="00315980"/>
    <w:rsid w:val="00316F7F"/>
    <w:rsid w:val="003218E8"/>
    <w:rsid w:val="00325E34"/>
    <w:rsid w:val="00330DCE"/>
    <w:rsid w:val="00331E11"/>
    <w:rsid w:val="00334462"/>
    <w:rsid w:val="00334761"/>
    <w:rsid w:val="00337EBC"/>
    <w:rsid w:val="00341DCD"/>
    <w:rsid w:val="0034563E"/>
    <w:rsid w:val="00350BCD"/>
    <w:rsid w:val="003518D6"/>
    <w:rsid w:val="00352865"/>
    <w:rsid w:val="0035460C"/>
    <w:rsid w:val="003556BD"/>
    <w:rsid w:val="00356908"/>
    <w:rsid w:val="0036385B"/>
    <w:rsid w:val="00365147"/>
    <w:rsid w:val="0037016E"/>
    <w:rsid w:val="00372908"/>
    <w:rsid w:val="00382E61"/>
    <w:rsid w:val="00383020"/>
    <w:rsid w:val="00394D7E"/>
    <w:rsid w:val="003975FD"/>
    <w:rsid w:val="003B057D"/>
    <w:rsid w:val="003B60CC"/>
    <w:rsid w:val="003C1B25"/>
    <w:rsid w:val="003C2443"/>
    <w:rsid w:val="003C5DA3"/>
    <w:rsid w:val="003D4BCD"/>
    <w:rsid w:val="003D5B25"/>
    <w:rsid w:val="003D6C2B"/>
    <w:rsid w:val="003E01D8"/>
    <w:rsid w:val="003E2100"/>
    <w:rsid w:val="003E4571"/>
    <w:rsid w:val="003E7D99"/>
    <w:rsid w:val="003F6F5B"/>
    <w:rsid w:val="0040342D"/>
    <w:rsid w:val="0041192D"/>
    <w:rsid w:val="00413EE1"/>
    <w:rsid w:val="0042128E"/>
    <w:rsid w:val="00422DDC"/>
    <w:rsid w:val="00432B60"/>
    <w:rsid w:val="004331A3"/>
    <w:rsid w:val="00440698"/>
    <w:rsid w:val="00441DF6"/>
    <w:rsid w:val="00442C27"/>
    <w:rsid w:val="00446A74"/>
    <w:rsid w:val="004520C5"/>
    <w:rsid w:val="004540E2"/>
    <w:rsid w:val="00454454"/>
    <w:rsid w:val="00454CFC"/>
    <w:rsid w:val="00467924"/>
    <w:rsid w:val="004712A5"/>
    <w:rsid w:val="0047266F"/>
    <w:rsid w:val="00476D6B"/>
    <w:rsid w:val="00487F41"/>
    <w:rsid w:val="00490F1A"/>
    <w:rsid w:val="00492844"/>
    <w:rsid w:val="00492C16"/>
    <w:rsid w:val="004A0678"/>
    <w:rsid w:val="004A3482"/>
    <w:rsid w:val="004A48A3"/>
    <w:rsid w:val="004B0D92"/>
    <w:rsid w:val="004B0EC0"/>
    <w:rsid w:val="004B66F1"/>
    <w:rsid w:val="004C07A3"/>
    <w:rsid w:val="004C1B91"/>
    <w:rsid w:val="004C3EA0"/>
    <w:rsid w:val="004C4525"/>
    <w:rsid w:val="004D3109"/>
    <w:rsid w:val="004E7333"/>
    <w:rsid w:val="004F7169"/>
    <w:rsid w:val="00500D66"/>
    <w:rsid w:val="0050191F"/>
    <w:rsid w:val="005025F7"/>
    <w:rsid w:val="005037E3"/>
    <w:rsid w:val="00514C8E"/>
    <w:rsid w:val="00531DBF"/>
    <w:rsid w:val="00541404"/>
    <w:rsid w:val="005434F8"/>
    <w:rsid w:val="00545759"/>
    <w:rsid w:val="00545BE0"/>
    <w:rsid w:val="00546930"/>
    <w:rsid w:val="005474C4"/>
    <w:rsid w:val="00554C6A"/>
    <w:rsid w:val="00562E85"/>
    <w:rsid w:val="0056332F"/>
    <w:rsid w:val="00565B53"/>
    <w:rsid w:val="005719B3"/>
    <w:rsid w:val="0057295E"/>
    <w:rsid w:val="00581C39"/>
    <w:rsid w:val="005903B6"/>
    <w:rsid w:val="00591C50"/>
    <w:rsid w:val="005A0247"/>
    <w:rsid w:val="005A126E"/>
    <w:rsid w:val="005A3C4B"/>
    <w:rsid w:val="005A452F"/>
    <w:rsid w:val="005B140D"/>
    <w:rsid w:val="005B5601"/>
    <w:rsid w:val="005B5C91"/>
    <w:rsid w:val="005C1FEA"/>
    <w:rsid w:val="005C3495"/>
    <w:rsid w:val="005E0D36"/>
    <w:rsid w:val="005E3DFC"/>
    <w:rsid w:val="005E5942"/>
    <w:rsid w:val="005E60AF"/>
    <w:rsid w:val="005F1DEA"/>
    <w:rsid w:val="005F7483"/>
    <w:rsid w:val="005F7C2B"/>
    <w:rsid w:val="00607FC9"/>
    <w:rsid w:val="006217F8"/>
    <w:rsid w:val="00622FE1"/>
    <w:rsid w:val="0062521C"/>
    <w:rsid w:val="00627A11"/>
    <w:rsid w:val="00630A2B"/>
    <w:rsid w:val="00631F75"/>
    <w:rsid w:val="006327AE"/>
    <w:rsid w:val="00632DC7"/>
    <w:rsid w:val="006357FB"/>
    <w:rsid w:val="006369F6"/>
    <w:rsid w:val="006406FC"/>
    <w:rsid w:val="00640E57"/>
    <w:rsid w:val="00642466"/>
    <w:rsid w:val="00645C89"/>
    <w:rsid w:val="00646122"/>
    <w:rsid w:val="00652123"/>
    <w:rsid w:val="00653E16"/>
    <w:rsid w:val="00657220"/>
    <w:rsid w:val="00657362"/>
    <w:rsid w:val="006574B9"/>
    <w:rsid w:val="0066104B"/>
    <w:rsid w:val="006655EE"/>
    <w:rsid w:val="00667C10"/>
    <w:rsid w:val="00667EF4"/>
    <w:rsid w:val="00676FCA"/>
    <w:rsid w:val="00677177"/>
    <w:rsid w:val="0068612E"/>
    <w:rsid w:val="00687C92"/>
    <w:rsid w:val="0069534E"/>
    <w:rsid w:val="0069669C"/>
    <w:rsid w:val="006A1200"/>
    <w:rsid w:val="006A32D6"/>
    <w:rsid w:val="006A4F4E"/>
    <w:rsid w:val="006A6945"/>
    <w:rsid w:val="006A6C23"/>
    <w:rsid w:val="006B14DB"/>
    <w:rsid w:val="006B21C4"/>
    <w:rsid w:val="006C33C7"/>
    <w:rsid w:val="006C4A1A"/>
    <w:rsid w:val="006D0393"/>
    <w:rsid w:val="006D0F85"/>
    <w:rsid w:val="006D190F"/>
    <w:rsid w:val="006D1A83"/>
    <w:rsid w:val="006D3448"/>
    <w:rsid w:val="006E1CFE"/>
    <w:rsid w:val="006E6556"/>
    <w:rsid w:val="006F10C4"/>
    <w:rsid w:val="006F40E9"/>
    <w:rsid w:val="006F5603"/>
    <w:rsid w:val="006F7B87"/>
    <w:rsid w:val="00701400"/>
    <w:rsid w:val="007037CF"/>
    <w:rsid w:val="007167C0"/>
    <w:rsid w:val="00720481"/>
    <w:rsid w:val="00724752"/>
    <w:rsid w:val="0073236A"/>
    <w:rsid w:val="00733193"/>
    <w:rsid w:val="007430E0"/>
    <w:rsid w:val="00743541"/>
    <w:rsid w:val="00744DDA"/>
    <w:rsid w:val="00745E03"/>
    <w:rsid w:val="007464D5"/>
    <w:rsid w:val="00755BA2"/>
    <w:rsid w:val="0075732A"/>
    <w:rsid w:val="007600F8"/>
    <w:rsid w:val="00760262"/>
    <w:rsid w:val="0076063D"/>
    <w:rsid w:val="0076310C"/>
    <w:rsid w:val="0076744F"/>
    <w:rsid w:val="00767BCE"/>
    <w:rsid w:val="00767EFC"/>
    <w:rsid w:val="007707DE"/>
    <w:rsid w:val="00770B5D"/>
    <w:rsid w:val="007752F1"/>
    <w:rsid w:val="00776768"/>
    <w:rsid w:val="00776A41"/>
    <w:rsid w:val="007777A6"/>
    <w:rsid w:val="0078187A"/>
    <w:rsid w:val="00784903"/>
    <w:rsid w:val="00785B69"/>
    <w:rsid w:val="00794ED8"/>
    <w:rsid w:val="007A2573"/>
    <w:rsid w:val="007A267E"/>
    <w:rsid w:val="007B106C"/>
    <w:rsid w:val="007B1A4E"/>
    <w:rsid w:val="007B3D05"/>
    <w:rsid w:val="007B5503"/>
    <w:rsid w:val="007B5FD0"/>
    <w:rsid w:val="007B7D5D"/>
    <w:rsid w:val="007C179C"/>
    <w:rsid w:val="007C21E3"/>
    <w:rsid w:val="007C6BB3"/>
    <w:rsid w:val="007D14B4"/>
    <w:rsid w:val="007D3AD7"/>
    <w:rsid w:val="007E24F6"/>
    <w:rsid w:val="007E5074"/>
    <w:rsid w:val="007E6086"/>
    <w:rsid w:val="007F72DA"/>
    <w:rsid w:val="00800F64"/>
    <w:rsid w:val="00801050"/>
    <w:rsid w:val="00802F0B"/>
    <w:rsid w:val="00807209"/>
    <w:rsid w:val="00810A67"/>
    <w:rsid w:val="00815C47"/>
    <w:rsid w:val="00821C15"/>
    <w:rsid w:val="00830C2A"/>
    <w:rsid w:val="00832235"/>
    <w:rsid w:val="00833CF7"/>
    <w:rsid w:val="00834CDE"/>
    <w:rsid w:val="00842464"/>
    <w:rsid w:val="00845601"/>
    <w:rsid w:val="00855C5C"/>
    <w:rsid w:val="0086031A"/>
    <w:rsid w:val="00861EDA"/>
    <w:rsid w:val="00865F1E"/>
    <w:rsid w:val="008679B5"/>
    <w:rsid w:val="00873238"/>
    <w:rsid w:val="00880DAD"/>
    <w:rsid w:val="00887911"/>
    <w:rsid w:val="008A3C96"/>
    <w:rsid w:val="008B4019"/>
    <w:rsid w:val="008B5202"/>
    <w:rsid w:val="008B65C9"/>
    <w:rsid w:val="008C2D4A"/>
    <w:rsid w:val="008D0722"/>
    <w:rsid w:val="008D3900"/>
    <w:rsid w:val="008D6E1D"/>
    <w:rsid w:val="008F39B4"/>
    <w:rsid w:val="008F4162"/>
    <w:rsid w:val="00903409"/>
    <w:rsid w:val="00903E02"/>
    <w:rsid w:val="00913175"/>
    <w:rsid w:val="00916EDB"/>
    <w:rsid w:val="00920861"/>
    <w:rsid w:val="00922B13"/>
    <w:rsid w:val="009242EF"/>
    <w:rsid w:val="00932291"/>
    <w:rsid w:val="00932861"/>
    <w:rsid w:val="0093408E"/>
    <w:rsid w:val="00934AF6"/>
    <w:rsid w:val="009370D3"/>
    <w:rsid w:val="00952DDF"/>
    <w:rsid w:val="009551CC"/>
    <w:rsid w:val="009610A3"/>
    <w:rsid w:val="00963B6A"/>
    <w:rsid w:val="00964711"/>
    <w:rsid w:val="00970950"/>
    <w:rsid w:val="00975D57"/>
    <w:rsid w:val="009812D4"/>
    <w:rsid w:val="009860B6"/>
    <w:rsid w:val="009920D8"/>
    <w:rsid w:val="009952F5"/>
    <w:rsid w:val="009A39C1"/>
    <w:rsid w:val="009A47D4"/>
    <w:rsid w:val="009A6B98"/>
    <w:rsid w:val="009B38BE"/>
    <w:rsid w:val="009C3D0F"/>
    <w:rsid w:val="009E1B19"/>
    <w:rsid w:val="009E267B"/>
    <w:rsid w:val="009F35E2"/>
    <w:rsid w:val="009F65F9"/>
    <w:rsid w:val="009F68BA"/>
    <w:rsid w:val="00A06277"/>
    <w:rsid w:val="00A070D5"/>
    <w:rsid w:val="00A079DC"/>
    <w:rsid w:val="00A1025F"/>
    <w:rsid w:val="00A111C2"/>
    <w:rsid w:val="00A26FCE"/>
    <w:rsid w:val="00A27AB5"/>
    <w:rsid w:val="00A338E7"/>
    <w:rsid w:val="00A35CAA"/>
    <w:rsid w:val="00A368B0"/>
    <w:rsid w:val="00A36E7F"/>
    <w:rsid w:val="00A4063F"/>
    <w:rsid w:val="00A4113A"/>
    <w:rsid w:val="00A41E65"/>
    <w:rsid w:val="00A43E0A"/>
    <w:rsid w:val="00A530C7"/>
    <w:rsid w:val="00A55F5B"/>
    <w:rsid w:val="00A60185"/>
    <w:rsid w:val="00A661EA"/>
    <w:rsid w:val="00A830E5"/>
    <w:rsid w:val="00A87135"/>
    <w:rsid w:val="00A93280"/>
    <w:rsid w:val="00A951EA"/>
    <w:rsid w:val="00AA2548"/>
    <w:rsid w:val="00AA58C4"/>
    <w:rsid w:val="00AA7003"/>
    <w:rsid w:val="00AB11C8"/>
    <w:rsid w:val="00AB6586"/>
    <w:rsid w:val="00AC08A8"/>
    <w:rsid w:val="00AC3B2F"/>
    <w:rsid w:val="00AC500A"/>
    <w:rsid w:val="00AD56C8"/>
    <w:rsid w:val="00AD58F2"/>
    <w:rsid w:val="00B0512A"/>
    <w:rsid w:val="00B0529F"/>
    <w:rsid w:val="00B1418B"/>
    <w:rsid w:val="00B14530"/>
    <w:rsid w:val="00B178E2"/>
    <w:rsid w:val="00B21195"/>
    <w:rsid w:val="00B22D76"/>
    <w:rsid w:val="00B24B22"/>
    <w:rsid w:val="00B25310"/>
    <w:rsid w:val="00B26CB7"/>
    <w:rsid w:val="00B307EE"/>
    <w:rsid w:val="00B32F8F"/>
    <w:rsid w:val="00B3492A"/>
    <w:rsid w:val="00B54DE9"/>
    <w:rsid w:val="00B553EC"/>
    <w:rsid w:val="00B55E3F"/>
    <w:rsid w:val="00B6012C"/>
    <w:rsid w:val="00B63C1E"/>
    <w:rsid w:val="00B758A2"/>
    <w:rsid w:val="00B77AA5"/>
    <w:rsid w:val="00B937C8"/>
    <w:rsid w:val="00B93DD0"/>
    <w:rsid w:val="00B97732"/>
    <w:rsid w:val="00BA0882"/>
    <w:rsid w:val="00BA291C"/>
    <w:rsid w:val="00BA65A8"/>
    <w:rsid w:val="00BA6D19"/>
    <w:rsid w:val="00BA7461"/>
    <w:rsid w:val="00BA7A53"/>
    <w:rsid w:val="00BA7DA9"/>
    <w:rsid w:val="00BC4215"/>
    <w:rsid w:val="00BD1A6F"/>
    <w:rsid w:val="00BD685D"/>
    <w:rsid w:val="00BE0F48"/>
    <w:rsid w:val="00BE6D3C"/>
    <w:rsid w:val="00BE7852"/>
    <w:rsid w:val="00BF7CEE"/>
    <w:rsid w:val="00C03880"/>
    <w:rsid w:val="00C0461E"/>
    <w:rsid w:val="00C135CF"/>
    <w:rsid w:val="00C141EE"/>
    <w:rsid w:val="00C2683F"/>
    <w:rsid w:val="00C3184D"/>
    <w:rsid w:val="00C4714E"/>
    <w:rsid w:val="00C51CCA"/>
    <w:rsid w:val="00C5504F"/>
    <w:rsid w:val="00C57B55"/>
    <w:rsid w:val="00C63376"/>
    <w:rsid w:val="00C74F97"/>
    <w:rsid w:val="00C8276E"/>
    <w:rsid w:val="00C842AC"/>
    <w:rsid w:val="00C8629C"/>
    <w:rsid w:val="00C96688"/>
    <w:rsid w:val="00CA0723"/>
    <w:rsid w:val="00CB12FD"/>
    <w:rsid w:val="00CB1690"/>
    <w:rsid w:val="00CB2F40"/>
    <w:rsid w:val="00CB526E"/>
    <w:rsid w:val="00CB76DB"/>
    <w:rsid w:val="00CC3C7C"/>
    <w:rsid w:val="00CC4365"/>
    <w:rsid w:val="00CD11B0"/>
    <w:rsid w:val="00CE0FA6"/>
    <w:rsid w:val="00CE5C2A"/>
    <w:rsid w:val="00CE71C2"/>
    <w:rsid w:val="00CF34E9"/>
    <w:rsid w:val="00CF42D5"/>
    <w:rsid w:val="00CF4EDA"/>
    <w:rsid w:val="00CF70AA"/>
    <w:rsid w:val="00CF7D68"/>
    <w:rsid w:val="00D021CB"/>
    <w:rsid w:val="00D10F1A"/>
    <w:rsid w:val="00D116F8"/>
    <w:rsid w:val="00D13806"/>
    <w:rsid w:val="00D17596"/>
    <w:rsid w:val="00D21D54"/>
    <w:rsid w:val="00D22640"/>
    <w:rsid w:val="00D2475A"/>
    <w:rsid w:val="00D25169"/>
    <w:rsid w:val="00D26D3A"/>
    <w:rsid w:val="00D34931"/>
    <w:rsid w:val="00D45EE3"/>
    <w:rsid w:val="00D50618"/>
    <w:rsid w:val="00D509E9"/>
    <w:rsid w:val="00D53B1C"/>
    <w:rsid w:val="00D702A8"/>
    <w:rsid w:val="00D70969"/>
    <w:rsid w:val="00D87C92"/>
    <w:rsid w:val="00D9073B"/>
    <w:rsid w:val="00DA1B12"/>
    <w:rsid w:val="00DA54C9"/>
    <w:rsid w:val="00DA6739"/>
    <w:rsid w:val="00DA6CAE"/>
    <w:rsid w:val="00DB1A9E"/>
    <w:rsid w:val="00DB31D6"/>
    <w:rsid w:val="00DB4005"/>
    <w:rsid w:val="00DC34EB"/>
    <w:rsid w:val="00DD68D3"/>
    <w:rsid w:val="00DD7A6B"/>
    <w:rsid w:val="00DE7819"/>
    <w:rsid w:val="00DF1E5B"/>
    <w:rsid w:val="00DF2275"/>
    <w:rsid w:val="00DF2B4E"/>
    <w:rsid w:val="00DF3F5E"/>
    <w:rsid w:val="00DF5653"/>
    <w:rsid w:val="00E0046F"/>
    <w:rsid w:val="00E0596E"/>
    <w:rsid w:val="00E06F66"/>
    <w:rsid w:val="00E164D6"/>
    <w:rsid w:val="00E356E5"/>
    <w:rsid w:val="00E36F81"/>
    <w:rsid w:val="00E45765"/>
    <w:rsid w:val="00E5098C"/>
    <w:rsid w:val="00E54003"/>
    <w:rsid w:val="00E60213"/>
    <w:rsid w:val="00E6517D"/>
    <w:rsid w:val="00E661B2"/>
    <w:rsid w:val="00E733F9"/>
    <w:rsid w:val="00E74D29"/>
    <w:rsid w:val="00E83A87"/>
    <w:rsid w:val="00E83C74"/>
    <w:rsid w:val="00E83CEE"/>
    <w:rsid w:val="00E854FE"/>
    <w:rsid w:val="00E91F18"/>
    <w:rsid w:val="00E9226D"/>
    <w:rsid w:val="00EA416C"/>
    <w:rsid w:val="00EA5941"/>
    <w:rsid w:val="00EA65AC"/>
    <w:rsid w:val="00EB60CE"/>
    <w:rsid w:val="00EB7D53"/>
    <w:rsid w:val="00EC0188"/>
    <w:rsid w:val="00EC1DD7"/>
    <w:rsid w:val="00EC50B3"/>
    <w:rsid w:val="00EE3146"/>
    <w:rsid w:val="00EF50BB"/>
    <w:rsid w:val="00EF53FF"/>
    <w:rsid w:val="00F00192"/>
    <w:rsid w:val="00F01DF6"/>
    <w:rsid w:val="00F0340D"/>
    <w:rsid w:val="00F059A6"/>
    <w:rsid w:val="00F167AD"/>
    <w:rsid w:val="00F23756"/>
    <w:rsid w:val="00F2523A"/>
    <w:rsid w:val="00F25FFA"/>
    <w:rsid w:val="00F310D2"/>
    <w:rsid w:val="00F36F3D"/>
    <w:rsid w:val="00F477BD"/>
    <w:rsid w:val="00F53491"/>
    <w:rsid w:val="00F64F4C"/>
    <w:rsid w:val="00F65A1C"/>
    <w:rsid w:val="00F66F50"/>
    <w:rsid w:val="00F812F4"/>
    <w:rsid w:val="00F82FF8"/>
    <w:rsid w:val="00F8330D"/>
    <w:rsid w:val="00F84305"/>
    <w:rsid w:val="00F8485C"/>
    <w:rsid w:val="00F87149"/>
    <w:rsid w:val="00F87FFE"/>
    <w:rsid w:val="00F954C9"/>
    <w:rsid w:val="00FA4CF0"/>
    <w:rsid w:val="00FA4E17"/>
    <w:rsid w:val="00FA61AA"/>
    <w:rsid w:val="00FA69A4"/>
    <w:rsid w:val="00FB1279"/>
    <w:rsid w:val="00FB1495"/>
    <w:rsid w:val="00FB61BD"/>
    <w:rsid w:val="00FC2C06"/>
    <w:rsid w:val="00FD1694"/>
    <w:rsid w:val="00FD7636"/>
    <w:rsid w:val="00FE2560"/>
    <w:rsid w:val="00FE2C8F"/>
    <w:rsid w:val="00FE3229"/>
    <w:rsid w:val="00FE3BDE"/>
    <w:rsid w:val="00FE74C3"/>
    <w:rsid w:val="00FF215C"/>
    <w:rsid w:val="00FF49E8"/>
    <w:rsid w:val="00FF560F"/>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Hyperlink" w:uiPriority="0"/>
    <w:lsdException w:name="Strong" w:semiHidden="0" w:uiPriority="22" w:unhideWhenUsed="0"/>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uiPriority w:val="99"/>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b/>
      <w:bCs/>
    </w:rPr>
  </w:style>
  <w:style w:type="paragraph" w:customStyle="1" w:styleId="bodytext">
    <w:name w:val="body text"/>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9551C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1B8AEA-466F-4BDB-901B-9E73722A0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7362</Words>
  <Characters>41970</Characters>
  <Application>Microsoft Office Word</Application>
  <DocSecurity>0</DocSecurity>
  <Lines>349</Lines>
  <Paragraphs>98</Paragraphs>
  <ScaleCrop>false</ScaleCrop>
  <Company/>
  <LinksUpToDate>false</LinksUpToDate>
  <CharactersWithSpaces>49234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Giant Crab Fishery</dc:title>
  <dc:creator/>
  <cp:lastModifiedBy/>
  <cp:revision>1</cp:revision>
  <dcterms:created xsi:type="dcterms:W3CDTF">2014-07-30T05:32:00Z</dcterms:created>
  <dcterms:modified xsi:type="dcterms:W3CDTF">2014-07-30T05:33:00Z</dcterms:modified>
</cp:coreProperties>
</file>